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rawings/drawing1.xml" ContentType="application/vnd.openxmlformats-officedocument.drawingml.chartshapes+xml"/>
  <Override PartName="/word/drawings/drawing2.xml" ContentType="application/vnd.openxmlformats-officedocument.drawingml.chartshapes+xml"/>
  <Override PartName="/word/document.xml" ContentType="application/vnd.openxmlformats-officedocument.wordprocessingml.document.main+xml"/>
  <Override PartName="/word/header13.xml" ContentType="application/vnd.openxmlformats-officedocument.wordprocessingml.header+xml"/>
  <Override PartName="/word/footer12.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18.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footer16.xml" ContentType="application/vnd.openxmlformats-officedocument.wordprocessingml.footer+xml"/>
  <Override PartName="/word/header11.xml" ContentType="application/vnd.openxmlformats-officedocument.wordprocessingml.header+xml"/>
  <Override PartName="/word/header10.xml" ContentType="application/vnd.openxmlformats-officedocument.wordprocessingml.header+xml"/>
  <Override PartName="/word/header9.xml" ContentType="application/vnd.openxmlformats-officedocument.wordprocessingml.header+xml"/>
  <Override PartName="/word/footer15.xml" ContentType="application/vnd.openxmlformats-officedocument.wordprocessingml.footer+xml"/>
  <Override PartName="/word/footer14.xml" ContentType="application/vnd.openxmlformats-officedocument.wordprocessingml.footer+xml"/>
  <Override PartName="/word/header8.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4.xml" ContentType="application/vnd.openxmlformats-officedocument.wordprocessingml.header+xml"/>
  <Override PartName="/word/header2.xml" ContentType="application/vnd.openxmlformats-officedocument.wordprocessingml.header+xml"/>
  <Override PartName="/word/footer7.xml" ContentType="application/vnd.openxmlformats-officedocument.wordprocessingml.footer+xml"/>
  <Override PartName="/word/footer20.xml" ContentType="application/vnd.openxmlformats-officedocument.wordprocessingml.footer+xml"/>
  <Override PartName="/word/theme/theme1.xml" ContentType="application/vnd.openxmlformats-officedocument.theme+xml"/>
  <Override PartName="/word/charts/chart11.xml" ContentType="application/vnd.openxmlformats-officedocument.drawingml.chart+xml"/>
  <Override PartName="/word/charts/chart4.xml" ContentType="application/vnd.openxmlformats-officedocument.drawingml.chart+xml"/>
  <Override PartName="/word/charts/chart3.xml" ContentType="application/vnd.openxmlformats-officedocument.drawingml.chart+xml"/>
  <Override PartName="/word/charts/chart2.xml" ContentType="application/vnd.openxmlformats-officedocument.drawingml.chart+xml"/>
  <Override PartName="/word/charts/chart1.xml" ContentType="application/vnd.openxmlformats-officedocument.drawingml.chart+xml"/>
  <Override PartName="/word/charts/chart5.xml" ContentType="application/vnd.openxmlformats-officedocument.drawingml.chart+xml"/>
  <Override PartName="/word/charts/chart7.xml" ContentType="application/vnd.openxmlformats-officedocument.drawingml.chart+xml"/>
  <Override PartName="/word/charts/chart10.xml" ContentType="application/vnd.openxmlformats-officedocument.drawingml.chart+xml"/>
  <Override PartName="/word/charts/chart6.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83351" w14:textId="77777777" w:rsidR="003F021F" w:rsidRPr="00CD3CBD" w:rsidRDefault="003F021F" w:rsidP="003F021F">
      <w:pPr>
        <w:spacing w:line="240" w:lineRule="atLeast"/>
        <w:jc w:val="center"/>
      </w:pPr>
      <w:r w:rsidRPr="00CD3CBD">
        <w:rPr>
          <w:b/>
          <w:sz w:val="32"/>
        </w:rPr>
        <w:t>MONTREAL PROTOCOL</w:t>
      </w:r>
      <w:r w:rsidRPr="00CD3CBD">
        <w:rPr>
          <w:b/>
          <w:sz w:val="32"/>
        </w:rPr>
        <w:br/>
      </w:r>
      <w:r w:rsidRPr="00CD3CBD">
        <w:rPr>
          <w:b/>
          <w:sz w:val="32"/>
        </w:rPr>
        <w:br/>
        <w:t>ON SUBSTANCES THAT DEPLETE</w:t>
      </w:r>
      <w:r w:rsidRPr="00CD3CBD">
        <w:rPr>
          <w:b/>
          <w:sz w:val="32"/>
        </w:rPr>
        <w:br/>
      </w:r>
      <w:r w:rsidRPr="00CD3CBD">
        <w:rPr>
          <w:b/>
          <w:sz w:val="32"/>
        </w:rPr>
        <w:br/>
        <w:t>THE OZONE LAYER</w:t>
      </w:r>
      <w:r w:rsidRPr="00CD3CBD">
        <w:rPr>
          <w:b/>
          <w:sz w:val="32"/>
        </w:rPr>
        <w:br/>
      </w:r>
      <w:r w:rsidRPr="00CD3CBD">
        <w:rPr>
          <w:b/>
          <w:sz w:val="32"/>
        </w:rPr>
        <w:br/>
      </w:r>
    </w:p>
    <w:p w14:paraId="2FB55F8D" w14:textId="77777777" w:rsidR="003F021F" w:rsidRPr="00CD3CBD" w:rsidRDefault="003F021F" w:rsidP="003F021F">
      <w:pPr>
        <w:spacing w:line="240" w:lineRule="atLeast"/>
        <w:jc w:val="center"/>
      </w:pPr>
    </w:p>
    <w:p w14:paraId="5C1F75BF" w14:textId="77777777" w:rsidR="003F021F" w:rsidRPr="00CD3CBD" w:rsidRDefault="00697A62" w:rsidP="003F021F">
      <w:pPr>
        <w:spacing w:line="240" w:lineRule="atLeast"/>
        <w:jc w:val="center"/>
      </w:pPr>
      <w:r w:rsidRPr="00501812">
        <w:rPr>
          <w:noProof/>
          <w:lang w:val="en-US" w:eastAsia="en-US"/>
        </w:rPr>
        <w:drawing>
          <wp:inline distT="0" distB="0" distL="0" distR="0" wp14:anchorId="642D83F6" wp14:editId="412C5EB1">
            <wp:extent cx="2872740" cy="24765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2740" cy="2476500"/>
                    </a:xfrm>
                    <a:prstGeom prst="rect">
                      <a:avLst/>
                    </a:prstGeom>
                    <a:noFill/>
                    <a:ln>
                      <a:noFill/>
                    </a:ln>
                  </pic:spPr>
                </pic:pic>
              </a:graphicData>
            </a:graphic>
          </wp:inline>
        </w:drawing>
      </w:r>
    </w:p>
    <w:p w14:paraId="3DF4F757" w14:textId="77777777" w:rsidR="003F021F" w:rsidRPr="00501812" w:rsidRDefault="003F021F" w:rsidP="003F021F">
      <w:pPr>
        <w:spacing w:line="240" w:lineRule="atLeast"/>
        <w:jc w:val="center"/>
        <w:outlineLvl w:val="0"/>
        <w:rPr>
          <w:sz w:val="96"/>
        </w:rPr>
      </w:pPr>
      <w:bookmarkStart w:id="0" w:name="_Toc102559467"/>
      <w:r w:rsidRPr="00501812">
        <w:rPr>
          <w:sz w:val="120"/>
        </w:rPr>
        <w:t>UNEP</w:t>
      </w:r>
      <w:bookmarkEnd w:id="0"/>
    </w:p>
    <w:p w14:paraId="79C1A9C1" w14:textId="77777777" w:rsidR="00DA55AC" w:rsidRPr="00501812" w:rsidRDefault="003F021F" w:rsidP="003F021F">
      <w:pPr>
        <w:spacing w:line="240" w:lineRule="atLeast"/>
        <w:jc w:val="center"/>
        <w:rPr>
          <w:b/>
          <w:smallCaps/>
          <w:sz w:val="32"/>
        </w:rPr>
      </w:pPr>
      <w:r w:rsidRPr="00501812">
        <w:rPr>
          <w:b/>
          <w:sz w:val="30"/>
        </w:rPr>
        <w:br/>
      </w:r>
      <w:r w:rsidRPr="00501812">
        <w:rPr>
          <w:b/>
          <w:smallCaps/>
          <w:sz w:val="32"/>
        </w:rPr>
        <w:t>Report of the</w:t>
      </w:r>
      <w:r w:rsidRPr="00501812">
        <w:rPr>
          <w:b/>
          <w:smallCaps/>
          <w:sz w:val="32"/>
        </w:rPr>
        <w:br/>
        <w:t>Technology and Economic Assessment Panel</w:t>
      </w:r>
    </w:p>
    <w:p w14:paraId="159A5990" w14:textId="77777777" w:rsidR="003F021F" w:rsidRPr="003A30C7" w:rsidRDefault="00CD3CBD" w:rsidP="003F021F">
      <w:pPr>
        <w:spacing w:line="240" w:lineRule="atLeast"/>
        <w:jc w:val="center"/>
        <w:rPr>
          <w:b/>
          <w:smallCaps/>
          <w:sz w:val="32"/>
        </w:rPr>
      </w:pPr>
      <w:r w:rsidRPr="00501812">
        <w:rPr>
          <w:b/>
          <w:smallCaps/>
          <w:sz w:val="32"/>
        </w:rPr>
        <w:t>Volume III</w:t>
      </w:r>
      <w:r w:rsidR="003F021F" w:rsidRPr="003A30C7">
        <w:rPr>
          <w:b/>
          <w:smallCaps/>
          <w:sz w:val="32"/>
        </w:rPr>
        <w:br/>
      </w:r>
    </w:p>
    <w:p w14:paraId="5D6A93F2" w14:textId="77777777" w:rsidR="003F021F" w:rsidRPr="00F5313E" w:rsidRDefault="00F13BE0" w:rsidP="003F021F">
      <w:pPr>
        <w:spacing w:line="240" w:lineRule="atLeast"/>
        <w:jc w:val="center"/>
        <w:rPr>
          <w:b/>
          <w:smallCaps/>
          <w:sz w:val="32"/>
        </w:rPr>
      </w:pPr>
      <w:r w:rsidRPr="00082015">
        <w:rPr>
          <w:b/>
          <w:smallCaps/>
          <w:sz w:val="28"/>
        </w:rPr>
        <w:t>SEPTEMBER</w:t>
      </w:r>
      <w:r w:rsidR="003F021F" w:rsidRPr="00082015">
        <w:rPr>
          <w:b/>
          <w:smallCaps/>
          <w:sz w:val="32"/>
        </w:rPr>
        <w:t xml:space="preserve"> 201</w:t>
      </w:r>
      <w:r w:rsidR="002B7CB5" w:rsidRPr="00082015">
        <w:rPr>
          <w:b/>
          <w:smallCaps/>
          <w:sz w:val="32"/>
        </w:rPr>
        <w:t>6</w:t>
      </w:r>
    </w:p>
    <w:p w14:paraId="5CBA9250" w14:textId="77777777" w:rsidR="003F021F" w:rsidRPr="00220275" w:rsidRDefault="003F021F" w:rsidP="003F021F">
      <w:pPr>
        <w:spacing w:line="240" w:lineRule="atLeast"/>
        <w:jc w:val="center"/>
        <w:rPr>
          <w:b/>
          <w:smallCaps/>
          <w:sz w:val="30"/>
        </w:rPr>
      </w:pPr>
    </w:p>
    <w:p w14:paraId="7C8BFA60" w14:textId="77777777" w:rsidR="003F021F" w:rsidRPr="00563BC0" w:rsidRDefault="003F021F" w:rsidP="003F021F">
      <w:pPr>
        <w:jc w:val="center"/>
        <w:rPr>
          <w:b/>
          <w:smallCaps/>
          <w:sz w:val="28"/>
        </w:rPr>
      </w:pPr>
      <w:r w:rsidRPr="00220275">
        <w:rPr>
          <w:b/>
          <w:smallCaps/>
          <w:sz w:val="28"/>
        </w:rPr>
        <w:t>Evaluation of 201</w:t>
      </w:r>
      <w:r w:rsidR="002B7CB5" w:rsidRPr="00220275">
        <w:rPr>
          <w:b/>
          <w:smallCaps/>
          <w:sz w:val="28"/>
        </w:rPr>
        <w:t>6</w:t>
      </w:r>
      <w:r w:rsidRPr="00220275">
        <w:rPr>
          <w:b/>
          <w:smallCaps/>
          <w:sz w:val="28"/>
        </w:rPr>
        <w:t xml:space="preserve"> Critical Use Nominations for Methyl Bromide </w:t>
      </w:r>
      <w:r w:rsidR="0082383F" w:rsidRPr="00220275">
        <w:rPr>
          <w:b/>
          <w:smallCaps/>
          <w:sz w:val="28"/>
        </w:rPr>
        <w:t xml:space="preserve">and </w:t>
      </w:r>
      <w:r w:rsidR="00E21A18" w:rsidRPr="00B87B95">
        <w:rPr>
          <w:b/>
          <w:smallCaps/>
          <w:sz w:val="28"/>
        </w:rPr>
        <w:t>Related</w:t>
      </w:r>
      <w:r w:rsidR="006D387F" w:rsidRPr="00B87B95">
        <w:rPr>
          <w:b/>
          <w:smallCaps/>
          <w:sz w:val="28"/>
        </w:rPr>
        <w:t xml:space="preserve"> Matters</w:t>
      </w:r>
    </w:p>
    <w:p w14:paraId="2111239F" w14:textId="77777777" w:rsidR="003F021F" w:rsidRPr="00563BC0" w:rsidRDefault="00F13BE0" w:rsidP="003F021F">
      <w:pPr>
        <w:jc w:val="center"/>
        <w:rPr>
          <w:b/>
          <w:smallCaps/>
          <w:sz w:val="28"/>
        </w:rPr>
        <w:sectPr w:rsidR="003F021F" w:rsidRPr="00563BC0" w:rsidSect="00114183">
          <w:headerReference w:type="default" r:id="rId9"/>
          <w:footerReference w:type="even" r:id="rId10"/>
          <w:footerReference w:type="default" r:id="rId11"/>
          <w:footerReference w:type="first" r:id="rId12"/>
          <w:pgSz w:w="11909" w:h="16834" w:code="9"/>
          <w:pgMar w:top="1440" w:right="1797" w:bottom="1134" w:left="1797" w:header="720" w:footer="794" w:gutter="0"/>
          <w:pgNumType w:fmt="lowerRoman"/>
          <w:cols w:space="720"/>
          <w:titlePg/>
          <w:docGrid w:linePitch="299"/>
        </w:sectPr>
      </w:pPr>
      <w:r w:rsidRPr="00563BC0">
        <w:rPr>
          <w:b/>
          <w:smallCaps/>
          <w:sz w:val="28"/>
        </w:rPr>
        <w:t>Final</w:t>
      </w:r>
      <w:r w:rsidR="003F021F" w:rsidRPr="00563BC0">
        <w:rPr>
          <w:b/>
          <w:smallCaps/>
          <w:sz w:val="28"/>
        </w:rPr>
        <w:t xml:space="preserve"> Report</w:t>
      </w:r>
    </w:p>
    <w:p w14:paraId="29905039" w14:textId="77777777" w:rsidR="003F021F" w:rsidRPr="000F08B5" w:rsidRDefault="003F021F" w:rsidP="003F021F">
      <w:pPr>
        <w:jc w:val="right"/>
        <w:rPr>
          <w:b/>
          <w:smallCaps/>
          <w:sz w:val="20"/>
        </w:rPr>
      </w:pPr>
      <w:r w:rsidRPr="00563BC0">
        <w:rPr>
          <w:b/>
          <w:smallCaps/>
          <w:sz w:val="28"/>
        </w:rPr>
        <w:lastRenderedPageBreak/>
        <w:br/>
        <w:t>UNEP</w:t>
      </w:r>
      <w:r w:rsidRPr="00563BC0">
        <w:rPr>
          <w:b/>
          <w:smallCaps/>
          <w:sz w:val="28"/>
        </w:rPr>
        <w:br/>
      </w:r>
      <w:r w:rsidR="00F13BE0" w:rsidRPr="00563BC0">
        <w:rPr>
          <w:b/>
          <w:smallCaps/>
          <w:sz w:val="28"/>
        </w:rPr>
        <w:t>September</w:t>
      </w:r>
      <w:r w:rsidR="006837ED" w:rsidRPr="00563BC0">
        <w:rPr>
          <w:b/>
          <w:smallCaps/>
          <w:sz w:val="28"/>
        </w:rPr>
        <w:t xml:space="preserve"> </w:t>
      </w:r>
      <w:r w:rsidR="00234175" w:rsidRPr="000F08B5">
        <w:rPr>
          <w:b/>
          <w:smallCaps/>
          <w:sz w:val="28"/>
        </w:rPr>
        <w:t xml:space="preserve">2016 </w:t>
      </w:r>
      <w:r w:rsidRPr="000F08B5">
        <w:rPr>
          <w:b/>
          <w:smallCaps/>
          <w:sz w:val="28"/>
        </w:rPr>
        <w:t>Report of the</w:t>
      </w:r>
      <w:r w:rsidRPr="000F08B5">
        <w:rPr>
          <w:b/>
          <w:smallCaps/>
          <w:sz w:val="28"/>
        </w:rPr>
        <w:br/>
        <w:t>Technology and Economic</w:t>
      </w:r>
      <w:r w:rsidRPr="000F08B5">
        <w:rPr>
          <w:b/>
          <w:smallCaps/>
          <w:sz w:val="28"/>
        </w:rPr>
        <w:br/>
        <w:t>Assessment Panel</w:t>
      </w:r>
      <w:r w:rsidRPr="000F08B5">
        <w:rPr>
          <w:b/>
          <w:smallCaps/>
          <w:sz w:val="28"/>
        </w:rPr>
        <w:br/>
      </w:r>
      <w:r w:rsidRPr="000F08B5">
        <w:rPr>
          <w:b/>
          <w:smallCaps/>
          <w:sz w:val="28"/>
        </w:rPr>
        <w:br/>
      </w:r>
    </w:p>
    <w:p w14:paraId="20625CCC" w14:textId="77777777" w:rsidR="00CD3CBD" w:rsidRPr="00F9037E" w:rsidRDefault="00CD3CBD" w:rsidP="003F021F">
      <w:pPr>
        <w:jc w:val="right"/>
        <w:rPr>
          <w:b/>
          <w:smallCaps/>
          <w:sz w:val="28"/>
          <w:szCs w:val="28"/>
        </w:rPr>
      </w:pPr>
      <w:r w:rsidRPr="00365366">
        <w:rPr>
          <w:b/>
          <w:smallCaps/>
          <w:sz w:val="28"/>
          <w:szCs w:val="28"/>
        </w:rPr>
        <w:t>Volume III</w:t>
      </w:r>
    </w:p>
    <w:p w14:paraId="788EB986" w14:textId="77777777" w:rsidR="003F021F" w:rsidRPr="00F9037E" w:rsidRDefault="003F021F" w:rsidP="003F021F">
      <w:pPr>
        <w:jc w:val="right"/>
        <w:rPr>
          <w:b/>
          <w:smallCaps/>
          <w:sz w:val="28"/>
        </w:rPr>
      </w:pPr>
      <w:r w:rsidRPr="00F9037E">
        <w:rPr>
          <w:b/>
          <w:smallCaps/>
          <w:sz w:val="28"/>
        </w:rPr>
        <w:t xml:space="preserve">Evaluation of </w:t>
      </w:r>
      <w:r w:rsidR="00234175" w:rsidRPr="00F9037E">
        <w:rPr>
          <w:b/>
          <w:smallCaps/>
          <w:sz w:val="28"/>
        </w:rPr>
        <w:t xml:space="preserve">2016 </w:t>
      </w:r>
      <w:r w:rsidRPr="00F9037E">
        <w:rPr>
          <w:b/>
          <w:smallCaps/>
          <w:sz w:val="28"/>
        </w:rPr>
        <w:t xml:space="preserve">Critical Use Nominations for </w:t>
      </w:r>
    </w:p>
    <w:p w14:paraId="16704B75" w14:textId="77777777" w:rsidR="003F021F" w:rsidRPr="00F9037E" w:rsidRDefault="003F021F" w:rsidP="003F021F">
      <w:pPr>
        <w:jc w:val="right"/>
        <w:rPr>
          <w:b/>
          <w:smallCaps/>
          <w:sz w:val="28"/>
        </w:rPr>
      </w:pPr>
      <w:r w:rsidRPr="00F9037E">
        <w:rPr>
          <w:b/>
          <w:smallCaps/>
          <w:sz w:val="28"/>
        </w:rPr>
        <w:t>Methyl Bromide</w:t>
      </w:r>
      <w:r w:rsidR="00E21A18" w:rsidRPr="00F9037E">
        <w:rPr>
          <w:b/>
          <w:smallCaps/>
          <w:sz w:val="28"/>
        </w:rPr>
        <w:t xml:space="preserve"> and Related Matters</w:t>
      </w:r>
    </w:p>
    <w:p w14:paraId="6D0B920E" w14:textId="77777777" w:rsidR="003F021F" w:rsidRPr="00F9037E" w:rsidRDefault="003F021F" w:rsidP="003F021F">
      <w:pPr>
        <w:jc w:val="right"/>
        <w:rPr>
          <w:b/>
          <w:smallCaps/>
          <w:sz w:val="28"/>
        </w:rPr>
      </w:pPr>
    </w:p>
    <w:p w14:paraId="6FEF1905" w14:textId="77777777" w:rsidR="003F021F" w:rsidRPr="00F9037E" w:rsidRDefault="00F13BE0" w:rsidP="00E417DF">
      <w:pPr>
        <w:jc w:val="right"/>
        <w:rPr>
          <w:b/>
          <w:smallCaps/>
          <w:sz w:val="28"/>
        </w:rPr>
        <w:sectPr w:rsidR="003F021F" w:rsidRPr="00F9037E" w:rsidSect="00114183">
          <w:footerReference w:type="default" r:id="rId13"/>
          <w:pgSz w:w="11909" w:h="16834" w:code="9"/>
          <w:pgMar w:top="1440" w:right="1797" w:bottom="1134" w:left="1260" w:header="720" w:footer="794" w:gutter="0"/>
          <w:pgNumType w:fmt="lowerRoman" w:start="2"/>
          <w:cols w:space="720"/>
        </w:sectPr>
      </w:pPr>
      <w:r w:rsidRPr="00F9037E">
        <w:rPr>
          <w:b/>
          <w:smallCaps/>
          <w:sz w:val="28"/>
        </w:rPr>
        <w:t>Final</w:t>
      </w:r>
      <w:r w:rsidR="003F021F" w:rsidRPr="00F9037E">
        <w:rPr>
          <w:b/>
          <w:smallCaps/>
          <w:sz w:val="28"/>
        </w:rPr>
        <w:t xml:space="preserve"> Report</w:t>
      </w:r>
    </w:p>
    <w:p w14:paraId="429FD16C" w14:textId="77777777" w:rsidR="003F021F" w:rsidRPr="00F9037E" w:rsidRDefault="003F021F" w:rsidP="000F59B7">
      <w:pPr>
        <w:spacing w:after="0"/>
        <w:rPr>
          <w:b/>
        </w:rPr>
      </w:pPr>
      <w:r w:rsidRPr="00F9037E">
        <w:rPr>
          <w:b/>
        </w:rPr>
        <w:lastRenderedPageBreak/>
        <w:t>Montreal Protocol</w:t>
      </w:r>
    </w:p>
    <w:p w14:paraId="0831F8C6" w14:textId="77777777" w:rsidR="003F021F" w:rsidRPr="00F9037E" w:rsidRDefault="003F021F" w:rsidP="003F021F">
      <w:pPr>
        <w:rPr>
          <w:b/>
        </w:rPr>
      </w:pPr>
      <w:r w:rsidRPr="00F9037E">
        <w:rPr>
          <w:b/>
        </w:rPr>
        <w:t>On Substances that Deplete the Ozone Layer</w:t>
      </w:r>
    </w:p>
    <w:p w14:paraId="002183EC" w14:textId="77777777" w:rsidR="003F021F" w:rsidRPr="00F9037E" w:rsidRDefault="003F021F" w:rsidP="003F021F">
      <w:pPr>
        <w:pStyle w:val="Footer"/>
        <w:tabs>
          <w:tab w:val="clear" w:pos="4320"/>
          <w:tab w:val="clear" w:pos="8640"/>
          <w:tab w:val="left" w:pos="6452"/>
        </w:tabs>
        <w:spacing w:after="0"/>
      </w:pPr>
      <w:r w:rsidRPr="00F9037E">
        <w:tab/>
      </w:r>
    </w:p>
    <w:p w14:paraId="20CEACDC" w14:textId="77777777" w:rsidR="003F021F" w:rsidRPr="00F9037E" w:rsidRDefault="003F021F" w:rsidP="000F59B7">
      <w:pPr>
        <w:tabs>
          <w:tab w:val="left" w:pos="5530"/>
        </w:tabs>
        <w:outlineLvl w:val="0"/>
        <w:rPr>
          <w:sz w:val="28"/>
        </w:rPr>
      </w:pPr>
      <w:bookmarkStart w:id="1" w:name="_Toc102559468"/>
      <w:r w:rsidRPr="00F9037E">
        <w:rPr>
          <w:sz w:val="28"/>
        </w:rPr>
        <w:t>Report of the</w:t>
      </w:r>
      <w:bookmarkEnd w:id="1"/>
      <w:r w:rsidRPr="00F9037E">
        <w:rPr>
          <w:sz w:val="28"/>
        </w:rPr>
        <w:tab/>
      </w:r>
      <w:r w:rsidR="000F59B7" w:rsidRPr="00F9037E">
        <w:rPr>
          <w:sz w:val="28"/>
        </w:rPr>
        <w:br/>
      </w:r>
      <w:r w:rsidRPr="00F9037E">
        <w:rPr>
          <w:sz w:val="28"/>
        </w:rPr>
        <w:t>UNEP Technology and Economic Assessment Panel</w:t>
      </w:r>
      <w:r w:rsidRPr="00F9037E">
        <w:rPr>
          <w:sz w:val="28"/>
        </w:rPr>
        <w:br/>
      </w:r>
    </w:p>
    <w:p w14:paraId="33CA2946" w14:textId="77777777" w:rsidR="00CD3CBD" w:rsidRPr="00F9037E" w:rsidRDefault="00F13BE0" w:rsidP="003F021F">
      <w:pPr>
        <w:tabs>
          <w:tab w:val="left" w:pos="6451"/>
        </w:tabs>
        <w:rPr>
          <w:sz w:val="28"/>
        </w:rPr>
      </w:pPr>
      <w:r w:rsidRPr="00F9037E">
        <w:rPr>
          <w:sz w:val="28"/>
        </w:rPr>
        <w:t>September</w:t>
      </w:r>
      <w:r w:rsidR="003F021F" w:rsidRPr="00F9037E">
        <w:rPr>
          <w:sz w:val="28"/>
        </w:rPr>
        <w:t xml:space="preserve"> 201</w:t>
      </w:r>
      <w:r w:rsidR="002B7CB5" w:rsidRPr="00F9037E">
        <w:rPr>
          <w:sz w:val="28"/>
        </w:rPr>
        <w:t>6</w:t>
      </w:r>
    </w:p>
    <w:p w14:paraId="6D9E30E1" w14:textId="77777777" w:rsidR="003F021F" w:rsidRPr="00F9037E" w:rsidRDefault="00CD3CBD" w:rsidP="003F021F">
      <w:pPr>
        <w:tabs>
          <w:tab w:val="left" w:pos="6451"/>
        </w:tabs>
      </w:pPr>
      <w:r w:rsidRPr="00F9037E">
        <w:rPr>
          <w:sz w:val="28"/>
        </w:rPr>
        <w:t>Volume III</w:t>
      </w:r>
      <w:r w:rsidR="003F021F" w:rsidRPr="00F9037E">
        <w:rPr>
          <w:sz w:val="28"/>
        </w:rPr>
        <w:tab/>
      </w:r>
    </w:p>
    <w:p w14:paraId="68C60865" w14:textId="77777777" w:rsidR="003F021F" w:rsidRPr="00F9037E" w:rsidRDefault="003F021F" w:rsidP="0021355E">
      <w:pPr>
        <w:spacing w:after="0"/>
        <w:rPr>
          <w:b/>
          <w:smallCaps/>
          <w:sz w:val="28"/>
        </w:rPr>
      </w:pPr>
      <w:r w:rsidRPr="00F9037E">
        <w:rPr>
          <w:b/>
          <w:smallCaps/>
          <w:sz w:val="28"/>
        </w:rPr>
        <w:t>Evaluation of 201</w:t>
      </w:r>
      <w:r w:rsidR="002B7CB5" w:rsidRPr="00F9037E">
        <w:rPr>
          <w:b/>
          <w:smallCaps/>
          <w:sz w:val="28"/>
        </w:rPr>
        <w:t>6</w:t>
      </w:r>
      <w:r w:rsidRPr="00F9037E">
        <w:rPr>
          <w:b/>
          <w:smallCaps/>
          <w:sz w:val="28"/>
        </w:rPr>
        <w:t xml:space="preserve">Critical Use Nominations for </w:t>
      </w:r>
    </w:p>
    <w:p w14:paraId="103CF0D2" w14:textId="77777777" w:rsidR="003F021F" w:rsidRPr="00F9037E" w:rsidRDefault="003F021F" w:rsidP="0021355E">
      <w:pPr>
        <w:spacing w:after="0"/>
        <w:rPr>
          <w:b/>
          <w:smallCaps/>
        </w:rPr>
      </w:pPr>
      <w:r w:rsidRPr="00F9037E">
        <w:rPr>
          <w:b/>
          <w:smallCaps/>
          <w:sz w:val="28"/>
        </w:rPr>
        <w:t>Methyl Bromide</w:t>
      </w:r>
      <w:r w:rsidR="00E21A18" w:rsidRPr="00F9037E">
        <w:rPr>
          <w:b/>
          <w:smallCaps/>
          <w:sz w:val="28"/>
        </w:rPr>
        <w:t xml:space="preserve"> and Related Matters</w:t>
      </w:r>
    </w:p>
    <w:p w14:paraId="0CEF71DF" w14:textId="77777777" w:rsidR="003F021F" w:rsidRPr="00F9037E" w:rsidRDefault="003F021F" w:rsidP="003F021F">
      <w:pPr>
        <w:outlineLvl w:val="0"/>
        <w:rPr>
          <w:b/>
          <w:smallCaps/>
        </w:rPr>
      </w:pPr>
    </w:p>
    <w:p w14:paraId="58F039B9" w14:textId="77777777" w:rsidR="0021355E" w:rsidRPr="00F9037E" w:rsidRDefault="0021355E" w:rsidP="003F021F">
      <w:pPr>
        <w:outlineLvl w:val="0"/>
        <w:rPr>
          <w:b/>
          <w:smallCaps/>
        </w:rPr>
      </w:pPr>
    </w:p>
    <w:p w14:paraId="12E35383" w14:textId="77777777" w:rsidR="003F021F" w:rsidRPr="00F9037E" w:rsidRDefault="003F021F" w:rsidP="003F021F">
      <w:r w:rsidRPr="00F9037E">
        <w:t>The text of this report is composed in Times New Roman.</w:t>
      </w:r>
    </w:p>
    <w:p w14:paraId="3607923F" w14:textId="77777777" w:rsidR="003F021F" w:rsidRPr="00F9037E" w:rsidRDefault="003F021F" w:rsidP="003F021F">
      <w:pPr>
        <w:tabs>
          <w:tab w:val="left" w:pos="3870"/>
        </w:tabs>
        <w:ind w:left="2700" w:hanging="2700"/>
        <w:outlineLvl w:val="0"/>
        <w:rPr>
          <w:b/>
        </w:rPr>
      </w:pPr>
      <w:bookmarkStart w:id="2" w:name="_Toc102559469"/>
      <w:r w:rsidRPr="00F9037E">
        <w:t>Co-ordination:</w:t>
      </w:r>
      <w:r w:rsidRPr="00F9037E">
        <w:tab/>
      </w:r>
      <w:r w:rsidRPr="00F9037E">
        <w:rPr>
          <w:b/>
        </w:rPr>
        <w:t>Methyl Bromide Technical Options Committee</w:t>
      </w:r>
      <w:bookmarkEnd w:id="2"/>
    </w:p>
    <w:p w14:paraId="5B824391" w14:textId="77777777" w:rsidR="003F021F" w:rsidRPr="00F9037E" w:rsidRDefault="003F021F" w:rsidP="003F021F">
      <w:pPr>
        <w:tabs>
          <w:tab w:val="left" w:pos="2700"/>
        </w:tabs>
      </w:pPr>
      <w:r w:rsidRPr="00F9037E">
        <w:rPr>
          <w:b/>
        </w:rPr>
        <w:br/>
      </w:r>
      <w:r w:rsidRPr="00F9037E">
        <w:t>Composition of the report:</w:t>
      </w:r>
      <w:r w:rsidRPr="00F9037E">
        <w:tab/>
        <w:t>Co-chairs</w:t>
      </w:r>
      <w:r w:rsidR="00A270C7" w:rsidRPr="00F9037E">
        <w:t>:</w:t>
      </w:r>
      <w:r w:rsidRPr="00F9037E">
        <w:t xml:space="preserve"> Ian Porter, Marta </w:t>
      </w:r>
      <w:proofErr w:type="spellStart"/>
      <w:r w:rsidRPr="00F9037E">
        <w:t>Pizano</w:t>
      </w:r>
      <w:proofErr w:type="spellEnd"/>
      <w:r w:rsidRPr="00F9037E">
        <w:t>, Moham</w:t>
      </w:r>
      <w:r w:rsidR="00127D9F" w:rsidRPr="00F9037E">
        <w:t>m</w:t>
      </w:r>
      <w:r w:rsidRPr="00F9037E">
        <w:t xml:space="preserve">ed </w:t>
      </w:r>
      <w:proofErr w:type="spellStart"/>
      <w:r w:rsidRPr="00F9037E">
        <w:t>Bes</w:t>
      </w:r>
      <w:r w:rsidR="004120DA" w:rsidRPr="00F9037E">
        <w:t>r</w:t>
      </w:r>
      <w:r w:rsidRPr="00F9037E">
        <w:t>i</w:t>
      </w:r>
      <w:proofErr w:type="spellEnd"/>
    </w:p>
    <w:p w14:paraId="2F66F2DC" w14:textId="77777777" w:rsidR="003F021F" w:rsidRPr="00501812" w:rsidRDefault="003F021F" w:rsidP="003F021F">
      <w:pPr>
        <w:tabs>
          <w:tab w:val="left" w:pos="2700"/>
          <w:tab w:val="left" w:pos="3870"/>
        </w:tabs>
      </w:pPr>
      <w:r w:rsidRPr="00501812">
        <w:t>Reproduction:</w:t>
      </w:r>
      <w:r w:rsidRPr="00501812">
        <w:tab/>
        <w:t>UNON Nairobi</w:t>
      </w:r>
    </w:p>
    <w:p w14:paraId="1B7FABF4" w14:textId="77777777" w:rsidR="003F021F" w:rsidRPr="00501812" w:rsidRDefault="003F021F" w:rsidP="003F021F">
      <w:pPr>
        <w:tabs>
          <w:tab w:val="left" w:pos="2700"/>
          <w:tab w:val="left" w:pos="3870"/>
        </w:tabs>
      </w:pPr>
      <w:r w:rsidRPr="00501812">
        <w:t>Date:</w:t>
      </w:r>
      <w:r w:rsidRPr="00501812">
        <w:tab/>
      </w:r>
      <w:r w:rsidR="00F13BE0" w:rsidRPr="00501812">
        <w:t>September</w:t>
      </w:r>
      <w:r w:rsidRPr="00501812">
        <w:t xml:space="preserve"> 201</w:t>
      </w:r>
      <w:r w:rsidR="002B7CB5" w:rsidRPr="00501812">
        <w:t>6</w:t>
      </w:r>
    </w:p>
    <w:p w14:paraId="0BF474CE" w14:textId="77777777" w:rsidR="003F021F" w:rsidRPr="00CD3CBD" w:rsidRDefault="003F021F" w:rsidP="003F021F">
      <w:r w:rsidRPr="00CD3CBD">
        <w:t>Under certain conditions, printed copies of this report are available from:</w:t>
      </w:r>
    </w:p>
    <w:p w14:paraId="3C31A90D" w14:textId="77777777" w:rsidR="003F021F" w:rsidRPr="00501812" w:rsidRDefault="003F021F" w:rsidP="003F021F">
      <w:r w:rsidRPr="00501812">
        <w:t>UNITED NATIONS ENVIRONMENT PROGRAMME</w:t>
      </w:r>
      <w:r w:rsidRPr="00501812">
        <w:br/>
        <w:t>Ozone Secretariat, P.O. Box 30552, Nairobi, Kenya</w:t>
      </w:r>
    </w:p>
    <w:p w14:paraId="582F23A0" w14:textId="77777777" w:rsidR="0021355E" w:rsidRPr="00501812" w:rsidRDefault="003F021F" w:rsidP="0021355E">
      <w:pPr>
        <w:spacing w:after="0"/>
      </w:pPr>
      <w:r w:rsidRPr="00CD3CBD">
        <w:t xml:space="preserve">Normally from SMI Distribution Service Ltd., Stevenage, Hertfordshire, UK, </w:t>
      </w:r>
    </w:p>
    <w:p w14:paraId="23768B0B" w14:textId="77777777" w:rsidR="003F021F" w:rsidRPr="00501812" w:rsidRDefault="00CD3CBD" w:rsidP="0021355E">
      <w:pPr>
        <w:spacing w:after="0"/>
      </w:pPr>
      <w:r w:rsidRPr="00501812">
        <w:t>Fax</w:t>
      </w:r>
      <w:r w:rsidR="003F021F" w:rsidRPr="00501812">
        <w:t>: + 44 1438 748844</w:t>
      </w:r>
    </w:p>
    <w:p w14:paraId="15C0D747" w14:textId="77777777" w:rsidR="0021355E" w:rsidRPr="003A30C7" w:rsidRDefault="0021355E" w:rsidP="003F021F">
      <w:pPr>
        <w:outlineLvl w:val="0"/>
      </w:pPr>
      <w:bookmarkStart w:id="3" w:name="_Toc102559470"/>
    </w:p>
    <w:p w14:paraId="220F6DB3" w14:textId="77777777" w:rsidR="003F021F" w:rsidRPr="00082015" w:rsidRDefault="003F021F" w:rsidP="003F021F">
      <w:pPr>
        <w:outlineLvl w:val="0"/>
        <w:rPr>
          <w:sz w:val="16"/>
        </w:rPr>
      </w:pPr>
      <w:r w:rsidRPr="00082015">
        <w:t>This document is also available in portable document format from</w:t>
      </w:r>
      <w:bookmarkEnd w:id="3"/>
    </w:p>
    <w:p w14:paraId="44F03AA1" w14:textId="77777777" w:rsidR="003F021F" w:rsidRPr="00220275" w:rsidRDefault="000F59B7" w:rsidP="003F021F">
      <w:pPr>
        <w:jc w:val="center"/>
      </w:pPr>
      <w:r w:rsidRPr="00082015">
        <w:t>http://ozone.unep.org/en/assessmen</w:t>
      </w:r>
      <w:r w:rsidRPr="00F5313E">
        <w:t>t-panels/technology-and-economic-assessment-panel</w:t>
      </w:r>
    </w:p>
    <w:p w14:paraId="4F05FAB8" w14:textId="77777777" w:rsidR="003F021F" w:rsidRPr="00220275" w:rsidRDefault="003F021F" w:rsidP="003F021F">
      <w:pPr>
        <w:rPr>
          <w:b/>
        </w:rPr>
      </w:pPr>
      <w:r w:rsidRPr="00220275">
        <w:t>No copyright involved.  This publication may be freely copied, abstracted and cited, with acknowledgement of the source of the material.</w:t>
      </w:r>
    </w:p>
    <w:p w14:paraId="33704295" w14:textId="77777777" w:rsidR="003F021F" w:rsidRPr="00220275" w:rsidRDefault="003F021F" w:rsidP="003F021F">
      <w:pPr>
        <w:rPr>
          <w:b/>
        </w:rPr>
      </w:pPr>
    </w:p>
    <w:p w14:paraId="74B70A85" w14:textId="18734189" w:rsidR="003F021F" w:rsidRPr="00220275" w:rsidRDefault="003F021F" w:rsidP="003F021F">
      <w:pPr>
        <w:outlineLvl w:val="0"/>
        <w:rPr>
          <w:b/>
        </w:rPr>
      </w:pPr>
      <w:bookmarkStart w:id="4" w:name="_Toc102559471"/>
      <w:r w:rsidRPr="00220275">
        <w:rPr>
          <w:b/>
        </w:rPr>
        <w:t>ISBN:</w:t>
      </w:r>
      <w:r w:rsidRPr="00220275">
        <w:rPr>
          <w:b/>
        </w:rPr>
        <w:tab/>
      </w:r>
      <w:bookmarkEnd w:id="4"/>
      <w:r w:rsidR="004973C0" w:rsidRPr="004973C0">
        <w:rPr>
          <w:b/>
          <w:szCs w:val="22"/>
        </w:rPr>
        <w:t>978-9966-076-21-2</w:t>
      </w:r>
      <w:r w:rsidR="004973C0" w:rsidRPr="0010499C">
        <w:rPr>
          <w:szCs w:val="22"/>
        </w:rPr>
        <w:t> </w:t>
      </w:r>
    </w:p>
    <w:p w14:paraId="2D1B7998" w14:textId="77777777" w:rsidR="003F021F" w:rsidRPr="00F9037E" w:rsidRDefault="003F021F" w:rsidP="003F021F">
      <w:pPr>
        <w:outlineLvl w:val="0"/>
        <w:rPr>
          <w:b/>
        </w:rPr>
        <w:sectPr w:rsidR="003F021F" w:rsidRPr="00F9037E" w:rsidSect="00114183">
          <w:footerReference w:type="default" r:id="rId14"/>
          <w:footerReference w:type="first" r:id="rId15"/>
          <w:type w:val="nextColumn"/>
          <w:pgSz w:w="11909" w:h="16834" w:code="9"/>
          <w:pgMar w:top="1440" w:right="1800" w:bottom="1134" w:left="1800" w:header="720" w:footer="792" w:gutter="0"/>
          <w:pgNumType w:fmt="lowerRoman"/>
          <w:cols w:space="720"/>
          <w:titlePg/>
          <w:docGrid w:linePitch="299"/>
        </w:sectPr>
      </w:pPr>
    </w:p>
    <w:p w14:paraId="121477A4" w14:textId="77777777" w:rsidR="003F021F" w:rsidRPr="00F9037E" w:rsidRDefault="003F021F" w:rsidP="003F021F">
      <w:pPr>
        <w:ind w:left="-360"/>
        <w:outlineLvl w:val="0"/>
        <w:rPr>
          <w:b/>
        </w:rPr>
      </w:pPr>
      <w:bookmarkStart w:id="5" w:name="_Toc102559472"/>
      <w:r w:rsidRPr="00F9037E">
        <w:rPr>
          <w:b/>
        </w:rPr>
        <w:lastRenderedPageBreak/>
        <w:t>Disclaimer</w:t>
      </w:r>
      <w:bookmarkEnd w:id="5"/>
    </w:p>
    <w:p w14:paraId="363E83A1" w14:textId="77777777" w:rsidR="003F021F" w:rsidRPr="00F9037E" w:rsidRDefault="003F021F" w:rsidP="009446BE">
      <w:pPr>
        <w:ind w:left="-360"/>
        <w:jc w:val="both"/>
      </w:pPr>
      <w:r w:rsidRPr="00F9037E">
        <w:t>The United Nations Environment Programme (UNEP), the Technology and Economic Assessment Panel (TEAP) Co-Chairs and members, and the Methyl Bromide Technical Options Committee (MBTOC) Co-Chairs and members, and the companies and organisations that employ them do not endorse the performance, worker safety, or environmental acceptability of any of the technical options discussed.  Every industrial operation requires consideration of worker safety and proper disposal of contaminants and waste products.  Moreover, as work continues - including additional toxicity evaluation - more information on health, environmental and safety effects of alternatives and replacements will become available for use in selecting among the options discussed in this document.</w:t>
      </w:r>
    </w:p>
    <w:p w14:paraId="174C820B" w14:textId="77777777" w:rsidR="003F021F" w:rsidRPr="00F9037E" w:rsidRDefault="003F021F" w:rsidP="009446BE">
      <w:pPr>
        <w:ind w:left="-360"/>
        <w:jc w:val="both"/>
      </w:pPr>
      <w:r w:rsidRPr="00F9037E">
        <w:t>UNEP, TEAP Co-Chairs and members, and the MBTOC Co-Chairs and members, in furnishing or distributing this information, do not make any warranty or representation, either express or implied, with respect to the accuracy, completeness, or utility; nor do they assume any liability of any kind whatsoever resulting from the use or reliance upon any information, material, or procedure contained herein, including but not limited to any claims regarding health, safety, environmental effect or fate, efficacy, or performance, made by the source of information.</w:t>
      </w:r>
    </w:p>
    <w:p w14:paraId="6D25AF91" w14:textId="77777777" w:rsidR="003F021F" w:rsidRPr="00F9037E" w:rsidRDefault="003F021F" w:rsidP="009446BE">
      <w:pPr>
        <w:ind w:left="-360"/>
        <w:jc w:val="both"/>
      </w:pPr>
      <w:r w:rsidRPr="00F9037E">
        <w:t>Mention of any company, association, or product in this document is for information purposes only and does not constitute a recommendation of any such company, association, or product, either express or implied by UNEP, TEAP Co-Chairs and members, and the MBTOC Co-Chairs and members or the companies or organisations that employ them.</w:t>
      </w:r>
    </w:p>
    <w:p w14:paraId="59CD4A21" w14:textId="77777777" w:rsidR="003F021F" w:rsidRPr="00F9037E" w:rsidRDefault="003F021F" w:rsidP="003F021F">
      <w:pPr>
        <w:keepNext/>
        <w:suppressAutoHyphens/>
        <w:spacing w:before="120"/>
        <w:ind w:left="-360" w:right="244"/>
        <w:jc w:val="both"/>
        <w:rPr>
          <w:b/>
        </w:rPr>
      </w:pPr>
      <w:r w:rsidRPr="00F9037E">
        <w:rPr>
          <w:b/>
        </w:rPr>
        <w:t>Acknowledgement</w:t>
      </w:r>
    </w:p>
    <w:p w14:paraId="33A1C8F4" w14:textId="498A96E8" w:rsidR="003F021F" w:rsidRPr="00F9037E" w:rsidRDefault="003F021F" w:rsidP="009446BE">
      <w:pPr>
        <w:ind w:left="-360"/>
        <w:jc w:val="both"/>
      </w:pPr>
      <w:r w:rsidRPr="00F9037E">
        <w:t xml:space="preserve">The Technology and Economic Assessment Panel and its Methyl Bromide Technical Options Committee acknowledge with thanks the outstanding contributions from all of the individuals and organisations </w:t>
      </w:r>
      <w:r w:rsidR="00CD3CBD" w:rsidRPr="00F9037E">
        <w:t>that</w:t>
      </w:r>
      <w:r w:rsidRPr="00F9037E">
        <w:t xml:space="preserve"> provided support to Panel and Committee Co-Chairs and members. The opinions expressed are those of the Panel and the Committee and do not reflect the reviews of any sponsoring or supporting organisation.</w:t>
      </w:r>
    </w:p>
    <w:p w14:paraId="60A700DF" w14:textId="77777777" w:rsidR="003F021F" w:rsidRPr="00F9037E" w:rsidRDefault="003F021F" w:rsidP="003F021F">
      <w:pPr>
        <w:ind w:left="-360"/>
        <w:rPr>
          <w:b/>
        </w:rPr>
      </w:pPr>
      <w:r w:rsidRPr="00F9037E">
        <w:rPr>
          <w:b/>
        </w:rPr>
        <w:t>Methyl Bromide Technical Options Committee:</w:t>
      </w:r>
    </w:p>
    <w:p w14:paraId="01D948C0" w14:textId="77777777" w:rsidR="003F021F" w:rsidRPr="00F9037E" w:rsidRDefault="003F021F" w:rsidP="009446BE">
      <w:pPr>
        <w:ind w:left="-360"/>
        <w:jc w:val="both"/>
      </w:pPr>
      <w:r w:rsidRPr="00F9037E">
        <w:rPr>
          <w:b/>
        </w:rPr>
        <w:t>MBTOC Co-Chairs</w:t>
      </w:r>
      <w:r w:rsidRPr="00F9037E">
        <w:t>: Moham</w:t>
      </w:r>
      <w:r w:rsidR="0000299A" w:rsidRPr="00F9037E">
        <w:t>m</w:t>
      </w:r>
      <w:r w:rsidRPr="00F9037E">
        <w:t xml:space="preserve">ed </w:t>
      </w:r>
      <w:proofErr w:type="spellStart"/>
      <w:r w:rsidRPr="00F9037E">
        <w:t>Besri</w:t>
      </w:r>
      <w:proofErr w:type="spellEnd"/>
      <w:r w:rsidRPr="00F9037E">
        <w:t xml:space="preserve"> (Morocco), Marta </w:t>
      </w:r>
      <w:proofErr w:type="spellStart"/>
      <w:r w:rsidRPr="00F9037E">
        <w:t>Pizano</w:t>
      </w:r>
      <w:proofErr w:type="spellEnd"/>
      <w:r w:rsidRPr="00F9037E">
        <w:t xml:space="preserve"> (Colombia), Ian Porter (Australia). </w:t>
      </w:r>
    </w:p>
    <w:p w14:paraId="07C8AA25" w14:textId="77777777" w:rsidR="003F021F" w:rsidRPr="00F9037E" w:rsidRDefault="003F021F" w:rsidP="009446BE">
      <w:pPr>
        <w:ind w:left="-360"/>
        <w:jc w:val="both"/>
      </w:pPr>
      <w:r w:rsidRPr="00F9037E">
        <w:rPr>
          <w:b/>
        </w:rPr>
        <w:t>MBTOC Technical Members</w:t>
      </w:r>
      <w:r w:rsidRPr="00F9037E">
        <w:t>:</w:t>
      </w:r>
      <w:r w:rsidR="00B82935" w:rsidRPr="00F9037E">
        <w:t xml:space="preserve"> Jonathan Banks (Australia); </w:t>
      </w:r>
      <w:r w:rsidRPr="00F9037E">
        <w:t xml:space="preserve">Fred </w:t>
      </w:r>
      <w:proofErr w:type="spellStart"/>
      <w:r w:rsidRPr="00F9037E">
        <w:t>Bergwerff</w:t>
      </w:r>
      <w:proofErr w:type="spellEnd"/>
      <w:r w:rsidRPr="00F9037E">
        <w:t xml:space="preserve"> (Netherlands); </w:t>
      </w:r>
      <w:r w:rsidR="003233D7" w:rsidRPr="00F9037E">
        <w:t xml:space="preserve">Cao </w:t>
      </w:r>
      <w:proofErr w:type="spellStart"/>
      <w:r w:rsidR="00483DD4" w:rsidRPr="00F9037E">
        <w:t>Aocheng</w:t>
      </w:r>
      <w:proofErr w:type="spellEnd"/>
      <w:r w:rsidRPr="00F9037E">
        <w:t xml:space="preserve"> (China);</w:t>
      </w:r>
      <w:r w:rsidR="00CD3CBD" w:rsidRPr="00F9037E">
        <w:t xml:space="preserve"> </w:t>
      </w:r>
      <w:r w:rsidRPr="00F9037E">
        <w:t xml:space="preserve">Ken Glassey (New Zealand); Alfredo Gonzalez (Philippines); Takashi </w:t>
      </w:r>
      <w:proofErr w:type="spellStart"/>
      <w:r w:rsidRPr="00F9037E">
        <w:t>Misumi</w:t>
      </w:r>
      <w:proofErr w:type="spellEnd"/>
      <w:r w:rsidRPr="00F9037E">
        <w:t xml:space="preserve"> (Japan); </w:t>
      </w:r>
      <w:r w:rsidR="00B82935" w:rsidRPr="00F9037E">
        <w:t xml:space="preserve">Eunice </w:t>
      </w:r>
      <w:proofErr w:type="spellStart"/>
      <w:r w:rsidR="00B82935" w:rsidRPr="00F9037E">
        <w:t>Mutitu</w:t>
      </w:r>
      <w:proofErr w:type="spellEnd"/>
      <w:r w:rsidRPr="00F9037E">
        <w:t xml:space="preserve"> (Kenya); Christoph</w:t>
      </w:r>
      <w:r w:rsidR="006837ED" w:rsidRPr="00F9037E">
        <w:t xml:space="preserve"> </w:t>
      </w:r>
      <w:proofErr w:type="spellStart"/>
      <w:r w:rsidRPr="00F9037E">
        <w:t>Reichmuth</w:t>
      </w:r>
      <w:proofErr w:type="spellEnd"/>
      <w:r w:rsidRPr="00F9037E">
        <w:t xml:space="preserve">; (Germany); Jordi </w:t>
      </w:r>
      <w:proofErr w:type="spellStart"/>
      <w:r w:rsidRPr="00F9037E">
        <w:t>Riudavets</w:t>
      </w:r>
      <w:proofErr w:type="spellEnd"/>
      <w:r w:rsidRPr="00F9037E">
        <w:t xml:space="preserve"> (Spain); J</w:t>
      </w:r>
      <w:r w:rsidR="0000299A" w:rsidRPr="00F9037E">
        <w:t xml:space="preserve">ohannes </w:t>
      </w:r>
      <w:r w:rsidRPr="00F9037E">
        <w:t>(</w:t>
      </w:r>
      <w:proofErr w:type="spellStart"/>
      <w:r w:rsidRPr="00F9037E">
        <w:t>Stappies</w:t>
      </w:r>
      <w:proofErr w:type="spellEnd"/>
      <w:r w:rsidRPr="00F9037E">
        <w:t xml:space="preserve">) </w:t>
      </w:r>
      <w:proofErr w:type="spellStart"/>
      <w:r w:rsidRPr="00F9037E">
        <w:t>Staphorst</w:t>
      </w:r>
      <w:proofErr w:type="spellEnd"/>
      <w:r w:rsidRPr="00F9037E">
        <w:t xml:space="preserve"> (South Africa); Akio </w:t>
      </w:r>
      <w:proofErr w:type="spellStart"/>
      <w:r w:rsidRPr="00F9037E">
        <w:t>Tateya</w:t>
      </w:r>
      <w:proofErr w:type="spellEnd"/>
      <w:r w:rsidRPr="00F9037E">
        <w:t xml:space="preserve"> (Japan); Alejandro </w:t>
      </w:r>
      <w:proofErr w:type="spellStart"/>
      <w:r w:rsidRPr="00F9037E">
        <w:t>Valeiro</w:t>
      </w:r>
      <w:proofErr w:type="spellEnd"/>
      <w:r w:rsidRPr="00F9037E">
        <w:t xml:space="preserve"> (Argentina); Ken Vick (USA); Eduardo </w:t>
      </w:r>
      <w:proofErr w:type="spellStart"/>
      <w:r w:rsidRPr="00F9037E">
        <w:t>Willink</w:t>
      </w:r>
      <w:proofErr w:type="spellEnd"/>
      <w:r w:rsidRPr="00F9037E">
        <w:t xml:space="preserve"> (Argentina);</w:t>
      </w:r>
      <w:r w:rsidR="00CD3CBD" w:rsidRPr="00F9037E">
        <w:t xml:space="preserve"> </w:t>
      </w:r>
      <w:proofErr w:type="spellStart"/>
      <w:r w:rsidRPr="00F9037E">
        <w:t>Suat</w:t>
      </w:r>
      <w:proofErr w:type="spellEnd"/>
      <w:r w:rsidRPr="00F9037E">
        <w:t xml:space="preserve"> Yilmaz (Turkey)</w:t>
      </w:r>
    </w:p>
    <w:p w14:paraId="3834105B" w14:textId="77777777" w:rsidR="003F021F" w:rsidRPr="00501812" w:rsidRDefault="003F021F" w:rsidP="009446BE">
      <w:pPr>
        <w:ind w:left="-360"/>
        <w:jc w:val="both"/>
        <w:rPr>
          <w:b/>
        </w:rPr>
      </w:pPr>
      <w:r w:rsidRPr="00501812">
        <w:rPr>
          <w:b/>
        </w:rPr>
        <w:t xml:space="preserve">MBTOC Economist: </w:t>
      </w:r>
      <w:r w:rsidRPr="00501812">
        <w:t xml:space="preserve">Nick </w:t>
      </w:r>
      <w:proofErr w:type="spellStart"/>
      <w:r w:rsidRPr="00501812">
        <w:t>Vink</w:t>
      </w:r>
      <w:proofErr w:type="spellEnd"/>
      <w:r w:rsidRPr="00501812">
        <w:t xml:space="preserve"> (South Africa)</w:t>
      </w:r>
    </w:p>
    <w:p w14:paraId="40644565" w14:textId="77777777" w:rsidR="003F021F" w:rsidRPr="00501812" w:rsidRDefault="003F021F" w:rsidP="003F021F">
      <w:pPr>
        <w:ind w:left="-360"/>
      </w:pPr>
    </w:p>
    <w:p w14:paraId="1F55EBEE" w14:textId="77777777" w:rsidR="00AB34C2" w:rsidRPr="003655C2" w:rsidRDefault="003F021F" w:rsidP="00AB34C2">
      <w:pPr>
        <w:keepNext/>
        <w:spacing w:before="120"/>
        <w:ind w:left="1080" w:hanging="1080"/>
        <w:outlineLvl w:val="0"/>
        <w:rPr>
          <w:b/>
          <w:sz w:val="30"/>
        </w:rPr>
      </w:pPr>
      <w:r w:rsidRPr="00501812">
        <w:rPr>
          <w:b/>
        </w:rPr>
        <w:br w:type="page"/>
      </w:r>
      <w:bookmarkStart w:id="6" w:name="_Toc354570759"/>
      <w:bookmarkStart w:id="7" w:name="_Toc388648326"/>
      <w:bookmarkStart w:id="8" w:name="_Toc295406110"/>
      <w:bookmarkStart w:id="9" w:name="_Toc326507336"/>
      <w:bookmarkStart w:id="10" w:name="_Toc326557069"/>
      <w:bookmarkStart w:id="11" w:name="_Toc334254426"/>
      <w:r w:rsidR="00AB34C2" w:rsidRPr="003655C2">
        <w:rPr>
          <w:b/>
          <w:sz w:val="30"/>
        </w:rPr>
        <w:lastRenderedPageBreak/>
        <w:t>Foreword</w:t>
      </w:r>
      <w:bookmarkEnd w:id="6"/>
      <w:bookmarkEnd w:id="7"/>
      <w:bookmarkEnd w:id="8"/>
      <w:bookmarkEnd w:id="9"/>
      <w:bookmarkEnd w:id="10"/>
      <w:bookmarkEnd w:id="11"/>
    </w:p>
    <w:p w14:paraId="3E48DF41" w14:textId="77777777" w:rsidR="00AB34C2" w:rsidRPr="00095897" w:rsidRDefault="00AB34C2" w:rsidP="00AB34C2">
      <w:pPr>
        <w:spacing w:before="100" w:after="100"/>
        <w:rPr>
          <w:color w:val="auto"/>
          <w:szCs w:val="22"/>
        </w:rPr>
      </w:pPr>
      <w:r w:rsidRPr="00095897">
        <w:rPr>
          <w:color w:val="auto"/>
          <w:szCs w:val="22"/>
        </w:rPr>
        <w:t>The September 2016 TEAP Report consists of four volumes:</w:t>
      </w:r>
    </w:p>
    <w:p w14:paraId="0CA999A2" w14:textId="77777777" w:rsidR="00AB34C2" w:rsidRPr="00095897" w:rsidRDefault="00AB34C2" w:rsidP="00AB34C2">
      <w:pPr>
        <w:widowControl w:val="0"/>
        <w:autoSpaceDE w:val="0"/>
        <w:autoSpaceDN w:val="0"/>
        <w:adjustRightInd w:val="0"/>
        <w:spacing w:after="0"/>
        <w:rPr>
          <w:i/>
          <w:color w:val="auto"/>
          <w:sz w:val="20"/>
          <w:lang w:val="en-US" w:eastAsia="en-US"/>
        </w:rPr>
      </w:pPr>
      <w:r w:rsidRPr="00095897">
        <w:rPr>
          <w:bCs/>
          <w:i/>
          <w:color w:val="auto"/>
          <w:sz w:val="20"/>
          <w:lang w:val="en-US" w:eastAsia="en-US"/>
        </w:rPr>
        <w:t>Volume I. TEAP Decision XXVII/4 Update Task Force Report: Additional Information on Alternatives to Ozone-depleting Substances</w:t>
      </w:r>
    </w:p>
    <w:p w14:paraId="6177873C" w14:textId="77777777" w:rsidR="00AB34C2" w:rsidRPr="00095897" w:rsidRDefault="00AB34C2" w:rsidP="00AB34C2">
      <w:pPr>
        <w:widowControl w:val="0"/>
        <w:autoSpaceDE w:val="0"/>
        <w:autoSpaceDN w:val="0"/>
        <w:adjustRightInd w:val="0"/>
        <w:spacing w:after="0"/>
        <w:rPr>
          <w:i/>
          <w:color w:val="auto"/>
          <w:sz w:val="20"/>
          <w:lang w:val="en-US" w:eastAsia="en-US"/>
        </w:rPr>
      </w:pPr>
      <w:r w:rsidRPr="00095897">
        <w:rPr>
          <w:i/>
          <w:color w:val="auto"/>
          <w:sz w:val="20"/>
          <w:lang w:val="en-US" w:eastAsia="en-US"/>
        </w:rPr>
        <w:t> </w:t>
      </w:r>
    </w:p>
    <w:p w14:paraId="418BE928" w14:textId="77777777" w:rsidR="00AB34C2" w:rsidRPr="00095897" w:rsidRDefault="00AB34C2" w:rsidP="00AB34C2">
      <w:pPr>
        <w:widowControl w:val="0"/>
        <w:autoSpaceDE w:val="0"/>
        <w:autoSpaceDN w:val="0"/>
        <w:adjustRightInd w:val="0"/>
        <w:spacing w:after="0"/>
        <w:rPr>
          <w:i/>
          <w:color w:val="auto"/>
          <w:sz w:val="20"/>
          <w:lang w:val="en-US" w:eastAsia="en-US"/>
        </w:rPr>
      </w:pPr>
      <w:r w:rsidRPr="00095897">
        <w:rPr>
          <w:bCs/>
          <w:i/>
          <w:color w:val="auto"/>
          <w:sz w:val="20"/>
          <w:lang w:val="en-US" w:eastAsia="en-US"/>
        </w:rPr>
        <w:t>Volume II. TEAP Decision Ex. III/1 Working Group Report: Climate Benefits and Costs of Reducing Hydrofluorocarbons under the Dubai Pathway</w:t>
      </w:r>
    </w:p>
    <w:p w14:paraId="2F7C6DA3" w14:textId="77777777" w:rsidR="00AB34C2" w:rsidRPr="00095897" w:rsidRDefault="00AB34C2" w:rsidP="00AB34C2">
      <w:pPr>
        <w:widowControl w:val="0"/>
        <w:autoSpaceDE w:val="0"/>
        <w:autoSpaceDN w:val="0"/>
        <w:adjustRightInd w:val="0"/>
        <w:spacing w:after="0"/>
        <w:rPr>
          <w:bCs/>
          <w:i/>
          <w:color w:val="auto"/>
          <w:sz w:val="20"/>
          <w:lang w:val="en-US" w:eastAsia="en-US"/>
        </w:rPr>
      </w:pPr>
    </w:p>
    <w:p w14:paraId="5386D257" w14:textId="77777777" w:rsidR="00AB34C2" w:rsidRPr="00095897" w:rsidRDefault="00AB34C2" w:rsidP="00AB34C2">
      <w:pPr>
        <w:widowControl w:val="0"/>
        <w:autoSpaceDE w:val="0"/>
        <w:autoSpaceDN w:val="0"/>
        <w:adjustRightInd w:val="0"/>
        <w:spacing w:after="0"/>
        <w:rPr>
          <w:i/>
          <w:color w:val="auto"/>
          <w:sz w:val="20"/>
          <w:lang w:val="en-US" w:eastAsia="en-US"/>
        </w:rPr>
      </w:pPr>
      <w:r w:rsidRPr="00095897">
        <w:rPr>
          <w:bCs/>
          <w:i/>
          <w:color w:val="auto"/>
          <w:sz w:val="20"/>
          <w:lang w:val="en-US" w:eastAsia="en-US"/>
        </w:rPr>
        <w:t xml:space="preserve">Volume III. TEAP </w:t>
      </w:r>
      <w:r w:rsidRPr="00095897">
        <w:rPr>
          <w:bCs/>
          <w:i/>
          <w:color w:val="auto"/>
          <w:sz w:val="20"/>
          <w:lang w:eastAsia="en-US"/>
        </w:rPr>
        <w:t>Evaluation of 2016 Critical Use Nominations for Methyl Bromide and Related Matters</w:t>
      </w:r>
      <w:r>
        <w:rPr>
          <w:bCs/>
          <w:i/>
          <w:color w:val="auto"/>
          <w:sz w:val="20"/>
          <w:lang w:eastAsia="en-US"/>
        </w:rPr>
        <w:t xml:space="preserve">: Final </w:t>
      </w:r>
      <w:r w:rsidRPr="00095897">
        <w:rPr>
          <w:bCs/>
          <w:i/>
          <w:color w:val="auto"/>
          <w:sz w:val="20"/>
          <w:lang w:val="en-US" w:eastAsia="en-US"/>
        </w:rPr>
        <w:t>Report</w:t>
      </w:r>
    </w:p>
    <w:p w14:paraId="7640426C" w14:textId="77777777" w:rsidR="00AB34C2" w:rsidRPr="00095897" w:rsidRDefault="00AB34C2" w:rsidP="00AB34C2">
      <w:pPr>
        <w:widowControl w:val="0"/>
        <w:autoSpaceDE w:val="0"/>
        <w:autoSpaceDN w:val="0"/>
        <w:adjustRightInd w:val="0"/>
        <w:spacing w:after="0"/>
        <w:rPr>
          <w:i/>
          <w:color w:val="auto"/>
          <w:sz w:val="20"/>
          <w:lang w:val="en-US" w:eastAsia="en-US"/>
        </w:rPr>
      </w:pPr>
      <w:r w:rsidRPr="00095897">
        <w:rPr>
          <w:i/>
          <w:color w:val="auto"/>
          <w:sz w:val="20"/>
          <w:lang w:val="en-US" w:eastAsia="en-US"/>
        </w:rPr>
        <w:t> </w:t>
      </w:r>
    </w:p>
    <w:p w14:paraId="1A411BE1" w14:textId="77777777" w:rsidR="00AB34C2" w:rsidRPr="00095897" w:rsidRDefault="00AB34C2" w:rsidP="00AB34C2">
      <w:pPr>
        <w:rPr>
          <w:bCs/>
          <w:i/>
          <w:color w:val="auto"/>
          <w:sz w:val="20"/>
          <w:lang w:val="en-US" w:eastAsia="en-US"/>
        </w:rPr>
      </w:pPr>
      <w:r w:rsidRPr="00095897">
        <w:rPr>
          <w:bCs/>
          <w:i/>
          <w:color w:val="auto"/>
          <w:sz w:val="20"/>
          <w:lang w:val="en-US" w:eastAsia="en-US"/>
        </w:rPr>
        <w:t>Volume IV. TEAP/SAP Decision XXVII/7 Report: Investigation of Carbon Tetrachloride Discrepancies</w:t>
      </w:r>
    </w:p>
    <w:p w14:paraId="4ED736C4" w14:textId="77777777" w:rsidR="00AB34C2" w:rsidRPr="00095897" w:rsidRDefault="00AB34C2" w:rsidP="00AB34C2">
      <w:pPr>
        <w:rPr>
          <w:bCs/>
          <w:i/>
          <w:color w:val="auto"/>
          <w:sz w:val="20"/>
          <w:lang w:val="en-US" w:eastAsia="en-US"/>
        </w:rPr>
      </w:pPr>
      <w:r w:rsidRPr="00095897">
        <w:rPr>
          <w:bCs/>
          <w:i/>
          <w:color w:val="auto"/>
          <w:sz w:val="20"/>
          <w:lang w:val="en-US" w:eastAsia="en-US"/>
        </w:rPr>
        <w:t xml:space="preserve">This is Volume </w:t>
      </w:r>
      <w:r>
        <w:rPr>
          <w:bCs/>
          <w:i/>
          <w:color w:val="auto"/>
          <w:sz w:val="20"/>
          <w:lang w:val="en-US" w:eastAsia="en-US"/>
        </w:rPr>
        <w:t>III.</w:t>
      </w:r>
    </w:p>
    <w:p w14:paraId="173DFC6D" w14:textId="77777777" w:rsidR="00AB34C2" w:rsidRDefault="00AB34C2">
      <w:pPr>
        <w:spacing w:after="0"/>
        <w:rPr>
          <w:b/>
        </w:rPr>
      </w:pPr>
      <w:r>
        <w:rPr>
          <w:b/>
        </w:rPr>
        <w:br w:type="page"/>
      </w:r>
    </w:p>
    <w:p w14:paraId="61C71625" w14:textId="0C00D6D2" w:rsidR="003F021F" w:rsidRPr="003A30C7" w:rsidRDefault="003F021F" w:rsidP="003F021F">
      <w:pPr>
        <w:jc w:val="right"/>
        <w:rPr>
          <w:b/>
          <w:smallCaps/>
          <w:sz w:val="20"/>
        </w:rPr>
      </w:pPr>
      <w:r w:rsidRPr="00501812">
        <w:rPr>
          <w:b/>
          <w:smallCaps/>
          <w:sz w:val="28"/>
        </w:rPr>
        <w:lastRenderedPageBreak/>
        <w:br/>
      </w:r>
      <w:r w:rsidR="00F13BE0" w:rsidRPr="00CD3CBD">
        <w:rPr>
          <w:b/>
          <w:smallCaps/>
          <w:sz w:val="28"/>
        </w:rPr>
        <w:t>September</w:t>
      </w:r>
      <w:r w:rsidR="004120DA" w:rsidRPr="00501812">
        <w:rPr>
          <w:b/>
          <w:smallCaps/>
          <w:sz w:val="28"/>
        </w:rPr>
        <w:t xml:space="preserve"> 201</w:t>
      </w:r>
      <w:r w:rsidR="002B7CB5" w:rsidRPr="00501812">
        <w:rPr>
          <w:b/>
          <w:smallCaps/>
          <w:sz w:val="28"/>
        </w:rPr>
        <w:t>6</w:t>
      </w:r>
      <w:r w:rsidRPr="00501812">
        <w:rPr>
          <w:b/>
          <w:smallCaps/>
          <w:sz w:val="28"/>
        </w:rPr>
        <w:t>Report of the</w:t>
      </w:r>
      <w:r w:rsidRPr="00501812">
        <w:rPr>
          <w:b/>
          <w:smallCaps/>
          <w:sz w:val="28"/>
        </w:rPr>
        <w:br/>
        <w:t>Technology and Economic</w:t>
      </w:r>
      <w:r w:rsidRPr="00501812">
        <w:rPr>
          <w:b/>
          <w:smallCaps/>
          <w:sz w:val="28"/>
        </w:rPr>
        <w:br/>
        <w:t>Assessment Panel</w:t>
      </w:r>
      <w:r w:rsidRPr="00501812">
        <w:rPr>
          <w:b/>
          <w:smallCaps/>
          <w:sz w:val="28"/>
        </w:rPr>
        <w:br/>
      </w:r>
      <w:r w:rsidRPr="00501812">
        <w:rPr>
          <w:b/>
          <w:smallCaps/>
          <w:sz w:val="28"/>
        </w:rPr>
        <w:br/>
      </w:r>
    </w:p>
    <w:p w14:paraId="2DA97D35" w14:textId="77777777" w:rsidR="003F021F" w:rsidRPr="00082015" w:rsidRDefault="003F021F" w:rsidP="003F021F">
      <w:pPr>
        <w:ind w:left="720"/>
        <w:jc w:val="right"/>
        <w:rPr>
          <w:b/>
          <w:smallCaps/>
          <w:sz w:val="28"/>
        </w:rPr>
      </w:pPr>
      <w:r w:rsidRPr="00082015">
        <w:rPr>
          <w:b/>
          <w:smallCaps/>
          <w:sz w:val="28"/>
        </w:rPr>
        <w:t>Evaluation of 201</w:t>
      </w:r>
      <w:r w:rsidR="002B7CB5" w:rsidRPr="00082015">
        <w:rPr>
          <w:b/>
          <w:smallCaps/>
          <w:sz w:val="28"/>
        </w:rPr>
        <w:t>6</w:t>
      </w:r>
      <w:r w:rsidRPr="00082015">
        <w:rPr>
          <w:b/>
          <w:smallCaps/>
          <w:sz w:val="28"/>
        </w:rPr>
        <w:t xml:space="preserve"> Critical Use Nominations for </w:t>
      </w:r>
    </w:p>
    <w:p w14:paraId="5A352614" w14:textId="77777777" w:rsidR="003F021F" w:rsidRPr="00220275" w:rsidRDefault="003F021F" w:rsidP="003F021F">
      <w:pPr>
        <w:ind w:left="720"/>
        <w:jc w:val="right"/>
        <w:rPr>
          <w:b/>
          <w:smallCaps/>
          <w:sz w:val="28"/>
        </w:rPr>
      </w:pPr>
      <w:r w:rsidRPr="00F5313E">
        <w:rPr>
          <w:b/>
          <w:smallCaps/>
          <w:sz w:val="28"/>
        </w:rPr>
        <w:t>Methyl Bromide</w:t>
      </w:r>
      <w:r w:rsidR="00E21A18" w:rsidRPr="00220275">
        <w:rPr>
          <w:b/>
          <w:smallCaps/>
          <w:sz w:val="28"/>
        </w:rPr>
        <w:t xml:space="preserve"> and Related Matters</w:t>
      </w:r>
    </w:p>
    <w:p w14:paraId="4402C693" w14:textId="77777777" w:rsidR="003F021F" w:rsidRPr="00220275" w:rsidRDefault="003F021F" w:rsidP="003F021F">
      <w:pPr>
        <w:ind w:left="720"/>
        <w:jc w:val="right"/>
        <w:rPr>
          <w:b/>
          <w:smallCaps/>
          <w:sz w:val="28"/>
        </w:rPr>
      </w:pPr>
    </w:p>
    <w:p w14:paraId="3988D22A" w14:textId="77777777" w:rsidR="003F021F" w:rsidRPr="00220275" w:rsidRDefault="00F13BE0" w:rsidP="003F021F">
      <w:pPr>
        <w:ind w:left="720"/>
        <w:jc w:val="right"/>
        <w:rPr>
          <w:b/>
          <w:smallCaps/>
          <w:sz w:val="28"/>
        </w:rPr>
        <w:sectPr w:rsidR="003F021F" w:rsidRPr="00220275" w:rsidSect="0038722C">
          <w:pgSz w:w="11909" w:h="16834" w:code="9"/>
          <w:pgMar w:top="1440" w:right="1797" w:bottom="1134" w:left="1797" w:header="720" w:footer="794" w:gutter="0"/>
          <w:pgNumType w:fmt="lowerRoman"/>
          <w:cols w:space="720"/>
        </w:sectPr>
      </w:pPr>
      <w:r w:rsidRPr="00220275">
        <w:rPr>
          <w:b/>
          <w:smallCaps/>
          <w:sz w:val="28"/>
        </w:rPr>
        <w:t>Final</w:t>
      </w:r>
      <w:r w:rsidR="003F021F" w:rsidRPr="00220275">
        <w:rPr>
          <w:b/>
          <w:smallCaps/>
          <w:sz w:val="28"/>
        </w:rPr>
        <w:t xml:space="preserve"> Report</w:t>
      </w:r>
    </w:p>
    <w:p w14:paraId="50F36A27" w14:textId="77777777" w:rsidR="003F021F" w:rsidRPr="00563BC0" w:rsidRDefault="003F021F" w:rsidP="003F021F">
      <w:pPr>
        <w:jc w:val="right"/>
        <w:rPr>
          <w:b/>
          <w:smallCaps/>
          <w:sz w:val="28"/>
        </w:rPr>
      </w:pPr>
      <w:r w:rsidRPr="00220275">
        <w:rPr>
          <w:b/>
          <w:smallCaps/>
          <w:sz w:val="28"/>
        </w:rPr>
        <w:lastRenderedPageBreak/>
        <w:t>UNEP</w:t>
      </w:r>
      <w:r w:rsidRPr="00220275">
        <w:rPr>
          <w:b/>
          <w:smallCaps/>
          <w:sz w:val="28"/>
        </w:rPr>
        <w:br/>
      </w:r>
      <w:r w:rsidR="00F13BE0" w:rsidRPr="00B87B95">
        <w:rPr>
          <w:b/>
          <w:smallCaps/>
          <w:sz w:val="28"/>
        </w:rPr>
        <w:t>September</w:t>
      </w:r>
      <w:r w:rsidR="006837ED" w:rsidRPr="00B87B95">
        <w:rPr>
          <w:b/>
          <w:smallCaps/>
          <w:sz w:val="28"/>
        </w:rPr>
        <w:t xml:space="preserve"> </w:t>
      </w:r>
      <w:r w:rsidR="004120DA" w:rsidRPr="00563BC0">
        <w:rPr>
          <w:b/>
          <w:smallCaps/>
          <w:sz w:val="28"/>
        </w:rPr>
        <w:t>201</w:t>
      </w:r>
      <w:r w:rsidR="002B7CB5" w:rsidRPr="00563BC0">
        <w:rPr>
          <w:b/>
          <w:smallCaps/>
          <w:sz w:val="28"/>
        </w:rPr>
        <w:t>6</w:t>
      </w:r>
      <w:r w:rsidRPr="00563BC0">
        <w:rPr>
          <w:b/>
          <w:smallCaps/>
          <w:sz w:val="28"/>
        </w:rPr>
        <w:t xml:space="preserve"> Report of the</w:t>
      </w:r>
      <w:r w:rsidRPr="00563BC0">
        <w:rPr>
          <w:b/>
          <w:smallCaps/>
          <w:sz w:val="28"/>
        </w:rPr>
        <w:br/>
        <w:t>Technology and Economic</w:t>
      </w:r>
      <w:r w:rsidRPr="00563BC0">
        <w:rPr>
          <w:b/>
          <w:smallCaps/>
          <w:sz w:val="28"/>
        </w:rPr>
        <w:br/>
        <w:t>Assessment Panel</w:t>
      </w:r>
      <w:r w:rsidRPr="00563BC0">
        <w:rPr>
          <w:b/>
          <w:smallCaps/>
          <w:sz w:val="28"/>
        </w:rPr>
        <w:br/>
      </w:r>
    </w:p>
    <w:p w14:paraId="253C2C4B" w14:textId="3343AB70" w:rsidR="003F021F" w:rsidRPr="00563BC0" w:rsidRDefault="003F021F" w:rsidP="006B71CA">
      <w:pPr>
        <w:spacing w:before="240"/>
        <w:jc w:val="center"/>
        <w:rPr>
          <w:b/>
          <w:smallCaps/>
          <w:sz w:val="28"/>
        </w:rPr>
      </w:pPr>
      <w:r w:rsidRPr="00563BC0">
        <w:rPr>
          <w:b/>
          <w:smallCaps/>
          <w:sz w:val="28"/>
        </w:rPr>
        <w:t xml:space="preserve">MBTOC </w:t>
      </w:r>
      <w:r w:rsidR="00A85D2F">
        <w:rPr>
          <w:b/>
          <w:smallCaps/>
          <w:sz w:val="28"/>
        </w:rPr>
        <w:t>FINAL</w:t>
      </w:r>
      <w:r w:rsidRPr="00563BC0">
        <w:rPr>
          <w:b/>
          <w:smallCaps/>
          <w:sz w:val="28"/>
        </w:rPr>
        <w:t xml:space="preserve"> CUN Report – </w:t>
      </w:r>
      <w:r w:rsidR="00F13BE0" w:rsidRPr="00563BC0">
        <w:rPr>
          <w:b/>
          <w:smallCaps/>
          <w:sz w:val="28"/>
        </w:rPr>
        <w:t>September</w:t>
      </w:r>
      <w:r w:rsidRPr="00563BC0">
        <w:rPr>
          <w:b/>
          <w:smallCaps/>
          <w:sz w:val="28"/>
        </w:rPr>
        <w:t xml:space="preserve"> 201</w:t>
      </w:r>
      <w:r w:rsidR="002B7CB5" w:rsidRPr="00563BC0">
        <w:rPr>
          <w:b/>
          <w:smallCaps/>
          <w:sz w:val="28"/>
        </w:rPr>
        <w:t>6</w:t>
      </w:r>
    </w:p>
    <w:p w14:paraId="107BEFB9" w14:textId="77777777" w:rsidR="008D5F24" w:rsidRPr="00563BC0" w:rsidRDefault="008D5F24" w:rsidP="006B71CA">
      <w:pPr>
        <w:spacing w:after="120"/>
        <w:rPr>
          <w:sz w:val="28"/>
        </w:rPr>
      </w:pPr>
      <w:r w:rsidRPr="00563BC0">
        <w:rPr>
          <w:sz w:val="28"/>
        </w:rPr>
        <w:t>Common Acronyms</w:t>
      </w:r>
    </w:p>
    <w:p w14:paraId="7DA841B4" w14:textId="77777777" w:rsidR="008D5F24" w:rsidRPr="00563BC0" w:rsidRDefault="008D5F24" w:rsidP="006B71CA">
      <w:pPr>
        <w:spacing w:after="120"/>
      </w:pPr>
      <w:r w:rsidRPr="00563BC0">
        <w:t>1</w:t>
      </w:r>
      <w:proofErr w:type="gramStart"/>
      <w:r w:rsidRPr="00563BC0">
        <w:t>,3</w:t>
      </w:r>
      <w:proofErr w:type="gramEnd"/>
      <w:r w:rsidRPr="00563BC0">
        <w:t>-D</w:t>
      </w:r>
      <w:r w:rsidRPr="00563BC0">
        <w:tab/>
      </w:r>
      <w:r w:rsidRPr="00563BC0">
        <w:tab/>
        <w:t>1,3-dichloropropene</w:t>
      </w:r>
    </w:p>
    <w:p w14:paraId="3AED8AC1" w14:textId="77777777" w:rsidR="008D5F24" w:rsidRPr="000F08B5" w:rsidRDefault="008D5F24" w:rsidP="006B71CA">
      <w:pPr>
        <w:spacing w:after="120"/>
      </w:pPr>
      <w:r w:rsidRPr="000F08B5">
        <w:t>A5</w:t>
      </w:r>
      <w:r w:rsidRPr="000F08B5">
        <w:tab/>
      </w:r>
      <w:r w:rsidRPr="000F08B5">
        <w:tab/>
        <w:t>Article 5 Party</w:t>
      </w:r>
    </w:p>
    <w:p w14:paraId="45F0EB66" w14:textId="77777777" w:rsidR="008D5F24" w:rsidRPr="000F08B5" w:rsidRDefault="008D5F24" w:rsidP="006B71CA">
      <w:pPr>
        <w:spacing w:after="120"/>
      </w:pPr>
      <w:r w:rsidRPr="000F08B5">
        <w:t xml:space="preserve">ASD </w:t>
      </w:r>
      <w:r w:rsidRPr="000F08B5">
        <w:tab/>
      </w:r>
      <w:r w:rsidRPr="000F08B5">
        <w:tab/>
        <w:t>Anaerobic soil disinfestation</w:t>
      </w:r>
    </w:p>
    <w:p w14:paraId="4683875D" w14:textId="77777777" w:rsidR="008D5F24" w:rsidRPr="000F08B5" w:rsidRDefault="008D5F24" w:rsidP="006B71CA">
      <w:pPr>
        <w:spacing w:after="120"/>
      </w:pPr>
      <w:r w:rsidRPr="000F08B5">
        <w:t>CUE</w:t>
      </w:r>
      <w:r w:rsidRPr="000F08B5">
        <w:tab/>
      </w:r>
      <w:r w:rsidRPr="000F08B5">
        <w:tab/>
        <w:t>Critical Use Exemption</w:t>
      </w:r>
    </w:p>
    <w:p w14:paraId="3EECD66C" w14:textId="77777777" w:rsidR="008D5F24" w:rsidRPr="00365366" w:rsidRDefault="008D5F24" w:rsidP="006B71CA">
      <w:pPr>
        <w:spacing w:after="120"/>
      </w:pPr>
      <w:r w:rsidRPr="00365366">
        <w:t>CUN</w:t>
      </w:r>
      <w:r w:rsidRPr="00365366">
        <w:tab/>
      </w:r>
      <w:r w:rsidRPr="00365366">
        <w:tab/>
        <w:t>Critical Use Nomination</w:t>
      </w:r>
    </w:p>
    <w:p w14:paraId="1EEACCB2" w14:textId="77777777" w:rsidR="00B10CF8" w:rsidRPr="00F9037E" w:rsidRDefault="00B10CF8" w:rsidP="006B71CA">
      <w:pPr>
        <w:spacing w:after="120"/>
      </w:pPr>
      <w:r w:rsidRPr="00F9037E">
        <w:t>DMDS</w:t>
      </w:r>
      <w:r w:rsidRPr="00F9037E">
        <w:tab/>
      </w:r>
      <w:r w:rsidRPr="00F9037E">
        <w:tab/>
        <w:t>Dimethyl disulphide</w:t>
      </w:r>
    </w:p>
    <w:p w14:paraId="30BB8BE0" w14:textId="77777777" w:rsidR="008D5F24" w:rsidRPr="00F9037E" w:rsidRDefault="008D5F24" w:rsidP="006B71CA">
      <w:pPr>
        <w:spacing w:after="120"/>
      </w:pPr>
      <w:r w:rsidRPr="00F9037E">
        <w:t>DOI</w:t>
      </w:r>
      <w:r w:rsidRPr="00F9037E">
        <w:tab/>
      </w:r>
      <w:r w:rsidRPr="00F9037E">
        <w:tab/>
        <w:t>Disclosure of Interest</w:t>
      </w:r>
    </w:p>
    <w:p w14:paraId="25F1E798" w14:textId="77777777" w:rsidR="008D5F24" w:rsidRPr="00F9037E" w:rsidRDefault="000F22AA" w:rsidP="006B71CA">
      <w:pPr>
        <w:spacing w:after="120"/>
      </w:pPr>
      <w:r w:rsidRPr="00F9037E">
        <w:t>EU</w:t>
      </w:r>
      <w:r w:rsidR="008D5F24" w:rsidRPr="00F9037E">
        <w:tab/>
      </w:r>
      <w:r w:rsidR="008D5F24" w:rsidRPr="00F9037E">
        <w:tab/>
        <w:t xml:space="preserve">European </w:t>
      </w:r>
      <w:r w:rsidRPr="00F9037E">
        <w:t>Union</w:t>
      </w:r>
    </w:p>
    <w:p w14:paraId="4C4E762E" w14:textId="77777777" w:rsidR="008D5F24" w:rsidRPr="00F9037E" w:rsidRDefault="008D5F24" w:rsidP="006B71CA">
      <w:pPr>
        <w:spacing w:after="120"/>
      </w:pPr>
      <w:proofErr w:type="spellStart"/>
      <w:r w:rsidRPr="00F9037E">
        <w:t>E</w:t>
      </w:r>
      <w:r w:rsidR="007C2976" w:rsidRPr="00F9037E">
        <w:t>x</w:t>
      </w:r>
      <w:r w:rsidRPr="00F9037E">
        <w:t>MOP</w:t>
      </w:r>
      <w:proofErr w:type="spellEnd"/>
      <w:r w:rsidRPr="00F9037E">
        <w:tab/>
      </w:r>
      <w:r w:rsidRPr="00F9037E">
        <w:tab/>
        <w:t>Extraordinary Meeting of the Parties</w:t>
      </w:r>
    </w:p>
    <w:p w14:paraId="791892E2" w14:textId="77777777" w:rsidR="008D5F24" w:rsidRPr="00F9037E" w:rsidRDefault="008D5F24" w:rsidP="006B71CA">
      <w:pPr>
        <w:spacing w:after="120"/>
      </w:pPr>
      <w:r w:rsidRPr="00F9037E">
        <w:t>EPA</w:t>
      </w:r>
      <w:r w:rsidRPr="00F9037E">
        <w:tab/>
      </w:r>
      <w:r w:rsidRPr="00F9037E">
        <w:tab/>
        <w:t>Environmental Protection Agency</w:t>
      </w:r>
    </w:p>
    <w:p w14:paraId="3EC7CF94" w14:textId="77777777" w:rsidR="008D5F24" w:rsidRPr="00F9037E" w:rsidRDefault="008D5F24" w:rsidP="006B71CA">
      <w:pPr>
        <w:spacing w:after="120"/>
      </w:pPr>
      <w:r w:rsidRPr="00F9037E">
        <w:t>EPPO</w:t>
      </w:r>
      <w:r w:rsidRPr="00F9037E">
        <w:tab/>
      </w:r>
      <w:r w:rsidRPr="00F9037E">
        <w:tab/>
        <w:t>European Plant Protection Organisation</w:t>
      </w:r>
    </w:p>
    <w:p w14:paraId="127334C3" w14:textId="77777777" w:rsidR="008D5F24" w:rsidRPr="00F9037E" w:rsidRDefault="008D5F24" w:rsidP="006B71CA">
      <w:pPr>
        <w:spacing w:after="120"/>
      </w:pPr>
      <w:r w:rsidRPr="00F9037E">
        <w:t>IM</w:t>
      </w:r>
      <w:r w:rsidRPr="00F9037E">
        <w:tab/>
      </w:r>
      <w:r w:rsidRPr="00F9037E">
        <w:tab/>
      </w:r>
      <w:proofErr w:type="spellStart"/>
      <w:r w:rsidRPr="00F9037E">
        <w:t>Iodomethane</w:t>
      </w:r>
      <w:proofErr w:type="spellEnd"/>
    </w:p>
    <w:p w14:paraId="68BBE811" w14:textId="77777777" w:rsidR="008D5F24" w:rsidRPr="00F9037E" w:rsidRDefault="008D5F24" w:rsidP="006B71CA">
      <w:pPr>
        <w:spacing w:after="120"/>
      </w:pPr>
      <w:r w:rsidRPr="00F9037E">
        <w:t>IPM</w:t>
      </w:r>
      <w:r w:rsidRPr="00F9037E">
        <w:tab/>
      </w:r>
      <w:r w:rsidRPr="00F9037E">
        <w:tab/>
        <w:t>Integrated Pest Management</w:t>
      </w:r>
    </w:p>
    <w:p w14:paraId="0BC2BC1B" w14:textId="77777777" w:rsidR="008D5F24" w:rsidRPr="00F9037E" w:rsidRDefault="008D5F24" w:rsidP="006B71CA">
      <w:pPr>
        <w:spacing w:after="120"/>
      </w:pPr>
      <w:r w:rsidRPr="00F9037E">
        <w:t>IPPC</w:t>
      </w:r>
      <w:r w:rsidRPr="00F9037E">
        <w:tab/>
      </w:r>
      <w:r w:rsidRPr="00F9037E">
        <w:tab/>
        <w:t>International Plant Protection Convention</w:t>
      </w:r>
    </w:p>
    <w:p w14:paraId="48B708D0" w14:textId="77777777" w:rsidR="008D5F24" w:rsidRPr="00F9037E" w:rsidRDefault="008D5F24" w:rsidP="006B71CA">
      <w:pPr>
        <w:spacing w:after="120"/>
      </w:pPr>
      <w:r w:rsidRPr="00F9037E">
        <w:t xml:space="preserve">ISPM </w:t>
      </w:r>
      <w:r w:rsidRPr="00F9037E">
        <w:tab/>
      </w:r>
      <w:r w:rsidRPr="00F9037E">
        <w:tab/>
        <w:t>International Standard Phytosanitary Measure</w:t>
      </w:r>
    </w:p>
    <w:p w14:paraId="30D9E576" w14:textId="77777777" w:rsidR="008D5F24" w:rsidRPr="00F9037E" w:rsidRDefault="008D5F24" w:rsidP="006B71CA">
      <w:pPr>
        <w:spacing w:after="120"/>
      </w:pPr>
      <w:r w:rsidRPr="00F9037E">
        <w:t>LPBF</w:t>
      </w:r>
      <w:r w:rsidRPr="00F9037E">
        <w:tab/>
      </w:r>
      <w:r w:rsidRPr="00F9037E">
        <w:tab/>
        <w:t>Low Permeability Barrier Film (including VIF films)</w:t>
      </w:r>
    </w:p>
    <w:p w14:paraId="3244A7CD" w14:textId="77777777" w:rsidR="008D5F24" w:rsidRPr="00F9037E" w:rsidRDefault="008D5F24" w:rsidP="006B71CA">
      <w:pPr>
        <w:spacing w:after="120"/>
      </w:pPr>
      <w:r w:rsidRPr="00F9037E">
        <w:t>MB</w:t>
      </w:r>
      <w:r w:rsidRPr="00F9037E">
        <w:tab/>
      </w:r>
      <w:r w:rsidRPr="00F9037E">
        <w:tab/>
        <w:t>Methyl Bromide</w:t>
      </w:r>
    </w:p>
    <w:p w14:paraId="0EE62557" w14:textId="77777777" w:rsidR="008D5F24" w:rsidRPr="00F9037E" w:rsidRDefault="008D5F24" w:rsidP="006B71CA">
      <w:pPr>
        <w:spacing w:after="120"/>
      </w:pPr>
      <w:r w:rsidRPr="00F9037E">
        <w:t>MBTOC</w:t>
      </w:r>
      <w:r w:rsidRPr="00F9037E">
        <w:tab/>
      </w:r>
      <w:r w:rsidRPr="00F9037E">
        <w:tab/>
        <w:t>Methyl Bromide Technical Options Committee</w:t>
      </w:r>
    </w:p>
    <w:p w14:paraId="2E33211F" w14:textId="77777777" w:rsidR="008D5F24" w:rsidRPr="00F9037E" w:rsidRDefault="008D5F24" w:rsidP="006B71CA">
      <w:pPr>
        <w:spacing w:after="120"/>
      </w:pPr>
      <w:r w:rsidRPr="00F9037E">
        <w:t>MITC</w:t>
      </w:r>
      <w:r w:rsidRPr="00F9037E">
        <w:tab/>
      </w:r>
      <w:r w:rsidRPr="00F9037E">
        <w:tab/>
        <w:t xml:space="preserve">Methyl </w:t>
      </w:r>
      <w:proofErr w:type="spellStart"/>
      <w:r w:rsidRPr="00F9037E">
        <w:t>isothiocyanate</w:t>
      </w:r>
      <w:proofErr w:type="spellEnd"/>
    </w:p>
    <w:p w14:paraId="7A8A63AC" w14:textId="77777777" w:rsidR="008D5F24" w:rsidRPr="00F9037E" w:rsidRDefault="008D5F24" w:rsidP="006B71CA">
      <w:pPr>
        <w:spacing w:after="120"/>
      </w:pPr>
      <w:r w:rsidRPr="00F9037E">
        <w:t>MOP</w:t>
      </w:r>
      <w:r w:rsidRPr="00F9037E">
        <w:tab/>
      </w:r>
      <w:r w:rsidRPr="00F9037E">
        <w:tab/>
        <w:t>Meeting of the Parties</w:t>
      </w:r>
    </w:p>
    <w:p w14:paraId="2A1EAD47" w14:textId="77777777" w:rsidR="008D5F24" w:rsidRPr="00F9037E" w:rsidRDefault="008D5F24" w:rsidP="006B71CA">
      <w:pPr>
        <w:spacing w:after="120"/>
      </w:pPr>
      <w:r w:rsidRPr="00F9037E">
        <w:t>MS</w:t>
      </w:r>
      <w:r w:rsidRPr="00F9037E">
        <w:tab/>
      </w:r>
      <w:r w:rsidRPr="00F9037E">
        <w:tab/>
      </w:r>
      <w:proofErr w:type="spellStart"/>
      <w:r w:rsidRPr="00F9037E">
        <w:t>Met</w:t>
      </w:r>
      <w:r w:rsidR="00B10CF8" w:rsidRPr="00F9037E">
        <w:t>h</w:t>
      </w:r>
      <w:r w:rsidRPr="00F9037E">
        <w:t>am</w:t>
      </w:r>
      <w:proofErr w:type="spellEnd"/>
      <w:r w:rsidR="006837ED" w:rsidRPr="00F9037E">
        <w:t xml:space="preserve"> </w:t>
      </w:r>
      <w:r w:rsidR="00B10CF8" w:rsidRPr="00F9037E">
        <w:t>(</w:t>
      </w:r>
      <w:proofErr w:type="spellStart"/>
      <w:r w:rsidR="00B10CF8" w:rsidRPr="00F9037E">
        <w:t>metam</w:t>
      </w:r>
      <w:proofErr w:type="spellEnd"/>
      <w:r w:rsidR="00B10CF8" w:rsidRPr="00F9037E">
        <w:t xml:space="preserve">) </w:t>
      </w:r>
      <w:r w:rsidRPr="00F9037E">
        <w:t>sodium</w:t>
      </w:r>
    </w:p>
    <w:p w14:paraId="75EA56EE" w14:textId="77777777" w:rsidR="008D5F24" w:rsidRPr="00F9037E" w:rsidRDefault="008D5F24" w:rsidP="006B71CA">
      <w:pPr>
        <w:spacing w:after="120"/>
      </w:pPr>
      <w:r w:rsidRPr="00F9037E">
        <w:t>OEWG</w:t>
      </w:r>
      <w:r w:rsidRPr="00F9037E">
        <w:tab/>
      </w:r>
      <w:r w:rsidRPr="00F9037E">
        <w:tab/>
        <w:t>Open Ended Working Group</w:t>
      </w:r>
    </w:p>
    <w:p w14:paraId="3A15D602" w14:textId="77777777" w:rsidR="008D5F24" w:rsidRPr="00F9037E" w:rsidRDefault="008D5F24" w:rsidP="006B71CA">
      <w:pPr>
        <w:spacing w:after="120"/>
      </w:pPr>
      <w:r w:rsidRPr="00F9037E">
        <w:t>Pic</w:t>
      </w:r>
      <w:r w:rsidRPr="00F9037E">
        <w:tab/>
      </w:r>
      <w:r w:rsidRPr="00F9037E">
        <w:tab/>
        <w:t>Chloropicrin</w:t>
      </w:r>
    </w:p>
    <w:p w14:paraId="72BFD3C7" w14:textId="77777777" w:rsidR="008D5F24" w:rsidRPr="00F9037E" w:rsidRDefault="008D5F24" w:rsidP="006B71CA">
      <w:pPr>
        <w:spacing w:after="120"/>
      </w:pPr>
      <w:r w:rsidRPr="00F9037E">
        <w:t>QPS</w:t>
      </w:r>
      <w:r w:rsidRPr="00F9037E">
        <w:tab/>
      </w:r>
      <w:r w:rsidRPr="00F9037E">
        <w:tab/>
        <w:t>Quarantine and Pre-shipment</w:t>
      </w:r>
    </w:p>
    <w:p w14:paraId="442C7D51" w14:textId="77777777" w:rsidR="008D5F24" w:rsidRPr="00F9037E" w:rsidRDefault="008D5F24" w:rsidP="006B71CA">
      <w:pPr>
        <w:spacing w:after="120"/>
      </w:pPr>
      <w:r w:rsidRPr="00F9037E">
        <w:t>SF</w:t>
      </w:r>
      <w:r w:rsidRPr="00F9037E">
        <w:tab/>
      </w:r>
      <w:r w:rsidRPr="00F9037E">
        <w:tab/>
      </w:r>
      <w:proofErr w:type="spellStart"/>
      <w:r w:rsidRPr="00F9037E">
        <w:t>Sulfuryl</w:t>
      </w:r>
      <w:proofErr w:type="spellEnd"/>
      <w:r w:rsidRPr="00F9037E">
        <w:t xml:space="preserve"> fluoride</w:t>
      </w:r>
    </w:p>
    <w:p w14:paraId="79D0685C" w14:textId="77777777" w:rsidR="008D5F24" w:rsidRPr="00F9037E" w:rsidRDefault="008D5F24" w:rsidP="006B71CA">
      <w:pPr>
        <w:spacing w:after="120"/>
      </w:pPr>
      <w:r w:rsidRPr="00F9037E">
        <w:t>TEAP</w:t>
      </w:r>
      <w:r w:rsidRPr="00F9037E">
        <w:tab/>
      </w:r>
      <w:r w:rsidRPr="00F9037E">
        <w:tab/>
        <w:t>Technology and Economics Assessment Panel</w:t>
      </w:r>
      <w:r w:rsidRPr="00F9037E">
        <w:tab/>
      </w:r>
    </w:p>
    <w:p w14:paraId="4B408CC1" w14:textId="77777777" w:rsidR="008D5F24" w:rsidRPr="00F9037E" w:rsidRDefault="008D5F24" w:rsidP="006B71CA">
      <w:pPr>
        <w:spacing w:after="120"/>
      </w:pPr>
      <w:r w:rsidRPr="00F9037E">
        <w:t>TIF</w:t>
      </w:r>
      <w:r w:rsidRPr="00F9037E">
        <w:tab/>
      </w:r>
      <w:r w:rsidRPr="00F9037E">
        <w:tab/>
        <w:t>Totally Impermeable Film</w:t>
      </w:r>
      <w:r w:rsidRPr="00F9037E">
        <w:tab/>
      </w:r>
    </w:p>
    <w:p w14:paraId="0664A15B" w14:textId="77777777" w:rsidR="008D5F24" w:rsidRPr="00F9037E" w:rsidRDefault="008D5F24" w:rsidP="006B71CA">
      <w:pPr>
        <w:spacing w:after="120"/>
      </w:pPr>
      <w:r w:rsidRPr="00F9037E">
        <w:t>VIF</w:t>
      </w:r>
      <w:r w:rsidRPr="00F9037E">
        <w:tab/>
      </w:r>
      <w:r w:rsidRPr="00F9037E">
        <w:tab/>
        <w:t>Virtually Impermeable Film</w:t>
      </w:r>
    </w:p>
    <w:p w14:paraId="5D8EE058" w14:textId="77777777" w:rsidR="008D5F24" w:rsidRPr="00F9037E" w:rsidRDefault="008D5F24" w:rsidP="006B71CA">
      <w:pPr>
        <w:spacing w:after="120"/>
        <w:rPr>
          <w:sz w:val="28"/>
        </w:rPr>
        <w:sectPr w:rsidR="008D5F24" w:rsidRPr="00F9037E" w:rsidSect="00C4152F">
          <w:headerReference w:type="default" r:id="rId16"/>
          <w:pgSz w:w="11909" w:h="16834" w:code="9"/>
          <w:pgMar w:top="1440" w:right="1797" w:bottom="851" w:left="1797" w:header="720" w:footer="720" w:gutter="0"/>
          <w:pgNumType w:fmt="lowerRoman"/>
          <w:cols w:space="720"/>
          <w:docGrid w:linePitch="360"/>
        </w:sectPr>
      </w:pPr>
      <w:r w:rsidRPr="00F9037E">
        <w:t>VOC</w:t>
      </w:r>
      <w:r w:rsidRPr="00F9037E">
        <w:tab/>
      </w:r>
      <w:r w:rsidRPr="00F9037E">
        <w:tab/>
        <w:t>Volatile Organic Compounds</w:t>
      </w:r>
    </w:p>
    <w:p w14:paraId="4D418A53" w14:textId="77777777" w:rsidR="008D5F24" w:rsidRPr="00F9037E" w:rsidRDefault="00234175" w:rsidP="00F9037E">
      <w:pPr>
        <w:jc w:val="center"/>
        <w:rPr>
          <w:b/>
          <w:sz w:val="28"/>
          <w:szCs w:val="28"/>
        </w:rPr>
      </w:pPr>
      <w:r w:rsidRPr="00F9037E">
        <w:rPr>
          <w:b/>
          <w:sz w:val="28"/>
          <w:szCs w:val="28"/>
        </w:rPr>
        <w:lastRenderedPageBreak/>
        <w:t xml:space="preserve">2016 </w:t>
      </w:r>
      <w:r w:rsidR="008D5F24" w:rsidRPr="00F9037E">
        <w:rPr>
          <w:b/>
          <w:sz w:val="28"/>
          <w:szCs w:val="28"/>
        </w:rPr>
        <w:t xml:space="preserve">Evaluation of Critical Use Nominations for Methyl Bromide and Related Matters – </w:t>
      </w:r>
      <w:r w:rsidR="00F13BE0" w:rsidRPr="00F9037E">
        <w:rPr>
          <w:b/>
          <w:sz w:val="28"/>
          <w:szCs w:val="28"/>
        </w:rPr>
        <w:t>Final</w:t>
      </w:r>
      <w:r w:rsidR="008D5F24" w:rsidRPr="00F9037E">
        <w:rPr>
          <w:b/>
          <w:sz w:val="28"/>
          <w:szCs w:val="28"/>
        </w:rPr>
        <w:t xml:space="preserve"> Report</w:t>
      </w:r>
    </w:p>
    <w:p w14:paraId="666483BE" w14:textId="77777777" w:rsidR="008D5F24" w:rsidRPr="00704EF5" w:rsidRDefault="008D5F24" w:rsidP="006A54A1">
      <w:pPr>
        <w:pStyle w:val="TOCHeading1"/>
      </w:pPr>
      <w:r w:rsidRPr="00704EF5">
        <w:t>Table of Contents</w:t>
      </w:r>
    </w:p>
    <w:p w14:paraId="3F17CA62" w14:textId="77777777" w:rsidR="00DD4170" w:rsidRDefault="00F9037E">
      <w:pPr>
        <w:pStyle w:val="TOC1"/>
        <w:rPr>
          <w:rFonts w:asciiTheme="minorHAnsi" w:eastAsiaTheme="minorEastAsia" w:hAnsiTheme="minorHAnsi" w:cstheme="minorBidi"/>
          <w:b w:val="0"/>
          <w:caps w:val="0"/>
          <w:color w:val="auto"/>
          <w:lang w:val="en-US" w:eastAsia="en-US"/>
        </w:rPr>
      </w:pPr>
      <w:r w:rsidRPr="003655C2">
        <w:fldChar w:fldCharType="begin"/>
      </w:r>
      <w:r w:rsidRPr="003655C2">
        <w:instrText xml:space="preserve"> TOC \o "1-4" </w:instrText>
      </w:r>
      <w:r w:rsidRPr="003655C2">
        <w:fldChar w:fldCharType="separate"/>
      </w:r>
      <w:r w:rsidR="00DD4170" w:rsidRPr="00584A25">
        <w:rPr>
          <w:bCs/>
          <w:kern w:val="32"/>
        </w:rPr>
        <w:t xml:space="preserve">1 </w:t>
      </w:r>
      <w:r w:rsidR="00DD4170">
        <w:rPr>
          <w:rFonts w:asciiTheme="minorHAnsi" w:eastAsiaTheme="minorEastAsia" w:hAnsiTheme="minorHAnsi" w:cstheme="minorBidi"/>
          <w:b w:val="0"/>
          <w:caps w:val="0"/>
          <w:color w:val="auto"/>
          <w:lang w:val="en-US" w:eastAsia="en-US"/>
        </w:rPr>
        <w:tab/>
      </w:r>
      <w:r w:rsidR="00DD4170" w:rsidRPr="00584A25">
        <w:rPr>
          <w:bCs/>
          <w:kern w:val="32"/>
        </w:rPr>
        <w:t>Executive Summary</w:t>
      </w:r>
      <w:r w:rsidR="00DD4170">
        <w:tab/>
      </w:r>
      <w:r w:rsidR="00DD4170">
        <w:fldChar w:fldCharType="begin"/>
      </w:r>
      <w:r w:rsidR="00DD4170">
        <w:instrText xml:space="preserve"> PAGEREF _Toc461183754 \h </w:instrText>
      </w:r>
      <w:r w:rsidR="00DD4170">
        <w:fldChar w:fldCharType="separate"/>
      </w:r>
      <w:r w:rsidR="00511F3E">
        <w:t>1</w:t>
      </w:r>
      <w:r w:rsidR="00DD4170">
        <w:fldChar w:fldCharType="end"/>
      </w:r>
    </w:p>
    <w:p w14:paraId="0EBBDE55" w14:textId="77777777" w:rsidR="00DD4170" w:rsidRDefault="00DD4170">
      <w:pPr>
        <w:pStyle w:val="TOC1"/>
        <w:rPr>
          <w:rFonts w:asciiTheme="minorHAnsi" w:eastAsiaTheme="minorEastAsia" w:hAnsiTheme="minorHAnsi" w:cstheme="minorBidi"/>
          <w:b w:val="0"/>
          <w:caps w:val="0"/>
          <w:color w:val="auto"/>
          <w:lang w:val="en-US" w:eastAsia="en-US"/>
        </w:rPr>
      </w:pPr>
      <w:r w:rsidRPr="00584A25">
        <w:rPr>
          <w:bCs/>
          <w:kern w:val="32"/>
        </w:rPr>
        <w:t xml:space="preserve">2 </w:t>
      </w:r>
      <w:r>
        <w:rPr>
          <w:rFonts w:asciiTheme="minorHAnsi" w:eastAsiaTheme="minorEastAsia" w:hAnsiTheme="minorHAnsi" w:cstheme="minorBidi"/>
          <w:b w:val="0"/>
          <w:caps w:val="0"/>
          <w:color w:val="auto"/>
          <w:lang w:val="en-US" w:eastAsia="en-US"/>
        </w:rPr>
        <w:tab/>
      </w:r>
      <w:r w:rsidRPr="00584A25">
        <w:rPr>
          <w:bCs/>
          <w:kern w:val="32"/>
        </w:rPr>
        <w:t>Scope of the Report</w:t>
      </w:r>
      <w:r>
        <w:tab/>
      </w:r>
      <w:r>
        <w:fldChar w:fldCharType="begin"/>
      </w:r>
      <w:r>
        <w:instrText xml:space="preserve"> PAGEREF _Toc461183755 \h </w:instrText>
      </w:r>
      <w:r>
        <w:fldChar w:fldCharType="separate"/>
      </w:r>
      <w:r w:rsidR="00511F3E">
        <w:t>1</w:t>
      </w:r>
      <w:r>
        <w:fldChar w:fldCharType="end"/>
      </w:r>
    </w:p>
    <w:p w14:paraId="584D165A" w14:textId="77777777" w:rsidR="00DD4170" w:rsidRDefault="00DD4170">
      <w:pPr>
        <w:pStyle w:val="TOC1"/>
        <w:rPr>
          <w:rFonts w:asciiTheme="minorHAnsi" w:eastAsiaTheme="minorEastAsia" w:hAnsiTheme="minorHAnsi" w:cstheme="minorBidi"/>
          <w:b w:val="0"/>
          <w:caps w:val="0"/>
          <w:color w:val="auto"/>
          <w:lang w:val="en-US" w:eastAsia="en-US"/>
        </w:rPr>
      </w:pPr>
      <w:r w:rsidRPr="00584A25">
        <w:rPr>
          <w:bCs/>
          <w:kern w:val="32"/>
        </w:rPr>
        <w:t>3.</w:t>
      </w:r>
      <w:r>
        <w:rPr>
          <w:rFonts w:asciiTheme="minorHAnsi" w:eastAsiaTheme="minorEastAsia" w:hAnsiTheme="minorHAnsi" w:cstheme="minorBidi"/>
          <w:b w:val="0"/>
          <w:caps w:val="0"/>
          <w:color w:val="auto"/>
          <w:lang w:val="en-US" w:eastAsia="en-US"/>
        </w:rPr>
        <w:tab/>
      </w:r>
      <w:r w:rsidRPr="00584A25">
        <w:rPr>
          <w:bCs/>
          <w:kern w:val="32"/>
        </w:rPr>
        <w:t>Critical Use Nominations for Methyl Bromide</w:t>
      </w:r>
      <w:r>
        <w:tab/>
      </w:r>
      <w:r>
        <w:fldChar w:fldCharType="begin"/>
      </w:r>
      <w:r>
        <w:instrText xml:space="preserve"> PAGEREF _Toc461183756 \h </w:instrText>
      </w:r>
      <w:r>
        <w:fldChar w:fldCharType="separate"/>
      </w:r>
      <w:r w:rsidR="00511F3E">
        <w:t>1</w:t>
      </w:r>
      <w:r>
        <w:fldChar w:fldCharType="end"/>
      </w:r>
    </w:p>
    <w:p w14:paraId="205F72BC" w14:textId="77777777" w:rsidR="00DD4170" w:rsidRDefault="00DD4170">
      <w:pPr>
        <w:pStyle w:val="TOC2"/>
        <w:rPr>
          <w:rFonts w:eastAsiaTheme="minorEastAsia" w:cstheme="minorBidi"/>
          <w:smallCaps w:val="0"/>
          <w:noProof/>
          <w:color w:val="auto"/>
          <w:lang w:val="en-US" w:eastAsia="en-US"/>
        </w:rPr>
      </w:pPr>
      <w:r w:rsidRPr="00584A25">
        <w:rPr>
          <w:rFonts w:ascii="Times New Roman Bold" w:eastAsia="MS ????" w:hAnsi="Times New Roman Bold"/>
          <w:noProof/>
        </w:rPr>
        <w:t>3.1</w:t>
      </w:r>
      <w:r>
        <w:rPr>
          <w:rFonts w:eastAsiaTheme="minorEastAsia" w:cstheme="minorBidi"/>
          <w:smallCaps w:val="0"/>
          <w:noProof/>
          <w:color w:val="auto"/>
          <w:lang w:val="en-US" w:eastAsia="en-US"/>
        </w:rPr>
        <w:tab/>
      </w:r>
      <w:r w:rsidRPr="00584A25">
        <w:rPr>
          <w:rFonts w:ascii="Times New Roman Bold" w:eastAsia="MS ????" w:hAnsi="Times New Roman Bold"/>
          <w:noProof/>
        </w:rPr>
        <w:t>Mandate</w:t>
      </w:r>
      <w:r>
        <w:rPr>
          <w:noProof/>
        </w:rPr>
        <w:tab/>
      </w:r>
      <w:r>
        <w:rPr>
          <w:noProof/>
        </w:rPr>
        <w:fldChar w:fldCharType="begin"/>
      </w:r>
      <w:r>
        <w:rPr>
          <w:noProof/>
        </w:rPr>
        <w:instrText xml:space="preserve"> PAGEREF _Toc461183757 \h </w:instrText>
      </w:r>
      <w:r>
        <w:rPr>
          <w:noProof/>
        </w:rPr>
      </w:r>
      <w:r>
        <w:rPr>
          <w:noProof/>
        </w:rPr>
        <w:fldChar w:fldCharType="separate"/>
      </w:r>
      <w:r w:rsidR="00511F3E">
        <w:rPr>
          <w:noProof/>
        </w:rPr>
        <w:t>1</w:t>
      </w:r>
      <w:r>
        <w:rPr>
          <w:noProof/>
        </w:rPr>
        <w:fldChar w:fldCharType="end"/>
      </w:r>
    </w:p>
    <w:p w14:paraId="08C14954" w14:textId="77777777" w:rsidR="00DD4170" w:rsidRDefault="00DD4170">
      <w:pPr>
        <w:pStyle w:val="TOC2"/>
        <w:rPr>
          <w:rFonts w:eastAsiaTheme="minorEastAsia" w:cstheme="minorBidi"/>
          <w:smallCaps w:val="0"/>
          <w:noProof/>
          <w:color w:val="auto"/>
          <w:lang w:val="en-US" w:eastAsia="en-US"/>
        </w:rPr>
      </w:pPr>
      <w:r w:rsidRPr="00584A25">
        <w:rPr>
          <w:rFonts w:ascii="Times New Roman Bold" w:eastAsia="MS ????" w:hAnsi="Times New Roman Bold"/>
          <w:noProof/>
        </w:rPr>
        <w:t>3.2</w:t>
      </w:r>
      <w:r>
        <w:rPr>
          <w:rFonts w:eastAsiaTheme="minorEastAsia" w:cstheme="minorBidi"/>
          <w:smallCaps w:val="0"/>
          <w:noProof/>
          <w:color w:val="auto"/>
          <w:lang w:val="en-US" w:eastAsia="en-US"/>
        </w:rPr>
        <w:tab/>
      </w:r>
      <w:r w:rsidRPr="00584A25">
        <w:rPr>
          <w:rFonts w:ascii="Times New Roman Bold" w:eastAsia="MS ????" w:hAnsi="Times New Roman Bold"/>
          <w:noProof/>
        </w:rPr>
        <w:t>Fulfilment of Decision IX/6</w:t>
      </w:r>
      <w:r>
        <w:rPr>
          <w:noProof/>
        </w:rPr>
        <w:tab/>
      </w:r>
      <w:r>
        <w:rPr>
          <w:noProof/>
        </w:rPr>
        <w:fldChar w:fldCharType="begin"/>
      </w:r>
      <w:r>
        <w:rPr>
          <w:noProof/>
        </w:rPr>
        <w:instrText xml:space="preserve"> PAGEREF _Toc461183758 \h </w:instrText>
      </w:r>
      <w:r>
        <w:rPr>
          <w:noProof/>
        </w:rPr>
      </w:r>
      <w:r>
        <w:rPr>
          <w:noProof/>
        </w:rPr>
        <w:fldChar w:fldCharType="separate"/>
      </w:r>
      <w:r w:rsidR="00511F3E">
        <w:rPr>
          <w:noProof/>
        </w:rPr>
        <w:t>2</w:t>
      </w:r>
      <w:r>
        <w:rPr>
          <w:noProof/>
        </w:rPr>
        <w:fldChar w:fldCharType="end"/>
      </w:r>
    </w:p>
    <w:p w14:paraId="7A26C360" w14:textId="77777777" w:rsidR="00DD4170" w:rsidRDefault="00DD4170">
      <w:pPr>
        <w:pStyle w:val="TOC2"/>
        <w:rPr>
          <w:rFonts w:eastAsiaTheme="minorEastAsia" w:cstheme="minorBidi"/>
          <w:smallCaps w:val="0"/>
          <w:noProof/>
          <w:color w:val="auto"/>
          <w:lang w:val="en-US" w:eastAsia="en-US"/>
        </w:rPr>
      </w:pPr>
      <w:r w:rsidRPr="00584A25">
        <w:rPr>
          <w:rFonts w:ascii="Times New Roman Bold" w:eastAsia="MS ????" w:hAnsi="Times New Roman Bold"/>
          <w:noProof/>
        </w:rPr>
        <w:t>3.3</w:t>
      </w:r>
      <w:r>
        <w:rPr>
          <w:rFonts w:eastAsiaTheme="minorEastAsia" w:cstheme="minorBidi"/>
          <w:smallCaps w:val="0"/>
          <w:noProof/>
          <w:color w:val="auto"/>
          <w:lang w:val="en-US" w:eastAsia="en-US"/>
        </w:rPr>
        <w:tab/>
      </w:r>
      <w:r w:rsidRPr="00584A25">
        <w:rPr>
          <w:rFonts w:ascii="Times New Roman Bold" w:eastAsia="MS ????" w:hAnsi="Times New Roman Bold"/>
          <w:noProof/>
        </w:rPr>
        <w:t>Accounting Frameworks for Critical Use</w:t>
      </w:r>
      <w:r>
        <w:rPr>
          <w:noProof/>
        </w:rPr>
        <w:tab/>
      </w:r>
      <w:r>
        <w:rPr>
          <w:noProof/>
        </w:rPr>
        <w:fldChar w:fldCharType="begin"/>
      </w:r>
      <w:r>
        <w:rPr>
          <w:noProof/>
        </w:rPr>
        <w:instrText xml:space="preserve"> PAGEREF _Toc461183759 \h </w:instrText>
      </w:r>
      <w:r>
        <w:rPr>
          <w:noProof/>
        </w:rPr>
      </w:r>
      <w:r>
        <w:rPr>
          <w:noProof/>
        </w:rPr>
        <w:fldChar w:fldCharType="separate"/>
      </w:r>
      <w:r w:rsidR="00511F3E">
        <w:rPr>
          <w:noProof/>
        </w:rPr>
        <w:t>2</w:t>
      </w:r>
      <w:r>
        <w:rPr>
          <w:noProof/>
        </w:rPr>
        <w:fldChar w:fldCharType="end"/>
      </w:r>
    </w:p>
    <w:p w14:paraId="3C222BFE" w14:textId="77777777" w:rsidR="00DD4170" w:rsidRDefault="00DD4170">
      <w:pPr>
        <w:pStyle w:val="TOC2"/>
        <w:rPr>
          <w:rFonts w:eastAsiaTheme="minorEastAsia" w:cstheme="minorBidi"/>
          <w:smallCaps w:val="0"/>
          <w:noProof/>
          <w:color w:val="auto"/>
          <w:lang w:val="en-US" w:eastAsia="en-US"/>
        </w:rPr>
      </w:pPr>
      <w:r w:rsidRPr="00584A25">
        <w:rPr>
          <w:rFonts w:ascii="Times New Roman Bold" w:eastAsia="MS ????" w:hAnsi="Times New Roman Bold"/>
          <w:noProof/>
        </w:rPr>
        <w:t>3.4</w:t>
      </w:r>
      <w:r>
        <w:rPr>
          <w:rFonts w:eastAsiaTheme="minorEastAsia" w:cstheme="minorBidi"/>
          <w:smallCaps w:val="0"/>
          <w:noProof/>
          <w:color w:val="auto"/>
          <w:lang w:val="en-US" w:eastAsia="en-US"/>
        </w:rPr>
        <w:tab/>
      </w:r>
      <w:r w:rsidRPr="00584A25">
        <w:rPr>
          <w:rFonts w:ascii="Times New Roman Bold" w:eastAsia="MS ????" w:hAnsi="Times New Roman Bold"/>
          <w:noProof/>
        </w:rPr>
        <w:t xml:space="preserve"> Trends in Methyl Bromide Use for CUEs since 2005</w:t>
      </w:r>
      <w:r>
        <w:rPr>
          <w:noProof/>
        </w:rPr>
        <w:tab/>
      </w:r>
      <w:r>
        <w:rPr>
          <w:noProof/>
        </w:rPr>
        <w:fldChar w:fldCharType="begin"/>
      </w:r>
      <w:r>
        <w:rPr>
          <w:noProof/>
        </w:rPr>
        <w:instrText xml:space="preserve"> PAGEREF _Toc461183760 \h </w:instrText>
      </w:r>
      <w:r>
        <w:rPr>
          <w:noProof/>
        </w:rPr>
      </w:r>
      <w:r>
        <w:rPr>
          <w:noProof/>
        </w:rPr>
        <w:fldChar w:fldCharType="separate"/>
      </w:r>
      <w:r w:rsidR="00511F3E">
        <w:rPr>
          <w:noProof/>
        </w:rPr>
        <w:t>3</w:t>
      </w:r>
      <w:r>
        <w:rPr>
          <w:noProof/>
        </w:rPr>
        <w:fldChar w:fldCharType="end"/>
      </w:r>
    </w:p>
    <w:p w14:paraId="05FE7B54" w14:textId="77777777" w:rsidR="00DD4170" w:rsidRDefault="00DD4170">
      <w:pPr>
        <w:pStyle w:val="TOC2"/>
        <w:rPr>
          <w:rFonts w:eastAsiaTheme="minorEastAsia" w:cstheme="minorBidi"/>
          <w:smallCaps w:val="0"/>
          <w:noProof/>
          <w:color w:val="auto"/>
          <w:lang w:val="en-US" w:eastAsia="en-US"/>
        </w:rPr>
      </w:pPr>
      <w:r w:rsidRPr="00584A25">
        <w:rPr>
          <w:rFonts w:ascii="Times New Roman Bold" w:eastAsia="MS ????" w:hAnsi="Times New Roman Bold"/>
          <w:noProof/>
        </w:rPr>
        <w:t xml:space="preserve">3.5 </w:t>
      </w:r>
      <w:r>
        <w:rPr>
          <w:rFonts w:eastAsiaTheme="minorEastAsia" w:cstheme="minorBidi"/>
          <w:smallCaps w:val="0"/>
          <w:noProof/>
          <w:color w:val="auto"/>
          <w:lang w:val="en-US" w:eastAsia="en-US"/>
        </w:rPr>
        <w:tab/>
      </w:r>
      <w:r w:rsidRPr="00584A25">
        <w:rPr>
          <w:rFonts w:ascii="Times New Roman Bold" w:eastAsia="MS ????" w:hAnsi="Times New Roman Bold"/>
          <w:noProof/>
        </w:rPr>
        <w:t>Disclosure of Interest</w:t>
      </w:r>
      <w:r>
        <w:rPr>
          <w:noProof/>
        </w:rPr>
        <w:tab/>
      </w:r>
      <w:r>
        <w:rPr>
          <w:noProof/>
        </w:rPr>
        <w:fldChar w:fldCharType="begin"/>
      </w:r>
      <w:r>
        <w:rPr>
          <w:noProof/>
        </w:rPr>
        <w:instrText xml:space="preserve"> PAGEREF _Toc461183761 \h </w:instrText>
      </w:r>
      <w:r>
        <w:rPr>
          <w:noProof/>
        </w:rPr>
      </w:r>
      <w:r>
        <w:rPr>
          <w:noProof/>
        </w:rPr>
        <w:fldChar w:fldCharType="separate"/>
      </w:r>
      <w:r w:rsidR="00511F3E">
        <w:rPr>
          <w:noProof/>
        </w:rPr>
        <w:t>3</w:t>
      </w:r>
      <w:r>
        <w:rPr>
          <w:noProof/>
        </w:rPr>
        <w:fldChar w:fldCharType="end"/>
      </w:r>
    </w:p>
    <w:p w14:paraId="0ECE0702" w14:textId="77777777" w:rsidR="00DD4170" w:rsidRDefault="00DD4170">
      <w:pPr>
        <w:pStyle w:val="TOC2"/>
        <w:rPr>
          <w:rFonts w:eastAsiaTheme="minorEastAsia" w:cstheme="minorBidi"/>
          <w:smallCaps w:val="0"/>
          <w:noProof/>
          <w:color w:val="auto"/>
          <w:lang w:val="en-US" w:eastAsia="en-US"/>
        </w:rPr>
      </w:pPr>
      <w:r w:rsidRPr="00584A25">
        <w:rPr>
          <w:rFonts w:ascii="Times New Roman Bold" w:eastAsia="MS ????" w:hAnsi="Times New Roman Bold"/>
          <w:noProof/>
        </w:rPr>
        <w:t xml:space="preserve">3.6  </w:t>
      </w:r>
      <w:r>
        <w:rPr>
          <w:rFonts w:eastAsiaTheme="minorEastAsia" w:cstheme="minorBidi"/>
          <w:smallCaps w:val="0"/>
          <w:noProof/>
          <w:color w:val="auto"/>
          <w:lang w:val="en-US" w:eastAsia="en-US"/>
        </w:rPr>
        <w:tab/>
      </w:r>
      <w:r w:rsidRPr="00584A25">
        <w:rPr>
          <w:rFonts w:ascii="Times New Roman Bold" w:eastAsia="MS ????" w:hAnsi="Times New Roman Bold"/>
          <w:noProof/>
        </w:rPr>
        <w:t>Issues Concerning Article 5 Parties</w:t>
      </w:r>
      <w:r>
        <w:rPr>
          <w:noProof/>
        </w:rPr>
        <w:tab/>
      </w:r>
      <w:r>
        <w:rPr>
          <w:noProof/>
        </w:rPr>
        <w:fldChar w:fldCharType="begin"/>
      </w:r>
      <w:r>
        <w:rPr>
          <w:noProof/>
        </w:rPr>
        <w:instrText xml:space="preserve"> PAGEREF _Toc461183762 \h </w:instrText>
      </w:r>
      <w:r>
        <w:rPr>
          <w:noProof/>
        </w:rPr>
      </w:r>
      <w:r>
        <w:rPr>
          <w:noProof/>
        </w:rPr>
        <w:fldChar w:fldCharType="separate"/>
      </w:r>
      <w:r w:rsidR="00511F3E">
        <w:rPr>
          <w:noProof/>
        </w:rPr>
        <w:t>6</w:t>
      </w:r>
      <w:r>
        <w:rPr>
          <w:noProof/>
        </w:rPr>
        <w:fldChar w:fldCharType="end"/>
      </w:r>
    </w:p>
    <w:p w14:paraId="10EF81C4" w14:textId="77777777" w:rsidR="00DD4170" w:rsidRDefault="00DD4170">
      <w:pPr>
        <w:pStyle w:val="TOC2"/>
        <w:rPr>
          <w:rFonts w:eastAsiaTheme="minorEastAsia" w:cstheme="minorBidi"/>
          <w:smallCaps w:val="0"/>
          <w:noProof/>
          <w:color w:val="auto"/>
          <w:lang w:val="en-US" w:eastAsia="en-US"/>
        </w:rPr>
      </w:pPr>
      <w:r w:rsidRPr="00584A25">
        <w:rPr>
          <w:rFonts w:ascii="Times New Roman Bold" w:eastAsia="MS ????" w:hAnsi="Times New Roman Bold"/>
          <w:noProof/>
        </w:rPr>
        <w:t>3.7</w:t>
      </w:r>
      <w:r>
        <w:rPr>
          <w:rFonts w:eastAsiaTheme="minorEastAsia" w:cstheme="minorBidi"/>
          <w:smallCaps w:val="0"/>
          <w:noProof/>
          <w:color w:val="auto"/>
          <w:lang w:val="en-US" w:eastAsia="en-US"/>
        </w:rPr>
        <w:tab/>
      </w:r>
      <w:r w:rsidRPr="00584A25">
        <w:rPr>
          <w:rFonts w:ascii="Times New Roman Bold" w:eastAsia="MS ????" w:hAnsi="Times New Roman Bold"/>
          <w:noProof/>
        </w:rPr>
        <w:t>Consideration of Stocks, Decision Ex.1/4 (9f)</w:t>
      </w:r>
      <w:r>
        <w:rPr>
          <w:noProof/>
        </w:rPr>
        <w:tab/>
      </w:r>
      <w:r>
        <w:rPr>
          <w:noProof/>
        </w:rPr>
        <w:fldChar w:fldCharType="begin"/>
      </w:r>
      <w:r>
        <w:rPr>
          <w:noProof/>
        </w:rPr>
        <w:instrText xml:space="preserve"> PAGEREF _Toc461183763 \h </w:instrText>
      </w:r>
      <w:r>
        <w:rPr>
          <w:noProof/>
        </w:rPr>
      </w:r>
      <w:r>
        <w:rPr>
          <w:noProof/>
        </w:rPr>
        <w:fldChar w:fldCharType="separate"/>
      </w:r>
      <w:r w:rsidR="00511F3E">
        <w:rPr>
          <w:noProof/>
        </w:rPr>
        <w:t>7</w:t>
      </w:r>
      <w:r>
        <w:rPr>
          <w:noProof/>
        </w:rPr>
        <w:fldChar w:fldCharType="end"/>
      </w:r>
    </w:p>
    <w:p w14:paraId="4F51EBDB" w14:textId="77777777" w:rsidR="00DD4170" w:rsidRDefault="00DD4170">
      <w:pPr>
        <w:pStyle w:val="TOC2"/>
        <w:rPr>
          <w:rFonts w:eastAsiaTheme="minorEastAsia" w:cstheme="minorBidi"/>
          <w:smallCaps w:val="0"/>
          <w:noProof/>
          <w:color w:val="auto"/>
          <w:lang w:val="en-US" w:eastAsia="en-US"/>
        </w:rPr>
      </w:pPr>
      <w:r w:rsidRPr="00584A25">
        <w:rPr>
          <w:rFonts w:ascii="Times New Roman Bold" w:eastAsia="MS ????" w:hAnsi="Times New Roman Bold"/>
          <w:noProof/>
        </w:rPr>
        <w:t>3.8.</w:t>
      </w:r>
      <w:r>
        <w:rPr>
          <w:rFonts w:eastAsiaTheme="minorEastAsia" w:cstheme="minorBidi"/>
          <w:smallCaps w:val="0"/>
          <w:noProof/>
          <w:color w:val="auto"/>
          <w:lang w:val="en-US" w:eastAsia="en-US"/>
        </w:rPr>
        <w:tab/>
      </w:r>
      <w:r w:rsidRPr="00584A25">
        <w:rPr>
          <w:rFonts w:ascii="Times New Roman Bold" w:eastAsia="MS ????" w:hAnsi="Times New Roman Bold"/>
          <w:noProof/>
        </w:rPr>
        <w:t>Evaluations of CUNs – 2016 Round for 2017 and 2018 Exemptions</w:t>
      </w:r>
      <w:r>
        <w:rPr>
          <w:noProof/>
        </w:rPr>
        <w:tab/>
      </w:r>
      <w:r>
        <w:rPr>
          <w:noProof/>
        </w:rPr>
        <w:fldChar w:fldCharType="begin"/>
      </w:r>
      <w:r>
        <w:rPr>
          <w:noProof/>
        </w:rPr>
        <w:instrText xml:space="preserve"> PAGEREF _Toc461183764 \h </w:instrText>
      </w:r>
      <w:r>
        <w:rPr>
          <w:noProof/>
        </w:rPr>
      </w:r>
      <w:r>
        <w:rPr>
          <w:noProof/>
        </w:rPr>
        <w:fldChar w:fldCharType="separate"/>
      </w:r>
      <w:r w:rsidR="00511F3E">
        <w:rPr>
          <w:noProof/>
        </w:rPr>
        <w:t>11</w:t>
      </w:r>
      <w:r>
        <w:rPr>
          <w:noProof/>
        </w:rPr>
        <w:fldChar w:fldCharType="end"/>
      </w:r>
    </w:p>
    <w:p w14:paraId="14D21E7B" w14:textId="77777777" w:rsidR="00DD4170" w:rsidRDefault="00DD4170" w:rsidP="00DD4170">
      <w:pPr>
        <w:pStyle w:val="TOC2"/>
        <w:tabs>
          <w:tab w:val="clear" w:pos="1100"/>
          <w:tab w:val="left" w:pos="1440"/>
        </w:tabs>
        <w:ind w:left="1440" w:hanging="720"/>
        <w:rPr>
          <w:rFonts w:eastAsiaTheme="minorEastAsia" w:cstheme="minorBidi"/>
          <w:smallCaps w:val="0"/>
          <w:noProof/>
          <w:color w:val="auto"/>
          <w:lang w:val="en-US" w:eastAsia="en-US"/>
        </w:rPr>
      </w:pPr>
      <w:r w:rsidRPr="00584A25">
        <w:rPr>
          <w:noProof/>
          <w:lang w:eastAsia="en-US"/>
        </w:rPr>
        <w:t>3.8.1.</w:t>
      </w:r>
      <w:r>
        <w:rPr>
          <w:rFonts w:eastAsiaTheme="minorEastAsia" w:cstheme="minorBidi"/>
          <w:smallCaps w:val="0"/>
          <w:noProof/>
          <w:color w:val="auto"/>
          <w:lang w:val="en-US" w:eastAsia="en-US"/>
        </w:rPr>
        <w:tab/>
      </w:r>
      <w:r w:rsidRPr="00584A25">
        <w:rPr>
          <w:noProof/>
          <w:lang w:eastAsia="en-US"/>
        </w:rPr>
        <w:t>Critical Use Nomination Final Review</w:t>
      </w:r>
      <w:r>
        <w:rPr>
          <w:noProof/>
        </w:rPr>
        <w:tab/>
      </w:r>
      <w:r>
        <w:rPr>
          <w:noProof/>
        </w:rPr>
        <w:fldChar w:fldCharType="begin"/>
      </w:r>
      <w:r>
        <w:rPr>
          <w:noProof/>
        </w:rPr>
        <w:instrText xml:space="preserve"> PAGEREF _Toc461183765 \h </w:instrText>
      </w:r>
      <w:r>
        <w:rPr>
          <w:noProof/>
        </w:rPr>
      </w:r>
      <w:r>
        <w:rPr>
          <w:noProof/>
        </w:rPr>
        <w:fldChar w:fldCharType="separate"/>
      </w:r>
      <w:r w:rsidR="00511F3E">
        <w:rPr>
          <w:noProof/>
        </w:rPr>
        <w:t>11</w:t>
      </w:r>
      <w:r>
        <w:rPr>
          <w:noProof/>
        </w:rPr>
        <w:fldChar w:fldCharType="end"/>
      </w:r>
    </w:p>
    <w:p w14:paraId="5BE81A11" w14:textId="77777777" w:rsidR="00DD4170" w:rsidRDefault="00DD4170" w:rsidP="00DD4170">
      <w:pPr>
        <w:pStyle w:val="TOC2"/>
        <w:tabs>
          <w:tab w:val="clear" w:pos="1100"/>
          <w:tab w:val="left" w:pos="1440"/>
        </w:tabs>
        <w:ind w:left="1440" w:hanging="720"/>
        <w:rPr>
          <w:rFonts w:eastAsiaTheme="minorEastAsia" w:cstheme="minorBidi"/>
          <w:smallCaps w:val="0"/>
          <w:noProof/>
          <w:color w:val="auto"/>
          <w:lang w:val="en-US" w:eastAsia="en-US"/>
        </w:rPr>
      </w:pPr>
      <w:r w:rsidRPr="00584A25">
        <w:rPr>
          <w:noProof/>
          <w:lang w:eastAsia="en-US"/>
        </w:rPr>
        <w:t>3.8.2</w:t>
      </w:r>
      <w:r>
        <w:rPr>
          <w:rFonts w:eastAsiaTheme="minorEastAsia" w:cstheme="minorBidi"/>
          <w:smallCaps w:val="0"/>
          <w:noProof/>
          <w:color w:val="auto"/>
          <w:lang w:val="en-US" w:eastAsia="en-US"/>
        </w:rPr>
        <w:tab/>
      </w:r>
      <w:r w:rsidRPr="00584A25">
        <w:rPr>
          <w:noProof/>
          <w:lang w:eastAsia="en-US"/>
        </w:rPr>
        <w:t>Achieving Consensus</w:t>
      </w:r>
      <w:r>
        <w:rPr>
          <w:noProof/>
        </w:rPr>
        <w:tab/>
      </w:r>
      <w:r>
        <w:rPr>
          <w:noProof/>
        </w:rPr>
        <w:fldChar w:fldCharType="begin"/>
      </w:r>
      <w:r>
        <w:rPr>
          <w:noProof/>
        </w:rPr>
        <w:instrText xml:space="preserve"> PAGEREF _Toc461183766 \h </w:instrText>
      </w:r>
      <w:r>
        <w:rPr>
          <w:noProof/>
        </w:rPr>
      </w:r>
      <w:r>
        <w:rPr>
          <w:noProof/>
        </w:rPr>
        <w:fldChar w:fldCharType="separate"/>
      </w:r>
      <w:r w:rsidR="00511F3E">
        <w:rPr>
          <w:noProof/>
        </w:rPr>
        <w:t>11</w:t>
      </w:r>
      <w:r>
        <w:rPr>
          <w:noProof/>
        </w:rPr>
        <w:fldChar w:fldCharType="end"/>
      </w:r>
    </w:p>
    <w:p w14:paraId="723CDFA8" w14:textId="77777777" w:rsidR="00DD4170" w:rsidRDefault="00DD4170" w:rsidP="00DD4170">
      <w:pPr>
        <w:pStyle w:val="TOC2"/>
        <w:tabs>
          <w:tab w:val="clear" w:pos="1100"/>
          <w:tab w:val="left" w:pos="1440"/>
        </w:tabs>
        <w:ind w:left="1440" w:hanging="720"/>
        <w:rPr>
          <w:rFonts w:eastAsiaTheme="minorEastAsia" w:cstheme="minorBidi"/>
          <w:smallCaps w:val="0"/>
          <w:noProof/>
          <w:color w:val="auto"/>
          <w:lang w:val="en-US" w:eastAsia="en-US"/>
        </w:rPr>
      </w:pPr>
      <w:r w:rsidRPr="00584A25">
        <w:rPr>
          <w:noProof/>
          <w:lang w:eastAsia="en-US"/>
        </w:rPr>
        <w:t>3.8.3</w:t>
      </w:r>
      <w:r>
        <w:rPr>
          <w:rFonts w:eastAsiaTheme="minorEastAsia" w:cstheme="minorBidi"/>
          <w:smallCaps w:val="0"/>
          <w:noProof/>
          <w:color w:val="auto"/>
          <w:lang w:val="en-US" w:eastAsia="en-US"/>
        </w:rPr>
        <w:tab/>
      </w:r>
      <w:r w:rsidRPr="00584A25">
        <w:rPr>
          <w:noProof/>
          <w:lang w:eastAsia="en-US"/>
        </w:rPr>
        <w:t>Emergency Uses Reported by Israel and Jamaica</w:t>
      </w:r>
      <w:r>
        <w:rPr>
          <w:noProof/>
        </w:rPr>
        <w:tab/>
      </w:r>
      <w:r>
        <w:rPr>
          <w:noProof/>
        </w:rPr>
        <w:fldChar w:fldCharType="begin"/>
      </w:r>
      <w:r>
        <w:rPr>
          <w:noProof/>
        </w:rPr>
        <w:instrText xml:space="preserve"> PAGEREF _Toc461183767 \h </w:instrText>
      </w:r>
      <w:r>
        <w:rPr>
          <w:noProof/>
        </w:rPr>
      </w:r>
      <w:r>
        <w:rPr>
          <w:noProof/>
        </w:rPr>
        <w:fldChar w:fldCharType="separate"/>
      </w:r>
      <w:r w:rsidR="00511F3E">
        <w:rPr>
          <w:noProof/>
        </w:rPr>
        <w:t>12</w:t>
      </w:r>
      <w:r>
        <w:rPr>
          <w:noProof/>
        </w:rPr>
        <w:fldChar w:fldCharType="end"/>
      </w:r>
    </w:p>
    <w:p w14:paraId="245D15F0" w14:textId="77777777" w:rsidR="00DD4170" w:rsidRDefault="00DD4170">
      <w:pPr>
        <w:pStyle w:val="TOC2"/>
        <w:rPr>
          <w:rFonts w:eastAsiaTheme="minorEastAsia" w:cstheme="minorBidi"/>
          <w:smallCaps w:val="0"/>
          <w:noProof/>
          <w:color w:val="auto"/>
          <w:lang w:val="en-US" w:eastAsia="en-US"/>
        </w:rPr>
      </w:pPr>
      <w:r w:rsidRPr="00584A25">
        <w:rPr>
          <w:rFonts w:ascii="Times New Roman Bold" w:eastAsia="MS ????" w:hAnsi="Times New Roman Bold"/>
          <w:noProof/>
        </w:rPr>
        <w:t>3.9</w:t>
      </w:r>
      <w:r>
        <w:rPr>
          <w:rFonts w:eastAsiaTheme="minorEastAsia" w:cstheme="minorBidi"/>
          <w:smallCaps w:val="0"/>
          <w:noProof/>
          <w:color w:val="auto"/>
          <w:lang w:val="en-US" w:eastAsia="en-US"/>
        </w:rPr>
        <w:tab/>
      </w:r>
      <w:r w:rsidRPr="00584A25">
        <w:rPr>
          <w:rFonts w:ascii="Times New Roman Bold" w:eastAsia="MS ????" w:hAnsi="Times New Roman Bold"/>
          <w:noProof/>
        </w:rPr>
        <w:t>Interim Evaluations of 2016 Critical Use Nominations for Methyl Bromide for Preplant soil use in 2017and 2018</w:t>
      </w:r>
      <w:r>
        <w:rPr>
          <w:noProof/>
        </w:rPr>
        <w:tab/>
      </w:r>
      <w:r>
        <w:rPr>
          <w:noProof/>
        </w:rPr>
        <w:fldChar w:fldCharType="begin"/>
      </w:r>
      <w:r>
        <w:rPr>
          <w:noProof/>
        </w:rPr>
        <w:instrText xml:space="preserve"> PAGEREF _Toc461183768 \h </w:instrText>
      </w:r>
      <w:r>
        <w:rPr>
          <w:noProof/>
        </w:rPr>
      </w:r>
      <w:r>
        <w:rPr>
          <w:noProof/>
        </w:rPr>
        <w:fldChar w:fldCharType="separate"/>
      </w:r>
      <w:r w:rsidR="00511F3E">
        <w:rPr>
          <w:noProof/>
        </w:rPr>
        <w:t>12</w:t>
      </w:r>
      <w:r>
        <w:rPr>
          <w:noProof/>
        </w:rPr>
        <w:fldChar w:fldCharType="end"/>
      </w:r>
    </w:p>
    <w:p w14:paraId="221F4CDD" w14:textId="77777777" w:rsidR="00DD4170" w:rsidRDefault="00DD4170" w:rsidP="00DD4170">
      <w:pPr>
        <w:pStyle w:val="TOC2"/>
        <w:tabs>
          <w:tab w:val="clear" w:pos="1100"/>
          <w:tab w:val="left" w:pos="1440"/>
        </w:tabs>
        <w:ind w:left="1440" w:hanging="720"/>
        <w:rPr>
          <w:rFonts w:eastAsiaTheme="minorEastAsia" w:cstheme="minorBidi"/>
          <w:smallCaps w:val="0"/>
          <w:noProof/>
          <w:color w:val="auto"/>
          <w:lang w:val="en-US" w:eastAsia="en-US"/>
        </w:rPr>
      </w:pPr>
      <w:r w:rsidRPr="00584A25">
        <w:rPr>
          <w:noProof/>
          <w:lang w:eastAsia="en-US"/>
        </w:rPr>
        <w:t>3.9.1</w:t>
      </w:r>
      <w:r>
        <w:rPr>
          <w:rFonts w:eastAsiaTheme="minorEastAsia" w:cstheme="minorBidi"/>
          <w:smallCaps w:val="0"/>
          <w:noProof/>
          <w:color w:val="auto"/>
          <w:lang w:val="en-US" w:eastAsia="en-US"/>
        </w:rPr>
        <w:tab/>
      </w:r>
      <w:r w:rsidRPr="00584A25">
        <w:rPr>
          <w:noProof/>
          <w:lang w:eastAsia="en-US"/>
        </w:rPr>
        <w:t>Critical Use Nomination Assessment</w:t>
      </w:r>
      <w:r>
        <w:rPr>
          <w:noProof/>
        </w:rPr>
        <w:tab/>
      </w:r>
      <w:r>
        <w:rPr>
          <w:noProof/>
        </w:rPr>
        <w:fldChar w:fldCharType="begin"/>
      </w:r>
      <w:r>
        <w:rPr>
          <w:noProof/>
        </w:rPr>
        <w:instrText xml:space="preserve"> PAGEREF _Toc461183769 \h </w:instrText>
      </w:r>
      <w:r>
        <w:rPr>
          <w:noProof/>
        </w:rPr>
      </w:r>
      <w:r>
        <w:rPr>
          <w:noProof/>
        </w:rPr>
        <w:fldChar w:fldCharType="separate"/>
      </w:r>
      <w:r w:rsidR="00511F3E">
        <w:rPr>
          <w:noProof/>
        </w:rPr>
        <w:t>12</w:t>
      </w:r>
      <w:r>
        <w:rPr>
          <w:noProof/>
        </w:rPr>
        <w:fldChar w:fldCharType="end"/>
      </w:r>
    </w:p>
    <w:p w14:paraId="25D4885D" w14:textId="77777777" w:rsidR="00DD4170" w:rsidRDefault="00DD4170" w:rsidP="00DD4170">
      <w:pPr>
        <w:pStyle w:val="TOC2"/>
        <w:tabs>
          <w:tab w:val="clear" w:pos="1100"/>
          <w:tab w:val="left" w:pos="1440"/>
        </w:tabs>
        <w:ind w:left="1440" w:hanging="720"/>
        <w:rPr>
          <w:rFonts w:eastAsiaTheme="minorEastAsia" w:cstheme="minorBidi"/>
          <w:smallCaps w:val="0"/>
          <w:noProof/>
          <w:color w:val="auto"/>
          <w:lang w:val="en-US" w:eastAsia="en-US"/>
        </w:rPr>
      </w:pPr>
      <w:r w:rsidRPr="00584A25">
        <w:rPr>
          <w:noProof/>
          <w:lang w:eastAsia="en-US"/>
        </w:rPr>
        <w:t>3.9.2</w:t>
      </w:r>
      <w:r>
        <w:rPr>
          <w:rFonts w:eastAsiaTheme="minorEastAsia" w:cstheme="minorBidi"/>
          <w:smallCaps w:val="0"/>
          <w:noProof/>
          <w:color w:val="auto"/>
          <w:lang w:val="en-US" w:eastAsia="en-US"/>
        </w:rPr>
        <w:tab/>
      </w:r>
      <w:r w:rsidRPr="00584A25">
        <w:rPr>
          <w:noProof/>
          <w:lang w:eastAsia="en-US"/>
        </w:rPr>
        <w:t>Issues Related to CUN Assessment for Preplant Soil Use</w:t>
      </w:r>
      <w:r>
        <w:rPr>
          <w:noProof/>
        </w:rPr>
        <w:tab/>
      </w:r>
      <w:r>
        <w:rPr>
          <w:noProof/>
        </w:rPr>
        <w:fldChar w:fldCharType="begin"/>
      </w:r>
      <w:r>
        <w:rPr>
          <w:noProof/>
        </w:rPr>
        <w:instrText xml:space="preserve"> PAGEREF _Toc461183770 \h </w:instrText>
      </w:r>
      <w:r>
        <w:rPr>
          <w:noProof/>
        </w:rPr>
      </w:r>
      <w:r>
        <w:rPr>
          <w:noProof/>
        </w:rPr>
        <w:fldChar w:fldCharType="separate"/>
      </w:r>
      <w:r w:rsidR="00511F3E">
        <w:rPr>
          <w:noProof/>
        </w:rPr>
        <w:t>13</w:t>
      </w:r>
      <w:r>
        <w:rPr>
          <w:noProof/>
        </w:rPr>
        <w:fldChar w:fldCharType="end"/>
      </w:r>
    </w:p>
    <w:p w14:paraId="65801599" w14:textId="77777777" w:rsidR="00DD4170" w:rsidRDefault="00DD4170" w:rsidP="00DD4170">
      <w:pPr>
        <w:pStyle w:val="TOC2"/>
        <w:tabs>
          <w:tab w:val="clear" w:pos="1100"/>
          <w:tab w:val="left" w:pos="1440"/>
        </w:tabs>
        <w:ind w:left="1440" w:hanging="720"/>
        <w:rPr>
          <w:rFonts w:eastAsiaTheme="minorEastAsia" w:cstheme="minorBidi"/>
          <w:smallCaps w:val="0"/>
          <w:noProof/>
          <w:color w:val="auto"/>
          <w:lang w:val="en-US" w:eastAsia="en-US"/>
        </w:rPr>
      </w:pPr>
      <w:r w:rsidRPr="00584A25">
        <w:rPr>
          <w:noProof/>
          <w:lang w:eastAsia="en-US"/>
        </w:rPr>
        <w:t>3.9.3</w:t>
      </w:r>
      <w:r>
        <w:rPr>
          <w:rFonts w:eastAsiaTheme="minorEastAsia" w:cstheme="minorBidi"/>
          <w:smallCaps w:val="0"/>
          <w:noProof/>
          <w:color w:val="auto"/>
          <w:lang w:val="en-US" w:eastAsia="en-US"/>
        </w:rPr>
        <w:tab/>
      </w:r>
      <w:r w:rsidRPr="00584A25">
        <w:rPr>
          <w:noProof/>
          <w:lang w:eastAsia="en-US"/>
        </w:rPr>
        <w:t>General Comments on the Assessment for Preplant Soil Use</w:t>
      </w:r>
      <w:r>
        <w:rPr>
          <w:noProof/>
        </w:rPr>
        <w:tab/>
      </w:r>
      <w:r>
        <w:rPr>
          <w:noProof/>
        </w:rPr>
        <w:fldChar w:fldCharType="begin"/>
      </w:r>
      <w:r>
        <w:rPr>
          <w:noProof/>
        </w:rPr>
        <w:instrText xml:space="preserve"> PAGEREF _Toc461183771 \h </w:instrText>
      </w:r>
      <w:r>
        <w:rPr>
          <w:noProof/>
        </w:rPr>
      </w:r>
      <w:r>
        <w:rPr>
          <w:noProof/>
        </w:rPr>
        <w:fldChar w:fldCharType="separate"/>
      </w:r>
      <w:r w:rsidR="00511F3E">
        <w:rPr>
          <w:noProof/>
        </w:rPr>
        <w:t>14</w:t>
      </w:r>
      <w:r>
        <w:rPr>
          <w:noProof/>
        </w:rPr>
        <w:fldChar w:fldCharType="end"/>
      </w:r>
    </w:p>
    <w:p w14:paraId="7DC98929" w14:textId="77777777" w:rsidR="00DD4170" w:rsidRDefault="00DD4170" w:rsidP="00DD4170">
      <w:pPr>
        <w:pStyle w:val="TOC2"/>
        <w:tabs>
          <w:tab w:val="clear" w:pos="1100"/>
          <w:tab w:val="left" w:pos="1440"/>
        </w:tabs>
        <w:ind w:left="1440" w:hanging="720"/>
        <w:rPr>
          <w:rFonts w:eastAsiaTheme="minorEastAsia" w:cstheme="minorBidi"/>
          <w:smallCaps w:val="0"/>
          <w:noProof/>
          <w:color w:val="auto"/>
          <w:lang w:val="en-US" w:eastAsia="en-US"/>
        </w:rPr>
      </w:pPr>
      <w:r w:rsidRPr="00584A25">
        <w:rPr>
          <w:noProof/>
          <w:lang w:eastAsia="en-US"/>
        </w:rPr>
        <w:t>3.9.4</w:t>
      </w:r>
      <w:r>
        <w:rPr>
          <w:rFonts w:eastAsiaTheme="minorEastAsia" w:cstheme="minorBidi"/>
          <w:smallCaps w:val="0"/>
          <w:noProof/>
          <w:color w:val="auto"/>
          <w:lang w:val="en-US" w:eastAsia="en-US"/>
        </w:rPr>
        <w:tab/>
      </w:r>
      <w:r w:rsidRPr="00584A25">
        <w:rPr>
          <w:noProof/>
          <w:lang w:eastAsia="en-US"/>
        </w:rPr>
        <w:t>Registration of Alternatives for Preplant Uses - Decision Ex I/4 (9i) and (9j)</w:t>
      </w:r>
      <w:r>
        <w:rPr>
          <w:noProof/>
        </w:rPr>
        <w:tab/>
      </w:r>
      <w:r>
        <w:rPr>
          <w:noProof/>
        </w:rPr>
        <w:fldChar w:fldCharType="begin"/>
      </w:r>
      <w:r>
        <w:rPr>
          <w:noProof/>
        </w:rPr>
        <w:instrText xml:space="preserve"> PAGEREF _Toc461183772 \h </w:instrText>
      </w:r>
      <w:r>
        <w:rPr>
          <w:noProof/>
        </w:rPr>
      </w:r>
      <w:r>
        <w:rPr>
          <w:noProof/>
        </w:rPr>
        <w:fldChar w:fldCharType="separate"/>
      </w:r>
      <w:r w:rsidR="00511F3E">
        <w:rPr>
          <w:noProof/>
        </w:rPr>
        <w:t>14</w:t>
      </w:r>
      <w:r>
        <w:rPr>
          <w:noProof/>
        </w:rPr>
        <w:fldChar w:fldCharType="end"/>
      </w:r>
    </w:p>
    <w:p w14:paraId="379FF064" w14:textId="77777777" w:rsidR="00DD4170" w:rsidRDefault="00DD4170" w:rsidP="00DD4170">
      <w:pPr>
        <w:pStyle w:val="TOC2"/>
        <w:tabs>
          <w:tab w:val="clear" w:pos="1100"/>
          <w:tab w:val="left" w:pos="1440"/>
        </w:tabs>
        <w:ind w:left="1440" w:hanging="720"/>
        <w:rPr>
          <w:rFonts w:eastAsiaTheme="minorEastAsia" w:cstheme="minorBidi"/>
          <w:smallCaps w:val="0"/>
          <w:noProof/>
          <w:color w:val="auto"/>
          <w:lang w:val="en-US" w:eastAsia="en-US"/>
        </w:rPr>
      </w:pPr>
      <w:r w:rsidRPr="00584A25">
        <w:rPr>
          <w:noProof/>
          <w:lang w:eastAsia="en-US"/>
        </w:rPr>
        <w:t>3.9.5</w:t>
      </w:r>
      <w:r>
        <w:rPr>
          <w:rFonts w:eastAsiaTheme="minorEastAsia" w:cstheme="minorBidi"/>
          <w:smallCaps w:val="0"/>
          <w:noProof/>
          <w:color w:val="auto"/>
          <w:lang w:val="en-US" w:eastAsia="en-US"/>
        </w:rPr>
        <w:tab/>
      </w:r>
      <w:r w:rsidRPr="00584A25">
        <w:rPr>
          <w:noProof/>
          <w:lang w:eastAsia="en-US"/>
        </w:rPr>
        <w:t>Decision XXV/4</w:t>
      </w:r>
      <w:r>
        <w:rPr>
          <w:noProof/>
        </w:rPr>
        <w:tab/>
      </w:r>
      <w:r>
        <w:rPr>
          <w:noProof/>
        </w:rPr>
        <w:fldChar w:fldCharType="begin"/>
      </w:r>
      <w:r>
        <w:rPr>
          <w:noProof/>
        </w:rPr>
        <w:instrText xml:space="preserve"> PAGEREF _Toc461183773 \h </w:instrText>
      </w:r>
      <w:r>
        <w:rPr>
          <w:noProof/>
        </w:rPr>
      </w:r>
      <w:r>
        <w:rPr>
          <w:noProof/>
        </w:rPr>
        <w:fldChar w:fldCharType="separate"/>
      </w:r>
      <w:r w:rsidR="00511F3E">
        <w:rPr>
          <w:noProof/>
        </w:rPr>
        <w:t>14</w:t>
      </w:r>
      <w:r>
        <w:rPr>
          <w:noProof/>
        </w:rPr>
        <w:fldChar w:fldCharType="end"/>
      </w:r>
    </w:p>
    <w:p w14:paraId="0DD607F8" w14:textId="77777777" w:rsidR="00DD4170" w:rsidRDefault="00DD4170" w:rsidP="00DD4170">
      <w:pPr>
        <w:pStyle w:val="TOC2"/>
        <w:tabs>
          <w:tab w:val="clear" w:pos="1100"/>
          <w:tab w:val="left" w:pos="1440"/>
        </w:tabs>
        <w:ind w:left="1440" w:hanging="720"/>
        <w:rPr>
          <w:rFonts w:eastAsiaTheme="minorEastAsia" w:cstheme="minorBidi"/>
          <w:smallCaps w:val="0"/>
          <w:noProof/>
          <w:color w:val="auto"/>
          <w:lang w:val="en-US" w:eastAsia="en-US"/>
        </w:rPr>
      </w:pPr>
      <w:r>
        <w:rPr>
          <w:noProof/>
        </w:rPr>
        <w:t>3.9</w:t>
      </w:r>
      <w:r w:rsidRPr="00584A25">
        <w:rPr>
          <w:noProof/>
          <w:lang w:eastAsia="en-US"/>
        </w:rPr>
        <w:t>.6</w:t>
      </w:r>
      <w:r>
        <w:rPr>
          <w:rFonts w:eastAsiaTheme="minorEastAsia" w:cstheme="minorBidi"/>
          <w:smallCaps w:val="0"/>
          <w:noProof/>
          <w:color w:val="auto"/>
          <w:lang w:val="en-US" w:eastAsia="en-US"/>
        </w:rPr>
        <w:tab/>
      </w:r>
      <w:r w:rsidRPr="00584A25">
        <w:rPr>
          <w:noProof/>
          <w:lang w:eastAsia="en-US"/>
        </w:rPr>
        <w:t>Sustainable Alternatives for Preplant Uses</w:t>
      </w:r>
      <w:r>
        <w:rPr>
          <w:noProof/>
        </w:rPr>
        <w:tab/>
      </w:r>
      <w:r>
        <w:rPr>
          <w:noProof/>
        </w:rPr>
        <w:fldChar w:fldCharType="begin"/>
      </w:r>
      <w:r>
        <w:rPr>
          <w:noProof/>
        </w:rPr>
        <w:instrText xml:space="preserve"> PAGEREF _Toc461183774 \h </w:instrText>
      </w:r>
      <w:r>
        <w:rPr>
          <w:noProof/>
        </w:rPr>
      </w:r>
      <w:r>
        <w:rPr>
          <w:noProof/>
        </w:rPr>
        <w:fldChar w:fldCharType="separate"/>
      </w:r>
      <w:r w:rsidR="00511F3E">
        <w:rPr>
          <w:noProof/>
        </w:rPr>
        <w:t>15</w:t>
      </w:r>
      <w:r>
        <w:rPr>
          <w:noProof/>
        </w:rPr>
        <w:fldChar w:fldCharType="end"/>
      </w:r>
    </w:p>
    <w:p w14:paraId="66FC6E30" w14:textId="77777777" w:rsidR="00DD4170" w:rsidRDefault="00DD4170" w:rsidP="00DD4170">
      <w:pPr>
        <w:pStyle w:val="TOC2"/>
        <w:tabs>
          <w:tab w:val="clear" w:pos="1100"/>
          <w:tab w:val="left" w:pos="1440"/>
        </w:tabs>
        <w:ind w:left="1440" w:hanging="720"/>
        <w:rPr>
          <w:rFonts w:eastAsiaTheme="minorEastAsia" w:cstheme="minorBidi"/>
          <w:smallCaps w:val="0"/>
          <w:noProof/>
          <w:color w:val="auto"/>
          <w:lang w:val="en-US" w:eastAsia="en-US"/>
        </w:rPr>
      </w:pPr>
      <w:r w:rsidRPr="00584A25">
        <w:rPr>
          <w:noProof/>
          <w:lang w:eastAsia="en-US"/>
        </w:rPr>
        <w:t>3.9.7</w:t>
      </w:r>
      <w:r>
        <w:rPr>
          <w:rFonts w:eastAsiaTheme="minorEastAsia" w:cstheme="minorBidi"/>
          <w:smallCaps w:val="0"/>
          <w:noProof/>
          <w:color w:val="auto"/>
          <w:lang w:val="en-US" w:eastAsia="en-US"/>
        </w:rPr>
        <w:tab/>
      </w:r>
      <w:r w:rsidRPr="00584A25">
        <w:rPr>
          <w:noProof/>
          <w:lang w:eastAsia="en-US"/>
        </w:rPr>
        <w:t>Standard Presumptions Used in Assessment of Nominated Quantities</w:t>
      </w:r>
      <w:r>
        <w:rPr>
          <w:noProof/>
        </w:rPr>
        <w:tab/>
      </w:r>
      <w:r>
        <w:rPr>
          <w:noProof/>
        </w:rPr>
        <w:fldChar w:fldCharType="begin"/>
      </w:r>
      <w:r>
        <w:rPr>
          <w:noProof/>
        </w:rPr>
        <w:instrText xml:space="preserve"> PAGEREF _Toc461183775 \h </w:instrText>
      </w:r>
      <w:r>
        <w:rPr>
          <w:noProof/>
        </w:rPr>
      </w:r>
      <w:r>
        <w:rPr>
          <w:noProof/>
        </w:rPr>
        <w:fldChar w:fldCharType="separate"/>
      </w:r>
      <w:r w:rsidR="00511F3E">
        <w:rPr>
          <w:noProof/>
        </w:rPr>
        <w:t>15</w:t>
      </w:r>
      <w:r>
        <w:rPr>
          <w:noProof/>
        </w:rPr>
        <w:fldChar w:fldCharType="end"/>
      </w:r>
    </w:p>
    <w:p w14:paraId="7D1C1102" w14:textId="77777777" w:rsidR="00DD4170" w:rsidRDefault="00DD4170" w:rsidP="00DD4170">
      <w:pPr>
        <w:pStyle w:val="TOC2"/>
        <w:tabs>
          <w:tab w:val="clear" w:pos="1100"/>
          <w:tab w:val="left" w:pos="1440"/>
        </w:tabs>
        <w:ind w:left="1440" w:hanging="720"/>
        <w:rPr>
          <w:rFonts w:eastAsiaTheme="minorEastAsia" w:cstheme="minorBidi"/>
          <w:smallCaps w:val="0"/>
          <w:noProof/>
          <w:color w:val="auto"/>
          <w:lang w:val="en-US" w:eastAsia="en-US"/>
        </w:rPr>
      </w:pPr>
      <w:r>
        <w:rPr>
          <w:noProof/>
        </w:rPr>
        <w:t>3.9</w:t>
      </w:r>
      <w:r w:rsidRPr="00584A25">
        <w:rPr>
          <w:noProof/>
          <w:lang w:eastAsia="en-US"/>
        </w:rPr>
        <w:t>.8</w:t>
      </w:r>
      <w:r>
        <w:rPr>
          <w:rFonts w:eastAsiaTheme="minorEastAsia" w:cstheme="minorBidi"/>
          <w:smallCaps w:val="0"/>
          <w:noProof/>
          <w:color w:val="auto"/>
          <w:lang w:val="en-US" w:eastAsia="en-US"/>
        </w:rPr>
        <w:tab/>
      </w:r>
      <w:r w:rsidRPr="00584A25">
        <w:rPr>
          <w:noProof/>
          <w:lang w:eastAsia="en-US"/>
        </w:rPr>
        <w:t>Adjustments for Standard Dosage Rates using MB/Pic Formulations</w:t>
      </w:r>
      <w:r>
        <w:rPr>
          <w:noProof/>
        </w:rPr>
        <w:tab/>
      </w:r>
      <w:r>
        <w:rPr>
          <w:noProof/>
        </w:rPr>
        <w:fldChar w:fldCharType="begin"/>
      </w:r>
      <w:r>
        <w:rPr>
          <w:noProof/>
        </w:rPr>
        <w:instrText xml:space="preserve"> PAGEREF _Toc461183776 \h </w:instrText>
      </w:r>
      <w:r>
        <w:rPr>
          <w:noProof/>
        </w:rPr>
      </w:r>
      <w:r>
        <w:rPr>
          <w:noProof/>
        </w:rPr>
        <w:fldChar w:fldCharType="separate"/>
      </w:r>
      <w:r w:rsidR="00511F3E">
        <w:rPr>
          <w:noProof/>
        </w:rPr>
        <w:t>17</w:t>
      </w:r>
      <w:r>
        <w:rPr>
          <w:noProof/>
        </w:rPr>
        <w:fldChar w:fldCharType="end"/>
      </w:r>
    </w:p>
    <w:p w14:paraId="38C5774F" w14:textId="77777777" w:rsidR="00DD4170" w:rsidRDefault="00DD4170" w:rsidP="00DD4170">
      <w:pPr>
        <w:pStyle w:val="TOC2"/>
        <w:tabs>
          <w:tab w:val="clear" w:pos="1100"/>
          <w:tab w:val="left" w:pos="1440"/>
        </w:tabs>
        <w:ind w:left="1440" w:hanging="720"/>
        <w:rPr>
          <w:rFonts w:eastAsiaTheme="minorEastAsia" w:cstheme="minorBidi"/>
          <w:smallCaps w:val="0"/>
          <w:noProof/>
          <w:color w:val="auto"/>
          <w:lang w:val="en-US" w:eastAsia="en-US"/>
        </w:rPr>
      </w:pPr>
      <w:r>
        <w:rPr>
          <w:noProof/>
        </w:rPr>
        <w:t>3.9</w:t>
      </w:r>
      <w:r w:rsidRPr="00584A25">
        <w:rPr>
          <w:noProof/>
          <w:lang w:eastAsia="en-US"/>
        </w:rPr>
        <w:t>.9</w:t>
      </w:r>
      <w:r>
        <w:rPr>
          <w:rFonts w:eastAsiaTheme="minorEastAsia" w:cstheme="minorBidi"/>
          <w:smallCaps w:val="0"/>
          <w:noProof/>
          <w:color w:val="auto"/>
          <w:lang w:val="en-US" w:eastAsia="en-US"/>
        </w:rPr>
        <w:tab/>
      </w:r>
      <w:r w:rsidRPr="00584A25">
        <w:rPr>
          <w:noProof/>
          <w:lang w:eastAsia="en-US"/>
        </w:rPr>
        <w:t>Use/Emission Reduction Technologies - Barrier films and dosage reduction</w:t>
      </w:r>
      <w:r>
        <w:rPr>
          <w:noProof/>
        </w:rPr>
        <w:tab/>
      </w:r>
      <w:r>
        <w:rPr>
          <w:noProof/>
        </w:rPr>
        <w:fldChar w:fldCharType="begin"/>
      </w:r>
      <w:r>
        <w:rPr>
          <w:noProof/>
        </w:rPr>
        <w:instrText xml:space="preserve"> PAGEREF _Toc461183777 \h </w:instrText>
      </w:r>
      <w:r>
        <w:rPr>
          <w:noProof/>
        </w:rPr>
      </w:r>
      <w:r>
        <w:rPr>
          <w:noProof/>
        </w:rPr>
        <w:fldChar w:fldCharType="separate"/>
      </w:r>
      <w:r w:rsidR="00511F3E">
        <w:rPr>
          <w:noProof/>
        </w:rPr>
        <w:t>17</w:t>
      </w:r>
      <w:r>
        <w:rPr>
          <w:noProof/>
        </w:rPr>
        <w:fldChar w:fldCharType="end"/>
      </w:r>
    </w:p>
    <w:p w14:paraId="0A7ED5AA" w14:textId="77777777" w:rsidR="00DD4170" w:rsidRDefault="00DD4170">
      <w:pPr>
        <w:pStyle w:val="TOC2"/>
        <w:rPr>
          <w:rFonts w:eastAsiaTheme="minorEastAsia" w:cstheme="minorBidi"/>
          <w:smallCaps w:val="0"/>
          <w:noProof/>
          <w:color w:val="auto"/>
          <w:lang w:val="en-US" w:eastAsia="en-US"/>
        </w:rPr>
      </w:pPr>
      <w:r w:rsidRPr="00584A25">
        <w:rPr>
          <w:rFonts w:ascii="Times New Roman Bold" w:eastAsia="MS ????" w:hAnsi="Times New Roman Bold"/>
          <w:noProof/>
        </w:rPr>
        <w:t xml:space="preserve">3.10. </w:t>
      </w:r>
      <w:r>
        <w:rPr>
          <w:rFonts w:eastAsiaTheme="minorEastAsia" w:cstheme="minorBidi"/>
          <w:smallCaps w:val="0"/>
          <w:noProof/>
          <w:color w:val="auto"/>
          <w:lang w:val="en-US" w:eastAsia="en-US"/>
        </w:rPr>
        <w:tab/>
      </w:r>
      <w:r w:rsidRPr="00584A25">
        <w:rPr>
          <w:rFonts w:ascii="Times New Roman Bold" w:eastAsia="MS ????" w:hAnsi="Times New Roman Bold"/>
          <w:noProof/>
        </w:rPr>
        <w:t>Final Evaluation of Critical Use Nominations of Methyl Bromide for Commodities and Structures for 2017</w:t>
      </w:r>
      <w:r>
        <w:rPr>
          <w:noProof/>
        </w:rPr>
        <w:tab/>
      </w:r>
      <w:r>
        <w:rPr>
          <w:noProof/>
        </w:rPr>
        <w:fldChar w:fldCharType="begin"/>
      </w:r>
      <w:r>
        <w:rPr>
          <w:noProof/>
        </w:rPr>
        <w:instrText xml:space="preserve"> PAGEREF _Toc461183778 \h </w:instrText>
      </w:r>
      <w:r>
        <w:rPr>
          <w:noProof/>
        </w:rPr>
      </w:r>
      <w:r>
        <w:rPr>
          <w:noProof/>
        </w:rPr>
        <w:fldChar w:fldCharType="separate"/>
      </w:r>
      <w:r w:rsidR="00511F3E">
        <w:rPr>
          <w:noProof/>
        </w:rPr>
        <w:t>31</w:t>
      </w:r>
      <w:r>
        <w:rPr>
          <w:noProof/>
        </w:rPr>
        <w:fldChar w:fldCharType="end"/>
      </w:r>
    </w:p>
    <w:p w14:paraId="3ED78491" w14:textId="77777777" w:rsidR="00DD4170" w:rsidRDefault="00DD4170">
      <w:pPr>
        <w:pStyle w:val="TOC2"/>
        <w:rPr>
          <w:rFonts w:eastAsiaTheme="minorEastAsia" w:cstheme="minorBidi"/>
          <w:smallCaps w:val="0"/>
          <w:noProof/>
          <w:color w:val="auto"/>
          <w:lang w:val="en-US" w:eastAsia="en-US"/>
        </w:rPr>
      </w:pPr>
      <w:r w:rsidRPr="00584A25">
        <w:rPr>
          <w:noProof/>
          <w:lang w:eastAsia="en-US"/>
        </w:rPr>
        <w:t>3.10.1</w:t>
      </w:r>
      <w:r>
        <w:rPr>
          <w:rFonts w:eastAsiaTheme="minorEastAsia" w:cstheme="minorBidi"/>
          <w:smallCaps w:val="0"/>
          <w:noProof/>
          <w:color w:val="auto"/>
          <w:lang w:val="en-US" w:eastAsia="en-US"/>
        </w:rPr>
        <w:tab/>
      </w:r>
      <w:r w:rsidRPr="00584A25">
        <w:rPr>
          <w:noProof/>
          <w:lang w:eastAsia="en-US"/>
        </w:rPr>
        <w:t>Standard rate presumptions</w:t>
      </w:r>
      <w:r>
        <w:rPr>
          <w:noProof/>
        </w:rPr>
        <w:tab/>
      </w:r>
      <w:r>
        <w:rPr>
          <w:noProof/>
        </w:rPr>
        <w:fldChar w:fldCharType="begin"/>
      </w:r>
      <w:r>
        <w:rPr>
          <w:noProof/>
        </w:rPr>
        <w:instrText xml:space="preserve"> PAGEREF _Toc461183779 \h </w:instrText>
      </w:r>
      <w:r>
        <w:rPr>
          <w:noProof/>
        </w:rPr>
      </w:r>
      <w:r>
        <w:rPr>
          <w:noProof/>
        </w:rPr>
        <w:fldChar w:fldCharType="separate"/>
      </w:r>
      <w:r w:rsidR="00511F3E">
        <w:rPr>
          <w:noProof/>
        </w:rPr>
        <w:t>31</w:t>
      </w:r>
      <w:r>
        <w:rPr>
          <w:noProof/>
        </w:rPr>
        <w:fldChar w:fldCharType="end"/>
      </w:r>
    </w:p>
    <w:p w14:paraId="6D059626" w14:textId="77777777" w:rsidR="00DD4170" w:rsidRDefault="00DD4170">
      <w:pPr>
        <w:pStyle w:val="TOC2"/>
        <w:rPr>
          <w:rFonts w:eastAsiaTheme="minorEastAsia" w:cstheme="minorBidi"/>
          <w:smallCaps w:val="0"/>
          <w:noProof/>
          <w:color w:val="auto"/>
          <w:lang w:val="en-US" w:eastAsia="en-US"/>
        </w:rPr>
      </w:pPr>
      <w:r w:rsidRPr="00584A25">
        <w:rPr>
          <w:noProof/>
          <w:lang w:eastAsia="en-US"/>
        </w:rPr>
        <w:t>3.10.2.</w:t>
      </w:r>
      <w:r>
        <w:rPr>
          <w:rFonts w:eastAsiaTheme="minorEastAsia" w:cstheme="minorBidi"/>
          <w:smallCaps w:val="0"/>
          <w:noProof/>
          <w:color w:val="auto"/>
          <w:lang w:val="en-US" w:eastAsia="en-US"/>
        </w:rPr>
        <w:tab/>
      </w:r>
      <w:r w:rsidRPr="00584A25">
        <w:rPr>
          <w:noProof/>
          <w:lang w:eastAsia="en-US"/>
        </w:rPr>
        <w:t>Details of the evaluation</w:t>
      </w:r>
      <w:r>
        <w:rPr>
          <w:noProof/>
        </w:rPr>
        <w:tab/>
      </w:r>
      <w:r>
        <w:rPr>
          <w:noProof/>
        </w:rPr>
        <w:fldChar w:fldCharType="begin"/>
      </w:r>
      <w:r>
        <w:rPr>
          <w:noProof/>
        </w:rPr>
        <w:instrText xml:space="preserve"> PAGEREF _Toc461183780 \h </w:instrText>
      </w:r>
      <w:r>
        <w:rPr>
          <w:noProof/>
        </w:rPr>
      </w:r>
      <w:r>
        <w:rPr>
          <w:noProof/>
        </w:rPr>
        <w:fldChar w:fldCharType="separate"/>
      </w:r>
      <w:r w:rsidR="00511F3E">
        <w:rPr>
          <w:noProof/>
        </w:rPr>
        <w:t>31</w:t>
      </w:r>
      <w:r>
        <w:rPr>
          <w:noProof/>
        </w:rPr>
        <w:fldChar w:fldCharType="end"/>
      </w:r>
    </w:p>
    <w:p w14:paraId="0A5E2A17" w14:textId="77777777" w:rsidR="00DD4170" w:rsidRDefault="00DD4170">
      <w:pPr>
        <w:pStyle w:val="TOC1"/>
        <w:rPr>
          <w:rFonts w:asciiTheme="minorHAnsi" w:eastAsiaTheme="minorEastAsia" w:hAnsiTheme="minorHAnsi" w:cstheme="minorBidi"/>
          <w:b w:val="0"/>
          <w:caps w:val="0"/>
          <w:color w:val="auto"/>
          <w:lang w:val="en-US" w:eastAsia="en-US"/>
        </w:rPr>
      </w:pPr>
      <w:r w:rsidRPr="00584A25">
        <w:rPr>
          <w:bCs/>
          <w:kern w:val="32"/>
        </w:rPr>
        <w:t>4</w:t>
      </w:r>
      <w:r>
        <w:rPr>
          <w:rFonts w:asciiTheme="minorHAnsi" w:eastAsiaTheme="minorEastAsia" w:hAnsiTheme="minorHAnsi" w:cstheme="minorBidi"/>
          <w:b w:val="0"/>
          <w:caps w:val="0"/>
          <w:color w:val="auto"/>
          <w:lang w:val="en-US" w:eastAsia="en-US"/>
        </w:rPr>
        <w:tab/>
      </w:r>
      <w:r w:rsidRPr="00584A25">
        <w:rPr>
          <w:bCs/>
          <w:kern w:val="32"/>
        </w:rPr>
        <w:t>Activity Report 2016 and Workplan for 2017</w:t>
      </w:r>
      <w:r>
        <w:tab/>
      </w:r>
      <w:r>
        <w:fldChar w:fldCharType="begin"/>
      </w:r>
      <w:r>
        <w:instrText xml:space="preserve"> PAGEREF _Toc461183781 \h </w:instrText>
      </w:r>
      <w:r>
        <w:fldChar w:fldCharType="separate"/>
      </w:r>
      <w:r w:rsidR="00511F3E">
        <w:t>36</w:t>
      </w:r>
      <w:r>
        <w:fldChar w:fldCharType="end"/>
      </w:r>
    </w:p>
    <w:p w14:paraId="5981789D" w14:textId="77777777" w:rsidR="00DD4170" w:rsidRDefault="00DD4170">
      <w:pPr>
        <w:pStyle w:val="TOC2"/>
        <w:rPr>
          <w:rFonts w:eastAsiaTheme="minorEastAsia" w:cstheme="minorBidi"/>
          <w:smallCaps w:val="0"/>
          <w:noProof/>
          <w:color w:val="auto"/>
          <w:lang w:val="en-US" w:eastAsia="en-US"/>
        </w:rPr>
      </w:pPr>
      <w:r w:rsidRPr="00584A25">
        <w:rPr>
          <w:rFonts w:ascii="Times New Roman Bold" w:eastAsia="MS ????" w:hAnsi="Times New Roman Bold"/>
          <w:noProof/>
        </w:rPr>
        <w:t>4.1.</w:t>
      </w:r>
      <w:r>
        <w:rPr>
          <w:rFonts w:eastAsiaTheme="minorEastAsia" w:cstheme="minorBidi"/>
          <w:smallCaps w:val="0"/>
          <w:noProof/>
          <w:color w:val="auto"/>
          <w:lang w:val="en-US" w:eastAsia="en-US"/>
        </w:rPr>
        <w:tab/>
      </w:r>
      <w:r w:rsidRPr="00584A25">
        <w:rPr>
          <w:rFonts w:ascii="Times New Roman Bold" w:eastAsia="MS ????" w:hAnsi="Times New Roman Bold"/>
          <w:noProof/>
        </w:rPr>
        <w:t>Activity report for 2016</w:t>
      </w:r>
      <w:r>
        <w:rPr>
          <w:noProof/>
        </w:rPr>
        <w:tab/>
      </w:r>
      <w:r>
        <w:rPr>
          <w:noProof/>
        </w:rPr>
        <w:fldChar w:fldCharType="begin"/>
      </w:r>
      <w:r>
        <w:rPr>
          <w:noProof/>
        </w:rPr>
        <w:instrText xml:space="preserve"> PAGEREF _Toc461183782 \h </w:instrText>
      </w:r>
      <w:r>
        <w:rPr>
          <w:noProof/>
        </w:rPr>
      </w:r>
      <w:r>
        <w:rPr>
          <w:noProof/>
        </w:rPr>
        <w:fldChar w:fldCharType="separate"/>
      </w:r>
      <w:r w:rsidR="00511F3E">
        <w:rPr>
          <w:noProof/>
        </w:rPr>
        <w:t>36</w:t>
      </w:r>
      <w:r>
        <w:rPr>
          <w:noProof/>
        </w:rPr>
        <w:fldChar w:fldCharType="end"/>
      </w:r>
    </w:p>
    <w:p w14:paraId="56FD0B15" w14:textId="77777777" w:rsidR="00DD4170" w:rsidRDefault="00DD4170">
      <w:pPr>
        <w:pStyle w:val="TOC2"/>
        <w:rPr>
          <w:rFonts w:eastAsiaTheme="minorEastAsia" w:cstheme="minorBidi"/>
          <w:smallCaps w:val="0"/>
          <w:noProof/>
          <w:color w:val="auto"/>
          <w:lang w:val="en-US" w:eastAsia="en-US"/>
        </w:rPr>
      </w:pPr>
      <w:r w:rsidRPr="00584A25">
        <w:rPr>
          <w:rFonts w:ascii="Times New Roman Bold" w:eastAsia="MS ????" w:hAnsi="Times New Roman Bold"/>
          <w:noProof/>
        </w:rPr>
        <w:t>4.2.</w:t>
      </w:r>
      <w:r>
        <w:rPr>
          <w:rFonts w:eastAsiaTheme="minorEastAsia" w:cstheme="minorBidi"/>
          <w:smallCaps w:val="0"/>
          <w:noProof/>
          <w:color w:val="auto"/>
          <w:lang w:val="en-US" w:eastAsia="en-US"/>
        </w:rPr>
        <w:tab/>
      </w:r>
      <w:r w:rsidRPr="00584A25">
        <w:rPr>
          <w:rFonts w:ascii="Times New Roman Bold" w:eastAsia="MS ????" w:hAnsi="Times New Roman Bold"/>
          <w:noProof/>
        </w:rPr>
        <w:t>Work plan and indicative budget for 2017</w:t>
      </w:r>
      <w:r>
        <w:rPr>
          <w:noProof/>
        </w:rPr>
        <w:tab/>
      </w:r>
      <w:r>
        <w:rPr>
          <w:noProof/>
        </w:rPr>
        <w:fldChar w:fldCharType="begin"/>
      </w:r>
      <w:r>
        <w:rPr>
          <w:noProof/>
        </w:rPr>
        <w:instrText xml:space="preserve"> PAGEREF _Toc461183783 \h </w:instrText>
      </w:r>
      <w:r>
        <w:rPr>
          <w:noProof/>
        </w:rPr>
      </w:r>
      <w:r>
        <w:rPr>
          <w:noProof/>
        </w:rPr>
        <w:fldChar w:fldCharType="separate"/>
      </w:r>
      <w:r w:rsidR="00511F3E">
        <w:rPr>
          <w:noProof/>
        </w:rPr>
        <w:t>36</w:t>
      </w:r>
      <w:r>
        <w:rPr>
          <w:noProof/>
        </w:rPr>
        <w:fldChar w:fldCharType="end"/>
      </w:r>
    </w:p>
    <w:p w14:paraId="449EFB9F" w14:textId="77777777" w:rsidR="00DD4170" w:rsidRDefault="00DD4170">
      <w:pPr>
        <w:pStyle w:val="TOC1"/>
        <w:rPr>
          <w:rFonts w:asciiTheme="minorHAnsi" w:eastAsiaTheme="minorEastAsia" w:hAnsiTheme="minorHAnsi" w:cstheme="minorBidi"/>
          <w:b w:val="0"/>
          <w:caps w:val="0"/>
          <w:color w:val="auto"/>
          <w:lang w:val="en-US" w:eastAsia="en-US"/>
        </w:rPr>
      </w:pPr>
      <w:r w:rsidRPr="00584A25">
        <w:rPr>
          <w:bCs/>
          <w:kern w:val="32"/>
        </w:rPr>
        <w:t>5</w:t>
      </w:r>
      <w:r>
        <w:rPr>
          <w:rFonts w:asciiTheme="minorHAnsi" w:eastAsiaTheme="minorEastAsia" w:hAnsiTheme="minorHAnsi" w:cstheme="minorBidi"/>
          <w:b w:val="0"/>
          <w:caps w:val="0"/>
          <w:color w:val="auto"/>
          <w:lang w:val="en-US" w:eastAsia="en-US"/>
        </w:rPr>
        <w:tab/>
      </w:r>
      <w:r w:rsidRPr="00584A25">
        <w:rPr>
          <w:bCs/>
          <w:kern w:val="32"/>
        </w:rPr>
        <w:t>References</w:t>
      </w:r>
      <w:r>
        <w:tab/>
      </w:r>
      <w:r>
        <w:fldChar w:fldCharType="begin"/>
      </w:r>
      <w:r>
        <w:instrText xml:space="preserve"> PAGEREF _Toc461183784 \h </w:instrText>
      </w:r>
      <w:r>
        <w:fldChar w:fldCharType="separate"/>
      </w:r>
      <w:r w:rsidR="00511F3E">
        <w:t>39</w:t>
      </w:r>
      <w:r>
        <w:fldChar w:fldCharType="end"/>
      </w:r>
    </w:p>
    <w:p w14:paraId="2227D82F" w14:textId="77777777" w:rsidR="00DD4170" w:rsidRDefault="00DD4170">
      <w:pPr>
        <w:pStyle w:val="TOC1"/>
        <w:rPr>
          <w:rFonts w:asciiTheme="minorHAnsi" w:eastAsiaTheme="minorEastAsia" w:hAnsiTheme="minorHAnsi" w:cstheme="minorBidi"/>
          <w:b w:val="0"/>
          <w:caps w:val="0"/>
          <w:color w:val="auto"/>
          <w:lang w:val="en-US" w:eastAsia="en-US"/>
        </w:rPr>
      </w:pPr>
      <w:r w:rsidRPr="00584A25">
        <w:rPr>
          <w:bCs/>
          <w:kern w:val="32"/>
        </w:rPr>
        <w:t xml:space="preserve">ANNEX </w:t>
      </w:r>
      <w:r>
        <w:t>I - Decision IX/6 Critical Use Exemptions for Methyl Bromide</w:t>
      </w:r>
      <w:r>
        <w:tab/>
      </w:r>
      <w:r>
        <w:fldChar w:fldCharType="begin"/>
      </w:r>
      <w:r>
        <w:instrText xml:space="preserve"> PAGEREF _Toc461183785 \h </w:instrText>
      </w:r>
      <w:r>
        <w:fldChar w:fldCharType="separate"/>
      </w:r>
      <w:r w:rsidR="00511F3E">
        <w:t>42</w:t>
      </w:r>
      <w:r>
        <w:fldChar w:fldCharType="end"/>
      </w:r>
    </w:p>
    <w:p w14:paraId="6D9D393F" w14:textId="77777777" w:rsidR="00DD4170" w:rsidRDefault="00DD4170">
      <w:pPr>
        <w:pStyle w:val="TOC1"/>
        <w:rPr>
          <w:rFonts w:asciiTheme="minorHAnsi" w:eastAsiaTheme="minorEastAsia" w:hAnsiTheme="minorHAnsi" w:cstheme="minorBidi"/>
          <w:b w:val="0"/>
          <w:caps w:val="0"/>
          <w:color w:val="auto"/>
          <w:lang w:val="en-US" w:eastAsia="en-US"/>
        </w:rPr>
      </w:pPr>
      <w:r w:rsidRPr="00584A25">
        <w:rPr>
          <w:bCs/>
          <w:kern w:val="32"/>
        </w:rPr>
        <w:t>ANNEX II - Decision Ex.I/4. Conditions for granting and reporting critical-use exemptions for methyl bromide</w:t>
      </w:r>
      <w:r>
        <w:tab/>
      </w:r>
      <w:r>
        <w:fldChar w:fldCharType="begin"/>
      </w:r>
      <w:r>
        <w:instrText xml:space="preserve"> PAGEREF _Toc461183786 \h </w:instrText>
      </w:r>
      <w:r>
        <w:fldChar w:fldCharType="separate"/>
      </w:r>
      <w:r w:rsidR="00511F3E">
        <w:t>43</w:t>
      </w:r>
      <w:r>
        <w:fldChar w:fldCharType="end"/>
      </w:r>
    </w:p>
    <w:p w14:paraId="43AA0C3D" w14:textId="77777777" w:rsidR="00DD4170" w:rsidRDefault="00DD4170">
      <w:pPr>
        <w:pStyle w:val="TOC1"/>
        <w:rPr>
          <w:rFonts w:asciiTheme="minorHAnsi" w:eastAsiaTheme="minorEastAsia" w:hAnsiTheme="minorHAnsi" w:cstheme="minorBidi"/>
          <w:b w:val="0"/>
          <w:caps w:val="0"/>
          <w:color w:val="auto"/>
          <w:lang w:val="en-US" w:eastAsia="en-US"/>
        </w:rPr>
      </w:pPr>
      <w:r w:rsidRPr="00584A25">
        <w:rPr>
          <w:bCs/>
          <w:kern w:val="32"/>
        </w:rPr>
        <w:t>ANNEX III - Part A:</w:t>
      </w:r>
      <w:r w:rsidRPr="00584A25">
        <w:rPr>
          <w:b w:val="0"/>
          <w:bCs/>
          <w:kern w:val="32"/>
        </w:rPr>
        <w:t xml:space="preserve"> </w:t>
      </w:r>
      <w:r w:rsidRPr="00584A25">
        <w:rPr>
          <w:bCs/>
          <w:kern w:val="32"/>
        </w:rPr>
        <w:t>Historic Trends in non A5 Preplant Soil Nominations and Exemptions for MB Use</w:t>
      </w:r>
      <w:r>
        <w:tab/>
      </w:r>
      <w:r>
        <w:fldChar w:fldCharType="begin"/>
      </w:r>
      <w:r>
        <w:instrText xml:space="preserve"> PAGEREF _Toc461183787 \h </w:instrText>
      </w:r>
      <w:r>
        <w:fldChar w:fldCharType="separate"/>
      </w:r>
      <w:r w:rsidR="00511F3E">
        <w:t>46</w:t>
      </w:r>
      <w:r>
        <w:fldChar w:fldCharType="end"/>
      </w:r>
    </w:p>
    <w:p w14:paraId="6DA45EA4" w14:textId="77777777" w:rsidR="00DD4170" w:rsidRDefault="00DD4170">
      <w:pPr>
        <w:pStyle w:val="TOC1"/>
        <w:rPr>
          <w:rFonts w:asciiTheme="minorHAnsi" w:eastAsiaTheme="minorEastAsia" w:hAnsiTheme="minorHAnsi" w:cstheme="minorBidi"/>
          <w:b w:val="0"/>
          <w:caps w:val="0"/>
          <w:color w:val="auto"/>
          <w:lang w:val="en-US" w:eastAsia="en-US"/>
        </w:rPr>
      </w:pPr>
      <w:r w:rsidRPr="00584A25">
        <w:rPr>
          <w:bCs/>
          <w:kern w:val="32"/>
        </w:rPr>
        <w:t>ANNEX IV– Part B: Historic Trends in non A5 Structural and Commodity Nominations and Exemptions for MB Use</w:t>
      </w:r>
      <w:r>
        <w:tab/>
      </w:r>
      <w:r>
        <w:fldChar w:fldCharType="begin"/>
      </w:r>
      <w:r>
        <w:instrText xml:space="preserve"> PAGEREF _Toc461183788 \h </w:instrText>
      </w:r>
      <w:r>
        <w:fldChar w:fldCharType="separate"/>
      </w:r>
      <w:r w:rsidR="00511F3E">
        <w:t>53</w:t>
      </w:r>
      <w:r>
        <w:fldChar w:fldCharType="end"/>
      </w:r>
    </w:p>
    <w:p w14:paraId="33BD9271" w14:textId="28C1F35E" w:rsidR="008D5F24" w:rsidRPr="00CD3CBD" w:rsidRDefault="00F9037E" w:rsidP="00EB7F94">
      <w:r w:rsidRPr="003655C2">
        <w:rPr>
          <w:caps/>
          <w:szCs w:val="22"/>
        </w:rPr>
        <w:fldChar w:fldCharType="end"/>
      </w:r>
    </w:p>
    <w:p w14:paraId="0AA7BE70" w14:textId="77777777" w:rsidR="006B71CA" w:rsidRPr="003655C2" w:rsidRDefault="006B71CA" w:rsidP="00765CCC">
      <w:pPr>
        <w:pStyle w:val="Title"/>
        <w:jc w:val="left"/>
        <w:rPr>
          <w:rFonts w:ascii="Times New Roman" w:hAnsi="Times New Roman"/>
        </w:rPr>
        <w:sectPr w:rsidR="006B71CA" w:rsidRPr="003655C2" w:rsidSect="00B43EA1">
          <w:footerReference w:type="even" r:id="rId17"/>
          <w:pgSz w:w="11909" w:h="16834" w:code="9"/>
          <w:pgMar w:top="1440" w:right="1440" w:bottom="1134" w:left="1440" w:header="720" w:footer="720" w:gutter="0"/>
          <w:pgNumType w:fmt="lowerRoman"/>
          <w:cols w:space="720"/>
          <w:docGrid w:linePitch="360"/>
        </w:sectPr>
      </w:pPr>
      <w:bookmarkStart w:id="12" w:name="_Toc321116329"/>
    </w:p>
    <w:p w14:paraId="4D5089BD" w14:textId="0892F62B" w:rsidR="00067EB6" w:rsidRPr="003655C2" w:rsidRDefault="00AD28C6" w:rsidP="006A54A1">
      <w:pPr>
        <w:pStyle w:val="Heading1"/>
        <w:rPr>
          <w:rStyle w:val="Heading1Char2"/>
          <w:rFonts w:ascii="Times New Roman" w:hAnsi="Times New Roman"/>
          <w:b/>
        </w:rPr>
      </w:pPr>
      <w:bookmarkStart w:id="13" w:name="_Toc461183754"/>
      <w:bookmarkEnd w:id="12"/>
      <w:r w:rsidRPr="003655C2">
        <w:rPr>
          <w:rStyle w:val="Heading1Char2"/>
          <w:rFonts w:ascii="Times New Roman" w:hAnsi="Times New Roman"/>
          <w:b/>
        </w:rPr>
        <w:lastRenderedPageBreak/>
        <w:t xml:space="preserve">1 </w:t>
      </w:r>
      <w:r w:rsidR="006A54A1">
        <w:rPr>
          <w:rStyle w:val="Heading1Char2"/>
          <w:rFonts w:ascii="Times New Roman" w:hAnsi="Times New Roman"/>
          <w:b/>
        </w:rPr>
        <w:tab/>
      </w:r>
      <w:r w:rsidR="00067EB6" w:rsidRPr="003655C2">
        <w:rPr>
          <w:rStyle w:val="Heading1Char2"/>
          <w:rFonts w:ascii="Times New Roman" w:hAnsi="Times New Roman"/>
          <w:b/>
        </w:rPr>
        <w:t>Executive Summary</w:t>
      </w:r>
      <w:bookmarkEnd w:id="13"/>
    </w:p>
    <w:p w14:paraId="315CE79A" w14:textId="77777777" w:rsidR="00AB34C2" w:rsidRDefault="00E65A3C" w:rsidP="00CC1CE4">
      <w:pPr>
        <w:pStyle w:val="Title"/>
        <w:jc w:val="both"/>
        <w:rPr>
          <w:rFonts w:ascii="Times New Roman" w:hAnsi="Times New Roman"/>
          <w:b w:val="0"/>
          <w:kern w:val="0"/>
          <w:sz w:val="22"/>
        </w:rPr>
      </w:pPr>
      <w:r w:rsidRPr="00CD3CBD">
        <w:rPr>
          <w:rFonts w:ascii="Times New Roman" w:hAnsi="Times New Roman"/>
          <w:b w:val="0"/>
          <w:kern w:val="0"/>
          <w:sz w:val="22"/>
        </w:rPr>
        <w:t xml:space="preserve">MBTOC received eight CUNs for </w:t>
      </w:r>
      <w:r w:rsidR="00364869" w:rsidRPr="00CD3CBD">
        <w:rPr>
          <w:rFonts w:ascii="Times New Roman" w:hAnsi="Times New Roman"/>
          <w:b w:val="0"/>
          <w:kern w:val="0"/>
          <w:sz w:val="22"/>
        </w:rPr>
        <w:t xml:space="preserve">a total </w:t>
      </w:r>
      <w:r w:rsidRPr="00CD3CBD">
        <w:rPr>
          <w:rFonts w:ascii="Times New Roman" w:hAnsi="Times New Roman"/>
          <w:b w:val="0"/>
          <w:kern w:val="0"/>
          <w:sz w:val="22"/>
        </w:rPr>
        <w:t>use of 337.8 tonnes of methyl bromide from five Parti</w:t>
      </w:r>
      <w:r w:rsidRPr="00501812">
        <w:rPr>
          <w:rFonts w:ascii="Times New Roman" w:hAnsi="Times New Roman"/>
          <w:b w:val="0"/>
          <w:kern w:val="0"/>
          <w:sz w:val="22"/>
        </w:rPr>
        <w:t xml:space="preserve">es in 2017 (seven nominations) and 2018 (one nomination).  </w:t>
      </w:r>
      <w:r w:rsidR="00F13BE0" w:rsidRPr="003A30C7">
        <w:rPr>
          <w:rFonts w:ascii="Times New Roman" w:hAnsi="Times New Roman"/>
          <w:b w:val="0"/>
          <w:kern w:val="0"/>
          <w:sz w:val="22"/>
        </w:rPr>
        <w:t>Re</w:t>
      </w:r>
      <w:r w:rsidRPr="003A30C7">
        <w:rPr>
          <w:rFonts w:ascii="Times New Roman" w:hAnsi="Times New Roman"/>
          <w:b w:val="0"/>
          <w:kern w:val="0"/>
          <w:sz w:val="22"/>
        </w:rPr>
        <w:t xml:space="preserve">commendations were made on </w:t>
      </w:r>
      <w:r w:rsidR="00F13BE0" w:rsidRPr="003A30C7">
        <w:rPr>
          <w:rFonts w:ascii="Times New Roman" w:hAnsi="Times New Roman"/>
          <w:b w:val="0"/>
          <w:kern w:val="0"/>
          <w:sz w:val="22"/>
        </w:rPr>
        <w:t>all</w:t>
      </w:r>
      <w:r w:rsidR="006837ED" w:rsidRPr="003A30C7">
        <w:rPr>
          <w:rFonts w:ascii="Times New Roman" w:hAnsi="Times New Roman"/>
          <w:b w:val="0"/>
          <w:kern w:val="0"/>
          <w:sz w:val="22"/>
        </w:rPr>
        <w:t xml:space="preserve"> </w:t>
      </w:r>
      <w:r w:rsidR="00F13BE0" w:rsidRPr="003A30C7">
        <w:rPr>
          <w:rFonts w:ascii="Times New Roman" w:hAnsi="Times New Roman"/>
          <w:b w:val="0"/>
          <w:kern w:val="0"/>
          <w:sz w:val="22"/>
        </w:rPr>
        <w:t xml:space="preserve">eight </w:t>
      </w:r>
      <w:r w:rsidR="00585EF9" w:rsidRPr="00082015">
        <w:rPr>
          <w:rFonts w:ascii="Times New Roman" w:hAnsi="Times New Roman"/>
          <w:b w:val="0"/>
          <w:kern w:val="0"/>
          <w:sz w:val="22"/>
        </w:rPr>
        <w:t xml:space="preserve">nominations for </w:t>
      </w:r>
      <w:r w:rsidR="00CC1CE4" w:rsidRPr="00082015">
        <w:rPr>
          <w:rFonts w:ascii="Times New Roman" w:hAnsi="Times New Roman"/>
          <w:b w:val="0"/>
          <w:kern w:val="0"/>
          <w:sz w:val="22"/>
        </w:rPr>
        <w:t>230.908</w:t>
      </w:r>
      <w:r w:rsidR="00585EF9" w:rsidRPr="00082015">
        <w:rPr>
          <w:rFonts w:ascii="Times New Roman" w:hAnsi="Times New Roman"/>
          <w:b w:val="0"/>
          <w:kern w:val="0"/>
          <w:sz w:val="22"/>
        </w:rPr>
        <w:t xml:space="preserve"> tonnes</w:t>
      </w:r>
      <w:r w:rsidR="00F13BE0" w:rsidRPr="00082015">
        <w:rPr>
          <w:rFonts w:ascii="Times New Roman" w:hAnsi="Times New Roman"/>
          <w:b w:val="0"/>
          <w:kern w:val="0"/>
          <w:sz w:val="22"/>
        </w:rPr>
        <w:t>.</w:t>
      </w:r>
      <w:r w:rsidR="006F736F" w:rsidRPr="00082015">
        <w:rPr>
          <w:rFonts w:ascii="Times New Roman" w:hAnsi="Times New Roman"/>
          <w:b w:val="0"/>
          <w:kern w:val="0"/>
          <w:sz w:val="22"/>
        </w:rPr>
        <w:t xml:space="preserve"> All nominations </w:t>
      </w:r>
      <w:r w:rsidR="00F13BE0" w:rsidRPr="00082015">
        <w:rPr>
          <w:rFonts w:ascii="Times New Roman" w:hAnsi="Times New Roman"/>
          <w:b w:val="0"/>
          <w:kern w:val="0"/>
          <w:sz w:val="22"/>
        </w:rPr>
        <w:t xml:space="preserve">except </w:t>
      </w:r>
      <w:r w:rsidR="00364869" w:rsidRPr="00082015">
        <w:rPr>
          <w:rFonts w:ascii="Times New Roman" w:hAnsi="Times New Roman"/>
          <w:b w:val="0"/>
          <w:kern w:val="0"/>
          <w:sz w:val="22"/>
        </w:rPr>
        <w:t>one for</w:t>
      </w:r>
      <w:r w:rsidR="00F13BE0" w:rsidRPr="00082015">
        <w:rPr>
          <w:rFonts w:ascii="Times New Roman" w:hAnsi="Times New Roman"/>
          <w:b w:val="0"/>
          <w:kern w:val="0"/>
          <w:sz w:val="22"/>
        </w:rPr>
        <w:t xml:space="preserve"> strawberry runners from Canada were reduced</w:t>
      </w:r>
      <w:r w:rsidR="00364869" w:rsidRPr="00082015">
        <w:rPr>
          <w:rFonts w:ascii="Times New Roman" w:hAnsi="Times New Roman"/>
          <w:b w:val="0"/>
          <w:kern w:val="0"/>
          <w:sz w:val="22"/>
        </w:rPr>
        <w:t>,</w:t>
      </w:r>
      <w:r w:rsidR="00F13BE0" w:rsidRPr="00082015">
        <w:rPr>
          <w:rFonts w:ascii="Times New Roman" w:hAnsi="Times New Roman"/>
          <w:b w:val="0"/>
          <w:kern w:val="0"/>
          <w:sz w:val="22"/>
        </w:rPr>
        <w:t xml:space="preserve"> to</w:t>
      </w:r>
      <w:r w:rsidR="006F736F" w:rsidRPr="00082015">
        <w:rPr>
          <w:rFonts w:ascii="Times New Roman" w:hAnsi="Times New Roman"/>
          <w:b w:val="0"/>
          <w:kern w:val="0"/>
          <w:sz w:val="22"/>
        </w:rPr>
        <w:t xml:space="preserve"> account for</w:t>
      </w:r>
      <w:r w:rsidR="00CC1CE4" w:rsidRPr="00082015">
        <w:rPr>
          <w:rFonts w:ascii="Times New Roman" w:hAnsi="Times New Roman"/>
          <w:b w:val="0"/>
          <w:kern w:val="0"/>
          <w:sz w:val="22"/>
        </w:rPr>
        <w:t xml:space="preserve"> a</w:t>
      </w:r>
      <w:r w:rsidR="006F736F" w:rsidRPr="00082015">
        <w:rPr>
          <w:rFonts w:ascii="Times New Roman" w:hAnsi="Times New Roman"/>
          <w:b w:val="0"/>
          <w:kern w:val="0"/>
          <w:sz w:val="22"/>
        </w:rPr>
        <w:t>lternatives</w:t>
      </w:r>
      <w:r w:rsidR="00364869" w:rsidRPr="00082015">
        <w:rPr>
          <w:rFonts w:ascii="Times New Roman" w:hAnsi="Times New Roman"/>
          <w:b w:val="0"/>
          <w:kern w:val="0"/>
          <w:sz w:val="22"/>
        </w:rPr>
        <w:t>, which MBTOC considers can be</w:t>
      </w:r>
      <w:r w:rsidR="00F13BE0" w:rsidRPr="00082015">
        <w:rPr>
          <w:rFonts w:ascii="Times New Roman" w:hAnsi="Times New Roman"/>
          <w:b w:val="0"/>
          <w:kern w:val="0"/>
          <w:sz w:val="22"/>
        </w:rPr>
        <w:t xml:space="preserve"> used for a proportion of the nomination.  This includes the adoption of </w:t>
      </w:r>
      <w:r w:rsidR="006F736F" w:rsidRPr="00082015">
        <w:rPr>
          <w:rFonts w:ascii="Times New Roman" w:hAnsi="Times New Roman"/>
          <w:b w:val="0"/>
          <w:kern w:val="0"/>
          <w:sz w:val="22"/>
        </w:rPr>
        <w:t>emission reduction practices</w:t>
      </w:r>
      <w:r w:rsidR="00507126" w:rsidRPr="00F5313E">
        <w:rPr>
          <w:rFonts w:ascii="Times New Roman" w:hAnsi="Times New Roman"/>
          <w:b w:val="0"/>
          <w:kern w:val="0"/>
          <w:sz w:val="22"/>
        </w:rPr>
        <w:t>,</w:t>
      </w:r>
      <w:r w:rsidR="00CC1CE4" w:rsidRPr="00220275">
        <w:rPr>
          <w:rFonts w:ascii="Times New Roman" w:hAnsi="Times New Roman"/>
          <w:b w:val="0"/>
          <w:kern w:val="0"/>
          <w:sz w:val="22"/>
        </w:rPr>
        <w:t xml:space="preserve"> </w:t>
      </w:r>
      <w:r w:rsidR="00F13BE0" w:rsidRPr="00220275">
        <w:rPr>
          <w:rFonts w:ascii="Times New Roman" w:hAnsi="Times New Roman"/>
          <w:b w:val="0"/>
          <w:kern w:val="0"/>
          <w:sz w:val="22"/>
        </w:rPr>
        <w:t xml:space="preserve">such as the use of low permeability barrier films, </w:t>
      </w:r>
      <w:r w:rsidR="006F736F" w:rsidRPr="00220275">
        <w:rPr>
          <w:rFonts w:ascii="Times New Roman" w:hAnsi="Times New Roman"/>
          <w:b w:val="0"/>
          <w:kern w:val="0"/>
          <w:sz w:val="22"/>
        </w:rPr>
        <w:t xml:space="preserve">which reduce dosage rates required of methyl bromide. </w:t>
      </w:r>
    </w:p>
    <w:p w14:paraId="7D7AED58" w14:textId="77777777" w:rsidR="00AB34C2" w:rsidRDefault="00F13BE0" w:rsidP="00CC1CE4">
      <w:pPr>
        <w:pStyle w:val="Title"/>
        <w:jc w:val="both"/>
        <w:rPr>
          <w:rFonts w:ascii="Times New Roman" w:hAnsi="Times New Roman"/>
          <w:b w:val="0"/>
          <w:kern w:val="0"/>
          <w:sz w:val="22"/>
        </w:rPr>
      </w:pPr>
      <w:r w:rsidRPr="00220275">
        <w:rPr>
          <w:rFonts w:ascii="Times New Roman" w:hAnsi="Times New Roman"/>
          <w:b w:val="0"/>
          <w:kern w:val="0"/>
          <w:sz w:val="22"/>
        </w:rPr>
        <w:t>No further information has been received about stocks</w:t>
      </w:r>
      <w:r w:rsidR="00364869" w:rsidRPr="00220275">
        <w:rPr>
          <w:rFonts w:ascii="Times New Roman" w:hAnsi="Times New Roman"/>
          <w:b w:val="0"/>
          <w:kern w:val="0"/>
          <w:sz w:val="22"/>
        </w:rPr>
        <w:t xml:space="preserve"> presently</w:t>
      </w:r>
      <w:r w:rsidRPr="00B87B95">
        <w:rPr>
          <w:rFonts w:ascii="Times New Roman" w:hAnsi="Times New Roman"/>
          <w:b w:val="0"/>
          <w:kern w:val="0"/>
          <w:sz w:val="22"/>
        </w:rPr>
        <w:t xml:space="preserve"> held by non</w:t>
      </w:r>
      <w:r w:rsidR="00364869" w:rsidRPr="00B87B95">
        <w:rPr>
          <w:rFonts w:ascii="Times New Roman" w:hAnsi="Times New Roman"/>
          <w:b w:val="0"/>
          <w:kern w:val="0"/>
          <w:sz w:val="22"/>
        </w:rPr>
        <w:t>-</w:t>
      </w:r>
      <w:r w:rsidRPr="00563BC0">
        <w:rPr>
          <w:rFonts w:ascii="Times New Roman" w:hAnsi="Times New Roman"/>
          <w:b w:val="0"/>
          <w:kern w:val="0"/>
          <w:sz w:val="22"/>
        </w:rPr>
        <w:t xml:space="preserve">A5 or A5 Parties. </w:t>
      </w:r>
    </w:p>
    <w:p w14:paraId="25C0F2B3" w14:textId="6F5F384C" w:rsidR="00067EB6" w:rsidRPr="00563BC0" w:rsidRDefault="00F13BE0" w:rsidP="00CC1CE4">
      <w:pPr>
        <w:pStyle w:val="Title"/>
        <w:jc w:val="both"/>
        <w:rPr>
          <w:rFonts w:ascii="Times New Roman" w:hAnsi="Times New Roman"/>
          <w:b w:val="0"/>
          <w:kern w:val="0"/>
          <w:sz w:val="22"/>
        </w:rPr>
      </w:pPr>
      <w:r w:rsidRPr="00563BC0">
        <w:rPr>
          <w:rFonts w:ascii="Times New Roman" w:hAnsi="Times New Roman"/>
          <w:b w:val="0"/>
          <w:kern w:val="0"/>
          <w:sz w:val="22"/>
        </w:rPr>
        <w:t xml:space="preserve">Concerns were presented at the </w:t>
      </w:r>
      <w:r w:rsidR="00AB34C2">
        <w:rPr>
          <w:rFonts w:ascii="Times New Roman" w:hAnsi="Times New Roman"/>
          <w:b w:val="0"/>
          <w:kern w:val="0"/>
          <w:sz w:val="22"/>
        </w:rPr>
        <w:t>38</w:t>
      </w:r>
      <w:r w:rsidR="00AB34C2" w:rsidRPr="00AB34C2">
        <w:rPr>
          <w:rFonts w:ascii="Times New Roman" w:hAnsi="Times New Roman"/>
          <w:b w:val="0"/>
          <w:kern w:val="0"/>
          <w:sz w:val="22"/>
          <w:vertAlign w:val="superscript"/>
        </w:rPr>
        <w:t>th</w:t>
      </w:r>
      <w:r w:rsidR="00AB34C2">
        <w:rPr>
          <w:rFonts w:ascii="Times New Roman" w:hAnsi="Times New Roman"/>
          <w:b w:val="0"/>
          <w:kern w:val="0"/>
          <w:sz w:val="22"/>
        </w:rPr>
        <w:t xml:space="preserve"> </w:t>
      </w:r>
      <w:r w:rsidRPr="00563BC0">
        <w:rPr>
          <w:rFonts w:ascii="Times New Roman" w:hAnsi="Times New Roman"/>
          <w:b w:val="0"/>
          <w:kern w:val="0"/>
          <w:sz w:val="22"/>
        </w:rPr>
        <w:t>OEWG about non</w:t>
      </w:r>
      <w:r w:rsidR="00364869" w:rsidRPr="00563BC0">
        <w:rPr>
          <w:rFonts w:ascii="Times New Roman" w:hAnsi="Times New Roman"/>
          <w:b w:val="0"/>
          <w:kern w:val="0"/>
          <w:sz w:val="22"/>
        </w:rPr>
        <w:t>-</w:t>
      </w:r>
      <w:r w:rsidRPr="00563BC0">
        <w:rPr>
          <w:rFonts w:ascii="Times New Roman" w:hAnsi="Times New Roman"/>
          <w:b w:val="0"/>
          <w:kern w:val="0"/>
          <w:sz w:val="22"/>
        </w:rPr>
        <w:t>reported uses</w:t>
      </w:r>
      <w:r w:rsidR="00364869" w:rsidRPr="00563BC0">
        <w:rPr>
          <w:rFonts w:ascii="Times New Roman" w:hAnsi="Times New Roman"/>
          <w:b w:val="0"/>
          <w:kern w:val="0"/>
          <w:sz w:val="22"/>
        </w:rPr>
        <w:t xml:space="preserve"> of methyl bromide</w:t>
      </w:r>
      <w:r w:rsidRPr="00563BC0">
        <w:rPr>
          <w:rFonts w:ascii="Times New Roman" w:hAnsi="Times New Roman"/>
          <w:b w:val="0"/>
          <w:kern w:val="0"/>
          <w:sz w:val="22"/>
        </w:rPr>
        <w:t xml:space="preserve"> and potential illegal uses. </w:t>
      </w:r>
    </w:p>
    <w:p w14:paraId="762B8B1A" w14:textId="452D76B1" w:rsidR="008D5F24" w:rsidRPr="006A54A1" w:rsidRDefault="003A30C7" w:rsidP="006A54A1">
      <w:pPr>
        <w:pStyle w:val="Heading1"/>
        <w:rPr>
          <w:rStyle w:val="Heading1Char2"/>
          <w:rFonts w:ascii="Times New Roman" w:hAnsi="Times New Roman"/>
          <w:b/>
        </w:rPr>
      </w:pPr>
      <w:bookmarkStart w:id="14" w:name="_Toc102710545"/>
      <w:bookmarkStart w:id="15" w:name="_Toc321116330"/>
      <w:bookmarkStart w:id="16" w:name="_Toc323048859"/>
      <w:bookmarkStart w:id="17" w:name="_Toc323049023"/>
      <w:bookmarkStart w:id="18" w:name="_Toc293054732"/>
      <w:bookmarkStart w:id="19" w:name="_Toc461183755"/>
      <w:r w:rsidRPr="006A54A1">
        <w:rPr>
          <w:rStyle w:val="Heading1Char2"/>
          <w:rFonts w:ascii="Times New Roman" w:hAnsi="Times New Roman"/>
          <w:b/>
        </w:rPr>
        <w:t>2</w:t>
      </w:r>
      <w:r w:rsidR="008D5F24" w:rsidRPr="006A54A1">
        <w:rPr>
          <w:rStyle w:val="Heading1Char2"/>
          <w:rFonts w:ascii="Times New Roman" w:hAnsi="Times New Roman"/>
          <w:b/>
        </w:rPr>
        <w:t xml:space="preserve"> </w:t>
      </w:r>
      <w:r w:rsidR="008D5F24" w:rsidRPr="006A54A1">
        <w:rPr>
          <w:rStyle w:val="Heading1Char2"/>
          <w:rFonts w:ascii="Times New Roman" w:hAnsi="Times New Roman"/>
          <w:b/>
        </w:rPr>
        <w:tab/>
        <w:t>Scope of the Report</w:t>
      </w:r>
      <w:bookmarkEnd w:id="14"/>
      <w:bookmarkEnd w:id="15"/>
      <w:bookmarkEnd w:id="16"/>
      <w:bookmarkEnd w:id="17"/>
      <w:bookmarkEnd w:id="18"/>
      <w:bookmarkEnd w:id="19"/>
    </w:p>
    <w:p w14:paraId="7F84489F" w14:textId="3BC5F8DF" w:rsidR="008D5F24" w:rsidRPr="00F5313E" w:rsidRDefault="008D5F24" w:rsidP="009446BE">
      <w:pPr>
        <w:jc w:val="both"/>
      </w:pPr>
      <w:r w:rsidRPr="00CD3CBD">
        <w:t>Th</w:t>
      </w:r>
      <w:r w:rsidR="004D6151" w:rsidRPr="00CD3CBD">
        <w:t>e</w:t>
      </w:r>
      <w:r w:rsidR="00CC1CE4" w:rsidRPr="00CD3CBD">
        <w:t xml:space="preserve"> </w:t>
      </w:r>
      <w:r w:rsidR="00345318" w:rsidRPr="00501812">
        <w:t xml:space="preserve">2016 </w:t>
      </w:r>
      <w:r w:rsidR="00F13BE0" w:rsidRPr="00501812">
        <w:t>final</w:t>
      </w:r>
      <w:r w:rsidR="00CC1CE4" w:rsidRPr="003A30C7">
        <w:t xml:space="preserve"> </w:t>
      </w:r>
      <w:r w:rsidRPr="003A30C7">
        <w:t>report provides evaluations by MBTOC of Critical Use Nominations (CUNs) submitted for methyl bromide (MB) for 201</w:t>
      </w:r>
      <w:r w:rsidR="00345318" w:rsidRPr="00082015">
        <w:t>7</w:t>
      </w:r>
      <w:r w:rsidR="004D6151" w:rsidRPr="00082015">
        <w:t xml:space="preserve"> and 201</w:t>
      </w:r>
      <w:r w:rsidR="00345318" w:rsidRPr="00082015">
        <w:t>8</w:t>
      </w:r>
      <w:r w:rsidRPr="00082015">
        <w:t xml:space="preserve"> by </w:t>
      </w:r>
      <w:r w:rsidR="00345318" w:rsidRPr="00082015">
        <w:t>five</w:t>
      </w:r>
      <w:r w:rsidR="00CC1CE4" w:rsidRPr="00082015">
        <w:t xml:space="preserve"> </w:t>
      </w:r>
      <w:r w:rsidRPr="00082015">
        <w:t>Parties</w:t>
      </w:r>
      <w:r w:rsidR="004D6151" w:rsidRPr="00082015">
        <w:t>: t</w:t>
      </w:r>
      <w:r w:rsidR="00345318" w:rsidRPr="00082015">
        <w:t>wo</w:t>
      </w:r>
      <w:r w:rsidR="004D6151" w:rsidRPr="00082015">
        <w:t xml:space="preserve"> non-A5</w:t>
      </w:r>
      <w:r w:rsidRPr="00082015">
        <w:t xml:space="preserve"> (</w:t>
      </w:r>
      <w:r w:rsidR="004D6151" w:rsidRPr="00082015">
        <w:t>Australia</w:t>
      </w:r>
      <w:r w:rsidR="00345318" w:rsidRPr="00082015">
        <w:t xml:space="preserve"> and</w:t>
      </w:r>
      <w:r w:rsidR="004D6151" w:rsidRPr="00082015">
        <w:t xml:space="preserve"> Canada</w:t>
      </w:r>
      <w:r w:rsidRPr="00082015">
        <w:t>)</w:t>
      </w:r>
      <w:r w:rsidR="004D6151" w:rsidRPr="00082015">
        <w:t xml:space="preserve"> and </w:t>
      </w:r>
      <w:r w:rsidR="00345318" w:rsidRPr="00082015">
        <w:t>three</w:t>
      </w:r>
      <w:r w:rsidR="00CC1CE4" w:rsidRPr="00082015">
        <w:t xml:space="preserve"> </w:t>
      </w:r>
      <w:r w:rsidR="004D6151" w:rsidRPr="00082015">
        <w:t>A5 (Argentina, China</w:t>
      </w:r>
      <w:r w:rsidR="00332A99" w:rsidRPr="00082015">
        <w:t xml:space="preserve"> and South Africa</w:t>
      </w:r>
      <w:r w:rsidR="004D6151" w:rsidRPr="00082015">
        <w:t>)</w:t>
      </w:r>
      <w:r w:rsidRPr="00082015">
        <w:t>. As per provisions set out in Decision IX/6 (Annex I</w:t>
      </w:r>
      <w:r w:rsidR="00CD3CBD" w:rsidRPr="00082015">
        <w:t>, MOP16</w:t>
      </w:r>
      <w:r w:rsidR="00F40EFF" w:rsidRPr="00082015">
        <w:t>)</w:t>
      </w:r>
      <w:r w:rsidRPr="00082015">
        <w:t xml:space="preserve">, CUNs were </w:t>
      </w:r>
      <w:r w:rsidR="00332A99" w:rsidRPr="00082015">
        <w:t xml:space="preserve">required to be </w:t>
      </w:r>
      <w:r w:rsidRPr="00082015">
        <w:t>submitted</w:t>
      </w:r>
      <w:r w:rsidR="00BD353E" w:rsidRPr="00082015">
        <w:t xml:space="preserve"> by the Parties</w:t>
      </w:r>
      <w:r w:rsidRPr="00082015">
        <w:t xml:space="preserve"> to the Ozone Secretariat in accordance with the timetable shown in paragraph</w:t>
      </w:r>
      <w:r w:rsidR="004D6151" w:rsidRPr="00082015">
        <w:t xml:space="preserve"> 1 of Annex I, Decision XVI/4.</w:t>
      </w:r>
    </w:p>
    <w:p w14:paraId="10E2F66C" w14:textId="1D93C62A" w:rsidR="008D5F24" w:rsidRPr="00F9037E" w:rsidRDefault="008D5F24" w:rsidP="009446BE">
      <w:pPr>
        <w:jc w:val="both"/>
      </w:pPr>
      <w:r w:rsidRPr="00220275">
        <w:rPr>
          <w:color w:val="auto"/>
        </w:rPr>
        <w:t xml:space="preserve">This report </w:t>
      </w:r>
      <w:r w:rsidR="00BF087C" w:rsidRPr="00220275">
        <w:rPr>
          <w:color w:val="auto"/>
        </w:rPr>
        <w:t xml:space="preserve">also </w:t>
      </w:r>
      <w:r w:rsidRPr="00220275">
        <w:rPr>
          <w:color w:val="auto"/>
        </w:rPr>
        <w:t>provides</w:t>
      </w:r>
      <w:r w:rsidR="00CB4A33" w:rsidRPr="00220275">
        <w:rPr>
          <w:color w:val="auto"/>
        </w:rPr>
        <w:t xml:space="preserve">; </w:t>
      </w:r>
      <w:r w:rsidR="00086B93" w:rsidRPr="00220275">
        <w:rPr>
          <w:color w:val="auto"/>
        </w:rPr>
        <w:t>1</w:t>
      </w:r>
      <w:r w:rsidR="00254F25" w:rsidRPr="00220275">
        <w:rPr>
          <w:color w:val="auto"/>
        </w:rPr>
        <w:t>)</w:t>
      </w:r>
      <w:r w:rsidR="00CC1CE4" w:rsidRPr="00B87B95">
        <w:rPr>
          <w:color w:val="auto"/>
        </w:rPr>
        <w:t xml:space="preserve"> </w:t>
      </w:r>
      <w:r w:rsidR="00F13BE0" w:rsidRPr="00B87B95">
        <w:rPr>
          <w:color w:val="auto"/>
        </w:rPr>
        <w:t xml:space="preserve">final </w:t>
      </w:r>
      <w:r w:rsidRPr="00563BC0">
        <w:rPr>
          <w:color w:val="auto"/>
        </w:rPr>
        <w:t xml:space="preserve">recommendations for the CUNs for which the Parties provided information </w:t>
      </w:r>
      <w:r w:rsidR="00254F25" w:rsidRPr="00563BC0">
        <w:rPr>
          <w:color w:val="auto"/>
        </w:rPr>
        <w:t>as per the timelines set at the 2</w:t>
      </w:r>
      <w:r w:rsidR="00332A99" w:rsidRPr="00563BC0">
        <w:rPr>
          <w:color w:val="auto"/>
        </w:rPr>
        <w:t>6</w:t>
      </w:r>
      <w:r w:rsidR="00254F25" w:rsidRPr="00563BC0">
        <w:rPr>
          <w:color w:val="auto"/>
          <w:vertAlign w:val="superscript"/>
        </w:rPr>
        <w:t>th</w:t>
      </w:r>
      <w:r w:rsidR="00254F25" w:rsidRPr="00563BC0">
        <w:rPr>
          <w:color w:val="auto"/>
        </w:rPr>
        <w:t xml:space="preserve"> Meeting of the Parties</w:t>
      </w:r>
      <w:r w:rsidR="00CB4A33" w:rsidRPr="00563BC0">
        <w:rPr>
          <w:color w:val="auto"/>
        </w:rPr>
        <w:t xml:space="preserve">, </w:t>
      </w:r>
      <w:r w:rsidR="00254F25" w:rsidRPr="00563BC0">
        <w:rPr>
          <w:color w:val="auto"/>
        </w:rPr>
        <w:t>2</w:t>
      </w:r>
      <w:r w:rsidRPr="00563BC0">
        <w:rPr>
          <w:color w:val="auto"/>
        </w:rPr>
        <w:t>) information from Parties on stocks (Decision Ex.1/4 (9f))</w:t>
      </w:r>
      <w:r w:rsidR="00CB4A33" w:rsidRPr="00563BC0">
        <w:rPr>
          <w:color w:val="auto"/>
        </w:rPr>
        <w:t>,</w:t>
      </w:r>
      <w:r w:rsidR="00254F25" w:rsidRPr="00563BC0">
        <w:rPr>
          <w:color w:val="auto"/>
        </w:rPr>
        <w:t xml:space="preserve"> 3)</w:t>
      </w:r>
      <w:r w:rsidRPr="00563BC0">
        <w:rPr>
          <w:color w:val="auto"/>
        </w:rPr>
        <w:t xml:space="preserve"> partial information on actual MB consumption for critical uses (in accordance with Decision XVII/9)</w:t>
      </w:r>
      <w:r w:rsidR="00332A99" w:rsidRPr="000F08B5">
        <w:rPr>
          <w:color w:val="auto"/>
        </w:rPr>
        <w:t>,</w:t>
      </w:r>
      <w:r w:rsidRPr="000F08B5">
        <w:rPr>
          <w:color w:val="auto"/>
        </w:rPr>
        <w:t xml:space="preserve"> and </w:t>
      </w:r>
      <w:r w:rsidR="00254F25" w:rsidRPr="000F08B5">
        <w:rPr>
          <w:color w:val="auto"/>
        </w:rPr>
        <w:t xml:space="preserve">4) </w:t>
      </w:r>
      <w:r w:rsidR="00332A99" w:rsidRPr="000F08B5">
        <w:rPr>
          <w:color w:val="auto"/>
        </w:rPr>
        <w:t xml:space="preserve">indication of </w:t>
      </w:r>
      <w:r w:rsidRPr="000F08B5">
        <w:rPr>
          <w:color w:val="auto"/>
        </w:rPr>
        <w:t xml:space="preserve">adoption rates of alternatives, as evidenced by trend lines on reduction of MB </w:t>
      </w:r>
      <w:r w:rsidR="00332A99" w:rsidRPr="00365366">
        <w:rPr>
          <w:color w:val="auto"/>
        </w:rPr>
        <w:t xml:space="preserve">for </w:t>
      </w:r>
      <w:r w:rsidRPr="00F9037E">
        <w:rPr>
          <w:color w:val="auto"/>
        </w:rPr>
        <w:t>CUNs</w:t>
      </w:r>
      <w:r w:rsidR="00CC1CE4" w:rsidRPr="00F9037E">
        <w:rPr>
          <w:color w:val="auto"/>
        </w:rPr>
        <w:t xml:space="preserve"> </w:t>
      </w:r>
      <w:r w:rsidRPr="00F9037E">
        <w:rPr>
          <w:color w:val="auto"/>
        </w:rPr>
        <w:t>(in accordance with Decisions XIX/9, XX/5). It is noted that trend lines on adoption may not necessarily indicate true adoption rates for alternatives,</w:t>
      </w:r>
      <w:r w:rsidR="008C634A">
        <w:t xml:space="preserve"> as </w:t>
      </w:r>
      <w:r w:rsidRPr="00F9037E">
        <w:t xml:space="preserve">stocks of MB may have been available </w:t>
      </w:r>
      <w:r w:rsidR="00332A99" w:rsidRPr="00F9037E">
        <w:t>for use, although for non A5 Parties stocks are now small</w:t>
      </w:r>
      <w:r w:rsidR="00BE531D" w:rsidRPr="00F9037E">
        <w:t xml:space="preserve"> (see Table </w:t>
      </w:r>
      <w:r w:rsidR="000F22AA" w:rsidRPr="00F9037E">
        <w:t>1-3).</w:t>
      </w:r>
    </w:p>
    <w:p w14:paraId="6E144E0B" w14:textId="29EEB30E" w:rsidR="008D5F24" w:rsidRPr="00F9037E" w:rsidRDefault="008D5F24" w:rsidP="009446BE">
      <w:pPr>
        <w:jc w:val="both"/>
      </w:pPr>
      <w:r w:rsidRPr="00F9037E">
        <w:t xml:space="preserve">Standard presumptions used in the </w:t>
      </w:r>
      <w:r w:rsidR="00345318" w:rsidRPr="00F9037E">
        <w:t>2016</w:t>
      </w:r>
      <w:r w:rsidR="00CC1CE4" w:rsidRPr="00F9037E">
        <w:t xml:space="preserve"> </w:t>
      </w:r>
      <w:r w:rsidRPr="00F9037E">
        <w:t xml:space="preserve">round </w:t>
      </w:r>
      <w:r w:rsidR="0048554C">
        <w:t>are consistent with previous evaluations.</w:t>
      </w:r>
      <w:r w:rsidR="0048554C" w:rsidRPr="00F9037E" w:rsidDel="0048554C">
        <w:t xml:space="preserve"> </w:t>
      </w:r>
      <w:r w:rsidR="000F22AA" w:rsidRPr="00F9037E">
        <w:t>.</w:t>
      </w:r>
      <w:r w:rsidR="00CC1CE4" w:rsidRPr="00F9037E">
        <w:t xml:space="preserve"> </w:t>
      </w:r>
      <w:r w:rsidR="000F22AA" w:rsidRPr="00F9037E">
        <w:t>T</w:t>
      </w:r>
      <w:r w:rsidR="00BE531D" w:rsidRPr="00F9037E">
        <w:t xml:space="preserve">hese </w:t>
      </w:r>
      <w:r w:rsidR="000F22AA" w:rsidRPr="00F9037E">
        <w:t xml:space="preserve">are </w:t>
      </w:r>
      <w:r w:rsidRPr="00F9037E">
        <w:t>subject</w:t>
      </w:r>
      <w:r w:rsidR="000F22AA" w:rsidRPr="00F9037E">
        <w:t>ed</w:t>
      </w:r>
      <w:r w:rsidRPr="00F9037E">
        <w:t xml:space="preserve"> to continual review</w:t>
      </w:r>
      <w:r w:rsidR="00933BFF" w:rsidRPr="00F9037E">
        <w:t>, however have remained consistent for many years</w:t>
      </w:r>
      <w:r w:rsidRPr="00F9037E">
        <w:t>.  MBTOC</w:t>
      </w:r>
      <w:r w:rsidR="00364869" w:rsidRPr="00F9037E">
        <w:t xml:space="preserve"> recommendations</w:t>
      </w:r>
      <w:r w:rsidR="00CC1CE4" w:rsidRPr="00F9037E">
        <w:t xml:space="preserve"> </w:t>
      </w:r>
      <w:r w:rsidRPr="00F9037E">
        <w:t>require</w:t>
      </w:r>
      <w:r w:rsidR="00CC1CE4" w:rsidRPr="00F9037E">
        <w:t xml:space="preserve"> </w:t>
      </w:r>
      <w:r w:rsidRPr="00F9037E">
        <w:t>approv</w:t>
      </w:r>
      <w:r w:rsidR="00364869" w:rsidRPr="00F9037E">
        <w:t>al</w:t>
      </w:r>
      <w:r w:rsidRPr="00F9037E">
        <w:t xml:space="preserve"> by the Part</w:t>
      </w:r>
      <w:r w:rsidR="00345318" w:rsidRPr="00F9037E">
        <w:t>ie</w:t>
      </w:r>
      <w:r w:rsidRPr="00F9037E">
        <w:t>s in the MOP preceding the year of assessment</w:t>
      </w:r>
      <w:r w:rsidR="00364869" w:rsidRPr="00F9037E">
        <w:t>,</w:t>
      </w:r>
      <w:r w:rsidRPr="00F9037E">
        <w:t xml:space="preserve"> based on a draft Decision presented to the MOP in accordance with paragraph 2 in Annex 1 to the report of MOP16.   </w:t>
      </w:r>
    </w:p>
    <w:p w14:paraId="1C0300C6" w14:textId="7642F862" w:rsidR="000D36A0" w:rsidRPr="003655C2" w:rsidRDefault="00563BC0" w:rsidP="006A54A1">
      <w:pPr>
        <w:pStyle w:val="Heading1"/>
        <w:rPr>
          <w:rStyle w:val="Heading1Char2"/>
          <w:rFonts w:ascii="Times New Roman" w:hAnsi="Times New Roman"/>
          <w:b/>
        </w:rPr>
      </w:pPr>
      <w:bookmarkStart w:id="20" w:name="_Toc102710546"/>
      <w:bookmarkStart w:id="21" w:name="_Toc321116331"/>
      <w:bookmarkStart w:id="22" w:name="_Toc323048860"/>
      <w:bookmarkStart w:id="23" w:name="_Toc323049024"/>
      <w:bookmarkStart w:id="24" w:name="_Toc461183756"/>
      <w:r w:rsidRPr="003655C2">
        <w:rPr>
          <w:rStyle w:val="Heading1Char2"/>
          <w:rFonts w:ascii="Times New Roman" w:hAnsi="Times New Roman"/>
          <w:b/>
        </w:rPr>
        <w:t>3</w:t>
      </w:r>
      <w:r w:rsidR="00082015" w:rsidRPr="003655C2">
        <w:rPr>
          <w:rStyle w:val="Heading1Char2"/>
          <w:rFonts w:ascii="Times New Roman" w:hAnsi="Times New Roman"/>
          <w:b/>
        </w:rPr>
        <w:t>.</w:t>
      </w:r>
      <w:r w:rsidR="008D5F24" w:rsidRPr="003655C2">
        <w:rPr>
          <w:rStyle w:val="Heading1Char2"/>
          <w:rFonts w:ascii="Times New Roman" w:hAnsi="Times New Roman"/>
          <w:b/>
        </w:rPr>
        <w:tab/>
        <w:t>Critical Use Nominations for Methyl Bromide</w:t>
      </w:r>
      <w:bookmarkEnd w:id="20"/>
      <w:bookmarkEnd w:id="21"/>
      <w:bookmarkEnd w:id="22"/>
      <w:bookmarkEnd w:id="23"/>
      <w:bookmarkEnd w:id="24"/>
    </w:p>
    <w:p w14:paraId="3A415A50" w14:textId="77430400" w:rsidR="008D5F24" w:rsidRPr="003655C2" w:rsidRDefault="00563BC0" w:rsidP="006A54A1">
      <w:pPr>
        <w:pStyle w:val="Heading2"/>
        <w:rPr>
          <w:rStyle w:val="Heading2Char"/>
          <w:b w:val="0"/>
        </w:rPr>
      </w:pPr>
      <w:bookmarkStart w:id="25" w:name="_Toc102710547"/>
      <w:bookmarkStart w:id="26" w:name="_Toc321116332"/>
      <w:bookmarkStart w:id="27" w:name="_Toc323048861"/>
      <w:bookmarkStart w:id="28" w:name="_Toc323049025"/>
      <w:bookmarkStart w:id="29" w:name="_Toc293054733"/>
      <w:bookmarkStart w:id="30" w:name="_Toc461183757"/>
      <w:r w:rsidRPr="003655C2">
        <w:rPr>
          <w:rStyle w:val="Heading2Char"/>
          <w:b w:val="0"/>
        </w:rPr>
        <w:t>3</w:t>
      </w:r>
      <w:r w:rsidR="00CA50CD" w:rsidRPr="003655C2">
        <w:rPr>
          <w:rStyle w:val="Heading2Char"/>
          <w:b w:val="0"/>
        </w:rPr>
        <w:t>.1</w:t>
      </w:r>
      <w:r w:rsidR="008D5F24" w:rsidRPr="003655C2">
        <w:rPr>
          <w:rStyle w:val="Heading2Char"/>
          <w:b w:val="0"/>
        </w:rPr>
        <w:tab/>
        <w:t>Mandate</w:t>
      </w:r>
      <w:bookmarkEnd w:id="25"/>
      <w:bookmarkEnd w:id="26"/>
      <w:bookmarkEnd w:id="27"/>
      <w:bookmarkEnd w:id="28"/>
      <w:bookmarkEnd w:id="29"/>
      <w:bookmarkEnd w:id="30"/>
    </w:p>
    <w:p w14:paraId="7832733F" w14:textId="7437D977" w:rsidR="004362E0" w:rsidRPr="00082015" w:rsidRDefault="008D5F24" w:rsidP="009446BE">
      <w:pPr>
        <w:spacing w:after="120"/>
        <w:jc w:val="both"/>
      </w:pPr>
      <w:r w:rsidRPr="00CD3CBD">
        <w:t xml:space="preserve">Under Article 2H of the Montreal Protocol, Parties not operating under Article 5(1) </w:t>
      </w:r>
      <w:r w:rsidR="00364869" w:rsidRPr="00CD3CBD">
        <w:t xml:space="preserve">of the Protocol </w:t>
      </w:r>
      <w:r w:rsidR="00234175" w:rsidRPr="00501812">
        <w:t>were</w:t>
      </w:r>
      <w:r w:rsidR="00CC1CE4" w:rsidRPr="00501812">
        <w:t xml:space="preserve"> </w:t>
      </w:r>
      <w:r w:rsidRPr="003A30C7">
        <w:t>required to phase-out all production and consumption (defined as production plus imports minus exports) of MB after 1</w:t>
      </w:r>
      <w:r w:rsidR="00127D9F" w:rsidRPr="00082015">
        <w:rPr>
          <w:vertAlign w:val="superscript"/>
        </w:rPr>
        <w:t>st</w:t>
      </w:r>
      <w:r w:rsidRPr="00082015">
        <w:t>January 2005</w:t>
      </w:r>
      <w:r w:rsidR="00E360CC" w:rsidRPr="00082015">
        <w:t xml:space="preserve">. The same requirements </w:t>
      </w:r>
      <w:r w:rsidR="00234175" w:rsidRPr="00082015">
        <w:t>applied</w:t>
      </w:r>
      <w:r w:rsidR="00B64341" w:rsidRPr="00082015">
        <w:t xml:space="preserve"> </w:t>
      </w:r>
      <w:r w:rsidR="00E360CC" w:rsidRPr="00082015">
        <w:t>to</w:t>
      </w:r>
      <w:r w:rsidR="004D6151" w:rsidRPr="00082015">
        <w:t xml:space="preserve"> Parties operating under Article 5(1)</w:t>
      </w:r>
      <w:r w:rsidR="00E360CC" w:rsidRPr="00082015">
        <w:t xml:space="preserve"> after 1</w:t>
      </w:r>
      <w:r w:rsidR="00127D9F" w:rsidRPr="00082015">
        <w:rPr>
          <w:vertAlign w:val="superscript"/>
        </w:rPr>
        <w:t>st</w:t>
      </w:r>
      <w:r w:rsidR="00E360CC" w:rsidRPr="00082015">
        <w:t>January 2015</w:t>
      </w:r>
      <w:r w:rsidRPr="00082015">
        <w:t xml:space="preserve">.  However, the Parties agreed to a provision enabling exemptions for those uses of MB that qualify as critical.  </w:t>
      </w:r>
      <w:r w:rsidR="00234175" w:rsidRPr="00F5313E">
        <w:t xml:space="preserve">Under Decision IX/6 of the Protocol </w:t>
      </w:r>
      <w:r w:rsidRPr="00220275">
        <w:t>Parties established criteria,</w:t>
      </w:r>
      <w:r w:rsidR="00CC1CE4" w:rsidRPr="00220275">
        <w:t xml:space="preserve"> </w:t>
      </w:r>
      <w:r w:rsidRPr="00220275">
        <w:t xml:space="preserve">which critical uses need to meet in order to qualify for an </w:t>
      </w:r>
      <w:r w:rsidR="00CD3CBD" w:rsidRPr="00220275">
        <w:t>exemption (</w:t>
      </w:r>
      <w:r w:rsidR="000F22AA" w:rsidRPr="00B87B95">
        <w:t>see Annex 1 of this report)</w:t>
      </w:r>
      <w:r w:rsidRPr="00B87B95">
        <w:t xml:space="preserve">. TEAP and its MBTOC </w:t>
      </w:r>
      <w:r w:rsidR="00A5733D" w:rsidRPr="00563BC0">
        <w:t xml:space="preserve">have </w:t>
      </w:r>
      <w:r w:rsidRPr="00563BC0">
        <w:t>provided guidance to the Parties</w:t>
      </w:r>
      <w:r w:rsidR="00A5733D" w:rsidRPr="00563BC0">
        <w:t xml:space="preserve"> on recommendations </w:t>
      </w:r>
      <w:r w:rsidR="003E553C" w:rsidRPr="00563BC0">
        <w:t>regarding</w:t>
      </w:r>
      <w:r w:rsidRPr="00563BC0">
        <w:t xml:space="preserve"> critical use exemptions in accordance with Decisions IX/6, Annex I of Decision XVI/2 and a number of subsequent decisions (</w:t>
      </w:r>
      <w:hyperlink r:id="rId18" w:history="1">
        <w:r w:rsidRPr="00CD3CBD">
          <w:t>XVI/2</w:t>
        </w:r>
      </w:hyperlink>
      <w:r w:rsidRPr="00CD3CBD">
        <w:t xml:space="preserve">; </w:t>
      </w:r>
      <w:hyperlink r:id="rId19" w:history="1">
        <w:r w:rsidRPr="00CD3CBD">
          <w:t>XVII/9</w:t>
        </w:r>
      </w:hyperlink>
      <w:r w:rsidRPr="00CD3CBD">
        <w:t>, XVIII/13, XIX/9, XX/5, XXI/11, XXII/6</w:t>
      </w:r>
      <w:r w:rsidR="00832DD5" w:rsidRPr="00CD3CBD">
        <w:t xml:space="preserve">, </w:t>
      </w:r>
      <w:r w:rsidRPr="00CD3CBD">
        <w:t>XXIII/4</w:t>
      </w:r>
      <w:r w:rsidR="00EB18D0" w:rsidRPr="00501812">
        <w:t>,</w:t>
      </w:r>
      <w:r w:rsidR="00832DD5" w:rsidRPr="00501812">
        <w:rPr>
          <w:color w:val="auto"/>
        </w:rPr>
        <w:t>XXIV/5</w:t>
      </w:r>
      <w:r w:rsidR="00EB18D0" w:rsidRPr="003A30C7">
        <w:rPr>
          <w:color w:val="auto"/>
        </w:rPr>
        <w:t xml:space="preserve"> XXV/4</w:t>
      </w:r>
      <w:r w:rsidR="00B44D41" w:rsidRPr="00082015">
        <w:rPr>
          <w:color w:val="auto"/>
        </w:rPr>
        <w:t>, XXVI/2 and XXVII/3</w:t>
      </w:r>
      <w:r w:rsidRPr="00082015">
        <w:rPr>
          <w:color w:val="auto"/>
        </w:rPr>
        <w:t>).</w:t>
      </w:r>
    </w:p>
    <w:p w14:paraId="427C1CF7" w14:textId="77777777" w:rsidR="00832DD5" w:rsidRPr="00220275" w:rsidRDefault="00E360CC" w:rsidP="009446BE">
      <w:pPr>
        <w:spacing w:after="120"/>
        <w:jc w:val="both"/>
        <w:rPr>
          <w:iCs/>
        </w:rPr>
      </w:pPr>
      <w:r w:rsidRPr="00082015">
        <w:t>D</w:t>
      </w:r>
      <w:r w:rsidR="004362E0" w:rsidRPr="00082015">
        <w:t>ecision XXIV/5 differed from past decisions in that it reinforced that Parties ‘</w:t>
      </w:r>
      <w:r w:rsidR="004362E0" w:rsidRPr="00082015">
        <w:rPr>
          <w:i/>
        </w:rPr>
        <w:t xml:space="preserve">take all reasonable steps to explore further the possibility of transitioning to technically and economically feasible alternatives… and to ensure that the </w:t>
      </w:r>
      <w:r w:rsidR="004362E0" w:rsidRPr="00082015">
        <w:rPr>
          <w:i/>
          <w:iCs/>
        </w:rPr>
        <w:t>Methyl Bromide Technical Options Committee is fully aware of these efforts</w:t>
      </w:r>
      <w:r w:rsidR="000F22AA" w:rsidRPr="00F5313E">
        <w:rPr>
          <w:iCs/>
        </w:rPr>
        <w:t>’</w:t>
      </w:r>
      <w:r w:rsidR="004362E0" w:rsidRPr="00220275">
        <w:rPr>
          <w:iCs/>
        </w:rPr>
        <w:t>.</w:t>
      </w:r>
    </w:p>
    <w:p w14:paraId="2E700AEB" w14:textId="68CEA022" w:rsidR="000850EB" w:rsidRPr="00F9037E" w:rsidRDefault="00EB18D0" w:rsidP="00CC1CE4">
      <w:pPr>
        <w:tabs>
          <w:tab w:val="left" w:pos="624"/>
        </w:tabs>
        <w:autoSpaceDE w:val="0"/>
        <w:autoSpaceDN w:val="0"/>
        <w:adjustRightInd w:val="0"/>
        <w:spacing w:after="120"/>
        <w:jc w:val="both"/>
        <w:rPr>
          <w:szCs w:val="22"/>
        </w:rPr>
      </w:pPr>
      <w:r w:rsidRPr="00220275">
        <w:rPr>
          <w:iCs/>
        </w:rPr>
        <w:lastRenderedPageBreak/>
        <w:t>Decision XXV/4 request</w:t>
      </w:r>
      <w:r w:rsidR="00933BFF" w:rsidRPr="00220275">
        <w:rPr>
          <w:iCs/>
        </w:rPr>
        <w:t>ed</w:t>
      </w:r>
      <w:r w:rsidRPr="00220275">
        <w:rPr>
          <w:iCs/>
        </w:rPr>
        <w:t xml:space="preserve"> Australia and Canada to submit, by the </w:t>
      </w:r>
      <w:r w:rsidR="00CC1CE4" w:rsidRPr="00B87B95">
        <w:rPr>
          <w:iCs/>
        </w:rPr>
        <w:t xml:space="preserve">38th </w:t>
      </w:r>
      <w:r w:rsidRPr="00B87B95">
        <w:rPr>
          <w:iCs/>
        </w:rPr>
        <w:t>OEWG, the available results of their research prog</w:t>
      </w:r>
      <w:r w:rsidRPr="00563BC0">
        <w:rPr>
          <w:iCs/>
          <w:szCs w:val="22"/>
        </w:rPr>
        <w:t xml:space="preserve">rammes on alternatives to MB </w:t>
      </w:r>
      <w:r w:rsidR="00AE42EC" w:rsidRPr="00563BC0">
        <w:rPr>
          <w:iCs/>
          <w:szCs w:val="22"/>
        </w:rPr>
        <w:t xml:space="preserve">and the results of the groundwater studies, respectively, </w:t>
      </w:r>
      <w:r w:rsidRPr="00563BC0">
        <w:rPr>
          <w:iCs/>
          <w:szCs w:val="22"/>
        </w:rPr>
        <w:t>to the TEAP</w:t>
      </w:r>
      <w:r w:rsidR="00A5733D" w:rsidRPr="00563BC0">
        <w:rPr>
          <w:iCs/>
          <w:szCs w:val="22"/>
        </w:rPr>
        <w:t xml:space="preserve"> for its consideration.  </w:t>
      </w:r>
      <w:r w:rsidR="00933BFF" w:rsidRPr="00563BC0">
        <w:rPr>
          <w:iCs/>
          <w:szCs w:val="22"/>
        </w:rPr>
        <w:t xml:space="preserve">Both Parties provided comprehensive summaries of these requests to the MBTOC </w:t>
      </w:r>
      <w:proofErr w:type="spellStart"/>
      <w:r w:rsidR="00933BFF" w:rsidRPr="00563BC0">
        <w:rPr>
          <w:iCs/>
          <w:szCs w:val="22"/>
        </w:rPr>
        <w:t>cochairs</w:t>
      </w:r>
      <w:proofErr w:type="spellEnd"/>
      <w:r w:rsidR="00933BFF" w:rsidRPr="00563BC0">
        <w:rPr>
          <w:iCs/>
          <w:szCs w:val="22"/>
        </w:rPr>
        <w:t xml:space="preserve"> during bilateral discussions at the 38</w:t>
      </w:r>
      <w:r w:rsidR="000D114C" w:rsidRPr="00563BC0">
        <w:rPr>
          <w:iCs/>
          <w:szCs w:val="22"/>
          <w:vertAlign w:val="superscript"/>
        </w:rPr>
        <w:t>th</w:t>
      </w:r>
      <w:r w:rsidR="00933BFF" w:rsidRPr="00563BC0">
        <w:rPr>
          <w:iCs/>
          <w:szCs w:val="22"/>
        </w:rPr>
        <w:t xml:space="preserve"> OEWG and also follow up information during reassessment after the OEWG for consideration by MBTOC during its final assessment.</w:t>
      </w:r>
      <w:r w:rsidR="008928BE" w:rsidRPr="000F08B5">
        <w:rPr>
          <w:iCs/>
          <w:szCs w:val="22"/>
        </w:rPr>
        <w:t xml:space="preserve"> This same Decision further requests TEAP to</w:t>
      </w:r>
      <w:r w:rsidR="00CC1CE4" w:rsidRPr="000F08B5">
        <w:rPr>
          <w:iCs/>
          <w:szCs w:val="22"/>
        </w:rPr>
        <w:t xml:space="preserve"> </w:t>
      </w:r>
      <w:r w:rsidR="00AB34C2">
        <w:rPr>
          <w:iCs/>
          <w:szCs w:val="22"/>
        </w:rPr>
        <w:t>‘</w:t>
      </w:r>
      <w:r w:rsidR="008928BE" w:rsidRPr="00E03592">
        <w:rPr>
          <w:rFonts w:cs="Arial"/>
          <w:i/>
          <w:szCs w:val="22"/>
        </w:rPr>
        <w:t>analyse the impact of national, subnational and local regulations and law</w:t>
      </w:r>
      <w:r w:rsidR="00681ECA" w:rsidRPr="00E03592">
        <w:rPr>
          <w:rFonts w:cs="Arial"/>
          <w:i/>
          <w:szCs w:val="22"/>
        </w:rPr>
        <w:t>s</w:t>
      </w:r>
      <w:r w:rsidR="008928BE" w:rsidRPr="00E03592">
        <w:rPr>
          <w:rFonts w:cs="Arial"/>
          <w:i/>
          <w:szCs w:val="22"/>
        </w:rPr>
        <w:t xml:space="preserve"> on the potential use of methyl bromide alternatives, t</w:t>
      </w:r>
      <w:r w:rsidR="008928BE" w:rsidRPr="00E03592">
        <w:rPr>
          <w:i/>
          <w:szCs w:val="22"/>
        </w:rPr>
        <w:t>o report annually on the status of re-registration and review of methyl bromide uses for the applications reflected in the CUNs, including any information on health effects and environmental acceptability and to report annually on the status of registration of alternatives and substitutes for methyl bromide, with particular emphasis on possible regulatory actions that will increase or decrease dependence on methyl bromide</w:t>
      </w:r>
      <w:r w:rsidR="00AB34C2" w:rsidRPr="00E03592">
        <w:rPr>
          <w:i/>
          <w:szCs w:val="22"/>
        </w:rPr>
        <w:t>’</w:t>
      </w:r>
      <w:r w:rsidR="008928BE" w:rsidRPr="00F9037E">
        <w:rPr>
          <w:szCs w:val="22"/>
        </w:rPr>
        <w:t xml:space="preserve">. </w:t>
      </w:r>
    </w:p>
    <w:p w14:paraId="1B5FB563" w14:textId="77777777" w:rsidR="008928BE" w:rsidRDefault="00A5733D" w:rsidP="00681ECA">
      <w:pPr>
        <w:tabs>
          <w:tab w:val="left" w:pos="624"/>
        </w:tabs>
        <w:autoSpaceDE w:val="0"/>
        <w:autoSpaceDN w:val="0"/>
        <w:adjustRightInd w:val="0"/>
        <w:spacing w:after="120"/>
        <w:jc w:val="both"/>
        <w:rPr>
          <w:szCs w:val="22"/>
        </w:rPr>
      </w:pPr>
      <w:r w:rsidRPr="00F9037E">
        <w:rPr>
          <w:szCs w:val="22"/>
        </w:rPr>
        <w:t xml:space="preserve">MBTOC considers that </w:t>
      </w:r>
      <w:r w:rsidR="00F3578E" w:rsidRPr="00F9037E">
        <w:rPr>
          <w:szCs w:val="22"/>
        </w:rPr>
        <w:t xml:space="preserve">any </w:t>
      </w:r>
      <w:r w:rsidRPr="00F9037E">
        <w:rPr>
          <w:szCs w:val="22"/>
        </w:rPr>
        <w:t>chemical</w:t>
      </w:r>
      <w:r w:rsidR="00CC1CE4" w:rsidRPr="00F9037E">
        <w:rPr>
          <w:szCs w:val="22"/>
        </w:rPr>
        <w:t xml:space="preserve"> </w:t>
      </w:r>
      <w:r w:rsidRPr="00F9037E">
        <w:rPr>
          <w:szCs w:val="22"/>
        </w:rPr>
        <w:t xml:space="preserve">or product registered for </w:t>
      </w:r>
      <w:r w:rsidR="00304B87" w:rsidRPr="00F9037E">
        <w:rPr>
          <w:szCs w:val="22"/>
        </w:rPr>
        <w:t xml:space="preserve">a particular </w:t>
      </w:r>
      <w:r w:rsidRPr="00F9037E">
        <w:rPr>
          <w:szCs w:val="22"/>
        </w:rPr>
        <w:t xml:space="preserve">use has been through the rigours of the </w:t>
      </w:r>
      <w:r w:rsidR="006939EE" w:rsidRPr="00F9037E">
        <w:rPr>
          <w:szCs w:val="22"/>
        </w:rPr>
        <w:t xml:space="preserve">national </w:t>
      </w:r>
      <w:r w:rsidRPr="00F9037E">
        <w:rPr>
          <w:szCs w:val="22"/>
        </w:rPr>
        <w:t xml:space="preserve">regulatory authorities and </w:t>
      </w:r>
      <w:r w:rsidR="00304B87" w:rsidRPr="00F9037E">
        <w:rPr>
          <w:szCs w:val="22"/>
        </w:rPr>
        <w:t xml:space="preserve">accepts that these fall within guidelines for health effects and environmental acceptability. MBTOC </w:t>
      </w:r>
      <w:r w:rsidRPr="00F9037E">
        <w:rPr>
          <w:szCs w:val="22"/>
        </w:rPr>
        <w:t>particularly takes note of those products</w:t>
      </w:r>
      <w:r w:rsidR="003E553C" w:rsidRPr="00F9037E">
        <w:rPr>
          <w:szCs w:val="22"/>
        </w:rPr>
        <w:t>,</w:t>
      </w:r>
      <w:r w:rsidRPr="00F9037E">
        <w:rPr>
          <w:szCs w:val="22"/>
        </w:rPr>
        <w:t xml:space="preserve"> which are </w:t>
      </w:r>
      <w:r w:rsidR="00304B87" w:rsidRPr="00F9037E">
        <w:rPr>
          <w:szCs w:val="22"/>
        </w:rPr>
        <w:t xml:space="preserve">generally listed </w:t>
      </w:r>
      <w:r w:rsidRPr="00F9037E">
        <w:rPr>
          <w:szCs w:val="22"/>
        </w:rPr>
        <w:t xml:space="preserve">in any CUN application. </w:t>
      </w:r>
    </w:p>
    <w:p w14:paraId="13EF453A" w14:textId="77777777" w:rsidR="00F9037E" w:rsidRPr="00F9037E" w:rsidRDefault="00F9037E" w:rsidP="00681ECA">
      <w:pPr>
        <w:tabs>
          <w:tab w:val="left" w:pos="624"/>
        </w:tabs>
        <w:autoSpaceDE w:val="0"/>
        <w:autoSpaceDN w:val="0"/>
        <w:adjustRightInd w:val="0"/>
        <w:spacing w:after="120"/>
        <w:jc w:val="both"/>
        <w:rPr>
          <w:szCs w:val="22"/>
        </w:rPr>
      </w:pPr>
    </w:p>
    <w:p w14:paraId="41BE4C8A" w14:textId="69CF63B9" w:rsidR="008D5F24" w:rsidRPr="007340C7" w:rsidRDefault="00563BC0" w:rsidP="006A54A1">
      <w:pPr>
        <w:pStyle w:val="Heading2"/>
        <w:rPr>
          <w:rStyle w:val="Heading2Char"/>
        </w:rPr>
      </w:pPr>
      <w:bookmarkStart w:id="31" w:name="_Toc102710548"/>
      <w:bookmarkStart w:id="32" w:name="_Toc321116333"/>
      <w:bookmarkStart w:id="33" w:name="_Toc323048862"/>
      <w:bookmarkStart w:id="34" w:name="_Toc323049026"/>
      <w:bookmarkStart w:id="35" w:name="_Toc293054734"/>
      <w:bookmarkStart w:id="36" w:name="_Toc461183758"/>
      <w:r w:rsidRPr="007340C7">
        <w:rPr>
          <w:rStyle w:val="Heading2Char"/>
        </w:rPr>
        <w:t>3</w:t>
      </w:r>
      <w:r w:rsidR="008D5F24" w:rsidRPr="007340C7">
        <w:rPr>
          <w:rStyle w:val="Heading2Char"/>
        </w:rPr>
        <w:t>.2</w:t>
      </w:r>
      <w:r w:rsidR="008D5F24" w:rsidRPr="007340C7">
        <w:rPr>
          <w:rStyle w:val="Heading2Char"/>
        </w:rPr>
        <w:tab/>
        <w:t>Fulfilment of Decision IX/6</w:t>
      </w:r>
      <w:bookmarkEnd w:id="31"/>
      <w:bookmarkEnd w:id="32"/>
      <w:bookmarkEnd w:id="33"/>
      <w:bookmarkEnd w:id="34"/>
      <w:bookmarkEnd w:id="35"/>
      <w:bookmarkEnd w:id="36"/>
    </w:p>
    <w:p w14:paraId="3C8B1F1A" w14:textId="77777777" w:rsidR="004362E0" w:rsidRPr="00220275" w:rsidRDefault="008D5F24" w:rsidP="009446BE">
      <w:pPr>
        <w:jc w:val="both"/>
      </w:pPr>
      <w:r w:rsidRPr="00CD3CBD">
        <w:t>Decision XVI/2 and Decision XXI/11 directed MBTOC to indicate whether all CUNs fully met the requirements of Decision IX/6</w:t>
      </w:r>
      <w:r w:rsidR="00681ECA" w:rsidRPr="00501812">
        <w:t xml:space="preserve"> (Annex 1)</w:t>
      </w:r>
      <w:r w:rsidRPr="00501812">
        <w:t xml:space="preserve">.  When the requirements of Decision IX/6 are met, MBTOC can recommend critical uses of MB. </w:t>
      </w:r>
      <w:r w:rsidR="00127D9F" w:rsidRPr="003A30C7">
        <w:t xml:space="preserve">When the requirements of Decision IX/6 are not met, MBTOC </w:t>
      </w:r>
      <w:r w:rsidR="00933BFF" w:rsidRPr="00082015">
        <w:t>will be unable to</w:t>
      </w:r>
      <w:r w:rsidR="00CC1CE4" w:rsidRPr="00082015">
        <w:t xml:space="preserve"> </w:t>
      </w:r>
      <w:r w:rsidR="00127D9F" w:rsidRPr="00082015">
        <w:t>recommend critical uses of MB.</w:t>
      </w:r>
      <w:r w:rsidR="00CC1CE4" w:rsidRPr="00082015">
        <w:t xml:space="preserve"> </w:t>
      </w:r>
      <w:r w:rsidRPr="00082015">
        <w:t>Where some of the conditions are not fully met, MBTOC can recommend a decreased amount depending on its technical and economic evaluation, or determine the CUN as “unable to assess” and request further information from the Party.  When the information is</w:t>
      </w:r>
      <w:r w:rsidRPr="00F5313E">
        <w:t xml:space="preserve"> submitted, MBTOC is required to re-assess the nomination, following the procedures defined in Annex 1 of the </w:t>
      </w:r>
      <w:r w:rsidR="00544677" w:rsidRPr="00220275">
        <w:t>16</w:t>
      </w:r>
      <w:r w:rsidR="00544677" w:rsidRPr="00220275">
        <w:rPr>
          <w:vertAlign w:val="superscript"/>
        </w:rPr>
        <w:t>th</w:t>
      </w:r>
      <w:r w:rsidR="00832DD5" w:rsidRPr="00220275">
        <w:t xml:space="preserve">Meeting of the Parties.  </w:t>
      </w:r>
    </w:p>
    <w:p w14:paraId="40350189" w14:textId="77777777" w:rsidR="00400A4D" w:rsidRPr="00563BC0" w:rsidRDefault="00400A4D" w:rsidP="009446BE">
      <w:pPr>
        <w:jc w:val="both"/>
      </w:pPr>
      <w:bookmarkStart w:id="37" w:name="_Toc323048863"/>
      <w:bookmarkStart w:id="38" w:name="_Toc323049027"/>
      <w:bookmarkStart w:id="39" w:name="_Toc321116334"/>
      <w:r w:rsidRPr="00220275">
        <w:t xml:space="preserve">MBTOC recommended less MB than requested in a CUN when technically and economically feasible alternatives were considered to be available or, when the Party failed to show that there was no technically and economically feasible alternative for part of the nomination. </w:t>
      </w:r>
      <w:r w:rsidR="00B10CF8" w:rsidRPr="00B87B95">
        <w:t>MBTO</w:t>
      </w:r>
      <w:r w:rsidR="00183910" w:rsidRPr="00B87B95">
        <w:t>C</w:t>
      </w:r>
      <w:r w:rsidR="00B10CF8" w:rsidRPr="00563BC0">
        <w:t xml:space="preserve"> may have accepted that some allocation was appropriate to permit timely phase out of MB.</w:t>
      </w:r>
      <w:r w:rsidR="00CC1CE4" w:rsidRPr="00563BC0">
        <w:t xml:space="preserve"> </w:t>
      </w:r>
      <w:r w:rsidRPr="00563BC0">
        <w:t xml:space="preserve">In this round of CUNs, as in previous rounds, MBTOC considered all information provided by the Parties, including answers to questions from MBTOC and all additional information submitted by the Parties up to the date of the evaluation. </w:t>
      </w:r>
    </w:p>
    <w:p w14:paraId="5D3F70E6" w14:textId="45FA711E" w:rsidR="00F9037E" w:rsidRPr="000F08B5" w:rsidRDefault="00400A4D" w:rsidP="009446BE">
      <w:pPr>
        <w:tabs>
          <w:tab w:val="left" w:pos="1080"/>
        </w:tabs>
        <w:jc w:val="both"/>
      </w:pPr>
      <w:r w:rsidRPr="00563BC0">
        <w:t xml:space="preserve">Now that technically and economically feasible alternatives have been identified for virtually all applications of MB, regulations on the use of these alternatives often determine their availability to the end users.  In view of the large numbers of sectors which have moved effectively to alternatives, it was particularly important in this round for the Parties, and particularly for A5 Parties submitting CUNs, to clearly identify why MB is considered critical for the specific circumstances of the nomination.  Comparative information on the economic feasibility/infeasibility of the use of alternatives </w:t>
      </w:r>
      <w:r w:rsidR="003C33A3" w:rsidRPr="000F08B5">
        <w:t>with respect to</w:t>
      </w:r>
      <w:r w:rsidRPr="000F08B5">
        <w:t xml:space="preserve"> MB is also becoming more critical to the outcomes of present and future CUNs. In particular, MBTOC needs annual updates of the economics information evaluating the costs of alternatives. </w:t>
      </w:r>
    </w:p>
    <w:p w14:paraId="34DA1A49" w14:textId="0FC092AF" w:rsidR="008D5F24" w:rsidRPr="003655C2" w:rsidRDefault="00563BC0" w:rsidP="006A54A1">
      <w:pPr>
        <w:pStyle w:val="Heading2"/>
        <w:rPr>
          <w:rStyle w:val="Heading2Char"/>
          <w:b w:val="0"/>
        </w:rPr>
      </w:pPr>
      <w:bookmarkStart w:id="40" w:name="_Toc293054735"/>
      <w:bookmarkStart w:id="41" w:name="_Toc461183759"/>
      <w:r w:rsidRPr="003655C2">
        <w:rPr>
          <w:rStyle w:val="Heading2Char"/>
          <w:b w:val="0"/>
        </w:rPr>
        <w:t>3</w:t>
      </w:r>
      <w:r w:rsidR="008D5F24" w:rsidRPr="003655C2">
        <w:rPr>
          <w:rStyle w:val="Heading2Char"/>
          <w:b w:val="0"/>
        </w:rPr>
        <w:t>.3</w:t>
      </w:r>
      <w:r w:rsidR="008D5F24" w:rsidRPr="003655C2" w:rsidDel="00A500C9">
        <w:rPr>
          <w:rStyle w:val="Heading2Char"/>
          <w:b w:val="0"/>
        </w:rPr>
        <w:tab/>
      </w:r>
      <w:r w:rsidR="006514F2" w:rsidRPr="003655C2">
        <w:rPr>
          <w:rStyle w:val="Heading2Char"/>
          <w:b w:val="0"/>
        </w:rPr>
        <w:t>Accounting Frameworks</w:t>
      </w:r>
      <w:r w:rsidR="00681ECA" w:rsidRPr="003655C2">
        <w:rPr>
          <w:rStyle w:val="Heading2Char"/>
          <w:b w:val="0"/>
        </w:rPr>
        <w:t xml:space="preserve"> </w:t>
      </w:r>
      <w:r w:rsidR="008D5F24" w:rsidRPr="003655C2">
        <w:rPr>
          <w:rStyle w:val="Heading2Char"/>
          <w:b w:val="0"/>
        </w:rPr>
        <w:t>for Critical Use</w:t>
      </w:r>
      <w:bookmarkEnd w:id="37"/>
      <w:bookmarkEnd w:id="38"/>
      <w:bookmarkEnd w:id="40"/>
      <w:bookmarkEnd w:id="41"/>
    </w:p>
    <w:bookmarkEnd w:id="39"/>
    <w:p w14:paraId="1FD6CB17" w14:textId="3497E124" w:rsidR="00A71ADA" w:rsidRDefault="00A71ADA" w:rsidP="00A71ADA">
      <w:pPr>
        <w:jc w:val="both"/>
      </w:pPr>
      <w:r w:rsidRPr="00CD3CBD">
        <w:rPr>
          <w:color w:val="auto"/>
        </w:rPr>
        <w:t>Under the Dec Ex 1/4 9(f)</w:t>
      </w:r>
      <w:r w:rsidRPr="00501812">
        <w:rPr>
          <w:color w:val="auto"/>
        </w:rPr>
        <w:t xml:space="preserve"> Parties </w:t>
      </w:r>
      <w:r w:rsidR="00E03592">
        <w:rPr>
          <w:color w:val="auto"/>
        </w:rPr>
        <w:t>non A5 Parties which have</w:t>
      </w:r>
      <w:r>
        <w:t xml:space="preserve"> been granted a critical-use exemption</w:t>
      </w:r>
      <w:r w:rsidR="00E03592">
        <w:t xml:space="preserve"> after 2005 </w:t>
      </w:r>
      <w:r w:rsidRPr="003A30C7">
        <w:rPr>
          <w:color w:val="auto"/>
        </w:rPr>
        <w:t xml:space="preserve"> </w:t>
      </w:r>
      <w:r w:rsidR="00E03592">
        <w:rPr>
          <w:color w:val="auto"/>
        </w:rPr>
        <w:t>we</w:t>
      </w:r>
      <w:r w:rsidRPr="003A30C7">
        <w:rPr>
          <w:color w:val="auto"/>
        </w:rPr>
        <w:t>re required to submit Accounting Frameworks</w:t>
      </w:r>
      <w:r w:rsidR="00E03592">
        <w:rPr>
          <w:color w:val="auto"/>
        </w:rPr>
        <w:t>,</w:t>
      </w:r>
      <w:r w:rsidRPr="003A30C7">
        <w:rPr>
          <w:color w:val="auto"/>
        </w:rPr>
        <w:t xml:space="preserve"> </w:t>
      </w:r>
      <w:r w:rsidR="00E03592">
        <w:t>and similarly for A5 Parties after 2015.</w:t>
      </w:r>
    </w:p>
    <w:p w14:paraId="12D66181" w14:textId="330F2255" w:rsidR="002E40B8" w:rsidRPr="00E03592" w:rsidRDefault="00A71ADA" w:rsidP="002E40B8">
      <w:pPr>
        <w:jc w:val="both"/>
      </w:pPr>
      <w:r w:rsidRPr="00E83D0E">
        <w:t>For this 2016 round, Accounting Frameworks from A5 Parties were reported for the first time.  The Frameworks showed that there were 49.7 t of stocks</w:t>
      </w:r>
      <w:r w:rsidR="0085771F">
        <w:t xml:space="preserve"> for Parties that reported</w:t>
      </w:r>
      <w:r w:rsidRPr="00E83D0E">
        <w:t xml:space="preserve">, however their source (i.e. prior to 2015 or post 2015) was not provided and this is important as it has implications for future use of methyl bromide for controlled uses.  </w:t>
      </w:r>
      <w:r w:rsidR="002E40B8" w:rsidRPr="00E03592">
        <w:t xml:space="preserve">Additionally A5 Parties are required to submit National </w:t>
      </w:r>
      <w:r w:rsidR="002E40B8" w:rsidRPr="00E03592">
        <w:lastRenderedPageBreak/>
        <w:t>Management Plans as required in Decision Ex. I/4(3) (Annex II). The only A5 Party submitting a plan to date is China.</w:t>
      </w:r>
    </w:p>
    <w:p w14:paraId="2E2F2D00" w14:textId="06DA4094" w:rsidR="00A74B8C" w:rsidRPr="00AB34C2" w:rsidRDefault="0085771F" w:rsidP="00AB34C2">
      <w:pPr>
        <w:pStyle w:val="Style10ptAfter6pt1"/>
      </w:pPr>
      <w:r>
        <w:t xml:space="preserve">Under Decision </w:t>
      </w:r>
      <w:r w:rsidRPr="00CD3CBD">
        <w:t>Dec Ex 1/4 9(f)</w:t>
      </w:r>
      <w:r w:rsidRPr="00501812">
        <w:t xml:space="preserve"> </w:t>
      </w:r>
      <w:r>
        <w:t xml:space="preserve">it is unclear whether parties not applying for CUNs but still using MB under CUEs need to report stocks. </w:t>
      </w:r>
      <w:r w:rsidR="00A74B8C" w:rsidRPr="00AB34C2">
        <w:t xml:space="preserve">MBTOC suggests that </w:t>
      </w:r>
      <w:r w:rsidR="00443C56" w:rsidRPr="00AB34C2">
        <w:t xml:space="preserve">Parties </w:t>
      </w:r>
      <w:r w:rsidR="00BA3171" w:rsidRPr="00AB34C2">
        <w:t xml:space="preserve">may wish to consider a revision to submission of frameworks so that </w:t>
      </w:r>
      <w:r w:rsidR="0060032B">
        <w:t xml:space="preserve">these </w:t>
      </w:r>
      <w:r w:rsidR="00BA3171" w:rsidRPr="00AB34C2">
        <w:t xml:space="preserve">only need to be provided </w:t>
      </w:r>
      <w:r w:rsidR="00443C56" w:rsidRPr="00AB34C2">
        <w:t xml:space="preserve">from those Parties which either have been granted critical uses </w:t>
      </w:r>
      <w:r w:rsidR="00BA3171" w:rsidRPr="00AB34C2">
        <w:t xml:space="preserve">for the year of reporting or </w:t>
      </w:r>
      <w:r w:rsidR="00443C56" w:rsidRPr="00AB34C2">
        <w:t xml:space="preserve">where stocks of methyl bromide exist at the end of the year </w:t>
      </w:r>
      <w:r>
        <w:t>after they cease applying for CUNs.</w:t>
      </w:r>
    </w:p>
    <w:p w14:paraId="62DE219B" w14:textId="77777777" w:rsidR="00400BFA" w:rsidRPr="00AB34C2" w:rsidRDefault="00400BFA" w:rsidP="00AB34C2">
      <w:pPr>
        <w:pStyle w:val="Style10ptAfter6pt1"/>
        <w:rPr>
          <w:b w:val="0"/>
        </w:rPr>
      </w:pPr>
      <w:r w:rsidRPr="00AB34C2">
        <w:rPr>
          <w:b w:val="0"/>
        </w:rPr>
        <w:t xml:space="preserve">For this </w:t>
      </w:r>
      <w:r w:rsidR="00476610" w:rsidRPr="00AB34C2">
        <w:rPr>
          <w:b w:val="0"/>
        </w:rPr>
        <w:t xml:space="preserve">2016 </w:t>
      </w:r>
      <w:r w:rsidRPr="00AB34C2">
        <w:rPr>
          <w:b w:val="0"/>
        </w:rPr>
        <w:t xml:space="preserve">round, Accounting Frameworks from A5 Parties were reported for the first time.  </w:t>
      </w:r>
      <w:r w:rsidR="00476610" w:rsidRPr="00AB34C2">
        <w:rPr>
          <w:b w:val="0"/>
        </w:rPr>
        <w:t xml:space="preserve">The Frameworks showed that there were </w:t>
      </w:r>
      <w:r w:rsidR="00B74566" w:rsidRPr="00AB34C2">
        <w:rPr>
          <w:b w:val="0"/>
        </w:rPr>
        <w:t>49.7 t of</w:t>
      </w:r>
      <w:r w:rsidR="00476610" w:rsidRPr="00AB34C2">
        <w:rPr>
          <w:b w:val="0"/>
        </w:rPr>
        <w:t xml:space="preserve"> stocks</w:t>
      </w:r>
      <w:r w:rsidR="008A4D37" w:rsidRPr="00AB34C2">
        <w:rPr>
          <w:b w:val="0"/>
        </w:rPr>
        <w:t>,</w:t>
      </w:r>
      <w:r w:rsidR="00BA3171" w:rsidRPr="00AB34C2">
        <w:rPr>
          <w:b w:val="0"/>
        </w:rPr>
        <w:t xml:space="preserve"> however their source (i.e. prior to 2015 or post 2015) was not provided and this is important as it </w:t>
      </w:r>
      <w:r w:rsidR="00476610" w:rsidRPr="00AB34C2">
        <w:rPr>
          <w:b w:val="0"/>
        </w:rPr>
        <w:t xml:space="preserve">has implications for future use of methyl bromide for controlled uses.  </w:t>
      </w:r>
    </w:p>
    <w:p w14:paraId="7EBC1185" w14:textId="77777777" w:rsidR="00400A4D" w:rsidRPr="00AB34C2" w:rsidRDefault="00400A4D" w:rsidP="00AB34C2">
      <w:pPr>
        <w:pStyle w:val="Style10ptAfter6pt1"/>
        <w:rPr>
          <w:b w:val="0"/>
          <w:i/>
          <w:szCs w:val="22"/>
        </w:rPr>
      </w:pPr>
      <w:r w:rsidRPr="00AB34C2">
        <w:rPr>
          <w:b w:val="0"/>
          <w:color w:val="000000"/>
        </w:rPr>
        <w:t>A number of decisions (</w:t>
      </w:r>
      <w:proofErr w:type="spellStart"/>
      <w:r w:rsidR="00A71ADA">
        <w:fldChar w:fldCharType="begin"/>
      </w:r>
      <w:r w:rsidR="00A71ADA">
        <w:instrText xml:space="preserve"> HYPERLINK "http://ozone.unep.org/Exemption_Information/Decisions/Decision_Ex.I-3(5).shtml" </w:instrText>
      </w:r>
      <w:r w:rsidR="00A71ADA">
        <w:fldChar w:fldCharType="separate"/>
      </w:r>
      <w:r w:rsidRPr="00AB34C2">
        <w:rPr>
          <w:b w:val="0"/>
          <w:color w:val="000000"/>
        </w:rPr>
        <w:t>Ex.I</w:t>
      </w:r>
      <w:proofErr w:type="spellEnd"/>
      <w:r w:rsidRPr="00AB34C2">
        <w:rPr>
          <w:b w:val="0"/>
          <w:color w:val="000000"/>
        </w:rPr>
        <w:t>/</w:t>
      </w:r>
      <w:r w:rsidR="00BE549E" w:rsidRPr="00AB34C2">
        <w:rPr>
          <w:b w:val="0"/>
          <w:color w:val="000000"/>
        </w:rPr>
        <w:t xml:space="preserve">4 </w:t>
      </w:r>
      <w:r w:rsidRPr="00AB34C2">
        <w:rPr>
          <w:b w:val="0"/>
          <w:color w:val="000000"/>
        </w:rPr>
        <w:t>(</w:t>
      </w:r>
      <w:r w:rsidR="00BE549E" w:rsidRPr="00AB34C2">
        <w:rPr>
          <w:b w:val="0"/>
          <w:color w:val="000000"/>
        </w:rPr>
        <w:t>9f</w:t>
      </w:r>
      <w:r w:rsidRPr="00AB34C2">
        <w:rPr>
          <w:b w:val="0"/>
          <w:color w:val="000000"/>
        </w:rPr>
        <w:t>)</w:t>
      </w:r>
      <w:r w:rsidR="00A71ADA">
        <w:rPr>
          <w:b w:val="0"/>
          <w:color w:val="000000"/>
        </w:rPr>
        <w:fldChar w:fldCharType="end"/>
      </w:r>
      <w:r w:rsidRPr="00AB34C2">
        <w:rPr>
          <w:b w:val="0"/>
          <w:color w:val="000000"/>
        </w:rPr>
        <w:t xml:space="preserve">; </w:t>
      </w:r>
      <w:hyperlink r:id="rId20" w:history="1">
        <w:r w:rsidRPr="00AB34C2">
          <w:rPr>
            <w:b w:val="0"/>
            <w:color w:val="000000"/>
          </w:rPr>
          <w:t>XVI/2(4)</w:t>
        </w:r>
      </w:hyperlink>
      <w:r w:rsidRPr="00AB34C2">
        <w:rPr>
          <w:b w:val="0"/>
          <w:color w:val="000000"/>
        </w:rPr>
        <w:t xml:space="preserve">; </w:t>
      </w:r>
      <w:hyperlink r:id="rId21" w:history="1">
        <w:r w:rsidRPr="00AB34C2">
          <w:rPr>
            <w:b w:val="0"/>
            <w:color w:val="000000"/>
          </w:rPr>
          <w:t>XVII/9(5)</w:t>
        </w:r>
      </w:hyperlink>
      <w:r w:rsidR="003E4043" w:rsidRPr="00AB34C2">
        <w:rPr>
          <w:b w:val="0"/>
          <w:color w:val="000000"/>
        </w:rPr>
        <w:t xml:space="preserve"> and subsequent ‘Critical Use’ Decisions </w:t>
      </w:r>
      <w:r w:rsidRPr="00AB34C2">
        <w:rPr>
          <w:b w:val="0"/>
          <w:color w:val="000000"/>
        </w:rPr>
        <w:t xml:space="preserve">set out provisions which request Parties to submit </w:t>
      </w:r>
      <w:r w:rsidR="006514F2" w:rsidRPr="00AB34C2">
        <w:rPr>
          <w:b w:val="0"/>
          <w:color w:val="000000"/>
        </w:rPr>
        <w:t xml:space="preserve">in </w:t>
      </w:r>
      <w:r w:rsidR="003E4043" w:rsidRPr="00AB34C2">
        <w:rPr>
          <w:b w:val="0"/>
          <w:color w:val="000000"/>
        </w:rPr>
        <w:t xml:space="preserve">Accounting Frameworks </w:t>
      </w:r>
      <w:r w:rsidRPr="00AB34C2">
        <w:rPr>
          <w:b w:val="0"/>
          <w:color w:val="000000"/>
        </w:rPr>
        <w:t>by 1</w:t>
      </w:r>
      <w:r w:rsidRPr="00AB34C2">
        <w:rPr>
          <w:b w:val="0"/>
          <w:color w:val="000000"/>
          <w:vertAlign w:val="superscript"/>
        </w:rPr>
        <w:t xml:space="preserve">st </w:t>
      </w:r>
      <w:r w:rsidRPr="00AB34C2">
        <w:rPr>
          <w:b w:val="0"/>
          <w:color w:val="000000"/>
        </w:rPr>
        <w:t xml:space="preserve">February each year information on how criteria in IX/6(1) </w:t>
      </w:r>
      <w:r w:rsidR="00544677" w:rsidRPr="00AB34C2">
        <w:rPr>
          <w:b w:val="0"/>
          <w:color w:val="000000"/>
        </w:rPr>
        <w:t>are</w:t>
      </w:r>
      <w:r w:rsidR="00681ECA" w:rsidRPr="00AB34C2">
        <w:rPr>
          <w:b w:val="0"/>
          <w:color w:val="000000"/>
        </w:rPr>
        <w:t xml:space="preserve"> </w:t>
      </w:r>
      <w:r w:rsidRPr="00AB34C2">
        <w:rPr>
          <w:b w:val="0"/>
          <w:color w:val="000000"/>
        </w:rPr>
        <w:t>met when licensing permitting or authoriz</w:t>
      </w:r>
      <w:r w:rsidRPr="00AB34C2">
        <w:rPr>
          <w:b w:val="0"/>
          <w:color w:val="000000"/>
          <w:szCs w:val="22"/>
        </w:rPr>
        <w:t xml:space="preserve">ing CUEs.   </w:t>
      </w:r>
      <w:r w:rsidRPr="00AB34C2">
        <w:rPr>
          <w:b w:val="0"/>
          <w:szCs w:val="22"/>
        </w:rPr>
        <w:t>Decision XVII/9 of the 17</w:t>
      </w:r>
      <w:r w:rsidRPr="00AB34C2">
        <w:rPr>
          <w:b w:val="0"/>
          <w:szCs w:val="22"/>
          <w:vertAlign w:val="superscript"/>
        </w:rPr>
        <w:t>th</w:t>
      </w:r>
      <w:r w:rsidRPr="00AB34C2">
        <w:rPr>
          <w:b w:val="0"/>
          <w:szCs w:val="22"/>
        </w:rPr>
        <w:t xml:space="preserve"> MOP </w:t>
      </w:r>
      <w:r w:rsidR="003E4043" w:rsidRPr="00AB34C2">
        <w:rPr>
          <w:b w:val="0"/>
          <w:szCs w:val="22"/>
        </w:rPr>
        <w:t xml:space="preserve">sets the timeline for reporting and also </w:t>
      </w:r>
      <w:r w:rsidRPr="00AB34C2">
        <w:rPr>
          <w:b w:val="0"/>
          <w:szCs w:val="22"/>
        </w:rPr>
        <w:t>specifically requests TEAP and its MBTOC to “</w:t>
      </w:r>
      <w:r w:rsidRPr="00AB34C2">
        <w:rPr>
          <w:b w:val="0"/>
          <w:i/>
          <w:szCs w:val="22"/>
        </w:rPr>
        <w:t xml:space="preserve">report for 2005 and annually thereafter, for each agreed critical use category, the amount of MB nominated by a Party, the amount of the agreed critical use and either: </w:t>
      </w:r>
    </w:p>
    <w:p w14:paraId="0FF90FD5" w14:textId="77777777" w:rsidR="00400A4D" w:rsidRPr="00F9037E" w:rsidRDefault="00400A4D" w:rsidP="009446BE">
      <w:pPr>
        <w:spacing w:after="0"/>
        <w:ind w:firstLine="550"/>
        <w:jc w:val="both"/>
        <w:rPr>
          <w:i/>
        </w:rPr>
      </w:pPr>
      <w:r w:rsidRPr="00F9037E">
        <w:rPr>
          <w:i/>
        </w:rPr>
        <w:t>(a)</w:t>
      </w:r>
      <w:r w:rsidRPr="00F9037E">
        <w:rPr>
          <w:i/>
        </w:rPr>
        <w:tab/>
        <w:t xml:space="preserve"> The amount licensed, permitted or authorised; or </w:t>
      </w:r>
    </w:p>
    <w:p w14:paraId="60E1233C" w14:textId="77777777" w:rsidR="00400A4D" w:rsidRPr="00F9037E" w:rsidRDefault="00400A4D" w:rsidP="009446BE">
      <w:pPr>
        <w:pStyle w:val="Style1"/>
        <w:numPr>
          <w:ilvl w:val="0"/>
          <w:numId w:val="4"/>
        </w:numPr>
        <w:tabs>
          <w:tab w:val="num" w:pos="1100"/>
          <w:tab w:val="num" w:pos="2127"/>
        </w:tabs>
        <w:spacing w:before="0" w:after="0" w:line="240" w:lineRule="auto"/>
        <w:ind w:left="0" w:firstLine="567"/>
        <w:jc w:val="both"/>
        <w:rPr>
          <w:rFonts w:ascii="Times New Roman" w:hAnsi="Times New Roman"/>
          <w:i/>
          <w:lang w:val="en-GB" w:eastAsia="en-AU"/>
        </w:rPr>
      </w:pPr>
      <w:r w:rsidRPr="00F9037E">
        <w:rPr>
          <w:rFonts w:ascii="Times New Roman" w:hAnsi="Times New Roman"/>
          <w:i/>
          <w:lang w:val="en-GB" w:eastAsia="en-AU"/>
        </w:rPr>
        <w:t>The amount used</w:t>
      </w:r>
    </w:p>
    <w:p w14:paraId="3811B23A" w14:textId="77777777" w:rsidR="00066BB2" w:rsidRPr="00F9037E" w:rsidRDefault="00066BB2" w:rsidP="009446BE">
      <w:pPr>
        <w:pStyle w:val="Style1"/>
        <w:tabs>
          <w:tab w:val="num" w:pos="1100"/>
          <w:tab w:val="num" w:pos="2127"/>
        </w:tabs>
        <w:spacing w:before="0" w:after="0" w:line="240" w:lineRule="auto"/>
        <w:ind w:left="567"/>
        <w:jc w:val="both"/>
        <w:rPr>
          <w:rFonts w:ascii="Times New Roman" w:hAnsi="Times New Roman"/>
          <w:i/>
          <w:lang w:val="en-GB" w:eastAsia="en-AU"/>
        </w:rPr>
      </w:pPr>
    </w:p>
    <w:p w14:paraId="19EF3776" w14:textId="77777777" w:rsidR="00400A4D" w:rsidRPr="00F9037E" w:rsidRDefault="00400A4D" w:rsidP="009446BE">
      <w:pPr>
        <w:jc w:val="both"/>
      </w:pPr>
      <w:r w:rsidRPr="00F9037E">
        <w:t>Since the start of the CUN reviews in 2003, MBTOC has provided tables of the historic amounts of MB nominated and agreed for each critical use (Annexes III and IV). Additionally Parties provide accounting frameworks on amounts used for critical uses and stocks as required under Dec Ex.1/4 (9f). (Table1-3).</w:t>
      </w:r>
      <w:r w:rsidR="00544677" w:rsidRPr="00F9037E">
        <w:t xml:space="preserve"> The same requirements apply to A5</w:t>
      </w:r>
      <w:r w:rsidR="008F7174" w:rsidRPr="00F9037E">
        <w:t xml:space="preserve"> Parties after 20</w:t>
      </w:r>
      <w:r w:rsidR="00127D9F" w:rsidRPr="00F9037E">
        <w:t>1</w:t>
      </w:r>
      <w:r w:rsidR="008F7174" w:rsidRPr="00F9037E">
        <w:t>5.</w:t>
      </w:r>
    </w:p>
    <w:p w14:paraId="092F5BEC" w14:textId="6BE79ABD" w:rsidR="00F45586" w:rsidRPr="00F9037E" w:rsidRDefault="00120719" w:rsidP="009446BE">
      <w:pPr>
        <w:pStyle w:val="Footer"/>
        <w:jc w:val="both"/>
      </w:pPr>
      <w:r w:rsidRPr="00F9037E">
        <w:t>For</w:t>
      </w:r>
      <w:r w:rsidR="00681ECA" w:rsidRPr="00F9037E">
        <w:t xml:space="preserve"> </w:t>
      </w:r>
      <w:r w:rsidR="00BC52CE" w:rsidRPr="00F9037E">
        <w:t>2015</w:t>
      </w:r>
      <w:r w:rsidR="006E0BB6" w:rsidRPr="00F9037E">
        <w:t>, t</w:t>
      </w:r>
      <w:r w:rsidR="008D5F24" w:rsidRPr="00F9037E">
        <w:t xml:space="preserve">he Meeting of the Parties </w:t>
      </w:r>
      <w:r w:rsidR="00C3272D" w:rsidRPr="00F9037E">
        <w:t xml:space="preserve">(MOP) </w:t>
      </w:r>
      <w:r w:rsidR="008D5F24" w:rsidRPr="00F9037E">
        <w:t xml:space="preserve">authorised </w:t>
      </w:r>
      <w:r w:rsidR="0057107C" w:rsidRPr="00F9037E">
        <w:t>Australia</w:t>
      </w:r>
      <w:r w:rsidR="008C7BF1" w:rsidRPr="00F9037E">
        <w:t xml:space="preserve"> to </w:t>
      </w:r>
      <w:r w:rsidR="008D5F24" w:rsidRPr="00F9037E">
        <w:t>use 29.</w:t>
      </w:r>
      <w:r w:rsidR="006E0BB6" w:rsidRPr="00F9037E">
        <w:t>76</w:t>
      </w:r>
      <w:r w:rsidR="00371A56" w:rsidRPr="00F9037E">
        <w:t>0</w:t>
      </w:r>
      <w:r w:rsidR="008D5F24" w:rsidRPr="00F9037E">
        <w:t xml:space="preserve">t </w:t>
      </w:r>
      <w:r w:rsidR="006E0BB6" w:rsidRPr="00F9037E">
        <w:t>of MB</w:t>
      </w:r>
      <w:r w:rsidR="000646DF" w:rsidRPr="00F9037E">
        <w:t xml:space="preserve"> (Table 1.3)</w:t>
      </w:r>
      <w:r w:rsidR="00CD3CBD" w:rsidRPr="00F9037E">
        <w:t>. The</w:t>
      </w:r>
      <w:r w:rsidR="00400A4D" w:rsidRPr="00F9037E">
        <w:t xml:space="preserve"> Party reported that </w:t>
      </w:r>
      <w:r w:rsidR="006365B7" w:rsidRPr="00F9037E">
        <w:t>29.</w:t>
      </w:r>
      <w:r w:rsidR="00B74566" w:rsidRPr="00F9037E">
        <w:t>750</w:t>
      </w:r>
      <w:r w:rsidR="00400A4D" w:rsidRPr="00F9037E">
        <w:t>t</w:t>
      </w:r>
      <w:r w:rsidR="00F16A73" w:rsidRPr="00F9037E">
        <w:t xml:space="preserve"> were</w:t>
      </w:r>
      <w:r w:rsidR="00400A4D" w:rsidRPr="00F9037E">
        <w:t xml:space="preserve"> used for the critical uses in </w:t>
      </w:r>
      <w:r w:rsidR="006365B7" w:rsidRPr="00F9037E">
        <w:t>2015</w:t>
      </w:r>
      <w:r w:rsidR="00400A4D" w:rsidRPr="00F9037E">
        <w:t xml:space="preserve">. </w:t>
      </w:r>
      <w:r w:rsidR="008D5F24" w:rsidRPr="00F9037E">
        <w:t>For Canada</w:t>
      </w:r>
      <w:r w:rsidR="00C3272D" w:rsidRPr="00F9037E">
        <w:t xml:space="preserve"> in 201</w:t>
      </w:r>
      <w:r w:rsidR="006365B7" w:rsidRPr="00F9037E">
        <w:t>5</w:t>
      </w:r>
      <w:r w:rsidR="008D5F24" w:rsidRPr="00F9037E">
        <w:t xml:space="preserve">, the </w:t>
      </w:r>
      <w:r w:rsidR="00C3272D" w:rsidRPr="00F9037E">
        <w:t>MOP</w:t>
      </w:r>
      <w:r w:rsidR="008D5F24" w:rsidRPr="00F9037E">
        <w:t xml:space="preserve"> authorised </w:t>
      </w:r>
      <w:r w:rsidR="00400A4D" w:rsidRPr="00F9037E">
        <w:t>5.261</w:t>
      </w:r>
      <w:r w:rsidR="008B741B" w:rsidRPr="00F9037E">
        <w:t xml:space="preserve"> t </w:t>
      </w:r>
      <w:r w:rsidR="00400A4D" w:rsidRPr="00F9037E">
        <w:t>for st</w:t>
      </w:r>
      <w:r w:rsidR="008D5F24" w:rsidRPr="00F9037E">
        <w:t>rawberry runners</w:t>
      </w:r>
      <w:r w:rsidR="00822A1B" w:rsidRPr="00F9037E">
        <w:t xml:space="preserve"> </w:t>
      </w:r>
      <w:r w:rsidR="00D23F72" w:rsidRPr="00F9037E">
        <w:t>and</w:t>
      </w:r>
      <w:r w:rsidR="00400A4D" w:rsidRPr="00F9037E">
        <w:t xml:space="preserve"> the Party reported that </w:t>
      </w:r>
      <w:r w:rsidR="005155CF" w:rsidRPr="00F9037E">
        <w:t>4.316</w:t>
      </w:r>
      <w:r w:rsidR="00C3272D" w:rsidRPr="00F9037E">
        <w:t xml:space="preserve"> t</w:t>
      </w:r>
      <w:r w:rsidR="00822A1B" w:rsidRPr="00F9037E">
        <w:t xml:space="preserve"> </w:t>
      </w:r>
      <w:r w:rsidR="00F16A73" w:rsidRPr="00F9037E">
        <w:t>were</w:t>
      </w:r>
      <w:r w:rsidR="00822A1B" w:rsidRPr="00F9037E">
        <w:t xml:space="preserve"> </w:t>
      </w:r>
      <w:r w:rsidR="00400A4D" w:rsidRPr="00F9037E">
        <w:t>used for the critical uses in 201</w:t>
      </w:r>
      <w:r w:rsidR="006365B7" w:rsidRPr="00F9037E">
        <w:t>5</w:t>
      </w:r>
      <w:r w:rsidR="00522411" w:rsidRPr="00F9037E">
        <w:t xml:space="preserve">.  </w:t>
      </w:r>
      <w:r w:rsidR="006365B7" w:rsidRPr="00F9037E">
        <w:t xml:space="preserve"> For A5 critical uses, the Parties authorized 71.25 t for strawberry fruit and 58.0 t for tomatoes in Argentina; 99.75 t for ginger protected and open fields in China; 85.057 t for strawberry runner and raspberry production in Mexico and 74.062 t for Mills and structures in South Africa.</w:t>
      </w:r>
    </w:p>
    <w:p w14:paraId="315CF30C" w14:textId="2B407590" w:rsidR="008D5F24" w:rsidRPr="003655C2" w:rsidRDefault="00563BC0" w:rsidP="006A54A1">
      <w:pPr>
        <w:pStyle w:val="Heading2"/>
        <w:rPr>
          <w:rStyle w:val="Heading2Char"/>
          <w:b w:val="0"/>
        </w:rPr>
      </w:pPr>
      <w:bookmarkStart w:id="42" w:name="_Toc102710551"/>
      <w:bookmarkStart w:id="43" w:name="_Toc321116335"/>
      <w:bookmarkStart w:id="44" w:name="_Toc323048864"/>
      <w:bookmarkStart w:id="45" w:name="_Toc323049028"/>
      <w:bookmarkStart w:id="46" w:name="_Toc293054736"/>
      <w:bookmarkStart w:id="47" w:name="_Toc461183760"/>
      <w:r w:rsidRPr="003655C2">
        <w:rPr>
          <w:rStyle w:val="Heading2Char"/>
          <w:b w:val="0"/>
        </w:rPr>
        <w:t>3</w:t>
      </w:r>
      <w:r w:rsidR="006A54A1">
        <w:rPr>
          <w:rStyle w:val="Heading2Char"/>
          <w:b w:val="0"/>
        </w:rPr>
        <w:t>.4</w:t>
      </w:r>
      <w:r w:rsidR="006A54A1">
        <w:rPr>
          <w:rStyle w:val="Heading2Char"/>
          <w:b w:val="0"/>
        </w:rPr>
        <w:tab/>
      </w:r>
      <w:r w:rsidR="008D5F24" w:rsidRPr="003655C2">
        <w:rPr>
          <w:rStyle w:val="Heading2Char"/>
          <w:b w:val="0"/>
        </w:rPr>
        <w:t>Trends in Methyl Bromide Use for CUEs since 2005</w:t>
      </w:r>
      <w:bookmarkEnd w:id="42"/>
      <w:bookmarkEnd w:id="43"/>
      <w:bookmarkEnd w:id="44"/>
      <w:bookmarkEnd w:id="45"/>
      <w:bookmarkEnd w:id="46"/>
      <w:bookmarkEnd w:id="47"/>
    </w:p>
    <w:p w14:paraId="55E4DA9D" w14:textId="7A2430AF" w:rsidR="00EE5FCF" w:rsidRPr="00563BC0" w:rsidRDefault="00EE5FCF" w:rsidP="009446BE">
      <w:pPr>
        <w:jc w:val="both"/>
      </w:pPr>
      <w:bookmarkStart w:id="48" w:name="_Toc323048865"/>
      <w:bookmarkStart w:id="49" w:name="_Toc323049029"/>
      <w:r w:rsidRPr="00CD3CBD">
        <w:t xml:space="preserve">Decision XVII/9 requires TEAP to show trends in the phase out of the critical uses of MB (Fig 1-1 </w:t>
      </w:r>
      <w:r w:rsidR="00CD3CBD" w:rsidRPr="003A30C7">
        <w:t>to Fig.1</w:t>
      </w:r>
      <w:r w:rsidRPr="00082015">
        <w:t>-</w:t>
      </w:r>
      <w:r w:rsidR="00E417DF" w:rsidRPr="00082015">
        <w:t>3</w:t>
      </w:r>
      <w:r w:rsidRPr="00082015">
        <w:t>, Annexes III and IV).  Since 2005, there has been a progressive downward trend in the amounts of</w:t>
      </w:r>
      <w:r w:rsidR="00C20011" w:rsidRPr="00F5313E">
        <w:t xml:space="preserve"> </w:t>
      </w:r>
      <w:r w:rsidRPr="00220275">
        <w:t>MB requested for CUNs by all Parties for both soil and post- harvest uses, although this has occurred at different rates.  Figs 1-1 show</w:t>
      </w:r>
      <w:r w:rsidR="00E417DF" w:rsidRPr="00220275">
        <w:t>s</w:t>
      </w:r>
      <w:r w:rsidRPr="00220275">
        <w:t xml:space="preserve"> reduction trends in amounts approved/nominated by Parties for ‘Critical Use’ from 2005 to </w:t>
      </w:r>
      <w:r w:rsidR="00127D9F" w:rsidRPr="00220275">
        <w:t>2016</w:t>
      </w:r>
      <w:r w:rsidR="00C20011" w:rsidRPr="00B87B95">
        <w:t xml:space="preserve"> </w:t>
      </w:r>
      <w:r w:rsidRPr="00B87B95">
        <w:t xml:space="preserve">for all the remaining soil uses in </w:t>
      </w:r>
      <w:r w:rsidR="00E417DF" w:rsidRPr="00563BC0">
        <w:t xml:space="preserve">both </w:t>
      </w:r>
      <w:r w:rsidR="00153F40" w:rsidRPr="00563BC0">
        <w:t>non-</w:t>
      </w:r>
      <w:r w:rsidRPr="00563BC0">
        <w:t>A5 Parties</w:t>
      </w:r>
      <w:r w:rsidR="00535889" w:rsidRPr="00563BC0">
        <w:t xml:space="preserve"> (strawberry runners, Canada and Australia)</w:t>
      </w:r>
      <w:r w:rsidR="00E417DF" w:rsidRPr="00563BC0">
        <w:t xml:space="preserve"> and Figs 1-2 and 1-3 the current </w:t>
      </w:r>
      <w:proofErr w:type="spellStart"/>
      <w:r w:rsidR="00E417DF" w:rsidRPr="00563BC0">
        <w:t>preplant</w:t>
      </w:r>
      <w:proofErr w:type="spellEnd"/>
      <w:r w:rsidR="00E417DF" w:rsidRPr="00563BC0">
        <w:t xml:space="preserve"> soil and commodity uses in A5 Parties (Argentina, China and Republic of South Africa) since 2015. </w:t>
      </w:r>
      <w:r w:rsidRPr="00563BC0">
        <w:t xml:space="preserve"> The complete trends in phase out of MB by country, as indicated by change in CUE, are shown in Annexes III and IV.</w:t>
      </w:r>
    </w:p>
    <w:p w14:paraId="47A3AF46" w14:textId="77777777" w:rsidR="00EE5FCF" w:rsidRPr="00F9037E" w:rsidRDefault="00EE5FCF" w:rsidP="009446BE">
      <w:pPr>
        <w:jc w:val="both"/>
        <w:rPr>
          <w:b/>
        </w:rPr>
      </w:pPr>
      <w:r w:rsidRPr="000F08B5">
        <w:t xml:space="preserve">The nominated amounts and the apparent rate of reduction in MB or adoption of alternatives achieved by Parties are shown in Table 1-4, as well as Figures 1-1 </w:t>
      </w:r>
      <w:r w:rsidR="00E417DF" w:rsidRPr="000F08B5">
        <w:t>to 1-3</w:t>
      </w:r>
      <w:r w:rsidRPr="000F08B5">
        <w:t>. It is noted that for those non-A5 countries that have pre-2005 stocks of MB that are being drawn down, the reductions in CUEs from year to year cannot be taken directly as evidence</w:t>
      </w:r>
      <w:r w:rsidRPr="00365366">
        <w:t xml:space="preserve"> of adoption of alter</w:t>
      </w:r>
      <w:r w:rsidRPr="00F9037E">
        <w:t>natives since pre-2005</w:t>
      </w:r>
      <w:r w:rsidR="00F85FD5" w:rsidRPr="00F9037E">
        <w:t>/2015</w:t>
      </w:r>
      <w:r w:rsidRPr="00F9037E">
        <w:t xml:space="preserve"> stocks may have been used (or may still be used) in the same sectors.</w:t>
      </w:r>
    </w:p>
    <w:p w14:paraId="6D87DC08" w14:textId="546841E8" w:rsidR="008D5F24" w:rsidRPr="003655C2" w:rsidRDefault="00563BC0" w:rsidP="006A54A1">
      <w:pPr>
        <w:pStyle w:val="Heading2"/>
        <w:rPr>
          <w:rStyle w:val="Heading2Char"/>
          <w:b w:val="0"/>
        </w:rPr>
      </w:pPr>
      <w:bookmarkStart w:id="50" w:name="_Toc293054737"/>
      <w:bookmarkStart w:id="51" w:name="_Toc461183761"/>
      <w:r w:rsidRPr="003655C2">
        <w:rPr>
          <w:rStyle w:val="Heading2Char"/>
          <w:b w:val="0"/>
        </w:rPr>
        <w:t>3</w:t>
      </w:r>
      <w:r w:rsidR="008D5F24" w:rsidRPr="003655C2">
        <w:rPr>
          <w:rStyle w:val="Heading2Char"/>
          <w:b w:val="0"/>
        </w:rPr>
        <w:t xml:space="preserve">.5 </w:t>
      </w:r>
      <w:r w:rsidR="008D5F24" w:rsidRPr="003655C2">
        <w:rPr>
          <w:rStyle w:val="Heading2Char"/>
          <w:b w:val="0"/>
        </w:rPr>
        <w:tab/>
        <w:t>Disclosure of Interest</w:t>
      </w:r>
      <w:bookmarkEnd w:id="48"/>
      <w:bookmarkEnd w:id="49"/>
      <w:bookmarkEnd w:id="50"/>
      <w:bookmarkEnd w:id="51"/>
    </w:p>
    <w:p w14:paraId="10110350" w14:textId="77777777" w:rsidR="008D5F24" w:rsidRPr="00220275" w:rsidRDefault="008D5F24" w:rsidP="009446BE">
      <w:pPr>
        <w:jc w:val="both"/>
      </w:pPr>
      <w:r w:rsidRPr="00CD3CBD">
        <w:t xml:space="preserve">As in past reports, MBTOC members were requested to update their disclosure of interest forms relating specifically to their level of national, regional or enterprise involvement for the </w:t>
      </w:r>
      <w:r w:rsidR="00AE42EC" w:rsidRPr="00501812">
        <w:t xml:space="preserve">2016 CUN </w:t>
      </w:r>
      <w:r w:rsidRPr="003A30C7">
        <w:t xml:space="preserve">process. The </w:t>
      </w:r>
      <w:r w:rsidRPr="003A30C7">
        <w:lastRenderedPageBreak/>
        <w:t xml:space="preserve">Disclosure of Interest declarations for </w:t>
      </w:r>
      <w:r w:rsidR="00153F40" w:rsidRPr="003A30C7">
        <w:t>201</w:t>
      </w:r>
      <w:r w:rsidR="00AE42EC" w:rsidRPr="00082015">
        <w:t>6</w:t>
      </w:r>
      <w:r w:rsidRPr="00082015">
        <w:t xml:space="preserve">, updated in </w:t>
      </w:r>
      <w:r w:rsidR="00AE42EC" w:rsidRPr="00082015">
        <w:t xml:space="preserve">February 2016 can </w:t>
      </w:r>
      <w:r w:rsidRPr="00082015">
        <w:t xml:space="preserve">be found on the </w:t>
      </w:r>
      <w:r w:rsidR="00507126" w:rsidRPr="00082015">
        <w:t>Ozone Secretariat website</w:t>
      </w:r>
      <w:r w:rsidR="00C20011" w:rsidRPr="00082015">
        <w:t xml:space="preserve"> </w:t>
      </w:r>
      <w:r w:rsidRPr="00082015">
        <w:t>at</w:t>
      </w:r>
      <w:proofErr w:type="gramStart"/>
      <w:r w:rsidR="00AE42EC" w:rsidRPr="00082015">
        <w:t>:</w:t>
      </w:r>
      <w:proofErr w:type="gramEnd"/>
      <w:r w:rsidR="004973C0">
        <w:fldChar w:fldCharType="begin"/>
      </w:r>
      <w:r w:rsidR="004973C0">
        <w:instrText xml:space="preserve"> HYPERLINK "http://ozone.unep.org/en/assessment-panels/383/disclosure-interest?field_subsidiary_body=391" </w:instrText>
      </w:r>
      <w:r w:rsidR="004973C0">
        <w:fldChar w:fldCharType="separate"/>
      </w:r>
      <w:r w:rsidR="00507126" w:rsidRPr="00CD3CBD">
        <w:rPr>
          <w:rStyle w:val="Hyperlink"/>
        </w:rPr>
        <w:t>http://ozone.unep.org/en/assessment-panels/383/disclosure-interest?field_subsidiary_body=391</w:t>
      </w:r>
      <w:r w:rsidR="004973C0">
        <w:rPr>
          <w:rStyle w:val="Hyperlink"/>
        </w:rPr>
        <w:fldChar w:fldCharType="end"/>
      </w:r>
      <w:r w:rsidR="00C20011" w:rsidRPr="00CD3CBD">
        <w:t xml:space="preserve"> </w:t>
      </w:r>
      <w:r w:rsidRPr="00CD3CBD">
        <w:t xml:space="preserve">and a list of members in </w:t>
      </w:r>
      <w:r w:rsidR="003C4D11" w:rsidRPr="00CD3CBD">
        <w:t>this report</w:t>
      </w:r>
      <w:r w:rsidRPr="00501812">
        <w:t>.  As in previous rounds, some member</w:t>
      </w:r>
      <w:r w:rsidR="00D77708" w:rsidRPr="003A30C7">
        <w:t>s</w:t>
      </w:r>
      <w:r w:rsidRPr="003A30C7">
        <w:t xml:space="preserve"> withdrew</w:t>
      </w:r>
      <w:r w:rsidR="00D77708" w:rsidRPr="00082015">
        <w:t xml:space="preserve"> from or abstained to participate</w:t>
      </w:r>
      <w:r w:rsidR="00C20011" w:rsidRPr="00082015">
        <w:t xml:space="preserve"> </w:t>
      </w:r>
      <w:r w:rsidR="00D77708" w:rsidRPr="00082015">
        <w:t>in</w:t>
      </w:r>
      <w:r w:rsidRPr="00082015">
        <w:t xml:space="preserve"> a particular CUN assessment or only provided technical advice on request</w:t>
      </w:r>
      <w:r w:rsidR="00834414" w:rsidRPr="00F5313E">
        <w:t>,</w:t>
      </w:r>
      <w:r w:rsidRPr="00220275">
        <w:t xml:space="preserve"> for those nominations where a potential conflict of interest was declared. </w:t>
      </w:r>
      <w:r w:rsidR="00807F4D" w:rsidRPr="00220275">
        <w:t>Details of recusals can be found in section 1.3.2.</w:t>
      </w:r>
    </w:p>
    <w:p w14:paraId="77B8D6D2" w14:textId="77777777" w:rsidR="00195804" w:rsidRPr="00563BC0" w:rsidRDefault="00195804" w:rsidP="009446BE">
      <w:pPr>
        <w:jc w:val="both"/>
      </w:pPr>
      <w:r w:rsidRPr="00220275">
        <w:t>MBTOC co-chairs further briefed members of recent updates introduced by the Parties to the Terms of Reference (TOR) of the TEAP/TOC, as per recent Decision</w:t>
      </w:r>
      <w:r w:rsidR="002C37CE" w:rsidRPr="00B87B95">
        <w:t>s</w:t>
      </w:r>
      <w:r w:rsidRPr="00B87B95">
        <w:t xml:space="preserve"> XXIV/8</w:t>
      </w:r>
      <w:r w:rsidR="002C37CE" w:rsidRPr="00563BC0">
        <w:t xml:space="preserve"> and XXV/</w:t>
      </w:r>
      <w:r w:rsidR="00570F3B" w:rsidRPr="00563BC0">
        <w:t>6</w:t>
      </w:r>
      <w:r w:rsidRPr="00563BC0">
        <w:t xml:space="preserve">. </w:t>
      </w:r>
    </w:p>
    <w:p w14:paraId="0916306D" w14:textId="3DB642EA" w:rsidR="00AA225A" w:rsidRDefault="00EE5FCF" w:rsidP="00F9037E">
      <w:pPr>
        <w:pStyle w:val="Tableandfigureheadings"/>
        <w:jc w:val="both"/>
        <w:rPr>
          <w:noProof/>
        </w:rPr>
      </w:pPr>
      <w:bookmarkStart w:id="52" w:name="_Toc324255702"/>
      <w:r w:rsidRPr="00563BC0">
        <w:rPr>
          <w:noProof/>
        </w:rPr>
        <w:t>Figure 1</w:t>
      </w:r>
      <w:r w:rsidR="00695E9C" w:rsidRPr="00563BC0">
        <w:rPr>
          <w:noProof/>
        </w:rPr>
        <w:t>.</w:t>
      </w:r>
      <w:r w:rsidRPr="00563BC0">
        <w:rPr>
          <w:noProof/>
        </w:rPr>
        <w:t xml:space="preserve">1.  Amounts of MB nominated and exempted for CUE uses in nominated  preplant soil sectors from 2005 to </w:t>
      </w:r>
      <w:r w:rsidR="00F42D06" w:rsidRPr="00563BC0">
        <w:rPr>
          <w:noProof/>
        </w:rPr>
        <w:t>201</w:t>
      </w:r>
      <w:r w:rsidR="004670E0" w:rsidRPr="00563BC0">
        <w:rPr>
          <w:noProof/>
        </w:rPr>
        <w:t>8</w:t>
      </w:r>
      <w:r w:rsidR="001975FE" w:rsidRPr="00563BC0">
        <w:rPr>
          <w:noProof/>
        </w:rPr>
        <w:t xml:space="preserve"> by non A5 countries: Australia and Canada</w:t>
      </w:r>
      <w:r w:rsidR="00F9037E">
        <w:rPr>
          <w:noProof/>
        </w:rPr>
        <w:t xml:space="preserve">. </w:t>
      </w:r>
      <w:r w:rsidRPr="000F08B5">
        <w:rPr>
          <w:noProof/>
        </w:rPr>
        <w:t xml:space="preserve">Blue lines indicate the trend inMB nominated </w:t>
      </w:r>
      <w:r w:rsidR="00C17D19" w:rsidRPr="000F08B5">
        <w:rPr>
          <w:noProof/>
        </w:rPr>
        <w:t xml:space="preserve">in the CUN </w:t>
      </w:r>
      <w:r w:rsidRPr="000F08B5">
        <w:rPr>
          <w:noProof/>
        </w:rPr>
        <w:t xml:space="preserve">and the red lines the amount of MB approved </w:t>
      </w:r>
      <w:r w:rsidR="00C17D19" w:rsidRPr="00365366">
        <w:rPr>
          <w:noProof/>
        </w:rPr>
        <w:t xml:space="preserve">as a CUE </w:t>
      </w:r>
      <w:r w:rsidRPr="00F9037E">
        <w:rPr>
          <w:noProof/>
        </w:rPr>
        <w:t>by the Parties</w:t>
      </w:r>
    </w:p>
    <w:p w14:paraId="677E47A3" w14:textId="77777777" w:rsidR="00082015" w:rsidRPr="00082015" w:rsidRDefault="00082015" w:rsidP="00F9037E">
      <w:pPr>
        <w:pStyle w:val="Tableandfigureheadings"/>
        <w:rPr>
          <w:noProof/>
        </w:rPr>
      </w:pPr>
    </w:p>
    <w:p w14:paraId="334C7C12" w14:textId="77777777" w:rsidR="004670E0" w:rsidRDefault="00B75B30" w:rsidP="00E417DF">
      <w:pPr>
        <w:ind w:left="1170" w:hanging="1170"/>
        <w:jc w:val="center"/>
        <w:rPr>
          <w:b/>
          <w:bCs/>
          <w:noProof/>
          <w:sz w:val="18"/>
        </w:rPr>
      </w:pPr>
      <w:r w:rsidRPr="00F9037E">
        <w:rPr>
          <w:b/>
          <w:bCs/>
          <w:noProof/>
          <w:lang w:val="en-US" w:eastAsia="en-US"/>
        </w:rPr>
        <w:drawing>
          <wp:inline distT="0" distB="0" distL="0" distR="0" wp14:anchorId="5E397C79" wp14:editId="5FF0D743">
            <wp:extent cx="4438650" cy="2457450"/>
            <wp:effectExtent l="0" t="0" r="19050" b="19050"/>
            <wp:docPr id="13"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8409A67" w14:textId="77777777" w:rsidR="005F38BD" w:rsidRPr="00CD3CBD" w:rsidRDefault="00B75B30" w:rsidP="00E417DF">
      <w:pPr>
        <w:jc w:val="center"/>
      </w:pPr>
      <w:r w:rsidRPr="00F9037E">
        <w:rPr>
          <w:noProof/>
          <w:lang w:val="en-US" w:eastAsia="en-US"/>
        </w:rPr>
        <w:drawing>
          <wp:inline distT="0" distB="0" distL="0" distR="0" wp14:anchorId="00681740" wp14:editId="357F1176">
            <wp:extent cx="4438650" cy="2362200"/>
            <wp:effectExtent l="0" t="0" r="19050" b="19050"/>
            <wp:docPr id="3"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1702F6C" w14:textId="77777777" w:rsidR="005F38BD" w:rsidRPr="00501812" w:rsidRDefault="005F38BD" w:rsidP="00E417DF">
      <w:pPr>
        <w:ind w:firstLine="1080"/>
      </w:pPr>
      <w:r w:rsidRPr="00501812">
        <w:t>* Prince Edward Island</w:t>
      </w:r>
    </w:p>
    <w:p w14:paraId="47D7F915" w14:textId="77777777" w:rsidR="005D1109" w:rsidRPr="003A30C7" w:rsidRDefault="005D1109">
      <w:pPr>
        <w:spacing w:after="0"/>
        <w:rPr>
          <w:b/>
          <w:bCs/>
          <w:i/>
          <w:noProof/>
        </w:rPr>
      </w:pPr>
      <w:r w:rsidRPr="003A30C7">
        <w:rPr>
          <w:b/>
          <w:bCs/>
          <w:i/>
          <w:noProof/>
        </w:rPr>
        <w:br w:type="page"/>
      </w:r>
    </w:p>
    <w:p w14:paraId="437B72F8" w14:textId="77777777" w:rsidR="00EE5FCF" w:rsidRPr="00B87B95" w:rsidRDefault="001975FE" w:rsidP="00F9037E">
      <w:pPr>
        <w:pStyle w:val="Tableandfigureheadings"/>
        <w:jc w:val="both"/>
        <w:rPr>
          <w:noProof/>
        </w:rPr>
      </w:pPr>
      <w:r w:rsidRPr="003A30C7">
        <w:rPr>
          <w:noProof/>
        </w:rPr>
        <w:lastRenderedPageBreak/>
        <w:t>Figure 1</w:t>
      </w:r>
      <w:r w:rsidR="00695E9C" w:rsidRPr="00082015">
        <w:rPr>
          <w:noProof/>
        </w:rPr>
        <w:t>.</w:t>
      </w:r>
      <w:r w:rsidRPr="00082015">
        <w:rPr>
          <w:noProof/>
        </w:rPr>
        <w:t xml:space="preserve">2.  Amounts of MB nominated and exempted for CUE uses in nominated  preplant soil sectors </w:t>
      </w:r>
      <w:r w:rsidR="00E417DF" w:rsidRPr="00082015">
        <w:rPr>
          <w:noProof/>
        </w:rPr>
        <w:t>from 2015</w:t>
      </w:r>
      <w:r w:rsidR="001B6C52" w:rsidRPr="00082015">
        <w:rPr>
          <w:noProof/>
        </w:rPr>
        <w:t xml:space="preserve"> to 201</w:t>
      </w:r>
      <w:r w:rsidR="00A42AB1" w:rsidRPr="00082015">
        <w:rPr>
          <w:noProof/>
        </w:rPr>
        <w:t>7</w:t>
      </w:r>
      <w:r w:rsidR="00C20011" w:rsidRPr="00082015">
        <w:rPr>
          <w:noProof/>
        </w:rPr>
        <w:t xml:space="preserve"> </w:t>
      </w:r>
      <w:r w:rsidRPr="00082015">
        <w:rPr>
          <w:noProof/>
        </w:rPr>
        <w:t>by A5 countries: Argentin</w:t>
      </w:r>
      <w:r w:rsidR="00A948BA" w:rsidRPr="00082015">
        <w:rPr>
          <w:noProof/>
        </w:rPr>
        <w:t>a, China</w:t>
      </w:r>
      <w:r w:rsidR="00C20011" w:rsidRPr="00082015">
        <w:rPr>
          <w:noProof/>
        </w:rPr>
        <w:t xml:space="preserve"> </w:t>
      </w:r>
      <w:r w:rsidR="00A948BA" w:rsidRPr="00082015">
        <w:rPr>
          <w:noProof/>
        </w:rPr>
        <w:t>a</w:t>
      </w:r>
      <w:r w:rsidR="00712380" w:rsidRPr="00082015">
        <w:rPr>
          <w:noProof/>
        </w:rPr>
        <w:t>nd</w:t>
      </w:r>
      <w:r w:rsidR="00C20011" w:rsidRPr="00082015">
        <w:rPr>
          <w:noProof/>
        </w:rPr>
        <w:t xml:space="preserve"> </w:t>
      </w:r>
      <w:r w:rsidR="00A948BA" w:rsidRPr="00F5313E">
        <w:rPr>
          <w:noProof/>
        </w:rPr>
        <w:t>Mexico</w:t>
      </w:r>
      <w:r w:rsidRPr="00220275">
        <w:rPr>
          <w:noProof/>
        </w:rPr>
        <w:t>.</w:t>
      </w:r>
      <w:r w:rsidR="00EE5FCF" w:rsidRPr="00220275">
        <w:rPr>
          <w:noProof/>
        </w:rPr>
        <w:t xml:space="preserve">  Blue lines indicate the trend in MB </w:t>
      </w:r>
      <w:r w:rsidR="00D34227" w:rsidRPr="00220275">
        <w:rPr>
          <w:noProof/>
        </w:rPr>
        <w:t xml:space="preserve">amounts </w:t>
      </w:r>
      <w:r w:rsidR="00EE5FCF" w:rsidRPr="00220275">
        <w:rPr>
          <w:noProof/>
        </w:rPr>
        <w:t xml:space="preserve">nominated </w:t>
      </w:r>
      <w:r w:rsidR="008A4B18" w:rsidRPr="00220275">
        <w:rPr>
          <w:noProof/>
        </w:rPr>
        <w:t xml:space="preserve">in the </w:t>
      </w:r>
      <w:r w:rsidR="00D34227" w:rsidRPr="00220275">
        <w:rPr>
          <w:noProof/>
        </w:rPr>
        <w:t xml:space="preserve">CUN </w:t>
      </w:r>
      <w:r w:rsidR="00EE5FCF" w:rsidRPr="00220275">
        <w:rPr>
          <w:noProof/>
        </w:rPr>
        <w:t xml:space="preserve">and the red lines the amount of MB approved </w:t>
      </w:r>
      <w:r w:rsidR="008A4B18" w:rsidRPr="00B87B95">
        <w:rPr>
          <w:noProof/>
        </w:rPr>
        <w:t xml:space="preserve">as a CUE </w:t>
      </w:r>
      <w:r w:rsidR="00EE5FCF" w:rsidRPr="00B87B95">
        <w:rPr>
          <w:noProof/>
        </w:rPr>
        <w:t>by the Parties</w:t>
      </w:r>
    </w:p>
    <w:p w14:paraId="71F67F50" w14:textId="77777777" w:rsidR="00B75B30" w:rsidRPr="00563BC0" w:rsidRDefault="00B75B30" w:rsidP="00B75B30">
      <w:pPr>
        <w:rPr>
          <w:b/>
          <w:i/>
        </w:rPr>
      </w:pPr>
    </w:p>
    <w:p w14:paraId="187F1D7F" w14:textId="77777777" w:rsidR="00B75B30" w:rsidRPr="00CD3CBD" w:rsidRDefault="00B75B30" w:rsidP="00B75B30">
      <w:pPr>
        <w:rPr>
          <w:b/>
          <w:i/>
        </w:rPr>
      </w:pPr>
      <w:r w:rsidRPr="00082015">
        <w:rPr>
          <w:noProof/>
          <w:lang w:val="en-US" w:eastAsia="en-US"/>
        </w:rPr>
        <w:drawing>
          <wp:inline distT="0" distB="0" distL="0" distR="0" wp14:anchorId="11B6C77E" wp14:editId="2C0FEBCA">
            <wp:extent cx="2771775" cy="2238375"/>
            <wp:effectExtent l="0" t="0" r="9525" b="9525"/>
            <wp:docPr id="8"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CD3CBD">
        <w:rPr>
          <w:b/>
          <w:i/>
        </w:rPr>
        <w:t xml:space="preserve"> </w:t>
      </w:r>
      <w:r w:rsidRPr="00082015">
        <w:rPr>
          <w:b/>
          <w:i/>
          <w:noProof/>
          <w:lang w:val="en-US" w:eastAsia="en-US"/>
        </w:rPr>
        <w:drawing>
          <wp:inline distT="0" distB="0" distL="0" distR="0" wp14:anchorId="79D57501" wp14:editId="0CF6924A">
            <wp:extent cx="2790825" cy="2228850"/>
            <wp:effectExtent l="0" t="0" r="9525" b="19050"/>
            <wp:docPr id="14"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F9B474F" w14:textId="77777777" w:rsidR="00B75B30" w:rsidRPr="00501812" w:rsidRDefault="00B75B30" w:rsidP="00B75B30">
      <w:pPr>
        <w:rPr>
          <w:b/>
          <w:i/>
        </w:rPr>
      </w:pPr>
    </w:p>
    <w:p w14:paraId="630B880D" w14:textId="77777777" w:rsidR="00B75B30" w:rsidRPr="00CD3CBD" w:rsidRDefault="00B75B30" w:rsidP="00B75B30">
      <w:pPr>
        <w:rPr>
          <w:b/>
          <w:i/>
        </w:rPr>
      </w:pPr>
      <w:r w:rsidRPr="00082015">
        <w:rPr>
          <w:b/>
          <w:i/>
          <w:noProof/>
          <w:lang w:val="en-US" w:eastAsia="en-US"/>
        </w:rPr>
        <w:drawing>
          <wp:inline distT="0" distB="0" distL="0" distR="0" wp14:anchorId="6A56DC26" wp14:editId="214891A5">
            <wp:extent cx="2686050" cy="2219325"/>
            <wp:effectExtent l="0" t="0" r="19050" b="9525"/>
            <wp:docPr id="17"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CD3CBD">
        <w:rPr>
          <w:b/>
          <w:i/>
        </w:rPr>
        <w:t xml:space="preserve"> </w:t>
      </w:r>
      <w:r w:rsidRPr="00082015">
        <w:rPr>
          <w:b/>
          <w:i/>
          <w:noProof/>
          <w:lang w:val="en-US" w:eastAsia="en-US"/>
        </w:rPr>
        <w:drawing>
          <wp:inline distT="0" distB="0" distL="0" distR="0" wp14:anchorId="780839BC" wp14:editId="6E9BD67B">
            <wp:extent cx="2771775" cy="2219325"/>
            <wp:effectExtent l="0" t="0" r="9525" b="9525"/>
            <wp:docPr id="15"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C6F3935" w14:textId="77777777" w:rsidR="00B75B30" w:rsidRPr="00501812" w:rsidRDefault="00B75B30" w:rsidP="00B75B30"/>
    <w:p w14:paraId="61F281F7" w14:textId="77777777" w:rsidR="00B75B30" w:rsidRPr="00CD3CBD" w:rsidRDefault="00B75B30" w:rsidP="00B75B30">
      <w:r w:rsidRPr="00082015">
        <w:rPr>
          <w:noProof/>
          <w:lang w:val="en-US" w:eastAsia="en-US"/>
        </w:rPr>
        <w:drawing>
          <wp:inline distT="0" distB="0" distL="0" distR="0" wp14:anchorId="6B80302E" wp14:editId="2FC54C86">
            <wp:extent cx="2676525" cy="223837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82015">
        <w:rPr>
          <w:noProof/>
          <w:lang w:val="en-US" w:eastAsia="en-US"/>
        </w:rPr>
        <w:drawing>
          <wp:inline distT="0" distB="0" distL="0" distR="0" wp14:anchorId="3F15753D" wp14:editId="353F86B8">
            <wp:extent cx="2838450" cy="2238375"/>
            <wp:effectExtent l="0" t="0" r="1905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F70C729" w14:textId="77777777" w:rsidR="00A42AB1" w:rsidRPr="00501812" w:rsidRDefault="00A42AB1" w:rsidP="00E417DF">
      <w:pPr>
        <w:jc w:val="center"/>
        <w:rPr>
          <w:b/>
          <w:i/>
        </w:rPr>
      </w:pPr>
    </w:p>
    <w:p w14:paraId="14952EFD" w14:textId="77777777" w:rsidR="00E417DF" w:rsidRPr="00F5313E" w:rsidRDefault="00E417DF" w:rsidP="00F9037E">
      <w:pPr>
        <w:pStyle w:val="Tableandfigureheadings"/>
        <w:jc w:val="both"/>
        <w:rPr>
          <w:noProof/>
        </w:rPr>
      </w:pPr>
      <w:r w:rsidRPr="00501812">
        <w:rPr>
          <w:noProof/>
        </w:rPr>
        <w:t>Figure 1.3.  Amounts of MB nominated and exempted for CUE uses in structural and commodity uses from 20</w:t>
      </w:r>
      <w:r w:rsidR="00B66C3C" w:rsidRPr="003A30C7">
        <w:rPr>
          <w:noProof/>
        </w:rPr>
        <w:t>05</w:t>
      </w:r>
      <w:r w:rsidRPr="00082015">
        <w:rPr>
          <w:noProof/>
        </w:rPr>
        <w:t xml:space="preserve"> to 2017 </w:t>
      </w:r>
      <w:r w:rsidR="00B66C3C" w:rsidRPr="00082015">
        <w:rPr>
          <w:noProof/>
        </w:rPr>
        <w:t xml:space="preserve">by non </w:t>
      </w:r>
      <w:r w:rsidRPr="00082015">
        <w:rPr>
          <w:noProof/>
        </w:rPr>
        <w:t xml:space="preserve">A5 countries: </w:t>
      </w:r>
      <w:r w:rsidR="00B66C3C" w:rsidRPr="00082015">
        <w:rPr>
          <w:noProof/>
        </w:rPr>
        <w:t>USA</w:t>
      </w:r>
      <w:r w:rsidRPr="00082015">
        <w:rPr>
          <w:noProof/>
        </w:rPr>
        <w:t xml:space="preserve">.  Blue lines indicate the trend in MB amounts nominated in </w:t>
      </w:r>
      <w:r w:rsidR="00873CCA" w:rsidRPr="00082015">
        <w:rPr>
          <w:noProof/>
        </w:rPr>
        <w:t xml:space="preserve">previous </w:t>
      </w:r>
      <w:r w:rsidRPr="00082015">
        <w:rPr>
          <w:noProof/>
        </w:rPr>
        <w:t>CUN</w:t>
      </w:r>
      <w:r w:rsidR="00873CCA" w:rsidRPr="00082015">
        <w:rPr>
          <w:noProof/>
        </w:rPr>
        <w:t>s</w:t>
      </w:r>
      <w:r w:rsidRPr="00082015">
        <w:rPr>
          <w:noProof/>
        </w:rPr>
        <w:t xml:space="preserve"> and the red lines the amount of MB approved as a CUE by the Parties</w:t>
      </w:r>
    </w:p>
    <w:p w14:paraId="3A385124" w14:textId="77777777" w:rsidR="00873CCA" w:rsidRPr="00220275" w:rsidRDefault="00873CCA" w:rsidP="00E417DF">
      <w:pPr>
        <w:spacing w:after="0"/>
        <w:rPr>
          <w:b/>
          <w:bCs/>
          <w:i/>
          <w:noProof/>
        </w:rPr>
      </w:pPr>
    </w:p>
    <w:p w14:paraId="1D8D9285" w14:textId="77777777" w:rsidR="00A948BA" w:rsidRPr="00CD3CBD" w:rsidRDefault="00B75B30" w:rsidP="00873CCA">
      <w:pPr>
        <w:spacing w:after="0"/>
        <w:jc w:val="center"/>
        <w:rPr>
          <w:b/>
          <w:bCs/>
          <w:i/>
          <w:noProof/>
        </w:rPr>
      </w:pPr>
      <w:r w:rsidRPr="00082015">
        <w:rPr>
          <w:noProof/>
          <w:lang w:val="en-US" w:eastAsia="en-US"/>
        </w:rPr>
        <w:drawing>
          <wp:inline distT="0" distB="0" distL="0" distR="0" wp14:anchorId="61200759" wp14:editId="38AA98F9">
            <wp:extent cx="4572000" cy="27432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B3AB3E2" w14:textId="77777777" w:rsidR="00873CCA" w:rsidRPr="00501812" w:rsidRDefault="00873CCA" w:rsidP="00E417DF">
      <w:pPr>
        <w:spacing w:after="0"/>
        <w:rPr>
          <w:b/>
          <w:bCs/>
          <w:i/>
          <w:noProof/>
        </w:rPr>
      </w:pPr>
    </w:p>
    <w:p w14:paraId="7613CE73" w14:textId="77777777" w:rsidR="00B66C3C" w:rsidRPr="00082015" w:rsidRDefault="00B66C3C" w:rsidP="00F9037E">
      <w:pPr>
        <w:pStyle w:val="Tableandfigureheadings"/>
        <w:jc w:val="both"/>
        <w:rPr>
          <w:noProof/>
        </w:rPr>
      </w:pPr>
      <w:r w:rsidRPr="003A30C7">
        <w:rPr>
          <w:noProof/>
        </w:rPr>
        <w:t>Figure 1.4.  Amounts of MB nominated</w:t>
      </w:r>
      <w:r w:rsidRPr="00082015">
        <w:rPr>
          <w:noProof/>
        </w:rPr>
        <w:t xml:space="preserve"> and exempted for CUE uses in structural and commodity uses from 2015 to 2017 by A5 countries: South Africa (RSA).  Blue lines indicate the trend in MB amounts nominated in the CUN and the red lines the amount of MB approved as a CUE by the Parties</w:t>
      </w:r>
    </w:p>
    <w:p w14:paraId="70E3FA73" w14:textId="77777777" w:rsidR="00B75B30" w:rsidRPr="00082015" w:rsidRDefault="00B75B30" w:rsidP="00B75B30">
      <w:pPr>
        <w:spacing w:after="0"/>
        <w:rPr>
          <w:b/>
          <w:bCs/>
          <w:i/>
          <w:noProof/>
        </w:rPr>
      </w:pPr>
    </w:p>
    <w:p w14:paraId="750C0489" w14:textId="77777777" w:rsidR="00B75B30" w:rsidRPr="00CD3CBD" w:rsidRDefault="00B75B30" w:rsidP="00B75B30">
      <w:r w:rsidRPr="00082015">
        <w:rPr>
          <w:noProof/>
          <w:lang w:val="en-US" w:eastAsia="en-US"/>
        </w:rPr>
        <w:drawing>
          <wp:inline distT="0" distB="0" distL="0" distR="0" wp14:anchorId="7C56FB7B" wp14:editId="2FFAA4B5">
            <wp:extent cx="2762250" cy="2228850"/>
            <wp:effectExtent l="0" t="0" r="19050" b="19050"/>
            <wp:docPr id="5"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Pr="00CD3CBD">
        <w:t xml:space="preserve"> </w:t>
      </w:r>
      <w:r w:rsidRPr="00082015">
        <w:rPr>
          <w:noProof/>
          <w:lang w:val="en-US" w:eastAsia="en-US"/>
        </w:rPr>
        <w:drawing>
          <wp:inline distT="0" distB="0" distL="0" distR="0" wp14:anchorId="3D8D7385" wp14:editId="76957EE5">
            <wp:extent cx="2724150" cy="2238375"/>
            <wp:effectExtent l="0" t="0" r="1905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916F839" w14:textId="77777777" w:rsidR="00B66C3C" w:rsidRPr="00501812" w:rsidRDefault="00B66C3C" w:rsidP="00A948BA">
      <w:pPr>
        <w:jc w:val="center"/>
      </w:pPr>
    </w:p>
    <w:p w14:paraId="313D97AC" w14:textId="69BECA46" w:rsidR="008D5F24" w:rsidRPr="003655C2" w:rsidRDefault="00563BC0" w:rsidP="006A54A1">
      <w:pPr>
        <w:pStyle w:val="Heading2"/>
        <w:rPr>
          <w:rStyle w:val="Heading2Char"/>
          <w:b w:val="0"/>
        </w:rPr>
      </w:pPr>
      <w:bookmarkStart w:id="53" w:name="_Toc293054738"/>
      <w:bookmarkStart w:id="54" w:name="_Toc461183762"/>
      <w:r w:rsidRPr="003655C2">
        <w:rPr>
          <w:rStyle w:val="Heading2Char"/>
          <w:b w:val="0"/>
        </w:rPr>
        <w:t>3</w:t>
      </w:r>
      <w:r w:rsidR="006A54A1">
        <w:rPr>
          <w:rStyle w:val="Heading2Char"/>
          <w:b w:val="0"/>
        </w:rPr>
        <w:t>.6</w:t>
      </w:r>
      <w:r w:rsidR="008D5F24" w:rsidRPr="003655C2">
        <w:rPr>
          <w:rStyle w:val="Heading2Char"/>
          <w:b w:val="0"/>
        </w:rPr>
        <w:tab/>
      </w:r>
      <w:r w:rsidR="007520F8" w:rsidRPr="003655C2">
        <w:rPr>
          <w:rStyle w:val="Heading2Char"/>
          <w:b w:val="0"/>
        </w:rPr>
        <w:t xml:space="preserve">Issues </w:t>
      </w:r>
      <w:r w:rsidR="00E03592" w:rsidRPr="003655C2">
        <w:rPr>
          <w:rStyle w:val="Heading2Char"/>
          <w:b w:val="0"/>
        </w:rPr>
        <w:t xml:space="preserve">Concerning </w:t>
      </w:r>
      <w:r w:rsidR="007520F8" w:rsidRPr="003655C2">
        <w:rPr>
          <w:rStyle w:val="Heading2Char"/>
          <w:b w:val="0"/>
        </w:rPr>
        <w:t>Article 5 Parties</w:t>
      </w:r>
      <w:bookmarkEnd w:id="52"/>
      <w:bookmarkEnd w:id="53"/>
      <w:bookmarkEnd w:id="54"/>
    </w:p>
    <w:p w14:paraId="22F069B8" w14:textId="77777777" w:rsidR="00EE5FCF" w:rsidRPr="00082015" w:rsidRDefault="00EE5FCF" w:rsidP="009446BE">
      <w:pPr>
        <w:jc w:val="both"/>
      </w:pPr>
      <w:bookmarkStart w:id="55" w:name="_Toc324255704"/>
      <w:r w:rsidRPr="00CD3CBD">
        <w:t>MB</w:t>
      </w:r>
      <w:r w:rsidR="00C20011" w:rsidRPr="00CD3CBD">
        <w:t xml:space="preserve"> </w:t>
      </w:r>
      <w:r w:rsidRPr="00CD3CBD">
        <w:t>was</w:t>
      </w:r>
      <w:r w:rsidRPr="00501812">
        <w:t xml:space="preserve"> due to be fully phased out in A5 Parties by January 1, 2015, 10 years after </w:t>
      </w:r>
      <w:r w:rsidR="004E296C" w:rsidRPr="00501812">
        <w:t xml:space="preserve">the </w:t>
      </w:r>
      <w:proofErr w:type="spellStart"/>
      <w:r w:rsidRPr="003A30C7">
        <w:t>phaseout</w:t>
      </w:r>
      <w:proofErr w:type="spellEnd"/>
      <w:r w:rsidRPr="003A30C7">
        <w:t xml:space="preserve"> </w:t>
      </w:r>
      <w:r w:rsidR="00C843CD" w:rsidRPr="00082015">
        <w:t xml:space="preserve">date </w:t>
      </w:r>
      <w:r w:rsidRPr="00082015">
        <w:t>by non-A5 Parties. In both cases, uses for feedstock and QPS are exempted from phase out under the control measures described in Article 2H. There is also provision for exemption from phase out for uses deemed ‘critical’ according to Article 2H, as complying with Decision IX/6.</w:t>
      </w:r>
    </w:p>
    <w:p w14:paraId="7C146F36" w14:textId="77777777" w:rsidR="003C4D11" w:rsidRPr="00F9037E" w:rsidRDefault="008A048B" w:rsidP="009446BE">
      <w:pPr>
        <w:jc w:val="both"/>
      </w:pPr>
      <w:r w:rsidRPr="00082015">
        <w:lastRenderedPageBreak/>
        <w:t xml:space="preserve">By end of </w:t>
      </w:r>
      <w:r w:rsidR="00F85FD5" w:rsidRPr="00082015">
        <w:t xml:space="preserve">2014 </w:t>
      </w:r>
      <w:r w:rsidRPr="00082015">
        <w:t>(the last date for which full official reporting information is available</w:t>
      </w:r>
      <w:r w:rsidR="00E2019C" w:rsidRPr="00082015">
        <w:t xml:space="preserve"> at the Ozone Secretar</w:t>
      </w:r>
      <w:r w:rsidR="00E2019C" w:rsidRPr="00F5313E">
        <w:t>iat Data Access Centre</w:t>
      </w:r>
      <w:r w:rsidRPr="00220275">
        <w:t>)</w:t>
      </w:r>
      <w:r w:rsidR="00EE5FCF" w:rsidRPr="00220275">
        <w:t xml:space="preserve">, approximately </w:t>
      </w:r>
      <w:r w:rsidR="00806BF9" w:rsidRPr="00220275">
        <w:t>98</w:t>
      </w:r>
      <w:r w:rsidR="00EE5FCF" w:rsidRPr="00220275">
        <w:t>% of the</w:t>
      </w:r>
      <w:r w:rsidR="00806BF9" w:rsidRPr="00220275">
        <w:t xml:space="preserve"> global</w:t>
      </w:r>
      <w:r w:rsidR="00EE5FCF" w:rsidRPr="00220275">
        <w:t xml:space="preserve"> consumption</w:t>
      </w:r>
      <w:r w:rsidR="00595981" w:rsidRPr="00220275">
        <w:t xml:space="preserve"> for non</w:t>
      </w:r>
      <w:r w:rsidR="00B74566" w:rsidRPr="00B87B95">
        <w:t>-</w:t>
      </w:r>
      <w:r w:rsidR="00595981" w:rsidRPr="00B87B95">
        <w:t>exempt uses</w:t>
      </w:r>
      <w:r w:rsidR="00C20011" w:rsidRPr="00563BC0">
        <w:t xml:space="preserve"> </w:t>
      </w:r>
      <w:r w:rsidR="00806BF9" w:rsidRPr="00563BC0">
        <w:t>ha</w:t>
      </w:r>
      <w:r w:rsidR="00595981" w:rsidRPr="00563BC0">
        <w:t>s</w:t>
      </w:r>
      <w:r w:rsidR="00806BF9" w:rsidRPr="00563BC0">
        <w:t xml:space="preserve"> been phased out.</w:t>
      </w:r>
      <w:r w:rsidR="00C20011" w:rsidRPr="00563BC0">
        <w:t xml:space="preserve"> </w:t>
      </w:r>
      <w:r w:rsidR="00806BF9" w:rsidRPr="00563BC0">
        <w:t xml:space="preserve">In </w:t>
      </w:r>
      <w:r w:rsidR="00EE5FCF" w:rsidRPr="00563BC0">
        <w:t>A5 Parties</w:t>
      </w:r>
      <w:r w:rsidR="00806BF9" w:rsidRPr="00563BC0">
        <w:t>, 91.5% of previous controlled uses</w:t>
      </w:r>
      <w:r w:rsidR="00C20011" w:rsidRPr="00563BC0">
        <w:t xml:space="preserve"> </w:t>
      </w:r>
      <w:r w:rsidRPr="00563BC0">
        <w:t>had</w:t>
      </w:r>
      <w:r w:rsidR="00C20011" w:rsidRPr="00563BC0">
        <w:t xml:space="preserve"> </w:t>
      </w:r>
      <w:r w:rsidR="00EE5FCF" w:rsidRPr="00563BC0">
        <w:t xml:space="preserve">been </w:t>
      </w:r>
      <w:r w:rsidR="00806BF9" w:rsidRPr="00563BC0">
        <w:t>replaced</w:t>
      </w:r>
      <w:r w:rsidR="00EE5FCF" w:rsidRPr="00563BC0">
        <w:t>, ahead</w:t>
      </w:r>
      <w:r w:rsidR="00BC1CDC" w:rsidRPr="00563BC0">
        <w:t xml:space="preserve"> and in time for</w:t>
      </w:r>
      <w:r w:rsidR="00EE5FCF" w:rsidRPr="000F08B5">
        <w:t xml:space="preserve"> the 2015 deadline. This </w:t>
      </w:r>
      <w:r w:rsidRPr="000F08B5">
        <w:t>was</w:t>
      </w:r>
      <w:r w:rsidR="00EE5FCF" w:rsidRPr="000F08B5">
        <w:t xml:space="preserve"> achieved largely as a result of investment projects implemented by the Montreal Protocol agencies, with MLF funding, bilateral cooperation and also national funding.</w:t>
      </w:r>
      <w:r w:rsidR="00A41D50" w:rsidRPr="000F08B5">
        <w:t xml:space="preserve">2014 </w:t>
      </w:r>
      <w:r w:rsidRPr="000F08B5">
        <w:t>had</w:t>
      </w:r>
      <w:r w:rsidR="00B64341" w:rsidRPr="00365366">
        <w:t xml:space="preserve"> </w:t>
      </w:r>
      <w:r w:rsidR="00EE5FCF" w:rsidRPr="00365366">
        <w:t xml:space="preserve">agreements. MBTOC notes that all A5 Parties submitting CUNs in this round </w:t>
      </w:r>
      <w:r w:rsidR="008B5778" w:rsidRPr="00F9037E">
        <w:t xml:space="preserve">(except South Africa) </w:t>
      </w:r>
      <w:r w:rsidR="00EE5FCF" w:rsidRPr="00F9037E">
        <w:t>have received substantial funding from the MLF for complete phase-out of MB in their countries by 1</w:t>
      </w:r>
      <w:r w:rsidR="00EE5FCF" w:rsidRPr="00F9037E">
        <w:rPr>
          <w:vertAlign w:val="superscript"/>
        </w:rPr>
        <w:t>st</w:t>
      </w:r>
      <w:r w:rsidR="00EE5FCF" w:rsidRPr="00F9037E">
        <w:t xml:space="preserve"> January 2015 at the latest, </w:t>
      </w:r>
      <w:r w:rsidR="00BC1CDC" w:rsidRPr="00F9037E">
        <w:t>in many cases</w:t>
      </w:r>
      <w:r w:rsidR="00B64341" w:rsidRPr="00F9037E">
        <w:t xml:space="preserve"> </w:t>
      </w:r>
      <w:r w:rsidR="00EE5FCF" w:rsidRPr="00F9037E">
        <w:t>earlier.</w:t>
      </w:r>
    </w:p>
    <w:p w14:paraId="36FB73BD" w14:textId="5762C029" w:rsidR="008B741B" w:rsidRPr="00F9037E" w:rsidRDefault="00563BC0" w:rsidP="008B741B">
      <w:pPr>
        <w:rPr>
          <w:rStyle w:val="Heading311ptBoldChar"/>
          <w:rFonts w:eastAsia="MS Mincho"/>
          <w:b/>
        </w:rPr>
      </w:pPr>
      <w:r w:rsidRPr="00F9037E">
        <w:rPr>
          <w:rStyle w:val="Heading311ptBoldChar"/>
          <w:rFonts w:eastAsia="MS Mincho"/>
          <w:b/>
        </w:rPr>
        <w:t>3</w:t>
      </w:r>
      <w:r w:rsidR="008B741B" w:rsidRPr="00F9037E">
        <w:rPr>
          <w:rStyle w:val="Heading311ptBoldChar"/>
          <w:rFonts w:eastAsia="MS Mincho"/>
          <w:b/>
        </w:rPr>
        <w:t>.6.1.</w:t>
      </w:r>
      <w:r w:rsidR="00082015" w:rsidRPr="00F9037E">
        <w:rPr>
          <w:rStyle w:val="Heading311ptBoldChar"/>
          <w:rFonts w:eastAsia="MS Mincho"/>
          <w:b/>
        </w:rPr>
        <w:tab/>
      </w:r>
      <w:r w:rsidR="008B741B" w:rsidRPr="00F9037E">
        <w:rPr>
          <w:rStyle w:val="Heading311ptBoldChar"/>
          <w:rFonts w:eastAsia="MS Mincho"/>
          <w:b/>
        </w:rPr>
        <w:t>Reporting requirements and agreed conditions under Decision Ex.1/4</w:t>
      </w:r>
    </w:p>
    <w:p w14:paraId="6793DCB8" w14:textId="77777777" w:rsidR="008B741B" w:rsidRPr="00B87B95" w:rsidRDefault="008B741B" w:rsidP="009446BE">
      <w:pPr>
        <w:jc w:val="both"/>
      </w:pPr>
      <w:r w:rsidRPr="00F5313E">
        <w:t>Decision Ex. I</w:t>
      </w:r>
      <w:r w:rsidRPr="00220275">
        <w:t xml:space="preserve">/4 </w:t>
      </w:r>
      <w:r w:rsidR="00C20011" w:rsidRPr="00220275">
        <w:t xml:space="preserve">(Annex II) </w:t>
      </w:r>
      <w:r w:rsidRPr="00220275">
        <w:t>taken at the 1</w:t>
      </w:r>
      <w:r w:rsidRPr="00220275">
        <w:rPr>
          <w:vertAlign w:val="superscript"/>
        </w:rPr>
        <w:t>st</w:t>
      </w:r>
      <w:r w:rsidRPr="00220275">
        <w:t xml:space="preserve"> Extraordinary Meeting of the Parties (2004) set forth a series of requirements from Parties requesting CUNs after the phase</w:t>
      </w:r>
      <w:r w:rsidR="00204EBC" w:rsidRPr="00220275">
        <w:t xml:space="preserve"> </w:t>
      </w:r>
      <w:r w:rsidRPr="00220275">
        <w:t>out date, which non-A5 Parties have fulfilled over the past decade and now become relevant for A5 Par</w:t>
      </w:r>
      <w:r w:rsidRPr="00B87B95">
        <w:t xml:space="preserve">ties. This Decision also includes some agreed conditions for requesting continuing CUNs. </w:t>
      </w:r>
    </w:p>
    <w:p w14:paraId="2E876E7D" w14:textId="77777777" w:rsidR="008B741B" w:rsidRPr="00563BC0" w:rsidRDefault="008B741B" w:rsidP="009446BE">
      <w:pPr>
        <w:jc w:val="both"/>
      </w:pPr>
      <w:r w:rsidRPr="00B87B95">
        <w:t>Such requirements are fully considered by MBTOC during its CUN evaluations and also when preparing the ‘Handbook of CUN nominations’. The following list has been prep</w:t>
      </w:r>
      <w:r w:rsidRPr="00563BC0">
        <w:t>ared to assist A5 Parties with the preparation of CUNs.</w:t>
      </w:r>
    </w:p>
    <w:p w14:paraId="1CA67D9D" w14:textId="77777777" w:rsidR="008B741B" w:rsidRPr="00563BC0" w:rsidRDefault="008B741B" w:rsidP="009446BE">
      <w:pPr>
        <w:jc w:val="both"/>
      </w:pPr>
      <w:r w:rsidRPr="00563BC0">
        <w:t xml:space="preserve">The full text of Dec. </w:t>
      </w:r>
      <w:proofErr w:type="spellStart"/>
      <w:r w:rsidRPr="00563BC0">
        <w:t>Ex.I</w:t>
      </w:r>
      <w:proofErr w:type="spellEnd"/>
      <w:r w:rsidRPr="00563BC0">
        <w:t>/4 is included in the Appendix II of this report for reference. In synthesis, Parties for which a CUE has been approved need to submit the following materials to the Ozone Secretariat (dates in brackets have been inserted by MBTOC so they apply to the A5 timeline):</w:t>
      </w:r>
    </w:p>
    <w:p w14:paraId="3A2DBF76" w14:textId="77777777" w:rsidR="008B741B" w:rsidRPr="00563BC0" w:rsidRDefault="008B741B" w:rsidP="006260D1">
      <w:pPr>
        <w:widowControl w:val="0"/>
        <w:numPr>
          <w:ilvl w:val="0"/>
          <w:numId w:val="12"/>
        </w:numPr>
        <w:spacing w:after="120"/>
        <w:ind w:left="284"/>
        <w:jc w:val="both"/>
        <w:rPr>
          <w:sz w:val="20"/>
        </w:rPr>
      </w:pPr>
      <w:r w:rsidRPr="00563BC0">
        <w:rPr>
          <w:i/>
          <w:sz w:val="20"/>
        </w:rPr>
        <w:t>Information before 1 February 2005 [2015] on the alternatives available, listed according to their pre-harvest or post-harvest uses and the possible date of registration, if required, for each alternative;</w:t>
      </w:r>
    </w:p>
    <w:p w14:paraId="0816DA07" w14:textId="77777777" w:rsidR="008B741B" w:rsidRPr="00563BC0" w:rsidRDefault="008B741B" w:rsidP="006260D1">
      <w:pPr>
        <w:widowControl w:val="0"/>
        <w:numPr>
          <w:ilvl w:val="0"/>
          <w:numId w:val="12"/>
        </w:numPr>
        <w:spacing w:after="120"/>
        <w:ind w:left="284"/>
        <w:jc w:val="both"/>
        <w:rPr>
          <w:i/>
          <w:sz w:val="20"/>
        </w:rPr>
      </w:pPr>
      <w:r w:rsidRPr="00563BC0">
        <w:rPr>
          <w:sz w:val="20"/>
        </w:rPr>
        <w:t>A</w:t>
      </w:r>
      <w:r w:rsidRPr="00563BC0">
        <w:rPr>
          <w:b/>
          <w:i/>
          <w:sz w:val="20"/>
        </w:rPr>
        <w:t xml:space="preserve"> national management strategy</w:t>
      </w:r>
      <w:r w:rsidRPr="00563BC0">
        <w:rPr>
          <w:i/>
          <w:sz w:val="20"/>
        </w:rPr>
        <w:t xml:space="preserve"> for phase-out of critical uses of methyl bromide before 1 February </w:t>
      </w:r>
      <w:proofErr w:type="gramStart"/>
      <w:r w:rsidRPr="00563BC0">
        <w:rPr>
          <w:i/>
          <w:sz w:val="20"/>
        </w:rPr>
        <w:t>2006  [</w:t>
      </w:r>
      <w:proofErr w:type="gramEnd"/>
      <w:r w:rsidRPr="00563BC0">
        <w:rPr>
          <w:i/>
          <w:sz w:val="20"/>
        </w:rPr>
        <w:t>2016]. The management strategy should aim, among other things:</w:t>
      </w:r>
    </w:p>
    <w:p w14:paraId="6FB6EEF2" w14:textId="77777777" w:rsidR="008B741B" w:rsidRPr="000F08B5" w:rsidRDefault="008B741B" w:rsidP="006260D1">
      <w:pPr>
        <w:widowControl w:val="0"/>
        <w:numPr>
          <w:ilvl w:val="1"/>
          <w:numId w:val="13"/>
        </w:numPr>
        <w:spacing w:after="120"/>
        <w:jc w:val="both"/>
        <w:rPr>
          <w:i/>
          <w:sz w:val="20"/>
        </w:rPr>
      </w:pPr>
      <w:r w:rsidRPr="000F08B5">
        <w:rPr>
          <w:i/>
          <w:sz w:val="20"/>
        </w:rPr>
        <w:t>To avoid any increase in methyl bromide consumption except for unforeseen circumstances;</w:t>
      </w:r>
    </w:p>
    <w:p w14:paraId="57F9A0CA" w14:textId="77777777" w:rsidR="008B741B" w:rsidRPr="00365366" w:rsidRDefault="008B741B" w:rsidP="006260D1">
      <w:pPr>
        <w:widowControl w:val="0"/>
        <w:numPr>
          <w:ilvl w:val="1"/>
          <w:numId w:val="13"/>
        </w:numPr>
        <w:spacing w:after="120"/>
        <w:jc w:val="both"/>
        <w:rPr>
          <w:i/>
          <w:sz w:val="20"/>
        </w:rPr>
      </w:pPr>
      <w:r w:rsidRPr="000F08B5">
        <w:rPr>
          <w:i/>
          <w:sz w:val="20"/>
        </w:rPr>
        <w:t>To encourage the use of alternatives through the use of expedited procedures, where possible, to develop, register and deploy technically and economically fe</w:t>
      </w:r>
      <w:r w:rsidRPr="00365366">
        <w:rPr>
          <w:i/>
          <w:sz w:val="20"/>
        </w:rPr>
        <w:t>asible alternatives;</w:t>
      </w:r>
    </w:p>
    <w:p w14:paraId="1E9A4E5C" w14:textId="77777777" w:rsidR="008B741B" w:rsidRPr="00F9037E" w:rsidRDefault="008B741B" w:rsidP="006260D1">
      <w:pPr>
        <w:widowControl w:val="0"/>
        <w:numPr>
          <w:ilvl w:val="1"/>
          <w:numId w:val="13"/>
        </w:numPr>
        <w:spacing w:after="120"/>
        <w:jc w:val="both"/>
        <w:rPr>
          <w:i/>
          <w:sz w:val="20"/>
        </w:rPr>
      </w:pPr>
      <w:r w:rsidRPr="00F9037E">
        <w:rPr>
          <w:i/>
          <w:sz w:val="20"/>
        </w:rPr>
        <w:t>To provide information, for each current pre-harvest and post-harvest use for which a nomination is planned, on the potential market penetration of newly deployed alternatives and alternatives which may be used in the near future, to bring forward the time when it is estimated that methyl bromide consumption for such uses can be reduced and/or ultimately eliminated;</w:t>
      </w:r>
    </w:p>
    <w:p w14:paraId="20BCE542" w14:textId="77777777" w:rsidR="008B741B" w:rsidRPr="00F9037E" w:rsidRDefault="008B741B" w:rsidP="006260D1">
      <w:pPr>
        <w:widowControl w:val="0"/>
        <w:numPr>
          <w:ilvl w:val="1"/>
          <w:numId w:val="13"/>
        </w:numPr>
        <w:spacing w:after="120"/>
        <w:jc w:val="both"/>
        <w:rPr>
          <w:i/>
          <w:sz w:val="20"/>
        </w:rPr>
      </w:pPr>
      <w:r w:rsidRPr="00F9037E">
        <w:rPr>
          <w:i/>
          <w:sz w:val="20"/>
        </w:rPr>
        <w:t>To promote the implementation of measures which ensure that any emissions of methyl bromide are minimized;</w:t>
      </w:r>
    </w:p>
    <w:p w14:paraId="09B3D38C" w14:textId="77777777" w:rsidR="008B741B" w:rsidRPr="00F9037E" w:rsidRDefault="008B741B" w:rsidP="006260D1">
      <w:pPr>
        <w:widowControl w:val="0"/>
        <w:numPr>
          <w:ilvl w:val="1"/>
          <w:numId w:val="13"/>
        </w:numPr>
        <w:spacing w:after="120"/>
        <w:jc w:val="both"/>
        <w:rPr>
          <w:i/>
          <w:sz w:val="20"/>
        </w:rPr>
      </w:pPr>
      <w:r w:rsidRPr="00F9037E">
        <w:rPr>
          <w:i/>
          <w:sz w:val="20"/>
        </w:rPr>
        <w:t>To show how the management strategy will be implemented to promote the phase</w:t>
      </w:r>
      <w:r w:rsidRPr="00F9037E">
        <w:rPr>
          <w:i/>
          <w:sz w:val="20"/>
        </w:rPr>
        <w:noBreakHyphen/>
        <w:t>out of uses of methyl bromide as soon as technically and economically feasible alternatives are available, in particular describing the steps which the Party is taking in regard to subparagraph (b) (iii) of paragraph 1 of decision IX/6 in respect of research programmes in non-Article 5 Parties and the adoption of alternatives by Article 5 Parties;</w:t>
      </w:r>
    </w:p>
    <w:p w14:paraId="52C748AC" w14:textId="72BD1E0A" w:rsidR="008D5F24" w:rsidRPr="003655C2" w:rsidRDefault="00563BC0" w:rsidP="006A54A1">
      <w:pPr>
        <w:pStyle w:val="Heading2"/>
        <w:rPr>
          <w:rStyle w:val="Heading2Char"/>
          <w:b w:val="0"/>
        </w:rPr>
      </w:pPr>
      <w:bookmarkStart w:id="56" w:name="_Toc293054739"/>
      <w:bookmarkStart w:id="57" w:name="_Toc461183763"/>
      <w:r w:rsidRPr="003655C2">
        <w:rPr>
          <w:rStyle w:val="Heading2Char"/>
          <w:b w:val="0"/>
        </w:rPr>
        <w:t>3</w:t>
      </w:r>
      <w:r w:rsidR="008D5F24" w:rsidRPr="003655C2">
        <w:rPr>
          <w:rStyle w:val="Heading2Char"/>
          <w:b w:val="0"/>
        </w:rPr>
        <w:t>.7</w:t>
      </w:r>
      <w:r w:rsidR="008D5F24" w:rsidRPr="003655C2">
        <w:rPr>
          <w:rStyle w:val="Heading2Char"/>
          <w:b w:val="0"/>
        </w:rPr>
        <w:tab/>
        <w:t>Consideration of Stocks, Decision Ex.1/4 (9f)</w:t>
      </w:r>
      <w:bookmarkEnd w:id="55"/>
      <w:bookmarkEnd w:id="56"/>
      <w:bookmarkEnd w:id="57"/>
    </w:p>
    <w:p w14:paraId="423BCBC5" w14:textId="77777777" w:rsidR="009D53A5" w:rsidRPr="00563BC0" w:rsidRDefault="008D5F24" w:rsidP="009446BE">
      <w:pPr>
        <w:jc w:val="both"/>
        <w:rPr>
          <w:color w:val="FF0000"/>
        </w:rPr>
      </w:pPr>
      <w:r w:rsidRPr="00CD3CBD">
        <w:t>One criterion for granting a critical use is that MB “</w:t>
      </w:r>
      <w:r w:rsidRPr="00CD3CBD">
        <w:rPr>
          <w:rFonts w:ascii="TimesNewRomanPSMT" w:hAnsi="TimesNewRomanPSMT"/>
          <w:i/>
        </w:rPr>
        <w:t>is not available in sufficient quantity and quality from existing stocks of banked or recycled methyl bromide</w:t>
      </w:r>
      <w:r w:rsidRPr="00501812">
        <w:rPr>
          <w:rFonts w:ascii="TimesNewRomanPSMT" w:hAnsi="TimesNewRomanPSMT"/>
        </w:rPr>
        <w:t xml:space="preserve">” </w:t>
      </w:r>
      <w:r w:rsidRPr="00501812">
        <w:t xml:space="preserve">(paragraph 1 (b) (ii) of Decision IX/6).  Parties nominating critical use exemptions are requested under decision </w:t>
      </w:r>
      <w:proofErr w:type="spellStart"/>
      <w:r w:rsidRPr="00501812">
        <w:t>Ex.I</w:t>
      </w:r>
      <w:proofErr w:type="spellEnd"/>
      <w:r w:rsidRPr="00501812">
        <w:t>/4(9f) to submit an accounting framework with the information on stocks.  MBTOC has not reduced its re</w:t>
      </w:r>
      <w:r w:rsidRPr="003A30C7">
        <w:t>commended amount of methyl bromide in consideration of stocks held by the Party and has instead relied on Parties to take this into consideration when approving the amounts recommended by TEAP for each nomination.   To assist the Parties with their conside</w:t>
      </w:r>
      <w:r w:rsidRPr="00082015">
        <w:t xml:space="preserve">ration of stocks, and in accordance with Decision XVIII/13(7), a summary of the data on stocks as reported by </w:t>
      </w:r>
      <w:r w:rsidR="008A048B" w:rsidRPr="00082015">
        <w:t>non-A5</w:t>
      </w:r>
      <w:r w:rsidRPr="00082015">
        <w:t xml:space="preserve">Parties in the first year for accounting in 2006, and then reports submitted in </w:t>
      </w:r>
      <w:r w:rsidR="0053337D" w:rsidRPr="00082015">
        <w:t>201</w:t>
      </w:r>
      <w:r w:rsidR="009D53A5" w:rsidRPr="00082015">
        <w:t>5</w:t>
      </w:r>
      <w:r w:rsidR="00C20011" w:rsidRPr="00082015">
        <w:t xml:space="preserve"> </w:t>
      </w:r>
      <w:r w:rsidRPr="00F5313E">
        <w:t xml:space="preserve">and </w:t>
      </w:r>
      <w:r w:rsidR="0053337D" w:rsidRPr="00F5313E">
        <w:t>201</w:t>
      </w:r>
      <w:r w:rsidR="009D53A5" w:rsidRPr="00220275">
        <w:t>6</w:t>
      </w:r>
      <w:r w:rsidR="00C20011" w:rsidRPr="00220275">
        <w:t xml:space="preserve"> </w:t>
      </w:r>
      <w:r w:rsidRPr="00220275">
        <w:t xml:space="preserve">are summarized in Tables </w:t>
      </w:r>
      <w:r w:rsidR="00655D62" w:rsidRPr="00220275">
        <w:t>1</w:t>
      </w:r>
      <w:r w:rsidR="00F01FB5" w:rsidRPr="00220275">
        <w:t>.</w:t>
      </w:r>
      <w:r w:rsidRPr="00220275">
        <w:t xml:space="preserve">1 to </w:t>
      </w:r>
      <w:r w:rsidR="00655D62" w:rsidRPr="00B87B95">
        <w:t>1</w:t>
      </w:r>
      <w:r w:rsidR="00F01FB5" w:rsidRPr="00B87B95">
        <w:t>.</w:t>
      </w:r>
      <w:r w:rsidRPr="00563BC0">
        <w:t xml:space="preserve">3 below. </w:t>
      </w:r>
    </w:p>
    <w:p w14:paraId="0B0523E1" w14:textId="6DBDB876" w:rsidR="008D5F24" w:rsidRPr="00F9037E" w:rsidRDefault="008D5F24" w:rsidP="009446BE">
      <w:pPr>
        <w:jc w:val="both"/>
      </w:pPr>
      <w:r w:rsidRPr="00563BC0">
        <w:lastRenderedPageBreak/>
        <w:t>Efficient functioning of commerce requires a certain level of available stocks and additional stocks to respond to emergencies.  Additionally, stocks may be held on behalf of other Parties or for exempt</w:t>
      </w:r>
      <w:r w:rsidR="003C33A3" w:rsidRPr="00563BC0">
        <w:t>ed</w:t>
      </w:r>
      <w:r w:rsidRPr="00563BC0">
        <w:t xml:space="preserve"> uses (feedstock and QPS uses).  The correct or optimal level of stocks for virtually every input to production is not zero.  In addition, stocks are privately owned and may not be readily available for critical uses, or there may be national regulations preventing the transfer of stocks.  Despite these restrictions, Parties may wish to ensure that stocks are used wherever possible in order to minimize the quantity of MB that need to be produced each year for critical uses. Tables </w:t>
      </w:r>
      <w:r w:rsidR="00655D62" w:rsidRPr="000F08B5">
        <w:t>1</w:t>
      </w:r>
      <w:r w:rsidRPr="000F08B5">
        <w:t xml:space="preserve">-1 to </w:t>
      </w:r>
      <w:r w:rsidR="00655D62" w:rsidRPr="000F08B5">
        <w:t>1</w:t>
      </w:r>
      <w:r w:rsidR="00086B93" w:rsidRPr="000F08B5">
        <w:t>-</w:t>
      </w:r>
      <w:r w:rsidRPr="000F08B5">
        <w:t>3 report the q</w:t>
      </w:r>
      <w:r w:rsidRPr="000F08B5">
        <w:rPr>
          <w:szCs w:val="22"/>
        </w:rPr>
        <w:t xml:space="preserve">uantities of MB ‘on hand’ at the beginning and end respectively of 2005, </w:t>
      </w:r>
      <w:r w:rsidR="00600BFB" w:rsidRPr="00365366">
        <w:rPr>
          <w:szCs w:val="22"/>
        </w:rPr>
        <w:t>2014</w:t>
      </w:r>
      <w:r w:rsidR="007520F8">
        <w:rPr>
          <w:szCs w:val="22"/>
        </w:rPr>
        <w:t xml:space="preserve"> </w:t>
      </w:r>
      <w:r w:rsidRPr="00365366">
        <w:rPr>
          <w:szCs w:val="22"/>
        </w:rPr>
        <w:t xml:space="preserve">and </w:t>
      </w:r>
      <w:r w:rsidR="00600BFB" w:rsidRPr="00365366">
        <w:rPr>
          <w:szCs w:val="22"/>
        </w:rPr>
        <w:t>2015</w:t>
      </w:r>
      <w:r w:rsidR="007520F8">
        <w:rPr>
          <w:szCs w:val="22"/>
        </w:rPr>
        <w:t xml:space="preserve"> </w:t>
      </w:r>
      <w:r w:rsidRPr="00F9037E">
        <w:rPr>
          <w:szCs w:val="22"/>
        </w:rPr>
        <w:t xml:space="preserve">as required under Decision XVI/6. The earlier CUN </w:t>
      </w:r>
      <w:r w:rsidR="000510D9" w:rsidRPr="00F9037E">
        <w:rPr>
          <w:szCs w:val="22"/>
        </w:rPr>
        <w:t>reports identified</w:t>
      </w:r>
      <w:r w:rsidRPr="00F9037E">
        <w:rPr>
          <w:szCs w:val="22"/>
        </w:rPr>
        <w:t xml:space="preserve"> stocks for the other years.</w:t>
      </w:r>
    </w:p>
    <w:p w14:paraId="6DF8668C" w14:textId="77777777" w:rsidR="008D5F24" w:rsidRPr="00F9037E" w:rsidRDefault="008D5F24" w:rsidP="00F9037E">
      <w:pPr>
        <w:pStyle w:val="Tableandfigureheadings"/>
        <w:jc w:val="both"/>
      </w:pPr>
      <w:r w:rsidRPr="00F9037E">
        <w:t xml:space="preserve">Table </w:t>
      </w:r>
      <w:r w:rsidR="00655D62" w:rsidRPr="00F9037E">
        <w:t>1</w:t>
      </w:r>
      <w:r w:rsidR="00F01FB5" w:rsidRPr="00F9037E">
        <w:t>.</w:t>
      </w:r>
      <w:r w:rsidRPr="00F9037E">
        <w:t>1</w:t>
      </w:r>
      <w:r w:rsidR="00A639C6" w:rsidRPr="00F9037E">
        <w:t>.</w:t>
      </w:r>
      <w:r w:rsidRPr="00F9037E">
        <w:t xml:space="preserve">  Quantities of MB (metric tonnes) ‘on hand’ at the beginning and end of 2005, as first reported by Parties in 2006/2007 under Decision XVI/6.</w:t>
      </w:r>
    </w:p>
    <w:tbl>
      <w:tblPr>
        <w:tblW w:w="904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1395"/>
        <w:gridCol w:w="1134"/>
        <w:gridCol w:w="1417"/>
        <w:gridCol w:w="1276"/>
        <w:gridCol w:w="1276"/>
        <w:gridCol w:w="1276"/>
      </w:tblGrid>
      <w:tr w:rsidR="008D5F24" w:rsidRPr="00F9037E" w14:paraId="1B439571" w14:textId="77777777" w:rsidTr="00E03592">
        <w:trPr>
          <w:cantSplit/>
        </w:trPr>
        <w:tc>
          <w:tcPr>
            <w:tcW w:w="1275" w:type="dxa"/>
            <w:vMerge w:val="restart"/>
            <w:vAlign w:val="center"/>
          </w:tcPr>
          <w:p w14:paraId="6D82F26E" w14:textId="77777777" w:rsidR="008D5F24" w:rsidRPr="00F9037E" w:rsidRDefault="008D5F24" w:rsidP="00A00632">
            <w:pPr>
              <w:spacing w:before="100" w:beforeAutospacing="1" w:after="100"/>
              <w:rPr>
                <w:b/>
                <w:sz w:val="20"/>
              </w:rPr>
            </w:pPr>
            <w:r w:rsidRPr="00F9037E">
              <w:rPr>
                <w:b/>
                <w:sz w:val="20"/>
              </w:rPr>
              <w:t>Party</w:t>
            </w:r>
          </w:p>
        </w:tc>
        <w:tc>
          <w:tcPr>
            <w:tcW w:w="1395" w:type="dxa"/>
            <w:vMerge w:val="restart"/>
            <w:vAlign w:val="center"/>
          </w:tcPr>
          <w:p w14:paraId="539B639D" w14:textId="77777777" w:rsidR="008D5F24" w:rsidRPr="00F9037E" w:rsidRDefault="008D5F24" w:rsidP="006D0E9A">
            <w:pPr>
              <w:spacing w:after="0"/>
              <w:jc w:val="center"/>
              <w:rPr>
                <w:b/>
                <w:sz w:val="20"/>
              </w:rPr>
            </w:pPr>
            <w:r w:rsidRPr="00F9037E">
              <w:rPr>
                <w:b/>
                <w:sz w:val="20"/>
              </w:rPr>
              <w:t>Critical use exemptions authorized by MOP for 2005</w:t>
            </w:r>
          </w:p>
        </w:tc>
        <w:tc>
          <w:tcPr>
            <w:tcW w:w="6379" w:type="dxa"/>
            <w:gridSpan w:val="5"/>
            <w:vAlign w:val="center"/>
          </w:tcPr>
          <w:p w14:paraId="0B496F68" w14:textId="77777777" w:rsidR="008D5F24" w:rsidRPr="00082015" w:rsidRDefault="008D5F24" w:rsidP="006D0E9A">
            <w:pPr>
              <w:spacing w:before="40" w:after="40"/>
              <w:jc w:val="center"/>
              <w:rPr>
                <w:b/>
                <w:sz w:val="20"/>
              </w:rPr>
            </w:pPr>
            <w:r w:rsidRPr="00082015">
              <w:rPr>
                <w:b/>
                <w:sz w:val="20"/>
              </w:rPr>
              <w:t>Quantity of MB as reported by Parties (metric tonnes)</w:t>
            </w:r>
          </w:p>
        </w:tc>
      </w:tr>
      <w:tr w:rsidR="008D5F24" w:rsidRPr="00F9037E" w14:paraId="4759CA12" w14:textId="77777777" w:rsidTr="00E03592">
        <w:trPr>
          <w:cantSplit/>
          <w:trHeight w:val="1131"/>
        </w:trPr>
        <w:tc>
          <w:tcPr>
            <w:tcW w:w="1275" w:type="dxa"/>
            <w:vMerge/>
          </w:tcPr>
          <w:p w14:paraId="0AC8CD6C" w14:textId="77777777" w:rsidR="008D5F24" w:rsidRPr="00F9037E" w:rsidRDefault="008D5F24" w:rsidP="00765CCC">
            <w:pPr>
              <w:spacing w:before="100" w:beforeAutospacing="1" w:after="100"/>
              <w:rPr>
                <w:sz w:val="20"/>
              </w:rPr>
            </w:pPr>
          </w:p>
        </w:tc>
        <w:tc>
          <w:tcPr>
            <w:tcW w:w="1395" w:type="dxa"/>
            <w:vMerge/>
            <w:vAlign w:val="center"/>
          </w:tcPr>
          <w:p w14:paraId="547D52A5" w14:textId="77777777" w:rsidR="008D5F24" w:rsidRPr="00F9037E" w:rsidRDefault="008D5F24" w:rsidP="00A00632">
            <w:pPr>
              <w:spacing w:before="100" w:beforeAutospacing="1" w:after="100"/>
              <w:jc w:val="center"/>
              <w:rPr>
                <w:b/>
                <w:sz w:val="20"/>
              </w:rPr>
            </w:pPr>
          </w:p>
        </w:tc>
        <w:tc>
          <w:tcPr>
            <w:tcW w:w="1134" w:type="dxa"/>
            <w:vAlign w:val="center"/>
          </w:tcPr>
          <w:p w14:paraId="66D8566F" w14:textId="77777777" w:rsidR="008D5F24" w:rsidRPr="00F9037E" w:rsidRDefault="008D5F24" w:rsidP="006D0E9A">
            <w:pPr>
              <w:spacing w:after="0"/>
              <w:jc w:val="center"/>
              <w:rPr>
                <w:b/>
                <w:sz w:val="20"/>
              </w:rPr>
            </w:pPr>
            <w:r w:rsidRPr="00F9037E">
              <w:rPr>
                <w:b/>
                <w:sz w:val="20"/>
              </w:rPr>
              <w:t>Amount on hand at start of 2005</w:t>
            </w:r>
          </w:p>
        </w:tc>
        <w:tc>
          <w:tcPr>
            <w:tcW w:w="1417" w:type="dxa"/>
            <w:vAlign w:val="center"/>
          </w:tcPr>
          <w:p w14:paraId="1478E001" w14:textId="77777777" w:rsidR="008D5F24" w:rsidRPr="00F9037E" w:rsidRDefault="008D5F24" w:rsidP="006D0E9A">
            <w:pPr>
              <w:spacing w:after="0"/>
              <w:jc w:val="center"/>
              <w:rPr>
                <w:b/>
                <w:sz w:val="20"/>
              </w:rPr>
            </w:pPr>
            <w:r w:rsidRPr="00F9037E">
              <w:rPr>
                <w:b/>
                <w:sz w:val="20"/>
              </w:rPr>
              <w:t>Quantity acquired for CUEs in 2005 (production +imports)</w:t>
            </w:r>
          </w:p>
        </w:tc>
        <w:tc>
          <w:tcPr>
            <w:tcW w:w="1276" w:type="dxa"/>
            <w:vAlign w:val="center"/>
          </w:tcPr>
          <w:p w14:paraId="7C364D9E" w14:textId="77777777" w:rsidR="008D5F24" w:rsidRPr="00F9037E" w:rsidRDefault="008D5F24" w:rsidP="006D0E9A">
            <w:pPr>
              <w:spacing w:after="0"/>
              <w:jc w:val="center"/>
              <w:rPr>
                <w:b/>
                <w:sz w:val="20"/>
              </w:rPr>
            </w:pPr>
            <w:r w:rsidRPr="00F9037E">
              <w:rPr>
                <w:b/>
                <w:sz w:val="20"/>
              </w:rPr>
              <w:t>Amount available for use in 2005</w:t>
            </w:r>
          </w:p>
        </w:tc>
        <w:tc>
          <w:tcPr>
            <w:tcW w:w="1276" w:type="dxa"/>
            <w:vAlign w:val="center"/>
          </w:tcPr>
          <w:p w14:paraId="4A4C9CA3" w14:textId="77777777" w:rsidR="008D5F24" w:rsidRPr="00F9037E" w:rsidRDefault="008D5F24" w:rsidP="006D0E9A">
            <w:pPr>
              <w:spacing w:after="0"/>
              <w:jc w:val="center"/>
              <w:rPr>
                <w:b/>
                <w:sz w:val="20"/>
              </w:rPr>
            </w:pPr>
            <w:r w:rsidRPr="00F9037E">
              <w:rPr>
                <w:b/>
                <w:sz w:val="20"/>
              </w:rPr>
              <w:t>Quantity used for CUEs in 2005</w:t>
            </w:r>
          </w:p>
        </w:tc>
        <w:tc>
          <w:tcPr>
            <w:tcW w:w="1276" w:type="dxa"/>
            <w:vAlign w:val="center"/>
          </w:tcPr>
          <w:p w14:paraId="7821E4F7" w14:textId="77777777" w:rsidR="008D5F24" w:rsidRPr="00F9037E" w:rsidRDefault="008D5F24" w:rsidP="006D0E9A">
            <w:pPr>
              <w:spacing w:after="0"/>
              <w:jc w:val="center"/>
              <w:rPr>
                <w:b/>
                <w:sz w:val="20"/>
              </w:rPr>
            </w:pPr>
            <w:r w:rsidRPr="00F9037E">
              <w:rPr>
                <w:b/>
                <w:sz w:val="20"/>
              </w:rPr>
              <w:t>Amount on hand at the end of 2005</w:t>
            </w:r>
          </w:p>
        </w:tc>
      </w:tr>
      <w:tr w:rsidR="008D5F24" w:rsidRPr="00F9037E" w14:paraId="19D182FC" w14:textId="77777777" w:rsidTr="00E03592">
        <w:tc>
          <w:tcPr>
            <w:tcW w:w="1275" w:type="dxa"/>
            <w:vAlign w:val="center"/>
          </w:tcPr>
          <w:p w14:paraId="5AA9F592" w14:textId="77777777" w:rsidR="008D5F24" w:rsidRPr="00F9037E" w:rsidRDefault="008D5F24" w:rsidP="006D0E9A">
            <w:pPr>
              <w:spacing w:before="60" w:after="60"/>
              <w:rPr>
                <w:sz w:val="20"/>
              </w:rPr>
            </w:pPr>
            <w:r w:rsidRPr="00F9037E">
              <w:rPr>
                <w:sz w:val="20"/>
              </w:rPr>
              <w:t>Australia</w:t>
            </w:r>
          </w:p>
        </w:tc>
        <w:tc>
          <w:tcPr>
            <w:tcW w:w="1395" w:type="dxa"/>
            <w:vAlign w:val="center"/>
          </w:tcPr>
          <w:p w14:paraId="453EC47F" w14:textId="77777777" w:rsidR="008D5F24" w:rsidRPr="00F9037E" w:rsidRDefault="008D5F24" w:rsidP="006D0E9A">
            <w:pPr>
              <w:spacing w:before="60" w:after="60"/>
              <w:jc w:val="center"/>
              <w:rPr>
                <w:sz w:val="20"/>
              </w:rPr>
            </w:pPr>
            <w:r w:rsidRPr="00F9037E">
              <w:rPr>
                <w:sz w:val="20"/>
              </w:rPr>
              <w:t>146.6</w:t>
            </w:r>
          </w:p>
        </w:tc>
        <w:tc>
          <w:tcPr>
            <w:tcW w:w="1134" w:type="dxa"/>
            <w:vAlign w:val="center"/>
          </w:tcPr>
          <w:p w14:paraId="1405098A" w14:textId="77777777" w:rsidR="008D5F24" w:rsidRPr="00F9037E" w:rsidRDefault="008D5F24" w:rsidP="006D0E9A">
            <w:pPr>
              <w:spacing w:before="60" w:after="60"/>
              <w:jc w:val="center"/>
              <w:rPr>
                <w:sz w:val="20"/>
              </w:rPr>
            </w:pPr>
            <w:r w:rsidRPr="00F9037E">
              <w:rPr>
                <w:sz w:val="20"/>
              </w:rPr>
              <w:t>0</w:t>
            </w:r>
          </w:p>
        </w:tc>
        <w:tc>
          <w:tcPr>
            <w:tcW w:w="1417" w:type="dxa"/>
            <w:vAlign w:val="center"/>
          </w:tcPr>
          <w:p w14:paraId="204BBEF6" w14:textId="77777777" w:rsidR="008D5F24" w:rsidRPr="00F9037E" w:rsidRDefault="008D5F24" w:rsidP="006D0E9A">
            <w:pPr>
              <w:spacing w:before="60" w:after="60"/>
              <w:jc w:val="center"/>
              <w:rPr>
                <w:sz w:val="20"/>
              </w:rPr>
            </w:pPr>
            <w:r w:rsidRPr="00F9037E">
              <w:rPr>
                <w:sz w:val="20"/>
              </w:rPr>
              <w:t>114.912</w:t>
            </w:r>
          </w:p>
        </w:tc>
        <w:tc>
          <w:tcPr>
            <w:tcW w:w="1276" w:type="dxa"/>
            <w:vAlign w:val="center"/>
          </w:tcPr>
          <w:p w14:paraId="14E9B651" w14:textId="77777777" w:rsidR="008D5F24" w:rsidRPr="00F9037E" w:rsidRDefault="008D5F24" w:rsidP="006D0E9A">
            <w:pPr>
              <w:spacing w:before="60" w:after="60"/>
              <w:jc w:val="center"/>
              <w:rPr>
                <w:sz w:val="20"/>
                <w:highlight w:val="yellow"/>
              </w:rPr>
            </w:pPr>
            <w:r w:rsidRPr="00F9037E">
              <w:rPr>
                <w:sz w:val="20"/>
              </w:rPr>
              <w:t>114.912</w:t>
            </w:r>
          </w:p>
        </w:tc>
        <w:tc>
          <w:tcPr>
            <w:tcW w:w="1276" w:type="dxa"/>
            <w:vAlign w:val="center"/>
          </w:tcPr>
          <w:p w14:paraId="6503F7D2" w14:textId="77777777" w:rsidR="008D5F24" w:rsidRPr="00F9037E" w:rsidRDefault="008D5F24" w:rsidP="006D0E9A">
            <w:pPr>
              <w:spacing w:before="60" w:after="60"/>
              <w:jc w:val="center"/>
              <w:rPr>
                <w:sz w:val="20"/>
                <w:highlight w:val="yellow"/>
              </w:rPr>
            </w:pPr>
            <w:r w:rsidRPr="00F9037E">
              <w:rPr>
                <w:sz w:val="20"/>
              </w:rPr>
              <w:t>114.912</w:t>
            </w:r>
          </w:p>
        </w:tc>
        <w:tc>
          <w:tcPr>
            <w:tcW w:w="1276" w:type="dxa"/>
            <w:vAlign w:val="center"/>
          </w:tcPr>
          <w:p w14:paraId="64472E8B" w14:textId="77777777" w:rsidR="008D5F24" w:rsidRPr="00F9037E" w:rsidRDefault="008D5F24" w:rsidP="006D0E9A">
            <w:pPr>
              <w:spacing w:before="60" w:after="60"/>
              <w:jc w:val="center"/>
              <w:rPr>
                <w:sz w:val="20"/>
              </w:rPr>
            </w:pPr>
            <w:r w:rsidRPr="00F9037E">
              <w:rPr>
                <w:sz w:val="20"/>
              </w:rPr>
              <w:t>0</w:t>
            </w:r>
          </w:p>
        </w:tc>
      </w:tr>
      <w:tr w:rsidR="008D5F24" w:rsidRPr="00F9037E" w14:paraId="19A1B966" w14:textId="77777777" w:rsidTr="00E03592">
        <w:tc>
          <w:tcPr>
            <w:tcW w:w="1275" w:type="dxa"/>
            <w:vAlign w:val="center"/>
          </w:tcPr>
          <w:p w14:paraId="159AB406" w14:textId="77777777" w:rsidR="008D5F24" w:rsidRPr="00F9037E" w:rsidRDefault="008D5F24" w:rsidP="006D0E9A">
            <w:pPr>
              <w:spacing w:before="60" w:after="60"/>
              <w:rPr>
                <w:sz w:val="20"/>
              </w:rPr>
            </w:pPr>
            <w:r w:rsidRPr="00F9037E">
              <w:rPr>
                <w:sz w:val="20"/>
              </w:rPr>
              <w:t>Canada</w:t>
            </w:r>
          </w:p>
        </w:tc>
        <w:tc>
          <w:tcPr>
            <w:tcW w:w="1395" w:type="dxa"/>
            <w:vAlign w:val="center"/>
          </w:tcPr>
          <w:p w14:paraId="6AF8FFAD" w14:textId="77777777" w:rsidR="008D5F24" w:rsidRPr="00F9037E" w:rsidRDefault="008D5F24" w:rsidP="006D0E9A">
            <w:pPr>
              <w:spacing w:before="60" w:after="60"/>
              <w:jc w:val="center"/>
              <w:rPr>
                <w:sz w:val="20"/>
              </w:rPr>
            </w:pPr>
            <w:r w:rsidRPr="00F9037E">
              <w:rPr>
                <w:sz w:val="20"/>
              </w:rPr>
              <w:t>61.792</w:t>
            </w:r>
          </w:p>
        </w:tc>
        <w:tc>
          <w:tcPr>
            <w:tcW w:w="1134" w:type="dxa"/>
            <w:vAlign w:val="center"/>
          </w:tcPr>
          <w:p w14:paraId="6D758435" w14:textId="77777777" w:rsidR="008D5F24" w:rsidRPr="00F9037E" w:rsidRDefault="008D5F24" w:rsidP="006D0E9A">
            <w:pPr>
              <w:spacing w:before="60" w:after="60"/>
              <w:jc w:val="center"/>
              <w:rPr>
                <w:sz w:val="20"/>
              </w:rPr>
            </w:pPr>
            <w:r w:rsidRPr="00F9037E">
              <w:rPr>
                <w:sz w:val="20"/>
              </w:rPr>
              <w:t>0</w:t>
            </w:r>
          </w:p>
        </w:tc>
        <w:tc>
          <w:tcPr>
            <w:tcW w:w="1417" w:type="dxa"/>
            <w:vAlign w:val="center"/>
          </w:tcPr>
          <w:p w14:paraId="505DE8E7" w14:textId="77777777" w:rsidR="008D5F24" w:rsidRPr="00F9037E" w:rsidRDefault="008D5F24" w:rsidP="006D0E9A">
            <w:pPr>
              <w:spacing w:before="60" w:after="60"/>
              <w:jc w:val="center"/>
              <w:rPr>
                <w:sz w:val="20"/>
              </w:rPr>
            </w:pPr>
            <w:r w:rsidRPr="00F9037E">
              <w:rPr>
                <w:sz w:val="20"/>
              </w:rPr>
              <w:t>48.858</w:t>
            </w:r>
          </w:p>
        </w:tc>
        <w:tc>
          <w:tcPr>
            <w:tcW w:w="1276" w:type="dxa"/>
            <w:vAlign w:val="center"/>
          </w:tcPr>
          <w:p w14:paraId="3DBCC54D" w14:textId="77777777" w:rsidR="008D5F24" w:rsidRPr="00F9037E" w:rsidRDefault="008D5F24" w:rsidP="006D0E9A">
            <w:pPr>
              <w:spacing w:before="60" w:after="60"/>
              <w:jc w:val="center"/>
              <w:rPr>
                <w:sz w:val="20"/>
              </w:rPr>
            </w:pPr>
            <w:r w:rsidRPr="00F9037E">
              <w:rPr>
                <w:sz w:val="20"/>
              </w:rPr>
              <w:t>48.858</w:t>
            </w:r>
          </w:p>
        </w:tc>
        <w:tc>
          <w:tcPr>
            <w:tcW w:w="1276" w:type="dxa"/>
            <w:vAlign w:val="center"/>
          </w:tcPr>
          <w:p w14:paraId="0DE9FD95" w14:textId="77777777" w:rsidR="008D5F24" w:rsidRPr="00F9037E" w:rsidRDefault="008D5F24" w:rsidP="006D0E9A">
            <w:pPr>
              <w:spacing w:before="60" w:after="60"/>
              <w:jc w:val="center"/>
              <w:rPr>
                <w:sz w:val="20"/>
              </w:rPr>
            </w:pPr>
            <w:r w:rsidRPr="00F9037E">
              <w:rPr>
                <w:sz w:val="20"/>
              </w:rPr>
              <w:t>45.146</w:t>
            </w:r>
          </w:p>
        </w:tc>
        <w:tc>
          <w:tcPr>
            <w:tcW w:w="1276" w:type="dxa"/>
            <w:vAlign w:val="center"/>
          </w:tcPr>
          <w:p w14:paraId="64B1F21A" w14:textId="77777777" w:rsidR="008D5F24" w:rsidRPr="00F9037E" w:rsidRDefault="008D5F24" w:rsidP="006D0E9A">
            <w:pPr>
              <w:spacing w:before="60" w:after="60"/>
              <w:jc w:val="center"/>
              <w:rPr>
                <w:sz w:val="20"/>
              </w:rPr>
            </w:pPr>
            <w:r w:rsidRPr="00F9037E">
              <w:rPr>
                <w:sz w:val="20"/>
              </w:rPr>
              <w:t>3.712</w:t>
            </w:r>
          </w:p>
        </w:tc>
      </w:tr>
      <w:tr w:rsidR="008D5F24" w:rsidRPr="00F9037E" w14:paraId="1AF1D1DF" w14:textId="77777777" w:rsidTr="00E03592">
        <w:tc>
          <w:tcPr>
            <w:tcW w:w="1275" w:type="dxa"/>
            <w:vAlign w:val="center"/>
          </w:tcPr>
          <w:p w14:paraId="6C522B62" w14:textId="77777777" w:rsidR="008D5F24" w:rsidRPr="00F9037E" w:rsidRDefault="008D5F24" w:rsidP="006D0E9A">
            <w:pPr>
              <w:spacing w:before="60" w:after="60"/>
              <w:rPr>
                <w:sz w:val="20"/>
              </w:rPr>
            </w:pPr>
            <w:r w:rsidRPr="00F9037E">
              <w:rPr>
                <w:sz w:val="20"/>
              </w:rPr>
              <w:t>EU</w:t>
            </w:r>
          </w:p>
        </w:tc>
        <w:tc>
          <w:tcPr>
            <w:tcW w:w="1395" w:type="dxa"/>
            <w:vAlign w:val="center"/>
          </w:tcPr>
          <w:p w14:paraId="27574AAF" w14:textId="77777777" w:rsidR="008D5F24" w:rsidRPr="00F9037E" w:rsidRDefault="008D5F24" w:rsidP="006D0E9A">
            <w:pPr>
              <w:spacing w:before="60" w:after="60"/>
              <w:jc w:val="center"/>
              <w:rPr>
                <w:sz w:val="20"/>
              </w:rPr>
            </w:pPr>
            <w:r w:rsidRPr="00F9037E">
              <w:rPr>
                <w:sz w:val="20"/>
              </w:rPr>
              <w:t>4</w:t>
            </w:r>
            <w:r w:rsidR="00A9351D" w:rsidRPr="00F9037E">
              <w:rPr>
                <w:sz w:val="20"/>
              </w:rPr>
              <w:t>,</w:t>
            </w:r>
            <w:r w:rsidRPr="00F9037E">
              <w:rPr>
                <w:sz w:val="20"/>
              </w:rPr>
              <w:t>392.812</w:t>
            </w:r>
          </w:p>
        </w:tc>
        <w:tc>
          <w:tcPr>
            <w:tcW w:w="1134" w:type="dxa"/>
            <w:vAlign w:val="center"/>
          </w:tcPr>
          <w:p w14:paraId="5AD8ED9F" w14:textId="77777777" w:rsidR="008D5F24" w:rsidRPr="00F9037E" w:rsidRDefault="008D5F24" w:rsidP="006D0E9A">
            <w:pPr>
              <w:spacing w:before="60" w:after="60"/>
              <w:jc w:val="center"/>
              <w:rPr>
                <w:sz w:val="20"/>
              </w:rPr>
            </w:pPr>
            <w:r w:rsidRPr="00F9037E">
              <w:rPr>
                <w:sz w:val="20"/>
              </w:rPr>
              <w:t>216.198</w:t>
            </w:r>
          </w:p>
        </w:tc>
        <w:tc>
          <w:tcPr>
            <w:tcW w:w="1417" w:type="dxa"/>
            <w:vAlign w:val="center"/>
          </w:tcPr>
          <w:p w14:paraId="4F20C2A1" w14:textId="77777777" w:rsidR="008D5F24" w:rsidRPr="00F9037E" w:rsidRDefault="008D5F24" w:rsidP="006D0E9A">
            <w:pPr>
              <w:spacing w:before="60" w:after="60"/>
              <w:jc w:val="center"/>
              <w:rPr>
                <w:sz w:val="20"/>
              </w:rPr>
            </w:pPr>
            <w:r w:rsidRPr="00F9037E">
              <w:rPr>
                <w:sz w:val="20"/>
              </w:rPr>
              <w:t>2</w:t>
            </w:r>
            <w:r w:rsidR="00A9351D" w:rsidRPr="00F9037E">
              <w:rPr>
                <w:sz w:val="20"/>
              </w:rPr>
              <w:t>,</w:t>
            </w:r>
            <w:r w:rsidRPr="00F9037E">
              <w:rPr>
                <w:sz w:val="20"/>
              </w:rPr>
              <w:t>435.319</w:t>
            </w:r>
          </w:p>
        </w:tc>
        <w:tc>
          <w:tcPr>
            <w:tcW w:w="1276" w:type="dxa"/>
            <w:vAlign w:val="center"/>
          </w:tcPr>
          <w:p w14:paraId="36D77A79" w14:textId="77777777" w:rsidR="008D5F24" w:rsidRPr="00F9037E" w:rsidRDefault="008D5F24" w:rsidP="006D0E9A">
            <w:pPr>
              <w:spacing w:before="60" w:after="60"/>
              <w:jc w:val="center"/>
              <w:rPr>
                <w:sz w:val="20"/>
              </w:rPr>
            </w:pPr>
            <w:r w:rsidRPr="00F9037E">
              <w:rPr>
                <w:sz w:val="20"/>
              </w:rPr>
              <w:t>2</w:t>
            </w:r>
            <w:r w:rsidR="00A9351D" w:rsidRPr="00F9037E">
              <w:rPr>
                <w:sz w:val="20"/>
              </w:rPr>
              <w:t>,</w:t>
            </w:r>
            <w:r w:rsidRPr="00F9037E">
              <w:rPr>
                <w:sz w:val="20"/>
              </w:rPr>
              <w:t>651.517</w:t>
            </w:r>
          </w:p>
        </w:tc>
        <w:tc>
          <w:tcPr>
            <w:tcW w:w="1276" w:type="dxa"/>
            <w:vAlign w:val="center"/>
          </w:tcPr>
          <w:p w14:paraId="03824196" w14:textId="77777777" w:rsidR="008D5F24" w:rsidRPr="00F9037E" w:rsidRDefault="008D5F24" w:rsidP="006D0E9A">
            <w:pPr>
              <w:spacing w:before="60" w:after="60"/>
              <w:jc w:val="center"/>
              <w:rPr>
                <w:sz w:val="20"/>
              </w:rPr>
            </w:pPr>
            <w:r w:rsidRPr="00F9037E">
              <w:rPr>
                <w:sz w:val="20"/>
              </w:rPr>
              <w:t>2</w:t>
            </w:r>
            <w:r w:rsidR="00A9351D" w:rsidRPr="00F9037E">
              <w:rPr>
                <w:sz w:val="20"/>
              </w:rPr>
              <w:t>,</w:t>
            </w:r>
            <w:r w:rsidRPr="00F9037E">
              <w:rPr>
                <w:sz w:val="20"/>
              </w:rPr>
              <w:t>530.099</w:t>
            </w:r>
          </w:p>
        </w:tc>
        <w:tc>
          <w:tcPr>
            <w:tcW w:w="1276" w:type="dxa"/>
            <w:vAlign w:val="center"/>
          </w:tcPr>
          <w:p w14:paraId="371AD1DD" w14:textId="77777777" w:rsidR="008D5F24" w:rsidRPr="00F9037E" w:rsidRDefault="008D5F24" w:rsidP="006D0E9A">
            <w:pPr>
              <w:spacing w:before="60" w:after="60"/>
              <w:jc w:val="center"/>
              <w:rPr>
                <w:sz w:val="20"/>
              </w:rPr>
            </w:pPr>
            <w:r w:rsidRPr="00F9037E">
              <w:rPr>
                <w:sz w:val="20"/>
              </w:rPr>
              <w:t>121.023</w:t>
            </w:r>
          </w:p>
        </w:tc>
      </w:tr>
      <w:tr w:rsidR="008D5F24" w:rsidRPr="00F9037E" w14:paraId="6F89D6A8" w14:textId="77777777" w:rsidTr="00E03592">
        <w:tc>
          <w:tcPr>
            <w:tcW w:w="1275" w:type="dxa"/>
            <w:vAlign w:val="center"/>
          </w:tcPr>
          <w:p w14:paraId="4A0D0F89" w14:textId="77777777" w:rsidR="008D5F24" w:rsidRPr="00F9037E" w:rsidRDefault="008D5F24" w:rsidP="006D0E9A">
            <w:pPr>
              <w:spacing w:before="60" w:after="60"/>
              <w:rPr>
                <w:sz w:val="20"/>
              </w:rPr>
            </w:pPr>
            <w:r w:rsidRPr="00F9037E">
              <w:rPr>
                <w:sz w:val="20"/>
              </w:rPr>
              <w:t>Israel</w:t>
            </w:r>
          </w:p>
        </w:tc>
        <w:tc>
          <w:tcPr>
            <w:tcW w:w="1395" w:type="dxa"/>
            <w:vAlign w:val="center"/>
          </w:tcPr>
          <w:p w14:paraId="7219C518" w14:textId="77777777" w:rsidR="008D5F24" w:rsidRPr="00F9037E" w:rsidRDefault="008D5F24" w:rsidP="006D0E9A">
            <w:pPr>
              <w:spacing w:before="60" w:after="60"/>
              <w:jc w:val="center"/>
              <w:rPr>
                <w:sz w:val="20"/>
              </w:rPr>
            </w:pPr>
            <w:r w:rsidRPr="00F9037E">
              <w:rPr>
                <w:sz w:val="20"/>
              </w:rPr>
              <w:t>1</w:t>
            </w:r>
            <w:r w:rsidR="00A9351D" w:rsidRPr="00F9037E">
              <w:rPr>
                <w:sz w:val="20"/>
              </w:rPr>
              <w:t>,</w:t>
            </w:r>
            <w:r w:rsidRPr="00F9037E">
              <w:rPr>
                <w:sz w:val="20"/>
              </w:rPr>
              <w:t>089.306</w:t>
            </w:r>
          </w:p>
        </w:tc>
        <w:tc>
          <w:tcPr>
            <w:tcW w:w="1134" w:type="dxa"/>
            <w:vAlign w:val="center"/>
          </w:tcPr>
          <w:p w14:paraId="61AB311D" w14:textId="77777777" w:rsidR="008D5F24" w:rsidRPr="00F9037E" w:rsidRDefault="008D5F24" w:rsidP="006D0E9A">
            <w:pPr>
              <w:spacing w:before="60" w:after="60"/>
              <w:jc w:val="center"/>
              <w:rPr>
                <w:sz w:val="20"/>
              </w:rPr>
            </w:pPr>
            <w:r w:rsidRPr="00F9037E">
              <w:rPr>
                <w:sz w:val="20"/>
              </w:rPr>
              <w:t>16.358</w:t>
            </w:r>
          </w:p>
        </w:tc>
        <w:tc>
          <w:tcPr>
            <w:tcW w:w="1417" w:type="dxa"/>
            <w:vAlign w:val="center"/>
          </w:tcPr>
          <w:p w14:paraId="7F880810" w14:textId="77777777" w:rsidR="008D5F24" w:rsidRPr="00F9037E" w:rsidRDefault="008D5F24" w:rsidP="006D0E9A">
            <w:pPr>
              <w:spacing w:before="60" w:after="60"/>
              <w:jc w:val="center"/>
              <w:rPr>
                <w:sz w:val="20"/>
              </w:rPr>
            </w:pPr>
            <w:r w:rsidRPr="00F9037E">
              <w:rPr>
                <w:sz w:val="20"/>
              </w:rPr>
              <w:t>1</w:t>
            </w:r>
            <w:r w:rsidR="00A9351D" w:rsidRPr="00F9037E">
              <w:rPr>
                <w:sz w:val="20"/>
              </w:rPr>
              <w:t>,</w:t>
            </w:r>
            <w:r w:rsidRPr="00F9037E">
              <w:rPr>
                <w:sz w:val="20"/>
              </w:rPr>
              <w:t>072.35</w:t>
            </w:r>
          </w:p>
        </w:tc>
        <w:tc>
          <w:tcPr>
            <w:tcW w:w="1276" w:type="dxa"/>
            <w:vAlign w:val="center"/>
          </w:tcPr>
          <w:p w14:paraId="20AA488C" w14:textId="77777777" w:rsidR="008D5F24" w:rsidRPr="00F9037E" w:rsidRDefault="008D5F24" w:rsidP="006D0E9A">
            <w:pPr>
              <w:spacing w:before="60" w:after="60"/>
              <w:jc w:val="center"/>
              <w:rPr>
                <w:sz w:val="20"/>
              </w:rPr>
            </w:pPr>
            <w:r w:rsidRPr="00F9037E">
              <w:rPr>
                <w:sz w:val="20"/>
              </w:rPr>
              <w:t>1</w:t>
            </w:r>
            <w:r w:rsidR="00A9351D" w:rsidRPr="00F9037E">
              <w:rPr>
                <w:sz w:val="20"/>
              </w:rPr>
              <w:t>,</w:t>
            </w:r>
            <w:r w:rsidRPr="00F9037E">
              <w:rPr>
                <w:sz w:val="20"/>
              </w:rPr>
              <w:t>088.708</w:t>
            </w:r>
          </w:p>
        </w:tc>
        <w:tc>
          <w:tcPr>
            <w:tcW w:w="1276" w:type="dxa"/>
            <w:vAlign w:val="center"/>
          </w:tcPr>
          <w:p w14:paraId="3FADEAB7" w14:textId="77777777" w:rsidR="008D5F24" w:rsidRPr="00F9037E" w:rsidRDefault="008D5F24" w:rsidP="006D0E9A">
            <w:pPr>
              <w:spacing w:before="60" w:after="60"/>
              <w:jc w:val="center"/>
              <w:rPr>
                <w:sz w:val="20"/>
              </w:rPr>
            </w:pPr>
            <w:r w:rsidRPr="00F9037E">
              <w:rPr>
                <w:sz w:val="20"/>
              </w:rPr>
              <w:t>1</w:t>
            </w:r>
            <w:r w:rsidR="00A9351D" w:rsidRPr="00F9037E">
              <w:rPr>
                <w:sz w:val="20"/>
              </w:rPr>
              <w:t>,</w:t>
            </w:r>
            <w:r w:rsidRPr="00F9037E">
              <w:rPr>
                <w:sz w:val="20"/>
              </w:rPr>
              <w:t>088.708</w:t>
            </w:r>
          </w:p>
        </w:tc>
        <w:tc>
          <w:tcPr>
            <w:tcW w:w="1276" w:type="dxa"/>
            <w:vAlign w:val="center"/>
          </w:tcPr>
          <w:p w14:paraId="0E124FBE" w14:textId="77777777" w:rsidR="008D5F24" w:rsidRPr="00F9037E" w:rsidRDefault="008D5F24" w:rsidP="006D0E9A">
            <w:pPr>
              <w:spacing w:before="60" w:after="60"/>
              <w:jc w:val="center"/>
              <w:rPr>
                <w:sz w:val="20"/>
              </w:rPr>
            </w:pPr>
            <w:r w:rsidRPr="00F9037E">
              <w:rPr>
                <w:sz w:val="20"/>
              </w:rPr>
              <w:t>0</w:t>
            </w:r>
          </w:p>
        </w:tc>
      </w:tr>
      <w:tr w:rsidR="008D5F24" w:rsidRPr="00F9037E" w14:paraId="644EB80E" w14:textId="77777777" w:rsidTr="00E03592">
        <w:tc>
          <w:tcPr>
            <w:tcW w:w="1275" w:type="dxa"/>
            <w:vAlign w:val="center"/>
          </w:tcPr>
          <w:p w14:paraId="15FCD26F" w14:textId="77777777" w:rsidR="008D5F24" w:rsidRPr="00F9037E" w:rsidRDefault="008D5F24" w:rsidP="006D0E9A">
            <w:pPr>
              <w:spacing w:before="60" w:after="60"/>
              <w:rPr>
                <w:sz w:val="20"/>
              </w:rPr>
            </w:pPr>
            <w:r w:rsidRPr="00F9037E">
              <w:rPr>
                <w:sz w:val="20"/>
              </w:rPr>
              <w:t>Japan</w:t>
            </w:r>
          </w:p>
        </w:tc>
        <w:tc>
          <w:tcPr>
            <w:tcW w:w="1395" w:type="dxa"/>
            <w:vAlign w:val="center"/>
          </w:tcPr>
          <w:p w14:paraId="1F21B947" w14:textId="77777777" w:rsidR="008D5F24" w:rsidRPr="00F9037E" w:rsidRDefault="008D5F24" w:rsidP="006D0E9A">
            <w:pPr>
              <w:spacing w:before="60" w:after="60"/>
              <w:jc w:val="center"/>
              <w:rPr>
                <w:sz w:val="20"/>
              </w:rPr>
            </w:pPr>
            <w:r w:rsidRPr="00F9037E">
              <w:rPr>
                <w:sz w:val="20"/>
              </w:rPr>
              <w:t>748</w:t>
            </w:r>
          </w:p>
        </w:tc>
        <w:tc>
          <w:tcPr>
            <w:tcW w:w="1134" w:type="dxa"/>
            <w:vAlign w:val="center"/>
          </w:tcPr>
          <w:p w14:paraId="6BCDA12C" w14:textId="77777777" w:rsidR="008D5F24" w:rsidRPr="00F9037E" w:rsidRDefault="008D5F24" w:rsidP="006D0E9A">
            <w:pPr>
              <w:spacing w:before="60" w:after="60"/>
              <w:jc w:val="center"/>
              <w:rPr>
                <w:sz w:val="20"/>
              </w:rPr>
            </w:pPr>
            <w:r w:rsidRPr="00F9037E">
              <w:rPr>
                <w:sz w:val="20"/>
              </w:rPr>
              <w:t>0</w:t>
            </w:r>
          </w:p>
        </w:tc>
        <w:tc>
          <w:tcPr>
            <w:tcW w:w="1417" w:type="dxa"/>
            <w:vAlign w:val="center"/>
          </w:tcPr>
          <w:p w14:paraId="4AAD00A8" w14:textId="77777777" w:rsidR="008D5F24" w:rsidRPr="00F9037E" w:rsidRDefault="008D5F24" w:rsidP="006D0E9A">
            <w:pPr>
              <w:spacing w:before="60" w:after="60"/>
              <w:jc w:val="center"/>
              <w:rPr>
                <w:sz w:val="20"/>
              </w:rPr>
            </w:pPr>
            <w:r w:rsidRPr="00F9037E">
              <w:rPr>
                <w:sz w:val="20"/>
              </w:rPr>
              <w:t>594.995</w:t>
            </w:r>
          </w:p>
        </w:tc>
        <w:tc>
          <w:tcPr>
            <w:tcW w:w="1276" w:type="dxa"/>
            <w:vAlign w:val="center"/>
          </w:tcPr>
          <w:p w14:paraId="69FF079E" w14:textId="77777777" w:rsidR="008D5F24" w:rsidRPr="00F9037E" w:rsidRDefault="008D5F24" w:rsidP="006D0E9A">
            <w:pPr>
              <w:spacing w:before="60" w:after="60"/>
              <w:jc w:val="center"/>
              <w:rPr>
                <w:sz w:val="20"/>
              </w:rPr>
            </w:pPr>
            <w:r w:rsidRPr="00F9037E">
              <w:rPr>
                <w:sz w:val="20"/>
              </w:rPr>
              <w:t>594.995</w:t>
            </w:r>
          </w:p>
        </w:tc>
        <w:tc>
          <w:tcPr>
            <w:tcW w:w="1276" w:type="dxa"/>
            <w:vAlign w:val="center"/>
          </w:tcPr>
          <w:p w14:paraId="77D42963" w14:textId="77777777" w:rsidR="008D5F24" w:rsidRPr="00F9037E" w:rsidRDefault="008D5F24" w:rsidP="006D0E9A">
            <w:pPr>
              <w:spacing w:before="60" w:after="60"/>
              <w:jc w:val="center"/>
              <w:rPr>
                <w:sz w:val="20"/>
              </w:rPr>
            </w:pPr>
            <w:r w:rsidRPr="00F9037E">
              <w:rPr>
                <w:sz w:val="20"/>
              </w:rPr>
              <w:t>546.861</w:t>
            </w:r>
          </w:p>
        </w:tc>
        <w:tc>
          <w:tcPr>
            <w:tcW w:w="1276" w:type="dxa"/>
            <w:vAlign w:val="center"/>
          </w:tcPr>
          <w:p w14:paraId="2144B7DF" w14:textId="77777777" w:rsidR="008D5F24" w:rsidRPr="00F9037E" w:rsidRDefault="008D5F24" w:rsidP="006D0E9A">
            <w:pPr>
              <w:spacing w:before="60" w:after="60"/>
              <w:jc w:val="center"/>
              <w:rPr>
                <w:sz w:val="20"/>
              </w:rPr>
            </w:pPr>
            <w:r w:rsidRPr="00F9037E">
              <w:rPr>
                <w:sz w:val="20"/>
              </w:rPr>
              <w:t>48.134</w:t>
            </w:r>
          </w:p>
        </w:tc>
      </w:tr>
      <w:tr w:rsidR="008D5F24" w:rsidRPr="00F9037E" w14:paraId="287E018E" w14:textId="77777777" w:rsidTr="00E03592">
        <w:tc>
          <w:tcPr>
            <w:tcW w:w="1275" w:type="dxa"/>
            <w:vAlign w:val="center"/>
          </w:tcPr>
          <w:p w14:paraId="3AF7ED51" w14:textId="77777777" w:rsidR="008D5F24" w:rsidRPr="00F9037E" w:rsidRDefault="008D5F24" w:rsidP="006D0E9A">
            <w:pPr>
              <w:spacing w:before="60" w:after="60"/>
              <w:rPr>
                <w:sz w:val="20"/>
              </w:rPr>
            </w:pPr>
            <w:r w:rsidRPr="00F9037E">
              <w:rPr>
                <w:sz w:val="20"/>
              </w:rPr>
              <w:t>New Zealand</w:t>
            </w:r>
          </w:p>
        </w:tc>
        <w:tc>
          <w:tcPr>
            <w:tcW w:w="1395" w:type="dxa"/>
            <w:vAlign w:val="center"/>
          </w:tcPr>
          <w:p w14:paraId="54581C68" w14:textId="77777777" w:rsidR="008D5F24" w:rsidRPr="00F9037E" w:rsidRDefault="008D5F24" w:rsidP="006D0E9A">
            <w:pPr>
              <w:spacing w:before="60" w:after="60"/>
              <w:jc w:val="center"/>
              <w:rPr>
                <w:sz w:val="20"/>
              </w:rPr>
            </w:pPr>
            <w:r w:rsidRPr="00F9037E">
              <w:rPr>
                <w:sz w:val="20"/>
              </w:rPr>
              <w:t>50</w:t>
            </w:r>
          </w:p>
        </w:tc>
        <w:tc>
          <w:tcPr>
            <w:tcW w:w="1134" w:type="dxa"/>
            <w:vAlign w:val="center"/>
          </w:tcPr>
          <w:p w14:paraId="5346B5C5" w14:textId="77777777" w:rsidR="008D5F24" w:rsidRPr="00F9037E" w:rsidRDefault="008D5F24" w:rsidP="006D0E9A">
            <w:pPr>
              <w:spacing w:before="60" w:after="60"/>
              <w:jc w:val="center"/>
              <w:rPr>
                <w:sz w:val="20"/>
              </w:rPr>
            </w:pPr>
            <w:r w:rsidRPr="00F9037E">
              <w:rPr>
                <w:sz w:val="20"/>
              </w:rPr>
              <w:t>6.9</w:t>
            </w:r>
          </w:p>
        </w:tc>
        <w:tc>
          <w:tcPr>
            <w:tcW w:w="1417" w:type="dxa"/>
            <w:vAlign w:val="center"/>
          </w:tcPr>
          <w:p w14:paraId="5AB8274C" w14:textId="77777777" w:rsidR="008D5F24" w:rsidRPr="00F9037E" w:rsidRDefault="008D5F24" w:rsidP="006D0E9A">
            <w:pPr>
              <w:spacing w:before="60" w:after="60"/>
              <w:jc w:val="center"/>
              <w:rPr>
                <w:sz w:val="20"/>
              </w:rPr>
            </w:pPr>
            <w:r w:rsidRPr="00F9037E">
              <w:rPr>
                <w:sz w:val="20"/>
              </w:rPr>
              <w:t>40.5</w:t>
            </w:r>
          </w:p>
        </w:tc>
        <w:tc>
          <w:tcPr>
            <w:tcW w:w="1276" w:type="dxa"/>
            <w:vAlign w:val="center"/>
          </w:tcPr>
          <w:p w14:paraId="65C87B8E" w14:textId="77777777" w:rsidR="008D5F24" w:rsidRPr="00F9037E" w:rsidRDefault="008D5F24" w:rsidP="006D0E9A">
            <w:pPr>
              <w:spacing w:before="60" w:after="60"/>
              <w:jc w:val="center"/>
              <w:rPr>
                <w:sz w:val="20"/>
              </w:rPr>
            </w:pPr>
            <w:r w:rsidRPr="00F9037E">
              <w:rPr>
                <w:sz w:val="20"/>
              </w:rPr>
              <w:t>47.4</w:t>
            </w:r>
          </w:p>
        </w:tc>
        <w:tc>
          <w:tcPr>
            <w:tcW w:w="1276" w:type="dxa"/>
            <w:vAlign w:val="center"/>
          </w:tcPr>
          <w:p w14:paraId="5738D478" w14:textId="77777777" w:rsidR="008D5F24" w:rsidRPr="00F9037E" w:rsidRDefault="008D5F24" w:rsidP="006D0E9A">
            <w:pPr>
              <w:spacing w:before="60" w:after="60"/>
              <w:jc w:val="center"/>
              <w:rPr>
                <w:sz w:val="20"/>
              </w:rPr>
            </w:pPr>
            <w:r w:rsidRPr="00F9037E">
              <w:rPr>
                <w:sz w:val="20"/>
              </w:rPr>
              <w:t>44.58</w:t>
            </w:r>
          </w:p>
        </w:tc>
        <w:tc>
          <w:tcPr>
            <w:tcW w:w="1276" w:type="dxa"/>
            <w:vAlign w:val="center"/>
          </w:tcPr>
          <w:p w14:paraId="3A3BF049" w14:textId="77777777" w:rsidR="008D5F24" w:rsidRPr="00F9037E" w:rsidRDefault="008D5F24" w:rsidP="006D0E9A">
            <w:pPr>
              <w:spacing w:before="60" w:after="60"/>
              <w:jc w:val="center"/>
              <w:rPr>
                <w:sz w:val="20"/>
              </w:rPr>
            </w:pPr>
            <w:r w:rsidRPr="00F9037E">
              <w:rPr>
                <w:sz w:val="20"/>
              </w:rPr>
              <w:t>2.81</w:t>
            </w:r>
          </w:p>
        </w:tc>
      </w:tr>
      <w:tr w:rsidR="008D5F24" w:rsidRPr="00F9037E" w14:paraId="72E7BEF7" w14:textId="77777777" w:rsidTr="00E03592">
        <w:tc>
          <w:tcPr>
            <w:tcW w:w="1275" w:type="dxa"/>
            <w:vAlign w:val="center"/>
          </w:tcPr>
          <w:p w14:paraId="050E60AF" w14:textId="051D9207" w:rsidR="008D5F24" w:rsidRPr="00082015" w:rsidRDefault="00CD3CBD" w:rsidP="006D0E9A">
            <w:pPr>
              <w:spacing w:before="60" w:after="60"/>
              <w:rPr>
                <w:sz w:val="20"/>
              </w:rPr>
            </w:pPr>
            <w:r w:rsidRPr="00082015">
              <w:rPr>
                <w:sz w:val="20"/>
              </w:rPr>
              <w:t>USA (</w:t>
            </w:r>
            <w:r w:rsidR="008D5F24" w:rsidRPr="00082015">
              <w:rPr>
                <w:sz w:val="20"/>
              </w:rPr>
              <w:t>a)</w:t>
            </w:r>
          </w:p>
        </w:tc>
        <w:tc>
          <w:tcPr>
            <w:tcW w:w="1395" w:type="dxa"/>
            <w:vAlign w:val="center"/>
          </w:tcPr>
          <w:p w14:paraId="139FC09D" w14:textId="77777777" w:rsidR="008D5F24" w:rsidRPr="00220275" w:rsidRDefault="008D5F24" w:rsidP="006D0E9A">
            <w:pPr>
              <w:spacing w:before="60" w:after="60"/>
              <w:jc w:val="center"/>
              <w:rPr>
                <w:sz w:val="20"/>
              </w:rPr>
            </w:pPr>
            <w:r w:rsidRPr="00F5313E">
              <w:rPr>
                <w:sz w:val="20"/>
              </w:rPr>
              <w:t>9</w:t>
            </w:r>
            <w:r w:rsidR="00A9351D" w:rsidRPr="00F5313E">
              <w:rPr>
                <w:sz w:val="20"/>
              </w:rPr>
              <w:t>,</w:t>
            </w:r>
            <w:r w:rsidRPr="00220275">
              <w:rPr>
                <w:sz w:val="20"/>
              </w:rPr>
              <w:t>552.879</w:t>
            </w:r>
          </w:p>
        </w:tc>
        <w:tc>
          <w:tcPr>
            <w:tcW w:w="1134" w:type="dxa"/>
            <w:vAlign w:val="center"/>
          </w:tcPr>
          <w:p w14:paraId="72AD12DC" w14:textId="38503B97" w:rsidR="008D5F24" w:rsidRPr="00220275" w:rsidRDefault="0060032B" w:rsidP="006D0E9A">
            <w:pPr>
              <w:spacing w:before="60" w:after="60"/>
              <w:jc w:val="center"/>
              <w:rPr>
                <w:sz w:val="20"/>
              </w:rPr>
            </w:pPr>
            <w:r>
              <w:rPr>
                <w:sz w:val="20"/>
              </w:rPr>
              <w:t>NR</w:t>
            </w:r>
          </w:p>
        </w:tc>
        <w:tc>
          <w:tcPr>
            <w:tcW w:w="1417" w:type="dxa"/>
            <w:vAlign w:val="center"/>
          </w:tcPr>
          <w:p w14:paraId="74B97B3A" w14:textId="77777777" w:rsidR="008D5F24" w:rsidRPr="00220275" w:rsidRDefault="008D5F24" w:rsidP="006D0E9A">
            <w:pPr>
              <w:spacing w:before="60" w:after="60"/>
              <w:jc w:val="center"/>
              <w:rPr>
                <w:sz w:val="20"/>
              </w:rPr>
            </w:pPr>
            <w:r w:rsidRPr="00220275">
              <w:rPr>
                <w:sz w:val="20"/>
              </w:rPr>
              <w:t>7</w:t>
            </w:r>
            <w:r w:rsidR="00A9351D" w:rsidRPr="00220275">
              <w:rPr>
                <w:sz w:val="20"/>
              </w:rPr>
              <w:t>,</w:t>
            </w:r>
            <w:r w:rsidRPr="00220275">
              <w:rPr>
                <w:sz w:val="20"/>
              </w:rPr>
              <w:t>613</w:t>
            </w:r>
          </w:p>
        </w:tc>
        <w:tc>
          <w:tcPr>
            <w:tcW w:w="1276" w:type="dxa"/>
            <w:vAlign w:val="center"/>
          </w:tcPr>
          <w:p w14:paraId="0AB96346" w14:textId="3921D3A3" w:rsidR="008D5F24" w:rsidRPr="00563BC0" w:rsidRDefault="00CD3CBD" w:rsidP="0060032B">
            <w:pPr>
              <w:spacing w:before="60" w:after="60"/>
              <w:jc w:val="center"/>
              <w:rPr>
                <w:sz w:val="20"/>
              </w:rPr>
            </w:pPr>
            <w:r w:rsidRPr="00B87B95">
              <w:rPr>
                <w:sz w:val="20"/>
              </w:rPr>
              <w:t>N</w:t>
            </w:r>
            <w:r w:rsidR="0060032B">
              <w:rPr>
                <w:sz w:val="20"/>
              </w:rPr>
              <w:t>R</w:t>
            </w:r>
          </w:p>
        </w:tc>
        <w:tc>
          <w:tcPr>
            <w:tcW w:w="1276" w:type="dxa"/>
            <w:vAlign w:val="center"/>
          </w:tcPr>
          <w:p w14:paraId="05222A02" w14:textId="77777777" w:rsidR="008D5F24" w:rsidRPr="00563BC0" w:rsidRDefault="008D5F24" w:rsidP="006D0E9A">
            <w:pPr>
              <w:spacing w:before="60" w:after="60"/>
              <w:jc w:val="center"/>
              <w:rPr>
                <w:sz w:val="20"/>
              </w:rPr>
            </w:pPr>
            <w:r w:rsidRPr="00563BC0">
              <w:rPr>
                <w:sz w:val="20"/>
              </w:rPr>
              <w:t>7</w:t>
            </w:r>
            <w:r w:rsidR="00A9351D" w:rsidRPr="00563BC0">
              <w:rPr>
                <w:sz w:val="20"/>
              </w:rPr>
              <w:t>,</w:t>
            </w:r>
            <w:r w:rsidRPr="00563BC0">
              <w:rPr>
                <w:sz w:val="20"/>
              </w:rPr>
              <w:t>170</w:t>
            </w:r>
          </w:p>
        </w:tc>
        <w:tc>
          <w:tcPr>
            <w:tcW w:w="1276" w:type="dxa"/>
            <w:vAlign w:val="center"/>
          </w:tcPr>
          <w:p w14:paraId="0AB23D56" w14:textId="77777777" w:rsidR="008D5F24" w:rsidRPr="00563BC0" w:rsidRDefault="008D5F24" w:rsidP="006D0E9A">
            <w:pPr>
              <w:spacing w:before="60" w:after="60"/>
              <w:jc w:val="center"/>
              <w:rPr>
                <w:sz w:val="20"/>
              </w:rPr>
            </w:pPr>
            <w:r w:rsidRPr="00563BC0">
              <w:rPr>
                <w:sz w:val="20"/>
              </w:rPr>
              <w:t>443</w:t>
            </w:r>
          </w:p>
        </w:tc>
      </w:tr>
    </w:tbl>
    <w:p w14:paraId="3F9608CF" w14:textId="61C0D3C1" w:rsidR="008D5F24" w:rsidRPr="008457F3" w:rsidRDefault="008A048B" w:rsidP="009D2B4C">
      <w:pPr>
        <w:rPr>
          <w:sz w:val="18"/>
          <w:szCs w:val="18"/>
        </w:rPr>
      </w:pPr>
      <w:r w:rsidRPr="00F9037E">
        <w:rPr>
          <w:sz w:val="18"/>
          <w:szCs w:val="18"/>
        </w:rPr>
        <w:t xml:space="preserve">(a) </w:t>
      </w:r>
      <w:r w:rsidR="008D5F24" w:rsidRPr="00F9037E">
        <w:rPr>
          <w:sz w:val="18"/>
          <w:szCs w:val="18"/>
        </w:rPr>
        <w:t>Additional information on stocks was reported on US EPA website, September 2006: MB inventory held by USA companies: 2004 = 12,994 tonnes; 2005 = 9,974 tonnes</w:t>
      </w:r>
      <w:r w:rsidR="0060032B" w:rsidRPr="0060032B">
        <w:rPr>
          <w:sz w:val="18"/>
          <w:szCs w:val="18"/>
        </w:rPr>
        <w:t xml:space="preserve">; </w:t>
      </w:r>
      <w:r w:rsidR="0060032B" w:rsidRPr="00E03592">
        <w:rPr>
          <w:sz w:val="20"/>
          <w:szCs w:val="18"/>
          <w:lang w:eastAsia="en-US"/>
        </w:rPr>
        <w:t>NR=not reported</w:t>
      </w:r>
    </w:p>
    <w:p w14:paraId="2628982B" w14:textId="77777777" w:rsidR="00CD394C" w:rsidRPr="00F9037E" w:rsidRDefault="008D5F24" w:rsidP="00F9037E">
      <w:pPr>
        <w:pStyle w:val="Tableandfigureheadings"/>
        <w:jc w:val="both"/>
      </w:pPr>
      <w:r w:rsidRPr="00F9037E">
        <w:t xml:space="preserve">Table </w:t>
      </w:r>
      <w:r w:rsidR="00655D62" w:rsidRPr="00F9037E">
        <w:t>1</w:t>
      </w:r>
      <w:r w:rsidR="00F01FB5" w:rsidRPr="00F9037E">
        <w:t>.</w:t>
      </w:r>
      <w:r w:rsidRPr="00F9037E">
        <w:t>2</w:t>
      </w:r>
      <w:r w:rsidR="00A639C6" w:rsidRPr="00F9037E">
        <w:t>.</w:t>
      </w:r>
      <w:r w:rsidR="009361CD" w:rsidRPr="00F9037E">
        <w:t xml:space="preserve"> </w:t>
      </w:r>
      <w:r w:rsidR="00CD394C" w:rsidRPr="00F9037E">
        <w:t xml:space="preserve">Quantities of MB ‘on hand’ at the beginning and end of </w:t>
      </w:r>
      <w:r w:rsidR="00600BFB" w:rsidRPr="00F9037E">
        <w:t>2014</w:t>
      </w:r>
      <w:r w:rsidR="00CD394C" w:rsidRPr="00F9037E">
        <w:t>, as reported by Parties in 201</w:t>
      </w:r>
      <w:r w:rsidR="00C70CB5" w:rsidRPr="00F9037E">
        <w:t>4</w:t>
      </w:r>
      <w:r w:rsidR="00CD394C" w:rsidRPr="00F9037E">
        <w:t xml:space="preserve"> under Decision XVI/6.</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0"/>
        <w:gridCol w:w="1544"/>
        <w:gridCol w:w="1134"/>
        <w:gridCol w:w="1282"/>
        <w:gridCol w:w="1260"/>
        <w:gridCol w:w="1260"/>
        <w:gridCol w:w="1159"/>
      </w:tblGrid>
      <w:tr w:rsidR="00CD394C" w:rsidRPr="00F9037E" w14:paraId="20B31FD6" w14:textId="77777777" w:rsidTr="006D0E9A">
        <w:trPr>
          <w:cantSplit/>
        </w:trPr>
        <w:tc>
          <w:tcPr>
            <w:tcW w:w="1150" w:type="dxa"/>
            <w:vMerge w:val="restart"/>
            <w:vAlign w:val="center"/>
          </w:tcPr>
          <w:p w14:paraId="7E62725F" w14:textId="77777777" w:rsidR="00CD394C" w:rsidRPr="00F9037E" w:rsidRDefault="00CD394C" w:rsidP="006D0E9A">
            <w:pPr>
              <w:tabs>
                <w:tab w:val="left" w:pos="720"/>
              </w:tabs>
              <w:autoSpaceDE w:val="0"/>
              <w:autoSpaceDN w:val="0"/>
              <w:adjustRightInd w:val="0"/>
              <w:rPr>
                <w:b/>
                <w:sz w:val="20"/>
              </w:rPr>
            </w:pPr>
            <w:r w:rsidRPr="00F9037E">
              <w:rPr>
                <w:b/>
                <w:sz w:val="20"/>
              </w:rPr>
              <w:t>Party</w:t>
            </w:r>
          </w:p>
        </w:tc>
        <w:tc>
          <w:tcPr>
            <w:tcW w:w="1544" w:type="dxa"/>
            <w:vMerge w:val="restart"/>
            <w:vAlign w:val="center"/>
          </w:tcPr>
          <w:p w14:paraId="21CAB507" w14:textId="77777777" w:rsidR="00CD394C" w:rsidRPr="00F9037E" w:rsidRDefault="00CD394C" w:rsidP="006D0E9A">
            <w:pPr>
              <w:tabs>
                <w:tab w:val="left" w:pos="720"/>
              </w:tabs>
              <w:autoSpaceDE w:val="0"/>
              <w:autoSpaceDN w:val="0"/>
              <w:adjustRightInd w:val="0"/>
              <w:spacing w:before="40" w:after="40"/>
              <w:jc w:val="center"/>
              <w:rPr>
                <w:b/>
                <w:sz w:val="20"/>
              </w:rPr>
            </w:pPr>
          </w:p>
          <w:p w14:paraId="788F9399" w14:textId="77777777" w:rsidR="00CD394C" w:rsidRPr="00F9037E" w:rsidRDefault="00CD394C" w:rsidP="006D0E9A">
            <w:pPr>
              <w:tabs>
                <w:tab w:val="left" w:pos="720"/>
              </w:tabs>
              <w:autoSpaceDE w:val="0"/>
              <w:autoSpaceDN w:val="0"/>
              <w:adjustRightInd w:val="0"/>
              <w:spacing w:before="40" w:after="40"/>
              <w:jc w:val="center"/>
              <w:rPr>
                <w:b/>
                <w:sz w:val="20"/>
              </w:rPr>
            </w:pPr>
            <w:r w:rsidRPr="00F9037E">
              <w:rPr>
                <w:b/>
                <w:sz w:val="20"/>
              </w:rPr>
              <w:t xml:space="preserve">Critical use exemption authorized by MOP for </w:t>
            </w:r>
            <w:r w:rsidR="00600BFB" w:rsidRPr="00F9037E">
              <w:rPr>
                <w:b/>
                <w:sz w:val="20"/>
              </w:rPr>
              <w:t>201</w:t>
            </w:r>
            <w:r w:rsidR="009F2124" w:rsidRPr="00F9037E">
              <w:rPr>
                <w:b/>
                <w:sz w:val="20"/>
              </w:rPr>
              <w:t>4</w:t>
            </w:r>
          </w:p>
        </w:tc>
        <w:tc>
          <w:tcPr>
            <w:tcW w:w="6095" w:type="dxa"/>
            <w:gridSpan w:val="5"/>
            <w:vAlign w:val="center"/>
          </w:tcPr>
          <w:p w14:paraId="371E4E6B" w14:textId="77777777" w:rsidR="00CD394C" w:rsidRPr="00F9037E" w:rsidRDefault="00CD394C" w:rsidP="006D0E9A">
            <w:pPr>
              <w:tabs>
                <w:tab w:val="left" w:pos="720"/>
              </w:tabs>
              <w:autoSpaceDE w:val="0"/>
              <w:autoSpaceDN w:val="0"/>
              <w:adjustRightInd w:val="0"/>
              <w:spacing w:before="40" w:after="40"/>
              <w:jc w:val="center"/>
              <w:rPr>
                <w:b/>
                <w:sz w:val="20"/>
              </w:rPr>
            </w:pPr>
            <w:r w:rsidRPr="00F9037E">
              <w:rPr>
                <w:b/>
                <w:sz w:val="20"/>
              </w:rPr>
              <w:t>Quantity of MB as reported by Parties (metric tonnes)</w:t>
            </w:r>
          </w:p>
        </w:tc>
      </w:tr>
      <w:tr w:rsidR="00CD394C" w:rsidRPr="00F9037E" w14:paraId="62B34A35" w14:textId="77777777" w:rsidTr="00E03592">
        <w:trPr>
          <w:cantSplit/>
          <w:trHeight w:val="1170"/>
        </w:trPr>
        <w:tc>
          <w:tcPr>
            <w:tcW w:w="1150" w:type="dxa"/>
            <w:vMerge/>
            <w:vAlign w:val="center"/>
          </w:tcPr>
          <w:p w14:paraId="12D91ABA" w14:textId="77777777" w:rsidR="00CD394C" w:rsidRPr="00F9037E" w:rsidRDefault="00CD394C" w:rsidP="00AA43BE">
            <w:pPr>
              <w:spacing w:after="0"/>
              <w:rPr>
                <w:b/>
                <w:sz w:val="20"/>
              </w:rPr>
            </w:pPr>
          </w:p>
        </w:tc>
        <w:tc>
          <w:tcPr>
            <w:tcW w:w="1544" w:type="dxa"/>
            <w:vMerge/>
            <w:vAlign w:val="center"/>
          </w:tcPr>
          <w:p w14:paraId="2DE31E13" w14:textId="77777777" w:rsidR="00CD394C" w:rsidRPr="00F9037E" w:rsidRDefault="00CD394C" w:rsidP="006D0E9A">
            <w:pPr>
              <w:spacing w:before="40" w:after="40"/>
              <w:jc w:val="center"/>
              <w:rPr>
                <w:b/>
                <w:sz w:val="20"/>
              </w:rPr>
            </w:pPr>
          </w:p>
        </w:tc>
        <w:tc>
          <w:tcPr>
            <w:tcW w:w="1134" w:type="dxa"/>
            <w:vAlign w:val="center"/>
          </w:tcPr>
          <w:p w14:paraId="7D0583D5" w14:textId="77777777" w:rsidR="00CD394C" w:rsidRPr="00F9037E" w:rsidRDefault="00CD394C" w:rsidP="006D0E9A">
            <w:pPr>
              <w:tabs>
                <w:tab w:val="left" w:pos="720"/>
              </w:tabs>
              <w:autoSpaceDE w:val="0"/>
              <w:autoSpaceDN w:val="0"/>
              <w:adjustRightInd w:val="0"/>
              <w:spacing w:before="40" w:after="40"/>
              <w:jc w:val="center"/>
              <w:rPr>
                <w:b/>
                <w:sz w:val="20"/>
              </w:rPr>
            </w:pPr>
            <w:r w:rsidRPr="00F9037E">
              <w:rPr>
                <w:b/>
                <w:sz w:val="20"/>
              </w:rPr>
              <w:t xml:space="preserve">Amount on hand at start of </w:t>
            </w:r>
            <w:r w:rsidR="00600BFB" w:rsidRPr="00F9037E">
              <w:rPr>
                <w:b/>
                <w:sz w:val="20"/>
              </w:rPr>
              <w:t>2014</w:t>
            </w:r>
          </w:p>
        </w:tc>
        <w:tc>
          <w:tcPr>
            <w:tcW w:w="1282" w:type="dxa"/>
            <w:vAlign w:val="center"/>
          </w:tcPr>
          <w:p w14:paraId="579F86C7" w14:textId="77777777" w:rsidR="00CD394C" w:rsidRPr="00F9037E" w:rsidRDefault="00CD394C" w:rsidP="006D0E9A">
            <w:pPr>
              <w:tabs>
                <w:tab w:val="left" w:pos="720"/>
              </w:tabs>
              <w:autoSpaceDE w:val="0"/>
              <w:autoSpaceDN w:val="0"/>
              <w:adjustRightInd w:val="0"/>
              <w:spacing w:before="40" w:after="40"/>
              <w:jc w:val="center"/>
              <w:rPr>
                <w:b/>
                <w:sz w:val="20"/>
              </w:rPr>
            </w:pPr>
            <w:r w:rsidRPr="00F9037E">
              <w:rPr>
                <w:b/>
                <w:sz w:val="20"/>
              </w:rPr>
              <w:t>Quantity acquired for CUEs in 2013 (production +imports)</w:t>
            </w:r>
          </w:p>
        </w:tc>
        <w:tc>
          <w:tcPr>
            <w:tcW w:w="1260" w:type="dxa"/>
            <w:vAlign w:val="center"/>
          </w:tcPr>
          <w:p w14:paraId="1E0258A3" w14:textId="77777777" w:rsidR="00CD394C" w:rsidRPr="00F9037E" w:rsidRDefault="00CD394C" w:rsidP="006D0E9A">
            <w:pPr>
              <w:tabs>
                <w:tab w:val="left" w:pos="720"/>
              </w:tabs>
              <w:autoSpaceDE w:val="0"/>
              <w:autoSpaceDN w:val="0"/>
              <w:adjustRightInd w:val="0"/>
              <w:spacing w:before="40" w:after="40"/>
              <w:jc w:val="center"/>
              <w:rPr>
                <w:b/>
                <w:sz w:val="20"/>
              </w:rPr>
            </w:pPr>
            <w:r w:rsidRPr="00F9037E">
              <w:rPr>
                <w:b/>
                <w:sz w:val="20"/>
              </w:rPr>
              <w:t xml:space="preserve">Amount available for use in </w:t>
            </w:r>
            <w:r w:rsidR="00600BFB" w:rsidRPr="00F9037E">
              <w:rPr>
                <w:b/>
                <w:sz w:val="20"/>
              </w:rPr>
              <w:t>2014</w:t>
            </w:r>
          </w:p>
        </w:tc>
        <w:tc>
          <w:tcPr>
            <w:tcW w:w="1260" w:type="dxa"/>
            <w:vAlign w:val="center"/>
          </w:tcPr>
          <w:p w14:paraId="5B0F1E9C" w14:textId="77777777" w:rsidR="00CD394C" w:rsidRPr="00F9037E" w:rsidRDefault="00CD394C" w:rsidP="006D0E9A">
            <w:pPr>
              <w:tabs>
                <w:tab w:val="left" w:pos="720"/>
              </w:tabs>
              <w:autoSpaceDE w:val="0"/>
              <w:autoSpaceDN w:val="0"/>
              <w:adjustRightInd w:val="0"/>
              <w:spacing w:before="40" w:after="40"/>
              <w:jc w:val="center"/>
              <w:rPr>
                <w:b/>
                <w:sz w:val="20"/>
              </w:rPr>
            </w:pPr>
            <w:r w:rsidRPr="00F9037E">
              <w:rPr>
                <w:b/>
                <w:sz w:val="20"/>
              </w:rPr>
              <w:t xml:space="preserve">Quantity used for CUEs in </w:t>
            </w:r>
            <w:r w:rsidR="00600BFB" w:rsidRPr="00F9037E">
              <w:rPr>
                <w:b/>
                <w:sz w:val="20"/>
              </w:rPr>
              <w:t>2014</w:t>
            </w:r>
          </w:p>
        </w:tc>
        <w:tc>
          <w:tcPr>
            <w:tcW w:w="1159" w:type="dxa"/>
            <w:vAlign w:val="center"/>
          </w:tcPr>
          <w:p w14:paraId="6E1625C1" w14:textId="77777777" w:rsidR="00CD394C" w:rsidRPr="00F9037E" w:rsidRDefault="00CD394C" w:rsidP="006D0E9A">
            <w:pPr>
              <w:tabs>
                <w:tab w:val="left" w:pos="720"/>
              </w:tabs>
              <w:autoSpaceDE w:val="0"/>
              <w:autoSpaceDN w:val="0"/>
              <w:adjustRightInd w:val="0"/>
              <w:spacing w:before="40" w:after="40"/>
              <w:jc w:val="center"/>
              <w:rPr>
                <w:b/>
                <w:sz w:val="20"/>
              </w:rPr>
            </w:pPr>
            <w:r w:rsidRPr="00F9037E">
              <w:rPr>
                <w:b/>
                <w:sz w:val="20"/>
              </w:rPr>
              <w:t xml:space="preserve">Amount on hand at the end of </w:t>
            </w:r>
            <w:r w:rsidR="00600BFB" w:rsidRPr="00F9037E">
              <w:rPr>
                <w:b/>
                <w:sz w:val="20"/>
              </w:rPr>
              <w:t>2014</w:t>
            </w:r>
          </w:p>
        </w:tc>
      </w:tr>
      <w:tr w:rsidR="00133A78" w:rsidRPr="00F9037E" w14:paraId="5334E5FE" w14:textId="77777777" w:rsidTr="00E03592">
        <w:tc>
          <w:tcPr>
            <w:tcW w:w="1150" w:type="dxa"/>
          </w:tcPr>
          <w:p w14:paraId="1332BF14" w14:textId="77777777" w:rsidR="00133A78" w:rsidRPr="00F9037E" w:rsidRDefault="00133A78" w:rsidP="006D0E9A">
            <w:pPr>
              <w:tabs>
                <w:tab w:val="left" w:pos="720"/>
              </w:tabs>
              <w:spacing w:before="60" w:after="60"/>
              <w:rPr>
                <w:sz w:val="20"/>
              </w:rPr>
            </w:pPr>
            <w:r w:rsidRPr="00F9037E">
              <w:rPr>
                <w:sz w:val="20"/>
              </w:rPr>
              <w:t>Australia</w:t>
            </w:r>
          </w:p>
        </w:tc>
        <w:tc>
          <w:tcPr>
            <w:tcW w:w="1544" w:type="dxa"/>
            <w:vAlign w:val="center"/>
          </w:tcPr>
          <w:p w14:paraId="1CD9245B" w14:textId="77777777" w:rsidR="00133A78" w:rsidRPr="00F9037E" w:rsidRDefault="00133A78" w:rsidP="006D0E9A">
            <w:pPr>
              <w:tabs>
                <w:tab w:val="left" w:pos="720"/>
              </w:tabs>
              <w:spacing w:before="60" w:after="60"/>
              <w:jc w:val="center"/>
              <w:rPr>
                <w:sz w:val="20"/>
              </w:rPr>
            </w:pPr>
            <w:r w:rsidRPr="00F9037E">
              <w:rPr>
                <w:color w:val="auto"/>
                <w:sz w:val="20"/>
              </w:rPr>
              <w:t>30.947</w:t>
            </w:r>
          </w:p>
        </w:tc>
        <w:tc>
          <w:tcPr>
            <w:tcW w:w="1134" w:type="dxa"/>
            <w:vAlign w:val="center"/>
          </w:tcPr>
          <w:p w14:paraId="5154727A" w14:textId="77777777" w:rsidR="00133A78" w:rsidRPr="00F9037E" w:rsidRDefault="00133A78" w:rsidP="006D0E9A">
            <w:pPr>
              <w:tabs>
                <w:tab w:val="left" w:pos="720"/>
              </w:tabs>
              <w:spacing w:before="60" w:after="60"/>
              <w:jc w:val="center"/>
              <w:rPr>
                <w:sz w:val="20"/>
              </w:rPr>
            </w:pPr>
            <w:r w:rsidRPr="00F9037E">
              <w:rPr>
                <w:color w:val="auto"/>
                <w:sz w:val="20"/>
              </w:rPr>
              <w:t>0</w:t>
            </w:r>
          </w:p>
        </w:tc>
        <w:tc>
          <w:tcPr>
            <w:tcW w:w="1282" w:type="dxa"/>
            <w:vAlign w:val="center"/>
          </w:tcPr>
          <w:p w14:paraId="2FB88DBC" w14:textId="77777777" w:rsidR="00133A78" w:rsidRPr="00F9037E" w:rsidRDefault="00133A78" w:rsidP="006D0E9A">
            <w:pPr>
              <w:tabs>
                <w:tab w:val="left" w:pos="720"/>
              </w:tabs>
              <w:spacing w:before="60" w:after="60"/>
              <w:jc w:val="center"/>
              <w:rPr>
                <w:sz w:val="20"/>
              </w:rPr>
            </w:pPr>
            <w:r w:rsidRPr="00F9037E">
              <w:rPr>
                <w:color w:val="auto"/>
                <w:sz w:val="20"/>
              </w:rPr>
              <w:t>30.428</w:t>
            </w:r>
          </w:p>
        </w:tc>
        <w:tc>
          <w:tcPr>
            <w:tcW w:w="1260" w:type="dxa"/>
            <w:vAlign w:val="center"/>
          </w:tcPr>
          <w:p w14:paraId="56222FD9" w14:textId="77777777" w:rsidR="00133A78" w:rsidRPr="00F9037E" w:rsidRDefault="00133A78" w:rsidP="006D0E9A">
            <w:pPr>
              <w:tabs>
                <w:tab w:val="left" w:pos="720"/>
              </w:tabs>
              <w:spacing w:before="60" w:after="60"/>
              <w:jc w:val="center"/>
              <w:rPr>
                <w:sz w:val="20"/>
              </w:rPr>
            </w:pPr>
            <w:r w:rsidRPr="00F9037E">
              <w:rPr>
                <w:color w:val="auto"/>
                <w:sz w:val="20"/>
              </w:rPr>
              <w:t>30.428</w:t>
            </w:r>
          </w:p>
        </w:tc>
        <w:tc>
          <w:tcPr>
            <w:tcW w:w="1260" w:type="dxa"/>
            <w:vAlign w:val="center"/>
          </w:tcPr>
          <w:p w14:paraId="78928DC4" w14:textId="77777777" w:rsidR="00133A78" w:rsidRPr="00F9037E" w:rsidRDefault="00133A78" w:rsidP="006D0E9A">
            <w:pPr>
              <w:tabs>
                <w:tab w:val="left" w:pos="720"/>
              </w:tabs>
              <w:spacing w:before="60" w:after="60"/>
              <w:jc w:val="center"/>
              <w:rPr>
                <w:sz w:val="20"/>
              </w:rPr>
            </w:pPr>
            <w:r w:rsidRPr="00F9037E">
              <w:rPr>
                <w:color w:val="auto"/>
                <w:sz w:val="20"/>
              </w:rPr>
              <w:t>30.428</w:t>
            </w:r>
          </w:p>
        </w:tc>
        <w:tc>
          <w:tcPr>
            <w:tcW w:w="1159" w:type="dxa"/>
            <w:vAlign w:val="center"/>
          </w:tcPr>
          <w:p w14:paraId="295594A9" w14:textId="77777777" w:rsidR="00133A78" w:rsidRPr="00F9037E" w:rsidRDefault="00133A78" w:rsidP="006D0E9A">
            <w:pPr>
              <w:tabs>
                <w:tab w:val="left" w:pos="720"/>
              </w:tabs>
              <w:spacing w:before="60" w:after="60"/>
              <w:jc w:val="center"/>
              <w:rPr>
                <w:sz w:val="20"/>
              </w:rPr>
            </w:pPr>
            <w:r w:rsidRPr="00F9037E">
              <w:rPr>
                <w:color w:val="auto"/>
                <w:sz w:val="20"/>
              </w:rPr>
              <w:t>0</w:t>
            </w:r>
          </w:p>
        </w:tc>
      </w:tr>
      <w:tr w:rsidR="00133A78" w:rsidRPr="00F9037E" w14:paraId="494E757C" w14:textId="77777777" w:rsidTr="00E03592">
        <w:tc>
          <w:tcPr>
            <w:tcW w:w="1150" w:type="dxa"/>
          </w:tcPr>
          <w:p w14:paraId="2F682FDE" w14:textId="77777777" w:rsidR="00133A78" w:rsidRPr="00F9037E" w:rsidRDefault="00133A78" w:rsidP="006D0E9A">
            <w:pPr>
              <w:tabs>
                <w:tab w:val="left" w:pos="720"/>
              </w:tabs>
              <w:spacing w:before="60" w:after="60"/>
              <w:rPr>
                <w:sz w:val="20"/>
              </w:rPr>
            </w:pPr>
            <w:r w:rsidRPr="00F9037E">
              <w:rPr>
                <w:sz w:val="20"/>
              </w:rPr>
              <w:t>Canada</w:t>
            </w:r>
          </w:p>
        </w:tc>
        <w:tc>
          <w:tcPr>
            <w:tcW w:w="1544" w:type="dxa"/>
            <w:vAlign w:val="center"/>
          </w:tcPr>
          <w:p w14:paraId="4B013562" w14:textId="77777777" w:rsidR="00133A78" w:rsidRPr="00F9037E" w:rsidRDefault="00133A78" w:rsidP="006D0E9A">
            <w:pPr>
              <w:tabs>
                <w:tab w:val="left" w:pos="720"/>
              </w:tabs>
              <w:spacing w:before="60" w:after="60"/>
              <w:jc w:val="center"/>
              <w:rPr>
                <w:sz w:val="20"/>
              </w:rPr>
            </w:pPr>
            <w:r w:rsidRPr="00F9037E">
              <w:rPr>
                <w:color w:val="auto"/>
                <w:sz w:val="20"/>
              </w:rPr>
              <w:t>10.305</w:t>
            </w:r>
          </w:p>
        </w:tc>
        <w:tc>
          <w:tcPr>
            <w:tcW w:w="1134" w:type="dxa"/>
            <w:vAlign w:val="center"/>
          </w:tcPr>
          <w:p w14:paraId="0869D35C" w14:textId="77777777" w:rsidR="00133A78" w:rsidRPr="00F9037E" w:rsidRDefault="00133A78" w:rsidP="006D0E9A">
            <w:pPr>
              <w:tabs>
                <w:tab w:val="left" w:pos="720"/>
              </w:tabs>
              <w:spacing w:before="60" w:after="60"/>
              <w:jc w:val="center"/>
              <w:rPr>
                <w:sz w:val="20"/>
              </w:rPr>
            </w:pPr>
            <w:r w:rsidRPr="00F9037E">
              <w:rPr>
                <w:color w:val="auto"/>
                <w:sz w:val="20"/>
              </w:rPr>
              <w:t>1.407</w:t>
            </w:r>
          </w:p>
        </w:tc>
        <w:tc>
          <w:tcPr>
            <w:tcW w:w="1282" w:type="dxa"/>
            <w:vAlign w:val="center"/>
          </w:tcPr>
          <w:p w14:paraId="5EDE3355" w14:textId="77777777" w:rsidR="00133A78" w:rsidRPr="00F9037E" w:rsidRDefault="00133A78" w:rsidP="006D0E9A">
            <w:pPr>
              <w:tabs>
                <w:tab w:val="left" w:pos="720"/>
              </w:tabs>
              <w:spacing w:before="60" w:after="60"/>
              <w:jc w:val="center"/>
              <w:rPr>
                <w:sz w:val="20"/>
              </w:rPr>
            </w:pPr>
            <w:r w:rsidRPr="00F9037E">
              <w:rPr>
                <w:color w:val="auto"/>
                <w:sz w:val="20"/>
              </w:rPr>
              <w:t>8.424</w:t>
            </w:r>
          </w:p>
        </w:tc>
        <w:tc>
          <w:tcPr>
            <w:tcW w:w="1260" w:type="dxa"/>
            <w:vAlign w:val="center"/>
          </w:tcPr>
          <w:p w14:paraId="0D642597" w14:textId="77777777" w:rsidR="00133A78" w:rsidRPr="00F9037E" w:rsidRDefault="00133A78" w:rsidP="006D0E9A">
            <w:pPr>
              <w:tabs>
                <w:tab w:val="left" w:pos="720"/>
              </w:tabs>
              <w:spacing w:before="60" w:after="60"/>
              <w:jc w:val="center"/>
              <w:rPr>
                <w:sz w:val="20"/>
              </w:rPr>
            </w:pPr>
            <w:r w:rsidRPr="00F9037E">
              <w:rPr>
                <w:color w:val="auto"/>
                <w:sz w:val="20"/>
              </w:rPr>
              <w:t>9.831</w:t>
            </w:r>
          </w:p>
        </w:tc>
        <w:tc>
          <w:tcPr>
            <w:tcW w:w="1260" w:type="dxa"/>
            <w:vAlign w:val="center"/>
          </w:tcPr>
          <w:p w14:paraId="5602BFEF" w14:textId="77777777" w:rsidR="00133A78" w:rsidRPr="00F9037E" w:rsidRDefault="00133A78" w:rsidP="006D0E9A">
            <w:pPr>
              <w:tabs>
                <w:tab w:val="left" w:pos="720"/>
              </w:tabs>
              <w:spacing w:before="60" w:after="60"/>
              <w:jc w:val="center"/>
              <w:rPr>
                <w:sz w:val="20"/>
              </w:rPr>
            </w:pPr>
            <w:r w:rsidRPr="00F9037E">
              <w:rPr>
                <w:color w:val="auto"/>
                <w:sz w:val="20"/>
              </w:rPr>
              <w:t>8.360</w:t>
            </w:r>
          </w:p>
        </w:tc>
        <w:tc>
          <w:tcPr>
            <w:tcW w:w="1159" w:type="dxa"/>
            <w:vAlign w:val="center"/>
          </w:tcPr>
          <w:p w14:paraId="428A28DD" w14:textId="77777777" w:rsidR="00133A78" w:rsidRPr="00F9037E" w:rsidRDefault="00133A78" w:rsidP="006D0E9A">
            <w:pPr>
              <w:tabs>
                <w:tab w:val="left" w:pos="720"/>
              </w:tabs>
              <w:spacing w:before="60" w:after="60"/>
              <w:jc w:val="center"/>
              <w:rPr>
                <w:sz w:val="20"/>
              </w:rPr>
            </w:pPr>
            <w:r w:rsidRPr="00F9037E">
              <w:rPr>
                <w:color w:val="auto"/>
                <w:sz w:val="20"/>
              </w:rPr>
              <w:t>1.471</w:t>
            </w:r>
          </w:p>
        </w:tc>
      </w:tr>
      <w:tr w:rsidR="00133A78" w:rsidRPr="00F9037E" w14:paraId="07174F1B" w14:textId="77777777" w:rsidTr="00E03592">
        <w:tc>
          <w:tcPr>
            <w:tcW w:w="1150" w:type="dxa"/>
          </w:tcPr>
          <w:p w14:paraId="5940E2AF" w14:textId="77777777" w:rsidR="00133A78" w:rsidRPr="00F9037E" w:rsidRDefault="00133A78" w:rsidP="006D0E9A">
            <w:pPr>
              <w:tabs>
                <w:tab w:val="left" w:pos="720"/>
              </w:tabs>
              <w:spacing w:before="60" w:after="60"/>
              <w:rPr>
                <w:color w:val="auto"/>
                <w:sz w:val="20"/>
              </w:rPr>
            </w:pPr>
            <w:r w:rsidRPr="00F9037E">
              <w:rPr>
                <w:color w:val="auto"/>
                <w:sz w:val="20"/>
              </w:rPr>
              <w:t>USA</w:t>
            </w:r>
          </w:p>
        </w:tc>
        <w:tc>
          <w:tcPr>
            <w:tcW w:w="1544" w:type="dxa"/>
            <w:vAlign w:val="center"/>
          </w:tcPr>
          <w:p w14:paraId="2945294B" w14:textId="77777777" w:rsidR="00133A78" w:rsidRPr="00F9037E" w:rsidRDefault="00133A78" w:rsidP="006D0E9A">
            <w:pPr>
              <w:tabs>
                <w:tab w:val="left" w:pos="720"/>
              </w:tabs>
              <w:spacing w:before="60" w:after="60"/>
              <w:jc w:val="center"/>
              <w:rPr>
                <w:color w:val="auto"/>
                <w:sz w:val="20"/>
              </w:rPr>
            </w:pPr>
            <w:r w:rsidRPr="00F9037E">
              <w:rPr>
                <w:color w:val="auto"/>
                <w:sz w:val="20"/>
              </w:rPr>
              <w:t>442</w:t>
            </w:r>
          </w:p>
        </w:tc>
        <w:tc>
          <w:tcPr>
            <w:tcW w:w="1134" w:type="dxa"/>
            <w:vAlign w:val="center"/>
          </w:tcPr>
          <w:p w14:paraId="5D4DF44B" w14:textId="77777777" w:rsidR="00133A78" w:rsidRPr="00F9037E" w:rsidRDefault="00133A78" w:rsidP="006D0E9A">
            <w:pPr>
              <w:tabs>
                <w:tab w:val="left" w:pos="720"/>
              </w:tabs>
              <w:spacing w:before="60" w:after="60"/>
              <w:jc w:val="center"/>
              <w:rPr>
                <w:color w:val="auto"/>
                <w:sz w:val="20"/>
              </w:rPr>
            </w:pPr>
            <w:r w:rsidRPr="00F9037E">
              <w:rPr>
                <w:color w:val="auto"/>
                <w:sz w:val="20"/>
              </w:rPr>
              <w:t>327</w:t>
            </w:r>
          </w:p>
        </w:tc>
        <w:tc>
          <w:tcPr>
            <w:tcW w:w="1282" w:type="dxa"/>
            <w:vAlign w:val="center"/>
          </w:tcPr>
          <w:p w14:paraId="12A1B71E" w14:textId="77777777" w:rsidR="00133A78" w:rsidRPr="00F9037E" w:rsidRDefault="00133A78" w:rsidP="006D0E9A">
            <w:pPr>
              <w:tabs>
                <w:tab w:val="left" w:pos="720"/>
              </w:tabs>
              <w:spacing w:before="60" w:after="60"/>
              <w:jc w:val="center"/>
              <w:rPr>
                <w:color w:val="auto"/>
                <w:sz w:val="20"/>
              </w:rPr>
            </w:pPr>
            <w:r w:rsidRPr="00F9037E">
              <w:rPr>
                <w:color w:val="auto"/>
                <w:sz w:val="20"/>
              </w:rPr>
              <w:t>442</w:t>
            </w:r>
          </w:p>
        </w:tc>
        <w:tc>
          <w:tcPr>
            <w:tcW w:w="1260" w:type="dxa"/>
            <w:vAlign w:val="center"/>
          </w:tcPr>
          <w:p w14:paraId="60FAB384" w14:textId="77777777" w:rsidR="00133A78" w:rsidRPr="00F9037E" w:rsidRDefault="00133A78" w:rsidP="006D0E9A">
            <w:pPr>
              <w:tabs>
                <w:tab w:val="left" w:pos="720"/>
              </w:tabs>
              <w:spacing w:before="60" w:after="60"/>
              <w:jc w:val="center"/>
              <w:rPr>
                <w:color w:val="auto"/>
                <w:sz w:val="20"/>
              </w:rPr>
            </w:pPr>
            <w:r w:rsidRPr="00F9037E">
              <w:rPr>
                <w:color w:val="auto"/>
                <w:sz w:val="20"/>
              </w:rPr>
              <w:t>799</w:t>
            </w:r>
          </w:p>
        </w:tc>
        <w:tc>
          <w:tcPr>
            <w:tcW w:w="1260" w:type="dxa"/>
            <w:vAlign w:val="center"/>
          </w:tcPr>
          <w:p w14:paraId="0CC5C2F2" w14:textId="77777777" w:rsidR="00133A78" w:rsidRPr="00F9037E" w:rsidRDefault="00133A78" w:rsidP="006D0E9A">
            <w:pPr>
              <w:tabs>
                <w:tab w:val="left" w:pos="720"/>
              </w:tabs>
              <w:spacing w:before="60" w:after="60"/>
              <w:jc w:val="center"/>
              <w:rPr>
                <w:color w:val="auto"/>
                <w:sz w:val="20"/>
              </w:rPr>
            </w:pPr>
            <w:r w:rsidRPr="00F9037E">
              <w:rPr>
                <w:color w:val="auto"/>
                <w:sz w:val="20"/>
              </w:rPr>
              <w:t>356</w:t>
            </w:r>
          </w:p>
        </w:tc>
        <w:tc>
          <w:tcPr>
            <w:tcW w:w="1159" w:type="dxa"/>
            <w:vAlign w:val="center"/>
          </w:tcPr>
          <w:p w14:paraId="19D47849" w14:textId="77777777" w:rsidR="00133A78" w:rsidRPr="00F9037E" w:rsidRDefault="00133A78" w:rsidP="006D0E9A">
            <w:pPr>
              <w:tabs>
                <w:tab w:val="left" w:pos="720"/>
              </w:tabs>
              <w:spacing w:before="60" w:after="60"/>
              <w:jc w:val="center"/>
              <w:rPr>
                <w:color w:val="auto"/>
                <w:sz w:val="20"/>
              </w:rPr>
            </w:pPr>
            <w:r w:rsidRPr="00F9037E">
              <w:rPr>
                <w:color w:val="auto"/>
                <w:sz w:val="20"/>
              </w:rPr>
              <w:t>140</w:t>
            </w:r>
          </w:p>
        </w:tc>
      </w:tr>
    </w:tbl>
    <w:p w14:paraId="24427655" w14:textId="77777777" w:rsidR="008D5F24" w:rsidRPr="00F9037E" w:rsidRDefault="003E11F0" w:rsidP="00CD394C">
      <w:pPr>
        <w:pStyle w:val="Tableheading0"/>
        <w:spacing w:before="0" w:after="0"/>
        <w:ind w:left="1080" w:hanging="1080"/>
        <w:rPr>
          <w:sz w:val="20"/>
          <w:szCs w:val="18"/>
          <w:lang w:eastAsia="en-US"/>
        </w:rPr>
      </w:pPr>
      <w:r w:rsidRPr="00F9037E">
        <w:rPr>
          <w:i w:val="0"/>
          <w:color w:val="000000"/>
          <w:sz w:val="20"/>
          <w:szCs w:val="18"/>
          <w:lang w:eastAsia="en-US"/>
        </w:rPr>
        <w:t>NR=</w:t>
      </w:r>
      <w:r w:rsidR="00CD394C" w:rsidRPr="00F9037E">
        <w:rPr>
          <w:i w:val="0"/>
          <w:color w:val="000000"/>
          <w:sz w:val="20"/>
          <w:szCs w:val="18"/>
          <w:lang w:eastAsia="en-US"/>
        </w:rPr>
        <w:t>not reported</w:t>
      </w:r>
      <w:r w:rsidR="00CD394C" w:rsidRPr="00F9037E">
        <w:rPr>
          <w:sz w:val="20"/>
          <w:szCs w:val="18"/>
          <w:lang w:eastAsia="en-US"/>
        </w:rPr>
        <w:br/>
      </w:r>
    </w:p>
    <w:p w14:paraId="24C26536" w14:textId="77777777" w:rsidR="00F01FB5" w:rsidRPr="00F9037E" w:rsidRDefault="00F01FB5">
      <w:pPr>
        <w:spacing w:after="0"/>
        <w:rPr>
          <w:b/>
          <w:i/>
          <w:color w:val="auto"/>
          <w:szCs w:val="22"/>
        </w:rPr>
      </w:pPr>
      <w:r w:rsidRPr="00F9037E">
        <w:rPr>
          <w:b/>
          <w:szCs w:val="22"/>
        </w:rPr>
        <w:br w:type="page"/>
      </w:r>
    </w:p>
    <w:p w14:paraId="50B18349" w14:textId="77777777" w:rsidR="00507126" w:rsidRPr="00F9037E" w:rsidRDefault="00507126" w:rsidP="00F9037E">
      <w:pPr>
        <w:pStyle w:val="Tableandfigureheadings"/>
      </w:pPr>
    </w:p>
    <w:p w14:paraId="450669FA" w14:textId="612BBAB2" w:rsidR="008D5F24" w:rsidRPr="00F9037E" w:rsidRDefault="008D5F24" w:rsidP="00F9037E">
      <w:pPr>
        <w:pStyle w:val="Tableandfigureheadings"/>
        <w:jc w:val="both"/>
      </w:pPr>
      <w:r w:rsidRPr="00F9037E">
        <w:t xml:space="preserve">Table </w:t>
      </w:r>
      <w:r w:rsidR="000F22AA" w:rsidRPr="00F9037E">
        <w:t>1</w:t>
      </w:r>
      <w:r w:rsidR="00F01FB5" w:rsidRPr="00F9037E">
        <w:t>.</w:t>
      </w:r>
      <w:r w:rsidR="007E1820" w:rsidRPr="00F9037E">
        <w:t>3</w:t>
      </w:r>
      <w:r w:rsidR="00A639C6" w:rsidRPr="00F9037E">
        <w:t>.</w:t>
      </w:r>
      <w:r w:rsidRPr="00F9037E">
        <w:t xml:space="preserve"> Quantities of MB ‘on hand’ at the beginning and end of </w:t>
      </w:r>
      <w:r w:rsidR="00600BFB" w:rsidRPr="00F9037E">
        <w:t>2015</w:t>
      </w:r>
      <w:r w:rsidRPr="00F9037E">
        <w:t>, as reported by Parties in</w:t>
      </w:r>
      <w:r w:rsidR="008457F3">
        <w:t xml:space="preserve"> </w:t>
      </w:r>
      <w:r w:rsidR="007D265D" w:rsidRPr="00F9037E">
        <w:t>201</w:t>
      </w:r>
      <w:r w:rsidR="00C70CB5" w:rsidRPr="00F9037E">
        <w:t>5</w:t>
      </w:r>
      <w:r w:rsidRPr="00F9037E">
        <w:t>under Decision XVI/6</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0"/>
        <w:gridCol w:w="1544"/>
        <w:gridCol w:w="976"/>
        <w:gridCol w:w="1440"/>
        <w:gridCol w:w="1260"/>
        <w:gridCol w:w="1260"/>
        <w:gridCol w:w="1159"/>
      </w:tblGrid>
      <w:tr w:rsidR="008D5F24" w:rsidRPr="00F9037E" w14:paraId="7F768E3D" w14:textId="77777777" w:rsidTr="006D0E9A">
        <w:trPr>
          <w:cantSplit/>
        </w:trPr>
        <w:tc>
          <w:tcPr>
            <w:tcW w:w="1150" w:type="dxa"/>
            <w:vMerge w:val="restart"/>
            <w:vAlign w:val="center"/>
          </w:tcPr>
          <w:p w14:paraId="221C6939" w14:textId="77777777" w:rsidR="008D5F24" w:rsidRPr="00F9037E" w:rsidRDefault="008D5F24" w:rsidP="006D0E9A">
            <w:pPr>
              <w:tabs>
                <w:tab w:val="left" w:pos="720"/>
              </w:tabs>
              <w:autoSpaceDE w:val="0"/>
              <w:autoSpaceDN w:val="0"/>
              <w:adjustRightInd w:val="0"/>
              <w:rPr>
                <w:b/>
                <w:sz w:val="20"/>
              </w:rPr>
            </w:pPr>
            <w:r w:rsidRPr="00F9037E">
              <w:rPr>
                <w:b/>
                <w:sz w:val="20"/>
              </w:rPr>
              <w:t>Party</w:t>
            </w:r>
          </w:p>
        </w:tc>
        <w:tc>
          <w:tcPr>
            <w:tcW w:w="1544" w:type="dxa"/>
            <w:vMerge w:val="restart"/>
            <w:vAlign w:val="center"/>
          </w:tcPr>
          <w:p w14:paraId="36FD7B89" w14:textId="77777777" w:rsidR="008D5F24" w:rsidRPr="00F9037E" w:rsidRDefault="008D5F24" w:rsidP="006D0E9A">
            <w:pPr>
              <w:tabs>
                <w:tab w:val="left" w:pos="720"/>
              </w:tabs>
              <w:autoSpaceDE w:val="0"/>
              <w:autoSpaceDN w:val="0"/>
              <w:adjustRightInd w:val="0"/>
              <w:spacing w:before="40" w:after="40"/>
              <w:jc w:val="center"/>
              <w:rPr>
                <w:b/>
                <w:sz w:val="20"/>
              </w:rPr>
            </w:pPr>
            <w:r w:rsidRPr="00F9037E">
              <w:rPr>
                <w:b/>
                <w:sz w:val="20"/>
              </w:rPr>
              <w:t xml:space="preserve">Critical use exemption authorized by MOP for </w:t>
            </w:r>
            <w:r w:rsidR="007D265D" w:rsidRPr="00F9037E">
              <w:rPr>
                <w:b/>
                <w:sz w:val="20"/>
              </w:rPr>
              <w:t>201</w:t>
            </w:r>
            <w:r w:rsidR="00866195" w:rsidRPr="00F9037E">
              <w:rPr>
                <w:b/>
                <w:sz w:val="20"/>
              </w:rPr>
              <w:t>5</w:t>
            </w:r>
          </w:p>
        </w:tc>
        <w:tc>
          <w:tcPr>
            <w:tcW w:w="6095" w:type="dxa"/>
            <w:gridSpan w:val="5"/>
            <w:vAlign w:val="center"/>
          </w:tcPr>
          <w:p w14:paraId="357909B7" w14:textId="77777777" w:rsidR="008D5F24" w:rsidRPr="00F9037E" w:rsidRDefault="008D5F24" w:rsidP="006D0E9A">
            <w:pPr>
              <w:tabs>
                <w:tab w:val="left" w:pos="720"/>
              </w:tabs>
              <w:autoSpaceDE w:val="0"/>
              <w:autoSpaceDN w:val="0"/>
              <w:adjustRightInd w:val="0"/>
              <w:spacing w:before="40" w:after="40"/>
              <w:jc w:val="center"/>
              <w:rPr>
                <w:b/>
                <w:sz w:val="20"/>
              </w:rPr>
            </w:pPr>
            <w:r w:rsidRPr="00F9037E">
              <w:rPr>
                <w:b/>
                <w:sz w:val="20"/>
              </w:rPr>
              <w:t>Quantity of MB as reported by Parties (metric tonnes)</w:t>
            </w:r>
          </w:p>
        </w:tc>
      </w:tr>
      <w:tr w:rsidR="008D5F24" w:rsidRPr="00F9037E" w14:paraId="1EC59B8C" w14:textId="77777777" w:rsidTr="006D0E9A">
        <w:trPr>
          <w:cantSplit/>
        </w:trPr>
        <w:tc>
          <w:tcPr>
            <w:tcW w:w="1150" w:type="dxa"/>
            <w:vMerge/>
            <w:vAlign w:val="center"/>
          </w:tcPr>
          <w:p w14:paraId="023BB56C" w14:textId="77777777" w:rsidR="008D5F24" w:rsidRPr="00F9037E" w:rsidRDefault="008D5F24" w:rsidP="005417D0">
            <w:pPr>
              <w:spacing w:after="0"/>
              <w:rPr>
                <w:b/>
                <w:sz w:val="20"/>
              </w:rPr>
            </w:pPr>
          </w:p>
        </w:tc>
        <w:tc>
          <w:tcPr>
            <w:tcW w:w="1544" w:type="dxa"/>
            <w:vMerge/>
            <w:vAlign w:val="center"/>
          </w:tcPr>
          <w:p w14:paraId="47AB9C11" w14:textId="77777777" w:rsidR="008D5F24" w:rsidRPr="00F9037E" w:rsidRDefault="008D5F24" w:rsidP="006D0E9A">
            <w:pPr>
              <w:spacing w:before="40" w:after="40"/>
              <w:jc w:val="center"/>
              <w:rPr>
                <w:b/>
                <w:sz w:val="20"/>
              </w:rPr>
            </w:pPr>
          </w:p>
        </w:tc>
        <w:tc>
          <w:tcPr>
            <w:tcW w:w="976" w:type="dxa"/>
            <w:vAlign w:val="center"/>
          </w:tcPr>
          <w:p w14:paraId="1D8F1BFC" w14:textId="77777777" w:rsidR="008D5F24" w:rsidRPr="00F9037E" w:rsidRDefault="008D5F24" w:rsidP="006D0E9A">
            <w:pPr>
              <w:tabs>
                <w:tab w:val="left" w:pos="720"/>
              </w:tabs>
              <w:autoSpaceDE w:val="0"/>
              <w:autoSpaceDN w:val="0"/>
              <w:adjustRightInd w:val="0"/>
              <w:spacing w:before="40" w:after="40"/>
              <w:jc w:val="center"/>
              <w:rPr>
                <w:b/>
                <w:sz w:val="20"/>
              </w:rPr>
            </w:pPr>
            <w:r w:rsidRPr="00F9037E">
              <w:rPr>
                <w:b/>
                <w:sz w:val="20"/>
              </w:rPr>
              <w:t xml:space="preserve">Amount on hand at start of </w:t>
            </w:r>
            <w:r w:rsidR="007D265D" w:rsidRPr="00F9037E">
              <w:rPr>
                <w:b/>
                <w:sz w:val="20"/>
              </w:rPr>
              <w:t>201</w:t>
            </w:r>
            <w:r w:rsidR="009F2124" w:rsidRPr="00F9037E">
              <w:rPr>
                <w:b/>
                <w:sz w:val="20"/>
              </w:rPr>
              <w:t>5</w:t>
            </w:r>
          </w:p>
        </w:tc>
        <w:tc>
          <w:tcPr>
            <w:tcW w:w="1440" w:type="dxa"/>
            <w:vAlign w:val="center"/>
          </w:tcPr>
          <w:p w14:paraId="16315AEE" w14:textId="77777777" w:rsidR="008D5F24" w:rsidRPr="00F9037E" w:rsidRDefault="008D5F24" w:rsidP="006D0E9A">
            <w:pPr>
              <w:tabs>
                <w:tab w:val="left" w:pos="720"/>
              </w:tabs>
              <w:autoSpaceDE w:val="0"/>
              <w:autoSpaceDN w:val="0"/>
              <w:adjustRightInd w:val="0"/>
              <w:spacing w:before="40" w:after="40"/>
              <w:jc w:val="center"/>
              <w:rPr>
                <w:b/>
                <w:sz w:val="20"/>
              </w:rPr>
            </w:pPr>
            <w:r w:rsidRPr="00F9037E">
              <w:rPr>
                <w:b/>
                <w:sz w:val="20"/>
              </w:rPr>
              <w:t xml:space="preserve">Quantity acquired for CUEs in </w:t>
            </w:r>
            <w:r w:rsidR="00600BFB" w:rsidRPr="00F9037E">
              <w:rPr>
                <w:b/>
                <w:sz w:val="20"/>
              </w:rPr>
              <w:t>2015</w:t>
            </w:r>
            <w:r w:rsidRPr="00F9037E">
              <w:rPr>
                <w:b/>
                <w:sz w:val="20"/>
              </w:rPr>
              <w:t>(production +imports)</w:t>
            </w:r>
          </w:p>
        </w:tc>
        <w:tc>
          <w:tcPr>
            <w:tcW w:w="1260" w:type="dxa"/>
            <w:vAlign w:val="center"/>
          </w:tcPr>
          <w:p w14:paraId="7E7A21C4" w14:textId="77777777" w:rsidR="008D5F24" w:rsidRPr="00F9037E" w:rsidRDefault="008D5F24" w:rsidP="006D0E9A">
            <w:pPr>
              <w:tabs>
                <w:tab w:val="left" w:pos="720"/>
              </w:tabs>
              <w:autoSpaceDE w:val="0"/>
              <w:autoSpaceDN w:val="0"/>
              <w:adjustRightInd w:val="0"/>
              <w:spacing w:before="40" w:after="40"/>
              <w:jc w:val="center"/>
              <w:rPr>
                <w:b/>
                <w:sz w:val="20"/>
              </w:rPr>
            </w:pPr>
            <w:r w:rsidRPr="00F9037E">
              <w:rPr>
                <w:b/>
                <w:sz w:val="20"/>
              </w:rPr>
              <w:t xml:space="preserve">Amount available for use in </w:t>
            </w:r>
            <w:r w:rsidR="00600BFB" w:rsidRPr="00F9037E">
              <w:rPr>
                <w:b/>
                <w:sz w:val="20"/>
              </w:rPr>
              <w:t>2015</w:t>
            </w:r>
          </w:p>
        </w:tc>
        <w:tc>
          <w:tcPr>
            <w:tcW w:w="1260" w:type="dxa"/>
            <w:vAlign w:val="center"/>
          </w:tcPr>
          <w:p w14:paraId="2E6E5D15" w14:textId="77777777" w:rsidR="008D5F24" w:rsidRPr="00F9037E" w:rsidRDefault="008D5F24" w:rsidP="006D0E9A">
            <w:pPr>
              <w:tabs>
                <w:tab w:val="left" w:pos="720"/>
              </w:tabs>
              <w:autoSpaceDE w:val="0"/>
              <w:autoSpaceDN w:val="0"/>
              <w:adjustRightInd w:val="0"/>
              <w:spacing w:before="40" w:after="40"/>
              <w:jc w:val="center"/>
              <w:rPr>
                <w:b/>
                <w:sz w:val="20"/>
              </w:rPr>
            </w:pPr>
            <w:r w:rsidRPr="00F9037E">
              <w:rPr>
                <w:b/>
                <w:sz w:val="20"/>
              </w:rPr>
              <w:t xml:space="preserve">Quantity used for CUEs in </w:t>
            </w:r>
            <w:r w:rsidR="007D265D" w:rsidRPr="00F9037E">
              <w:rPr>
                <w:b/>
                <w:sz w:val="20"/>
              </w:rPr>
              <w:t>201</w:t>
            </w:r>
            <w:r w:rsidR="00D4297A" w:rsidRPr="00F9037E">
              <w:rPr>
                <w:b/>
                <w:sz w:val="20"/>
              </w:rPr>
              <w:t>5</w:t>
            </w:r>
          </w:p>
        </w:tc>
        <w:tc>
          <w:tcPr>
            <w:tcW w:w="1159" w:type="dxa"/>
            <w:vAlign w:val="center"/>
          </w:tcPr>
          <w:p w14:paraId="5AF5B24A" w14:textId="77777777" w:rsidR="008D5F24" w:rsidRPr="00F9037E" w:rsidRDefault="008D5F24" w:rsidP="006D0E9A">
            <w:pPr>
              <w:tabs>
                <w:tab w:val="left" w:pos="720"/>
              </w:tabs>
              <w:autoSpaceDE w:val="0"/>
              <w:autoSpaceDN w:val="0"/>
              <w:adjustRightInd w:val="0"/>
              <w:spacing w:before="40" w:after="40"/>
              <w:jc w:val="center"/>
              <w:rPr>
                <w:b/>
                <w:sz w:val="20"/>
              </w:rPr>
            </w:pPr>
            <w:r w:rsidRPr="00F9037E">
              <w:rPr>
                <w:b/>
                <w:sz w:val="20"/>
              </w:rPr>
              <w:t xml:space="preserve">Amount on hand at the end of </w:t>
            </w:r>
            <w:r w:rsidR="007D265D" w:rsidRPr="00F9037E">
              <w:rPr>
                <w:b/>
                <w:sz w:val="20"/>
              </w:rPr>
              <w:t>201</w:t>
            </w:r>
            <w:r w:rsidR="00D4297A" w:rsidRPr="00F9037E">
              <w:rPr>
                <w:b/>
                <w:sz w:val="20"/>
              </w:rPr>
              <w:t>5</w:t>
            </w:r>
          </w:p>
        </w:tc>
      </w:tr>
      <w:tr w:rsidR="008D5F24" w:rsidRPr="00F9037E" w14:paraId="402C0A8C" w14:textId="77777777" w:rsidTr="006D0E9A">
        <w:tc>
          <w:tcPr>
            <w:tcW w:w="1150" w:type="dxa"/>
            <w:vAlign w:val="center"/>
          </w:tcPr>
          <w:p w14:paraId="1DED1B75" w14:textId="77777777" w:rsidR="008D5F24" w:rsidRPr="00F9037E" w:rsidRDefault="008D5F24" w:rsidP="006D0E9A">
            <w:pPr>
              <w:tabs>
                <w:tab w:val="left" w:pos="720"/>
              </w:tabs>
              <w:spacing w:before="60" w:after="60"/>
              <w:rPr>
                <w:sz w:val="20"/>
              </w:rPr>
            </w:pPr>
            <w:r w:rsidRPr="00F9037E">
              <w:rPr>
                <w:sz w:val="20"/>
              </w:rPr>
              <w:t>Australia</w:t>
            </w:r>
          </w:p>
        </w:tc>
        <w:tc>
          <w:tcPr>
            <w:tcW w:w="1544" w:type="dxa"/>
            <w:vAlign w:val="center"/>
          </w:tcPr>
          <w:p w14:paraId="2C4329ED" w14:textId="77777777" w:rsidR="008D5F24" w:rsidRPr="00F9037E" w:rsidRDefault="00866195" w:rsidP="006D0E9A">
            <w:pPr>
              <w:tabs>
                <w:tab w:val="left" w:pos="720"/>
              </w:tabs>
              <w:spacing w:before="60" w:after="60"/>
              <w:jc w:val="center"/>
              <w:rPr>
                <w:color w:val="auto"/>
                <w:sz w:val="20"/>
              </w:rPr>
            </w:pPr>
            <w:r w:rsidRPr="00F9037E">
              <w:rPr>
                <w:color w:val="auto"/>
                <w:sz w:val="20"/>
              </w:rPr>
              <w:t>29.76</w:t>
            </w:r>
          </w:p>
        </w:tc>
        <w:tc>
          <w:tcPr>
            <w:tcW w:w="976" w:type="dxa"/>
            <w:vAlign w:val="center"/>
          </w:tcPr>
          <w:p w14:paraId="27AC3B72" w14:textId="77777777" w:rsidR="008D5F24" w:rsidRPr="00F9037E" w:rsidRDefault="00866195" w:rsidP="006D0E9A">
            <w:pPr>
              <w:tabs>
                <w:tab w:val="left" w:pos="720"/>
              </w:tabs>
              <w:spacing w:before="60" w:after="60"/>
              <w:jc w:val="center"/>
              <w:rPr>
                <w:color w:val="auto"/>
                <w:sz w:val="20"/>
              </w:rPr>
            </w:pPr>
            <w:r w:rsidRPr="00F9037E">
              <w:rPr>
                <w:color w:val="auto"/>
                <w:sz w:val="20"/>
              </w:rPr>
              <w:t>0</w:t>
            </w:r>
          </w:p>
        </w:tc>
        <w:tc>
          <w:tcPr>
            <w:tcW w:w="1440" w:type="dxa"/>
            <w:vAlign w:val="center"/>
          </w:tcPr>
          <w:p w14:paraId="15714FCB" w14:textId="77777777" w:rsidR="008D5F24" w:rsidRPr="00F9037E" w:rsidRDefault="00866195" w:rsidP="006D0E9A">
            <w:pPr>
              <w:tabs>
                <w:tab w:val="left" w:pos="720"/>
              </w:tabs>
              <w:spacing w:before="60" w:after="60"/>
              <w:jc w:val="center"/>
              <w:rPr>
                <w:color w:val="auto"/>
                <w:sz w:val="20"/>
              </w:rPr>
            </w:pPr>
            <w:r w:rsidRPr="00F9037E">
              <w:rPr>
                <w:color w:val="auto"/>
                <w:sz w:val="20"/>
              </w:rPr>
              <w:t>29.75</w:t>
            </w:r>
          </w:p>
        </w:tc>
        <w:tc>
          <w:tcPr>
            <w:tcW w:w="1260" w:type="dxa"/>
            <w:vAlign w:val="center"/>
          </w:tcPr>
          <w:p w14:paraId="370EEE3F" w14:textId="77777777" w:rsidR="008D5F24" w:rsidRPr="00F9037E" w:rsidRDefault="00866195" w:rsidP="006D0E9A">
            <w:pPr>
              <w:tabs>
                <w:tab w:val="left" w:pos="720"/>
              </w:tabs>
              <w:spacing w:before="60" w:after="60"/>
              <w:jc w:val="center"/>
              <w:rPr>
                <w:color w:val="auto"/>
                <w:sz w:val="20"/>
              </w:rPr>
            </w:pPr>
            <w:r w:rsidRPr="00F9037E">
              <w:rPr>
                <w:color w:val="auto"/>
                <w:sz w:val="20"/>
              </w:rPr>
              <w:t>29.75</w:t>
            </w:r>
          </w:p>
        </w:tc>
        <w:tc>
          <w:tcPr>
            <w:tcW w:w="1260" w:type="dxa"/>
            <w:vAlign w:val="center"/>
          </w:tcPr>
          <w:p w14:paraId="52D6B603" w14:textId="77777777" w:rsidR="008D5F24" w:rsidRPr="00F9037E" w:rsidRDefault="00866195" w:rsidP="006D0E9A">
            <w:pPr>
              <w:tabs>
                <w:tab w:val="left" w:pos="720"/>
              </w:tabs>
              <w:spacing w:before="60" w:after="60"/>
              <w:jc w:val="center"/>
              <w:rPr>
                <w:color w:val="auto"/>
                <w:sz w:val="20"/>
              </w:rPr>
            </w:pPr>
            <w:r w:rsidRPr="00F9037E">
              <w:rPr>
                <w:color w:val="auto"/>
                <w:sz w:val="20"/>
              </w:rPr>
              <w:t>29.75</w:t>
            </w:r>
          </w:p>
        </w:tc>
        <w:tc>
          <w:tcPr>
            <w:tcW w:w="1159" w:type="dxa"/>
            <w:vAlign w:val="center"/>
          </w:tcPr>
          <w:p w14:paraId="121163BD" w14:textId="77777777" w:rsidR="008D5F24" w:rsidRPr="00F9037E" w:rsidRDefault="00866195" w:rsidP="006D0E9A">
            <w:pPr>
              <w:tabs>
                <w:tab w:val="left" w:pos="720"/>
              </w:tabs>
              <w:spacing w:before="60" w:after="60"/>
              <w:jc w:val="center"/>
              <w:rPr>
                <w:color w:val="auto"/>
                <w:sz w:val="20"/>
              </w:rPr>
            </w:pPr>
            <w:r w:rsidRPr="00F9037E">
              <w:rPr>
                <w:color w:val="auto"/>
                <w:sz w:val="20"/>
              </w:rPr>
              <w:t>0</w:t>
            </w:r>
          </w:p>
        </w:tc>
      </w:tr>
      <w:tr w:rsidR="008D5F24" w:rsidRPr="00F9037E" w14:paraId="2E6A2D40" w14:textId="77777777" w:rsidTr="006D0E9A">
        <w:tc>
          <w:tcPr>
            <w:tcW w:w="1150" w:type="dxa"/>
            <w:vAlign w:val="center"/>
          </w:tcPr>
          <w:p w14:paraId="749D823C" w14:textId="77777777" w:rsidR="008D5F24" w:rsidRPr="00F9037E" w:rsidRDefault="008D5F24" w:rsidP="006D0E9A">
            <w:pPr>
              <w:tabs>
                <w:tab w:val="left" w:pos="720"/>
              </w:tabs>
              <w:spacing w:before="60" w:after="60"/>
              <w:rPr>
                <w:sz w:val="20"/>
              </w:rPr>
            </w:pPr>
            <w:r w:rsidRPr="00F9037E">
              <w:rPr>
                <w:sz w:val="20"/>
              </w:rPr>
              <w:t>Canada</w:t>
            </w:r>
          </w:p>
        </w:tc>
        <w:tc>
          <w:tcPr>
            <w:tcW w:w="1544" w:type="dxa"/>
            <w:vAlign w:val="center"/>
          </w:tcPr>
          <w:p w14:paraId="599A2EC8" w14:textId="77777777" w:rsidR="008D5F24" w:rsidRPr="00F9037E" w:rsidRDefault="00133A78" w:rsidP="006D0E9A">
            <w:pPr>
              <w:tabs>
                <w:tab w:val="left" w:pos="720"/>
              </w:tabs>
              <w:spacing w:before="60" w:after="60"/>
              <w:jc w:val="center"/>
              <w:rPr>
                <w:color w:val="auto"/>
                <w:sz w:val="20"/>
              </w:rPr>
            </w:pPr>
            <w:r w:rsidRPr="00F9037E">
              <w:rPr>
                <w:color w:val="auto"/>
                <w:sz w:val="20"/>
              </w:rPr>
              <w:t>5.261</w:t>
            </w:r>
          </w:p>
        </w:tc>
        <w:tc>
          <w:tcPr>
            <w:tcW w:w="976" w:type="dxa"/>
            <w:vAlign w:val="center"/>
          </w:tcPr>
          <w:p w14:paraId="0B019995" w14:textId="77777777" w:rsidR="008D5F24" w:rsidRPr="00F9037E" w:rsidRDefault="00E4642F" w:rsidP="006D0E9A">
            <w:pPr>
              <w:tabs>
                <w:tab w:val="left" w:pos="720"/>
              </w:tabs>
              <w:spacing w:before="60" w:after="60"/>
              <w:jc w:val="center"/>
              <w:rPr>
                <w:color w:val="auto"/>
                <w:sz w:val="20"/>
              </w:rPr>
            </w:pPr>
            <w:r w:rsidRPr="00F9037E">
              <w:rPr>
                <w:color w:val="auto"/>
                <w:sz w:val="20"/>
              </w:rPr>
              <w:t>1.471</w:t>
            </w:r>
          </w:p>
        </w:tc>
        <w:tc>
          <w:tcPr>
            <w:tcW w:w="1440" w:type="dxa"/>
            <w:vAlign w:val="center"/>
          </w:tcPr>
          <w:p w14:paraId="576DA452" w14:textId="77777777" w:rsidR="008D5F24" w:rsidRPr="00F9037E" w:rsidRDefault="00E4642F" w:rsidP="006D0E9A">
            <w:pPr>
              <w:tabs>
                <w:tab w:val="left" w:pos="720"/>
              </w:tabs>
              <w:spacing w:before="60" w:after="60"/>
              <w:jc w:val="center"/>
              <w:rPr>
                <w:color w:val="auto"/>
                <w:sz w:val="20"/>
              </w:rPr>
            </w:pPr>
            <w:r w:rsidRPr="00F9037E">
              <w:rPr>
                <w:color w:val="auto"/>
                <w:sz w:val="20"/>
              </w:rPr>
              <w:t>4.194</w:t>
            </w:r>
          </w:p>
        </w:tc>
        <w:tc>
          <w:tcPr>
            <w:tcW w:w="1260" w:type="dxa"/>
            <w:vAlign w:val="center"/>
          </w:tcPr>
          <w:p w14:paraId="2445CAA9" w14:textId="77777777" w:rsidR="008D5F24" w:rsidRPr="00F9037E" w:rsidRDefault="00133A78" w:rsidP="006D0E9A">
            <w:pPr>
              <w:tabs>
                <w:tab w:val="left" w:pos="720"/>
              </w:tabs>
              <w:spacing w:before="60" w:after="60"/>
              <w:jc w:val="center"/>
              <w:rPr>
                <w:color w:val="auto"/>
                <w:sz w:val="20"/>
              </w:rPr>
            </w:pPr>
            <w:r w:rsidRPr="00F9037E">
              <w:rPr>
                <w:color w:val="auto"/>
                <w:sz w:val="20"/>
              </w:rPr>
              <w:t>5.665</w:t>
            </w:r>
          </w:p>
        </w:tc>
        <w:tc>
          <w:tcPr>
            <w:tcW w:w="1260" w:type="dxa"/>
            <w:vAlign w:val="center"/>
          </w:tcPr>
          <w:p w14:paraId="247C8C50" w14:textId="77777777" w:rsidR="008D5F24" w:rsidRPr="00F9037E" w:rsidRDefault="00E4642F" w:rsidP="006D0E9A">
            <w:pPr>
              <w:tabs>
                <w:tab w:val="left" w:pos="720"/>
              </w:tabs>
              <w:spacing w:before="60" w:after="60"/>
              <w:jc w:val="center"/>
              <w:rPr>
                <w:color w:val="auto"/>
                <w:sz w:val="20"/>
              </w:rPr>
            </w:pPr>
            <w:r w:rsidRPr="00F9037E">
              <w:rPr>
                <w:color w:val="auto"/>
                <w:sz w:val="20"/>
              </w:rPr>
              <w:t>4.316</w:t>
            </w:r>
          </w:p>
        </w:tc>
        <w:tc>
          <w:tcPr>
            <w:tcW w:w="1159" w:type="dxa"/>
            <w:vAlign w:val="center"/>
          </w:tcPr>
          <w:p w14:paraId="591FA783" w14:textId="77777777" w:rsidR="008D5F24" w:rsidRPr="00F9037E" w:rsidRDefault="00E4642F" w:rsidP="006D0E9A">
            <w:pPr>
              <w:tabs>
                <w:tab w:val="left" w:pos="720"/>
              </w:tabs>
              <w:spacing w:before="60" w:after="60"/>
              <w:jc w:val="center"/>
              <w:rPr>
                <w:color w:val="auto"/>
                <w:sz w:val="20"/>
              </w:rPr>
            </w:pPr>
            <w:r w:rsidRPr="00F9037E">
              <w:rPr>
                <w:color w:val="auto"/>
                <w:sz w:val="20"/>
              </w:rPr>
              <w:t>1.349</w:t>
            </w:r>
          </w:p>
        </w:tc>
      </w:tr>
      <w:tr w:rsidR="00CD394C" w:rsidRPr="00F9037E" w14:paraId="067D6F36" w14:textId="77777777" w:rsidTr="006D0E9A">
        <w:tc>
          <w:tcPr>
            <w:tcW w:w="1150" w:type="dxa"/>
            <w:vAlign w:val="center"/>
          </w:tcPr>
          <w:p w14:paraId="3A56AFDD" w14:textId="77777777" w:rsidR="00CD394C" w:rsidRPr="00F9037E" w:rsidRDefault="00CD394C" w:rsidP="006D0E9A">
            <w:pPr>
              <w:tabs>
                <w:tab w:val="left" w:pos="720"/>
              </w:tabs>
              <w:spacing w:before="60" w:after="60"/>
              <w:rPr>
                <w:color w:val="auto"/>
                <w:sz w:val="20"/>
              </w:rPr>
            </w:pPr>
            <w:r w:rsidRPr="00F9037E">
              <w:rPr>
                <w:color w:val="auto"/>
                <w:sz w:val="20"/>
              </w:rPr>
              <w:t>USA</w:t>
            </w:r>
          </w:p>
        </w:tc>
        <w:tc>
          <w:tcPr>
            <w:tcW w:w="1544" w:type="dxa"/>
            <w:vAlign w:val="center"/>
          </w:tcPr>
          <w:p w14:paraId="2AA5934B" w14:textId="3D886E27" w:rsidR="00CD394C" w:rsidRPr="00F9037E" w:rsidRDefault="008457F3" w:rsidP="006D0E9A">
            <w:pPr>
              <w:tabs>
                <w:tab w:val="left" w:pos="720"/>
              </w:tabs>
              <w:spacing w:before="60" w:after="60"/>
              <w:jc w:val="center"/>
              <w:rPr>
                <w:color w:val="auto"/>
                <w:sz w:val="20"/>
              </w:rPr>
            </w:pPr>
            <w:r>
              <w:rPr>
                <w:color w:val="auto"/>
                <w:sz w:val="20"/>
              </w:rPr>
              <w:t>376.90</w:t>
            </w:r>
          </w:p>
        </w:tc>
        <w:tc>
          <w:tcPr>
            <w:tcW w:w="976" w:type="dxa"/>
            <w:vAlign w:val="center"/>
          </w:tcPr>
          <w:p w14:paraId="2D106E34" w14:textId="0C345064" w:rsidR="00CD394C" w:rsidRPr="00F9037E" w:rsidRDefault="008457F3" w:rsidP="006D0E9A">
            <w:pPr>
              <w:tabs>
                <w:tab w:val="left" w:pos="720"/>
              </w:tabs>
              <w:spacing w:before="60" w:after="60"/>
              <w:jc w:val="center"/>
              <w:rPr>
                <w:color w:val="auto"/>
                <w:sz w:val="20"/>
              </w:rPr>
            </w:pPr>
            <w:r>
              <w:rPr>
                <w:color w:val="auto"/>
                <w:sz w:val="20"/>
              </w:rPr>
              <w:t>NR</w:t>
            </w:r>
          </w:p>
        </w:tc>
        <w:tc>
          <w:tcPr>
            <w:tcW w:w="1440" w:type="dxa"/>
            <w:vAlign w:val="center"/>
          </w:tcPr>
          <w:p w14:paraId="6A607F14" w14:textId="77777777" w:rsidR="00CD394C" w:rsidRPr="00F9037E" w:rsidRDefault="00CD394C" w:rsidP="006D0E9A">
            <w:pPr>
              <w:tabs>
                <w:tab w:val="left" w:pos="720"/>
              </w:tabs>
              <w:spacing w:before="60" w:after="60"/>
              <w:jc w:val="center"/>
              <w:rPr>
                <w:color w:val="auto"/>
                <w:sz w:val="20"/>
              </w:rPr>
            </w:pPr>
          </w:p>
        </w:tc>
        <w:tc>
          <w:tcPr>
            <w:tcW w:w="1260" w:type="dxa"/>
            <w:vAlign w:val="center"/>
          </w:tcPr>
          <w:p w14:paraId="12F81954" w14:textId="77777777" w:rsidR="00CD394C" w:rsidRPr="00F9037E" w:rsidRDefault="00CD394C" w:rsidP="006D0E9A">
            <w:pPr>
              <w:tabs>
                <w:tab w:val="left" w:pos="720"/>
              </w:tabs>
              <w:spacing w:before="60" w:after="60"/>
              <w:jc w:val="center"/>
              <w:rPr>
                <w:color w:val="auto"/>
                <w:sz w:val="20"/>
              </w:rPr>
            </w:pPr>
          </w:p>
        </w:tc>
        <w:tc>
          <w:tcPr>
            <w:tcW w:w="1260" w:type="dxa"/>
            <w:vAlign w:val="center"/>
          </w:tcPr>
          <w:p w14:paraId="52F0770B" w14:textId="77777777" w:rsidR="00CD394C" w:rsidRPr="00F9037E" w:rsidRDefault="00CD394C" w:rsidP="006D0E9A">
            <w:pPr>
              <w:tabs>
                <w:tab w:val="left" w:pos="720"/>
              </w:tabs>
              <w:spacing w:before="60" w:after="60"/>
              <w:jc w:val="center"/>
              <w:rPr>
                <w:color w:val="auto"/>
                <w:sz w:val="20"/>
              </w:rPr>
            </w:pPr>
          </w:p>
        </w:tc>
        <w:tc>
          <w:tcPr>
            <w:tcW w:w="1159" w:type="dxa"/>
            <w:vAlign w:val="center"/>
          </w:tcPr>
          <w:p w14:paraId="6E13BE6E" w14:textId="77777777" w:rsidR="00CD394C" w:rsidRPr="00F9037E" w:rsidRDefault="00CD394C" w:rsidP="006D0E9A">
            <w:pPr>
              <w:tabs>
                <w:tab w:val="left" w:pos="720"/>
              </w:tabs>
              <w:spacing w:before="60" w:after="60"/>
              <w:jc w:val="center"/>
              <w:rPr>
                <w:color w:val="auto"/>
                <w:sz w:val="20"/>
              </w:rPr>
            </w:pPr>
          </w:p>
        </w:tc>
      </w:tr>
      <w:tr w:rsidR="00C70CB5" w:rsidRPr="00F9037E" w14:paraId="41B74FD6" w14:textId="77777777" w:rsidTr="006D0E9A">
        <w:tc>
          <w:tcPr>
            <w:tcW w:w="1150" w:type="dxa"/>
            <w:vAlign w:val="center"/>
          </w:tcPr>
          <w:p w14:paraId="152017CD" w14:textId="77777777" w:rsidR="00C70CB5" w:rsidRPr="00F9037E" w:rsidRDefault="00C70CB5" w:rsidP="006D0E9A">
            <w:pPr>
              <w:tabs>
                <w:tab w:val="left" w:pos="720"/>
              </w:tabs>
              <w:spacing w:before="60" w:after="60"/>
              <w:rPr>
                <w:color w:val="auto"/>
                <w:sz w:val="20"/>
              </w:rPr>
            </w:pPr>
            <w:r w:rsidRPr="00F9037E">
              <w:rPr>
                <w:color w:val="auto"/>
                <w:sz w:val="20"/>
              </w:rPr>
              <w:t>Argentina</w:t>
            </w:r>
          </w:p>
        </w:tc>
        <w:tc>
          <w:tcPr>
            <w:tcW w:w="1544" w:type="dxa"/>
            <w:vAlign w:val="center"/>
          </w:tcPr>
          <w:p w14:paraId="0B3DDB42" w14:textId="77777777" w:rsidR="00C70CB5" w:rsidRPr="00F9037E" w:rsidRDefault="00031890" w:rsidP="006D0E9A">
            <w:pPr>
              <w:tabs>
                <w:tab w:val="left" w:pos="720"/>
              </w:tabs>
              <w:spacing w:before="60" w:after="60"/>
              <w:jc w:val="center"/>
              <w:rPr>
                <w:color w:val="auto"/>
                <w:sz w:val="20"/>
              </w:rPr>
            </w:pPr>
            <w:r w:rsidRPr="00F9037E">
              <w:rPr>
                <w:color w:val="auto"/>
                <w:sz w:val="20"/>
              </w:rPr>
              <w:t>134.3</w:t>
            </w:r>
          </w:p>
        </w:tc>
        <w:tc>
          <w:tcPr>
            <w:tcW w:w="976" w:type="dxa"/>
            <w:vAlign w:val="center"/>
          </w:tcPr>
          <w:p w14:paraId="5F1126E6" w14:textId="77777777" w:rsidR="00C70CB5" w:rsidRPr="00F9037E" w:rsidRDefault="00031890" w:rsidP="006D0E9A">
            <w:pPr>
              <w:tabs>
                <w:tab w:val="left" w:pos="720"/>
              </w:tabs>
              <w:spacing w:before="60" w:after="60"/>
              <w:jc w:val="center"/>
              <w:rPr>
                <w:color w:val="auto"/>
                <w:sz w:val="20"/>
              </w:rPr>
            </w:pPr>
            <w:r w:rsidRPr="00F9037E">
              <w:rPr>
                <w:color w:val="auto"/>
                <w:sz w:val="20"/>
              </w:rPr>
              <w:t>0</w:t>
            </w:r>
          </w:p>
        </w:tc>
        <w:tc>
          <w:tcPr>
            <w:tcW w:w="1440" w:type="dxa"/>
            <w:vAlign w:val="center"/>
          </w:tcPr>
          <w:p w14:paraId="300E410A" w14:textId="77777777" w:rsidR="00C70CB5" w:rsidRPr="00F9037E" w:rsidRDefault="004C4DA7" w:rsidP="006D0E9A">
            <w:pPr>
              <w:tabs>
                <w:tab w:val="left" w:pos="720"/>
              </w:tabs>
              <w:spacing w:before="60" w:after="60"/>
              <w:jc w:val="center"/>
              <w:rPr>
                <w:color w:val="auto"/>
                <w:sz w:val="20"/>
              </w:rPr>
            </w:pPr>
            <w:r w:rsidRPr="00F9037E">
              <w:rPr>
                <w:color w:val="auto"/>
                <w:sz w:val="20"/>
              </w:rPr>
              <w:t>134.</w:t>
            </w:r>
            <w:r w:rsidR="00031890" w:rsidRPr="00F9037E">
              <w:rPr>
                <w:color w:val="auto"/>
                <w:sz w:val="20"/>
              </w:rPr>
              <w:t>15</w:t>
            </w:r>
          </w:p>
        </w:tc>
        <w:tc>
          <w:tcPr>
            <w:tcW w:w="1260" w:type="dxa"/>
            <w:vAlign w:val="center"/>
          </w:tcPr>
          <w:p w14:paraId="2DE1DD4C" w14:textId="77777777" w:rsidR="00C70CB5" w:rsidRPr="00F9037E" w:rsidRDefault="00031890" w:rsidP="006D0E9A">
            <w:pPr>
              <w:tabs>
                <w:tab w:val="left" w:pos="720"/>
              </w:tabs>
              <w:spacing w:before="60" w:after="60"/>
              <w:jc w:val="center"/>
              <w:rPr>
                <w:color w:val="auto"/>
                <w:sz w:val="20"/>
              </w:rPr>
            </w:pPr>
            <w:r w:rsidRPr="00F9037E">
              <w:rPr>
                <w:color w:val="auto"/>
                <w:sz w:val="20"/>
              </w:rPr>
              <w:t>134.15</w:t>
            </w:r>
          </w:p>
        </w:tc>
        <w:tc>
          <w:tcPr>
            <w:tcW w:w="1260" w:type="dxa"/>
            <w:vAlign w:val="center"/>
          </w:tcPr>
          <w:p w14:paraId="4CF37D15" w14:textId="77777777" w:rsidR="00C70CB5" w:rsidRPr="00F9037E" w:rsidRDefault="00031890" w:rsidP="006D0E9A">
            <w:pPr>
              <w:tabs>
                <w:tab w:val="left" w:pos="720"/>
              </w:tabs>
              <w:spacing w:before="60" w:after="60"/>
              <w:jc w:val="center"/>
              <w:rPr>
                <w:color w:val="auto"/>
                <w:sz w:val="20"/>
              </w:rPr>
            </w:pPr>
            <w:r w:rsidRPr="00F9037E">
              <w:rPr>
                <w:color w:val="auto"/>
                <w:sz w:val="20"/>
              </w:rPr>
              <w:t>134.15</w:t>
            </w:r>
          </w:p>
        </w:tc>
        <w:tc>
          <w:tcPr>
            <w:tcW w:w="1159" w:type="dxa"/>
            <w:vAlign w:val="center"/>
          </w:tcPr>
          <w:p w14:paraId="34126B9E" w14:textId="77777777" w:rsidR="00C70CB5" w:rsidRPr="00F9037E" w:rsidRDefault="00031890" w:rsidP="006D0E9A">
            <w:pPr>
              <w:tabs>
                <w:tab w:val="left" w:pos="720"/>
              </w:tabs>
              <w:spacing w:before="60" w:after="60"/>
              <w:jc w:val="center"/>
              <w:rPr>
                <w:color w:val="auto"/>
                <w:sz w:val="20"/>
              </w:rPr>
            </w:pPr>
            <w:r w:rsidRPr="00F9037E">
              <w:rPr>
                <w:color w:val="auto"/>
                <w:sz w:val="20"/>
              </w:rPr>
              <w:t>0</w:t>
            </w:r>
          </w:p>
        </w:tc>
      </w:tr>
      <w:tr w:rsidR="00C70CB5" w:rsidRPr="00F9037E" w14:paraId="5A05D932" w14:textId="77777777" w:rsidTr="006D0E9A">
        <w:tc>
          <w:tcPr>
            <w:tcW w:w="1150" w:type="dxa"/>
            <w:vAlign w:val="center"/>
          </w:tcPr>
          <w:p w14:paraId="307E8A80" w14:textId="77777777" w:rsidR="00C70CB5" w:rsidRPr="00F9037E" w:rsidRDefault="00C70CB5" w:rsidP="006D0E9A">
            <w:pPr>
              <w:tabs>
                <w:tab w:val="left" w:pos="720"/>
              </w:tabs>
              <w:spacing w:before="60" w:after="60"/>
              <w:rPr>
                <w:color w:val="auto"/>
                <w:sz w:val="20"/>
              </w:rPr>
            </w:pPr>
            <w:r w:rsidRPr="00F9037E">
              <w:rPr>
                <w:color w:val="auto"/>
                <w:sz w:val="20"/>
              </w:rPr>
              <w:t>China</w:t>
            </w:r>
          </w:p>
        </w:tc>
        <w:tc>
          <w:tcPr>
            <w:tcW w:w="1544" w:type="dxa"/>
            <w:vAlign w:val="center"/>
          </w:tcPr>
          <w:p w14:paraId="01942E77" w14:textId="77777777" w:rsidR="00C70CB5" w:rsidRPr="00F9037E" w:rsidRDefault="00E753CC" w:rsidP="006D0E9A">
            <w:pPr>
              <w:tabs>
                <w:tab w:val="left" w:pos="720"/>
              </w:tabs>
              <w:spacing w:before="60" w:after="60"/>
              <w:jc w:val="center"/>
              <w:rPr>
                <w:color w:val="auto"/>
                <w:sz w:val="20"/>
              </w:rPr>
            </w:pPr>
            <w:r w:rsidRPr="00F9037E">
              <w:rPr>
                <w:color w:val="auto"/>
                <w:sz w:val="20"/>
              </w:rPr>
              <w:t>114.0</w:t>
            </w:r>
          </w:p>
        </w:tc>
        <w:tc>
          <w:tcPr>
            <w:tcW w:w="976" w:type="dxa"/>
            <w:vAlign w:val="center"/>
          </w:tcPr>
          <w:p w14:paraId="2CC7362A" w14:textId="77777777" w:rsidR="00C70CB5" w:rsidRPr="00F9037E" w:rsidRDefault="00E753CC" w:rsidP="006D0E9A">
            <w:pPr>
              <w:tabs>
                <w:tab w:val="left" w:pos="720"/>
              </w:tabs>
              <w:spacing w:before="60" w:after="60"/>
              <w:jc w:val="center"/>
              <w:rPr>
                <w:color w:val="auto"/>
                <w:sz w:val="20"/>
              </w:rPr>
            </w:pPr>
            <w:r w:rsidRPr="00F9037E">
              <w:rPr>
                <w:color w:val="auto"/>
                <w:sz w:val="20"/>
              </w:rPr>
              <w:t>0</w:t>
            </w:r>
          </w:p>
        </w:tc>
        <w:tc>
          <w:tcPr>
            <w:tcW w:w="1440" w:type="dxa"/>
            <w:vAlign w:val="center"/>
          </w:tcPr>
          <w:p w14:paraId="7175C62B" w14:textId="77777777" w:rsidR="00C70CB5" w:rsidRPr="00F9037E" w:rsidRDefault="00E753CC" w:rsidP="006D0E9A">
            <w:pPr>
              <w:tabs>
                <w:tab w:val="left" w:pos="720"/>
              </w:tabs>
              <w:spacing w:before="60" w:after="60"/>
              <w:jc w:val="center"/>
              <w:rPr>
                <w:color w:val="auto"/>
                <w:sz w:val="20"/>
              </w:rPr>
            </w:pPr>
            <w:r w:rsidRPr="00F9037E">
              <w:rPr>
                <w:color w:val="auto"/>
                <w:sz w:val="20"/>
              </w:rPr>
              <w:t>114.0</w:t>
            </w:r>
          </w:p>
        </w:tc>
        <w:tc>
          <w:tcPr>
            <w:tcW w:w="1260" w:type="dxa"/>
            <w:vAlign w:val="center"/>
          </w:tcPr>
          <w:p w14:paraId="4E404DF4" w14:textId="77777777" w:rsidR="00C70CB5" w:rsidRPr="00F9037E" w:rsidRDefault="00E753CC" w:rsidP="006D0E9A">
            <w:pPr>
              <w:tabs>
                <w:tab w:val="left" w:pos="720"/>
              </w:tabs>
              <w:spacing w:before="60" w:after="60"/>
              <w:jc w:val="center"/>
              <w:rPr>
                <w:color w:val="auto"/>
                <w:sz w:val="20"/>
              </w:rPr>
            </w:pPr>
            <w:r w:rsidRPr="00F9037E">
              <w:rPr>
                <w:color w:val="auto"/>
                <w:sz w:val="20"/>
              </w:rPr>
              <w:t>114.0</w:t>
            </w:r>
          </w:p>
        </w:tc>
        <w:tc>
          <w:tcPr>
            <w:tcW w:w="1260" w:type="dxa"/>
            <w:vAlign w:val="center"/>
          </w:tcPr>
          <w:p w14:paraId="13FB6249" w14:textId="77777777" w:rsidR="00C70CB5" w:rsidRPr="00F9037E" w:rsidRDefault="00E753CC" w:rsidP="006D0E9A">
            <w:pPr>
              <w:tabs>
                <w:tab w:val="left" w:pos="720"/>
              </w:tabs>
              <w:spacing w:before="60" w:after="60"/>
              <w:jc w:val="center"/>
              <w:rPr>
                <w:color w:val="auto"/>
                <w:sz w:val="20"/>
              </w:rPr>
            </w:pPr>
            <w:r w:rsidRPr="00F9037E">
              <w:rPr>
                <w:color w:val="auto"/>
                <w:sz w:val="20"/>
              </w:rPr>
              <w:t>114.0</w:t>
            </w:r>
          </w:p>
        </w:tc>
        <w:tc>
          <w:tcPr>
            <w:tcW w:w="1159" w:type="dxa"/>
            <w:vAlign w:val="center"/>
          </w:tcPr>
          <w:p w14:paraId="2DF6396D" w14:textId="77777777" w:rsidR="00C70CB5" w:rsidRPr="00F9037E" w:rsidRDefault="00E753CC" w:rsidP="006D0E9A">
            <w:pPr>
              <w:tabs>
                <w:tab w:val="left" w:pos="720"/>
              </w:tabs>
              <w:spacing w:before="60" w:after="60"/>
              <w:jc w:val="center"/>
              <w:rPr>
                <w:color w:val="auto"/>
                <w:sz w:val="20"/>
              </w:rPr>
            </w:pPr>
            <w:r w:rsidRPr="00F9037E">
              <w:rPr>
                <w:color w:val="auto"/>
                <w:sz w:val="20"/>
              </w:rPr>
              <w:t>0</w:t>
            </w:r>
          </w:p>
        </w:tc>
      </w:tr>
      <w:tr w:rsidR="00E753CC" w:rsidRPr="00F9037E" w14:paraId="38FF4930" w14:textId="77777777" w:rsidTr="006D0E9A">
        <w:tc>
          <w:tcPr>
            <w:tcW w:w="1150" w:type="dxa"/>
            <w:vAlign w:val="center"/>
          </w:tcPr>
          <w:p w14:paraId="2D6A41C2" w14:textId="77777777" w:rsidR="00E753CC" w:rsidRPr="00F9037E" w:rsidRDefault="00E753CC" w:rsidP="006D0E9A">
            <w:pPr>
              <w:tabs>
                <w:tab w:val="left" w:pos="720"/>
              </w:tabs>
              <w:spacing w:before="60" w:after="60"/>
              <w:rPr>
                <w:color w:val="auto"/>
                <w:sz w:val="20"/>
              </w:rPr>
            </w:pPr>
            <w:r w:rsidRPr="00F9037E">
              <w:rPr>
                <w:color w:val="auto"/>
                <w:sz w:val="20"/>
              </w:rPr>
              <w:t>Mexico</w:t>
            </w:r>
          </w:p>
        </w:tc>
        <w:tc>
          <w:tcPr>
            <w:tcW w:w="1544" w:type="dxa"/>
            <w:vAlign w:val="center"/>
          </w:tcPr>
          <w:p w14:paraId="60698D36" w14:textId="77777777" w:rsidR="00E753CC" w:rsidRPr="00F9037E" w:rsidRDefault="003C212E" w:rsidP="006D0E9A">
            <w:pPr>
              <w:tabs>
                <w:tab w:val="left" w:pos="720"/>
              </w:tabs>
              <w:spacing w:before="60" w:after="60"/>
              <w:jc w:val="center"/>
              <w:rPr>
                <w:color w:val="auto"/>
                <w:sz w:val="20"/>
              </w:rPr>
            </w:pPr>
            <w:r w:rsidRPr="00F9037E">
              <w:rPr>
                <w:color w:val="auto"/>
                <w:sz w:val="20"/>
              </w:rPr>
              <w:t>84.957</w:t>
            </w:r>
          </w:p>
        </w:tc>
        <w:tc>
          <w:tcPr>
            <w:tcW w:w="976" w:type="dxa"/>
            <w:vAlign w:val="center"/>
          </w:tcPr>
          <w:p w14:paraId="4C5B335F" w14:textId="77777777" w:rsidR="00E753CC" w:rsidRPr="00F9037E" w:rsidRDefault="00873CCA" w:rsidP="006D0E9A">
            <w:pPr>
              <w:tabs>
                <w:tab w:val="left" w:pos="720"/>
              </w:tabs>
              <w:spacing w:before="60" w:after="60"/>
              <w:jc w:val="center"/>
              <w:rPr>
                <w:color w:val="auto"/>
                <w:sz w:val="20"/>
              </w:rPr>
            </w:pPr>
            <w:r w:rsidRPr="00F9037E">
              <w:rPr>
                <w:color w:val="auto"/>
                <w:sz w:val="20"/>
              </w:rPr>
              <w:t>NR</w:t>
            </w:r>
          </w:p>
        </w:tc>
        <w:tc>
          <w:tcPr>
            <w:tcW w:w="1440" w:type="dxa"/>
            <w:vAlign w:val="center"/>
          </w:tcPr>
          <w:p w14:paraId="61CEACC9" w14:textId="77777777" w:rsidR="00E753CC" w:rsidRPr="00F9037E" w:rsidRDefault="003C212E" w:rsidP="006D0E9A">
            <w:pPr>
              <w:tabs>
                <w:tab w:val="left" w:pos="720"/>
              </w:tabs>
              <w:spacing w:before="60" w:after="60"/>
              <w:jc w:val="center"/>
              <w:rPr>
                <w:color w:val="auto"/>
                <w:sz w:val="20"/>
              </w:rPr>
            </w:pPr>
            <w:r w:rsidRPr="00F9037E">
              <w:rPr>
                <w:color w:val="auto"/>
                <w:sz w:val="20"/>
              </w:rPr>
              <w:t>84.9</w:t>
            </w:r>
          </w:p>
        </w:tc>
        <w:tc>
          <w:tcPr>
            <w:tcW w:w="1260" w:type="dxa"/>
            <w:vAlign w:val="center"/>
          </w:tcPr>
          <w:p w14:paraId="50C77CBA" w14:textId="77777777" w:rsidR="00E753CC" w:rsidRPr="00F9037E" w:rsidRDefault="00873CCA" w:rsidP="006D0E9A">
            <w:pPr>
              <w:tabs>
                <w:tab w:val="left" w:pos="720"/>
              </w:tabs>
              <w:spacing w:before="60" w:after="60"/>
              <w:jc w:val="center"/>
              <w:rPr>
                <w:color w:val="auto"/>
                <w:sz w:val="20"/>
              </w:rPr>
            </w:pPr>
            <w:r w:rsidRPr="00F9037E">
              <w:rPr>
                <w:color w:val="auto"/>
                <w:sz w:val="20"/>
              </w:rPr>
              <w:t>NR</w:t>
            </w:r>
          </w:p>
        </w:tc>
        <w:tc>
          <w:tcPr>
            <w:tcW w:w="1260" w:type="dxa"/>
            <w:vAlign w:val="center"/>
          </w:tcPr>
          <w:p w14:paraId="1008C005" w14:textId="77777777" w:rsidR="00E753CC" w:rsidRPr="00F9037E" w:rsidRDefault="003C212E" w:rsidP="006D0E9A">
            <w:pPr>
              <w:tabs>
                <w:tab w:val="left" w:pos="720"/>
              </w:tabs>
              <w:spacing w:before="60" w:after="60"/>
              <w:jc w:val="center"/>
              <w:rPr>
                <w:color w:val="auto"/>
                <w:sz w:val="20"/>
              </w:rPr>
            </w:pPr>
            <w:r w:rsidRPr="00F9037E">
              <w:rPr>
                <w:color w:val="auto"/>
                <w:sz w:val="20"/>
              </w:rPr>
              <w:t>84.9</w:t>
            </w:r>
          </w:p>
        </w:tc>
        <w:tc>
          <w:tcPr>
            <w:tcW w:w="1159" w:type="dxa"/>
            <w:vAlign w:val="center"/>
          </w:tcPr>
          <w:p w14:paraId="3ABB2821" w14:textId="77777777" w:rsidR="00E753CC" w:rsidRPr="00F9037E" w:rsidRDefault="00873CCA" w:rsidP="006D0E9A">
            <w:pPr>
              <w:tabs>
                <w:tab w:val="left" w:pos="720"/>
              </w:tabs>
              <w:spacing w:before="60" w:after="60"/>
              <w:jc w:val="center"/>
              <w:rPr>
                <w:color w:val="auto"/>
                <w:sz w:val="20"/>
              </w:rPr>
            </w:pPr>
            <w:r w:rsidRPr="00F9037E">
              <w:rPr>
                <w:color w:val="auto"/>
                <w:sz w:val="20"/>
              </w:rPr>
              <w:t>NR</w:t>
            </w:r>
          </w:p>
        </w:tc>
      </w:tr>
      <w:tr w:rsidR="00C70CB5" w:rsidRPr="00F9037E" w14:paraId="0285E577" w14:textId="77777777" w:rsidTr="006D0E9A">
        <w:trPr>
          <w:trHeight w:val="291"/>
        </w:trPr>
        <w:tc>
          <w:tcPr>
            <w:tcW w:w="1150" w:type="dxa"/>
            <w:vAlign w:val="center"/>
          </w:tcPr>
          <w:p w14:paraId="34A7900E" w14:textId="77777777" w:rsidR="00C70CB5" w:rsidRPr="00F9037E" w:rsidRDefault="00C70CB5" w:rsidP="006D0E9A">
            <w:pPr>
              <w:tabs>
                <w:tab w:val="left" w:pos="720"/>
              </w:tabs>
              <w:spacing w:before="60" w:after="60"/>
              <w:rPr>
                <w:color w:val="auto"/>
                <w:sz w:val="20"/>
              </w:rPr>
            </w:pPr>
            <w:r w:rsidRPr="00F9037E">
              <w:rPr>
                <w:color w:val="auto"/>
                <w:sz w:val="20"/>
              </w:rPr>
              <w:t>RSA</w:t>
            </w:r>
          </w:p>
        </w:tc>
        <w:tc>
          <w:tcPr>
            <w:tcW w:w="1544" w:type="dxa"/>
            <w:vAlign w:val="center"/>
          </w:tcPr>
          <w:p w14:paraId="1B4E25DB" w14:textId="77777777" w:rsidR="00C70CB5" w:rsidRPr="00F9037E" w:rsidRDefault="00822A1B" w:rsidP="00822A1B">
            <w:pPr>
              <w:tabs>
                <w:tab w:val="left" w:pos="720"/>
              </w:tabs>
              <w:spacing w:before="60" w:after="60"/>
              <w:jc w:val="center"/>
              <w:rPr>
                <w:color w:val="auto"/>
                <w:sz w:val="20"/>
              </w:rPr>
            </w:pPr>
            <w:r w:rsidRPr="00F9037E">
              <w:rPr>
                <w:color w:val="auto"/>
                <w:sz w:val="20"/>
              </w:rPr>
              <w:t>74.062</w:t>
            </w:r>
          </w:p>
        </w:tc>
        <w:tc>
          <w:tcPr>
            <w:tcW w:w="976" w:type="dxa"/>
            <w:vAlign w:val="center"/>
          </w:tcPr>
          <w:p w14:paraId="200F01F3" w14:textId="77777777" w:rsidR="00C70CB5" w:rsidRPr="00F9037E" w:rsidRDefault="003C212E" w:rsidP="006D0E9A">
            <w:pPr>
              <w:tabs>
                <w:tab w:val="left" w:pos="720"/>
              </w:tabs>
              <w:spacing w:before="60" w:after="60"/>
              <w:jc w:val="center"/>
              <w:rPr>
                <w:color w:val="auto"/>
                <w:sz w:val="20"/>
              </w:rPr>
            </w:pPr>
            <w:r w:rsidRPr="00F9037E">
              <w:rPr>
                <w:color w:val="auto"/>
                <w:sz w:val="20"/>
              </w:rPr>
              <w:t>-</w:t>
            </w:r>
          </w:p>
        </w:tc>
        <w:tc>
          <w:tcPr>
            <w:tcW w:w="1440" w:type="dxa"/>
            <w:vAlign w:val="center"/>
          </w:tcPr>
          <w:p w14:paraId="7ACA9460" w14:textId="77777777" w:rsidR="00C70CB5" w:rsidRPr="00F9037E" w:rsidRDefault="003C212E" w:rsidP="006D0E9A">
            <w:pPr>
              <w:tabs>
                <w:tab w:val="left" w:pos="720"/>
              </w:tabs>
              <w:spacing w:before="60" w:after="60"/>
              <w:jc w:val="center"/>
              <w:rPr>
                <w:color w:val="auto"/>
                <w:sz w:val="20"/>
              </w:rPr>
            </w:pPr>
            <w:r w:rsidRPr="00F9037E">
              <w:rPr>
                <w:color w:val="auto"/>
                <w:sz w:val="20"/>
              </w:rPr>
              <w:t>-</w:t>
            </w:r>
          </w:p>
        </w:tc>
        <w:tc>
          <w:tcPr>
            <w:tcW w:w="1260" w:type="dxa"/>
            <w:vAlign w:val="center"/>
          </w:tcPr>
          <w:p w14:paraId="48AB238E" w14:textId="77777777" w:rsidR="00C70CB5" w:rsidRPr="00F9037E" w:rsidRDefault="003C212E" w:rsidP="006D0E9A">
            <w:pPr>
              <w:tabs>
                <w:tab w:val="left" w:pos="720"/>
              </w:tabs>
              <w:spacing w:before="60" w:after="60"/>
              <w:jc w:val="center"/>
              <w:rPr>
                <w:color w:val="auto"/>
                <w:sz w:val="20"/>
              </w:rPr>
            </w:pPr>
            <w:r w:rsidRPr="00F9037E">
              <w:rPr>
                <w:color w:val="auto"/>
                <w:sz w:val="20"/>
              </w:rPr>
              <w:t>-</w:t>
            </w:r>
          </w:p>
        </w:tc>
        <w:tc>
          <w:tcPr>
            <w:tcW w:w="1260" w:type="dxa"/>
            <w:vAlign w:val="center"/>
          </w:tcPr>
          <w:p w14:paraId="687FE203" w14:textId="77777777" w:rsidR="00C70CB5" w:rsidRPr="00F9037E" w:rsidRDefault="003C212E" w:rsidP="006D0E9A">
            <w:pPr>
              <w:tabs>
                <w:tab w:val="left" w:pos="720"/>
              </w:tabs>
              <w:spacing w:before="60" w:after="60"/>
              <w:jc w:val="center"/>
              <w:rPr>
                <w:color w:val="auto"/>
                <w:sz w:val="20"/>
              </w:rPr>
            </w:pPr>
            <w:r w:rsidRPr="00F9037E">
              <w:rPr>
                <w:color w:val="auto"/>
                <w:sz w:val="20"/>
              </w:rPr>
              <w:t>-</w:t>
            </w:r>
          </w:p>
        </w:tc>
        <w:tc>
          <w:tcPr>
            <w:tcW w:w="1159" w:type="dxa"/>
            <w:vAlign w:val="center"/>
          </w:tcPr>
          <w:p w14:paraId="0D0E8EB8" w14:textId="77777777" w:rsidR="00C70CB5" w:rsidRPr="00F9037E" w:rsidRDefault="009719E4" w:rsidP="006D0E9A">
            <w:pPr>
              <w:tabs>
                <w:tab w:val="left" w:pos="720"/>
              </w:tabs>
              <w:spacing w:before="60" w:after="60"/>
              <w:jc w:val="center"/>
              <w:rPr>
                <w:color w:val="auto"/>
                <w:sz w:val="20"/>
              </w:rPr>
            </w:pPr>
            <w:r w:rsidRPr="00F9037E">
              <w:rPr>
                <w:color w:val="auto"/>
                <w:sz w:val="20"/>
              </w:rPr>
              <w:t>49.7*</w:t>
            </w:r>
          </w:p>
        </w:tc>
      </w:tr>
    </w:tbl>
    <w:p w14:paraId="65C0B7AE" w14:textId="3DFE90FA" w:rsidR="008D5F24" w:rsidRPr="00F9037E" w:rsidRDefault="00873CCA" w:rsidP="009719E4">
      <w:pPr>
        <w:pStyle w:val="Tableheading0"/>
        <w:spacing w:after="120"/>
        <w:ind w:left="0" w:firstLine="0"/>
        <w:rPr>
          <w:i w:val="0"/>
        </w:rPr>
        <w:sectPr w:rsidR="008D5F24" w:rsidRPr="00F9037E" w:rsidSect="00B43EA1">
          <w:type w:val="oddPage"/>
          <w:pgSz w:w="11909" w:h="16834" w:code="9"/>
          <w:pgMar w:top="1440" w:right="1440" w:bottom="1134" w:left="1440" w:header="720" w:footer="720" w:gutter="0"/>
          <w:pgNumType w:start="1"/>
          <w:cols w:space="720"/>
          <w:docGrid w:linePitch="360"/>
        </w:sectPr>
      </w:pPr>
      <w:r w:rsidRPr="00F5313E">
        <w:rPr>
          <w:i w:val="0"/>
        </w:rPr>
        <w:t>NR=</w:t>
      </w:r>
      <w:r w:rsidRPr="00220275">
        <w:rPr>
          <w:i w:val="0"/>
          <w:color w:val="000000"/>
          <w:sz w:val="20"/>
          <w:szCs w:val="18"/>
          <w:lang w:eastAsia="en-US"/>
        </w:rPr>
        <w:t xml:space="preserve">NR=not reported; </w:t>
      </w:r>
      <w:r w:rsidR="009719E4" w:rsidRPr="00220275">
        <w:rPr>
          <w:i w:val="0"/>
        </w:rPr>
        <w:t xml:space="preserve">*Partly Estimated from </w:t>
      </w:r>
      <w:r w:rsidR="00F01FB5" w:rsidRPr="00220275">
        <w:rPr>
          <w:i w:val="0"/>
        </w:rPr>
        <w:t xml:space="preserve">supplies </w:t>
      </w:r>
      <w:r w:rsidR="009719E4" w:rsidRPr="00220275">
        <w:rPr>
          <w:i w:val="0"/>
        </w:rPr>
        <w:t xml:space="preserve">available at 30 </w:t>
      </w:r>
      <w:r w:rsidR="00CD3CBD" w:rsidRPr="00220275">
        <w:rPr>
          <w:i w:val="0"/>
        </w:rPr>
        <w:t>November</w:t>
      </w:r>
      <w:r w:rsidR="009719E4" w:rsidRPr="00220275">
        <w:rPr>
          <w:i w:val="0"/>
        </w:rPr>
        <w:t xml:space="preserve"> 2015.</w:t>
      </w:r>
    </w:p>
    <w:p w14:paraId="2D5389EC" w14:textId="77777777" w:rsidR="00093383" w:rsidRPr="00F9037E" w:rsidRDefault="00093383" w:rsidP="00F9037E">
      <w:pPr>
        <w:pStyle w:val="Tableandfigureheadings"/>
        <w:rPr>
          <w:color w:val="FF0000"/>
        </w:rPr>
      </w:pPr>
      <w:bookmarkStart w:id="58" w:name="_Toc324255705"/>
      <w:bookmarkStart w:id="59" w:name="_Toc293054740"/>
      <w:r w:rsidRPr="00F9037E">
        <w:lastRenderedPageBreak/>
        <w:t>Table 1</w:t>
      </w:r>
      <w:r w:rsidR="00F01FB5" w:rsidRPr="00F9037E">
        <w:t>.</w:t>
      </w:r>
      <w:r w:rsidRPr="00F9037E">
        <w:t xml:space="preserve">4.  Summary of Critical Use Nominations and Exemptions of Methyl Bromide (tonnes) </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567"/>
        <w:gridCol w:w="567"/>
        <w:gridCol w:w="567"/>
        <w:gridCol w:w="567"/>
        <w:gridCol w:w="567"/>
        <w:gridCol w:w="567"/>
        <w:gridCol w:w="425"/>
        <w:gridCol w:w="426"/>
        <w:gridCol w:w="425"/>
        <w:gridCol w:w="425"/>
        <w:gridCol w:w="425"/>
        <w:gridCol w:w="426"/>
        <w:gridCol w:w="567"/>
        <w:gridCol w:w="567"/>
        <w:gridCol w:w="567"/>
        <w:gridCol w:w="567"/>
        <w:gridCol w:w="567"/>
        <w:gridCol w:w="567"/>
        <w:gridCol w:w="567"/>
        <w:gridCol w:w="567"/>
        <w:gridCol w:w="567"/>
        <w:gridCol w:w="567"/>
        <w:gridCol w:w="567"/>
        <w:gridCol w:w="567"/>
        <w:gridCol w:w="709"/>
        <w:gridCol w:w="709"/>
      </w:tblGrid>
      <w:tr w:rsidR="000718F1" w:rsidRPr="00F9037E" w14:paraId="6B89439B" w14:textId="77777777" w:rsidTr="000718F1">
        <w:trPr>
          <w:cantSplit/>
          <w:trHeight w:val="425"/>
          <w:tblHeader/>
        </w:trPr>
        <w:tc>
          <w:tcPr>
            <w:tcW w:w="992" w:type="dxa"/>
            <w:vAlign w:val="center"/>
          </w:tcPr>
          <w:p w14:paraId="78DEE8F0" w14:textId="77777777" w:rsidR="000718F1" w:rsidRPr="00082015" w:rsidRDefault="000718F1" w:rsidP="006955C5">
            <w:pPr>
              <w:keepNext/>
              <w:keepLines/>
              <w:spacing w:after="0"/>
              <w:jc w:val="center"/>
              <w:rPr>
                <w:rFonts w:ascii="Arial" w:hAnsi="Arial"/>
                <w:b/>
                <w:sz w:val="14"/>
                <w:szCs w:val="12"/>
              </w:rPr>
            </w:pPr>
          </w:p>
        </w:tc>
        <w:tc>
          <w:tcPr>
            <w:tcW w:w="5954" w:type="dxa"/>
            <w:gridSpan w:val="12"/>
            <w:vAlign w:val="center"/>
          </w:tcPr>
          <w:p w14:paraId="1A9B46F6" w14:textId="77777777" w:rsidR="000718F1" w:rsidRPr="00082015" w:rsidRDefault="000718F1" w:rsidP="006955C5">
            <w:pPr>
              <w:keepNext/>
              <w:keepLines/>
              <w:spacing w:after="0"/>
              <w:jc w:val="center"/>
              <w:rPr>
                <w:rFonts w:ascii="Arial" w:hAnsi="Arial"/>
                <w:b/>
                <w:sz w:val="12"/>
                <w:szCs w:val="12"/>
              </w:rPr>
            </w:pPr>
            <w:r w:rsidRPr="00082015">
              <w:rPr>
                <w:rFonts w:ascii="Arial" w:hAnsi="Arial"/>
                <w:b/>
                <w:sz w:val="12"/>
                <w:szCs w:val="12"/>
              </w:rPr>
              <w:t>Quantities Nominated</w:t>
            </w:r>
          </w:p>
        </w:tc>
        <w:tc>
          <w:tcPr>
            <w:tcW w:w="6804" w:type="dxa"/>
            <w:gridSpan w:val="12"/>
            <w:vAlign w:val="center"/>
          </w:tcPr>
          <w:p w14:paraId="51FE03F0" w14:textId="77777777" w:rsidR="000718F1" w:rsidRPr="00F5313E" w:rsidRDefault="000718F1" w:rsidP="006955C5">
            <w:pPr>
              <w:keepNext/>
              <w:keepLines/>
              <w:spacing w:after="0"/>
              <w:jc w:val="center"/>
              <w:rPr>
                <w:rFonts w:ascii="Arial" w:hAnsi="Arial"/>
                <w:b/>
                <w:sz w:val="12"/>
                <w:szCs w:val="12"/>
              </w:rPr>
            </w:pPr>
          </w:p>
          <w:p w14:paraId="18E9ED59" w14:textId="77777777" w:rsidR="000718F1" w:rsidRPr="00220275" w:rsidRDefault="000718F1" w:rsidP="006955C5">
            <w:pPr>
              <w:keepNext/>
              <w:keepLines/>
              <w:spacing w:after="0"/>
              <w:jc w:val="center"/>
              <w:rPr>
                <w:rFonts w:ascii="Arial" w:hAnsi="Arial"/>
                <w:b/>
                <w:sz w:val="12"/>
                <w:szCs w:val="12"/>
              </w:rPr>
            </w:pPr>
            <w:r w:rsidRPr="00220275">
              <w:rPr>
                <w:rFonts w:ascii="Arial" w:hAnsi="Arial"/>
                <w:b/>
                <w:sz w:val="12"/>
                <w:szCs w:val="12"/>
              </w:rPr>
              <w:t>Quantities Approved</w:t>
            </w:r>
          </w:p>
        </w:tc>
        <w:tc>
          <w:tcPr>
            <w:tcW w:w="1418" w:type="dxa"/>
            <w:gridSpan w:val="2"/>
            <w:vAlign w:val="center"/>
          </w:tcPr>
          <w:p w14:paraId="61433D08" w14:textId="77777777" w:rsidR="000718F1" w:rsidRPr="00F9037E" w:rsidRDefault="000718F1" w:rsidP="000718F1">
            <w:pPr>
              <w:keepNext/>
              <w:keepLines/>
              <w:spacing w:after="120"/>
              <w:jc w:val="center"/>
              <w:rPr>
                <w:rFonts w:ascii="Arial" w:hAnsi="Arial"/>
                <w:b/>
                <w:sz w:val="12"/>
                <w:szCs w:val="12"/>
              </w:rPr>
            </w:pPr>
            <w:r w:rsidRPr="00F9037E">
              <w:rPr>
                <w:rFonts w:ascii="Arial" w:hAnsi="Arial"/>
                <w:b/>
                <w:sz w:val="12"/>
                <w:szCs w:val="12"/>
              </w:rPr>
              <w:t>Final Rec.</w:t>
            </w:r>
          </w:p>
        </w:tc>
      </w:tr>
      <w:tr w:rsidR="002F6DFE" w:rsidRPr="00F9037E" w14:paraId="4C309668" w14:textId="77777777" w:rsidTr="000718F1">
        <w:trPr>
          <w:cantSplit/>
          <w:trHeight w:val="782"/>
          <w:tblHeader/>
        </w:trPr>
        <w:tc>
          <w:tcPr>
            <w:tcW w:w="992" w:type="dxa"/>
          </w:tcPr>
          <w:p w14:paraId="0BF37A23" w14:textId="77777777" w:rsidR="0082736F" w:rsidRPr="00F9037E" w:rsidRDefault="0082736F" w:rsidP="006955C5">
            <w:pPr>
              <w:keepNext/>
              <w:keepLines/>
              <w:spacing w:before="120" w:after="100" w:afterAutospacing="1"/>
              <w:jc w:val="center"/>
              <w:rPr>
                <w:rFonts w:ascii="Arial" w:hAnsi="Arial"/>
                <w:b/>
                <w:sz w:val="14"/>
                <w:szCs w:val="10"/>
              </w:rPr>
            </w:pPr>
            <w:r w:rsidRPr="00F9037E">
              <w:rPr>
                <w:rFonts w:ascii="Arial" w:hAnsi="Arial"/>
                <w:b/>
                <w:sz w:val="14"/>
                <w:szCs w:val="10"/>
              </w:rPr>
              <w:t>Party</w:t>
            </w:r>
          </w:p>
        </w:tc>
        <w:tc>
          <w:tcPr>
            <w:tcW w:w="567" w:type="dxa"/>
          </w:tcPr>
          <w:p w14:paraId="16A148B0" w14:textId="77777777" w:rsidR="0082736F" w:rsidRPr="00F9037E" w:rsidRDefault="0082736F" w:rsidP="006955C5">
            <w:pPr>
              <w:keepNext/>
              <w:keepLines/>
              <w:spacing w:before="120" w:after="100" w:afterAutospacing="1"/>
              <w:ind w:left="-107" w:right="-49"/>
              <w:jc w:val="center"/>
              <w:rPr>
                <w:rFonts w:ascii="Arial" w:hAnsi="Arial"/>
                <w:b/>
                <w:sz w:val="10"/>
                <w:szCs w:val="10"/>
              </w:rPr>
            </w:pPr>
            <w:r w:rsidRPr="00F9037E">
              <w:rPr>
                <w:rFonts w:ascii="Arial" w:hAnsi="Arial"/>
                <w:b/>
                <w:sz w:val="10"/>
                <w:szCs w:val="10"/>
              </w:rPr>
              <w:t>2005</w:t>
            </w:r>
            <w:r w:rsidR="002F6DFE" w:rsidRPr="00F9037E">
              <w:rPr>
                <w:rFonts w:ascii="Arial" w:hAnsi="Arial"/>
                <w:b/>
                <w:sz w:val="10"/>
                <w:szCs w:val="10"/>
              </w:rPr>
              <w:t>…</w:t>
            </w:r>
          </w:p>
        </w:tc>
        <w:tc>
          <w:tcPr>
            <w:tcW w:w="567" w:type="dxa"/>
          </w:tcPr>
          <w:p w14:paraId="446E55B7" w14:textId="77777777" w:rsidR="0082736F" w:rsidRPr="00F9037E" w:rsidRDefault="0082736F" w:rsidP="006955C5">
            <w:pPr>
              <w:keepNext/>
              <w:keepLines/>
              <w:spacing w:before="120" w:after="100" w:afterAutospacing="1"/>
              <w:ind w:left="-107" w:right="-49"/>
              <w:jc w:val="center"/>
              <w:rPr>
                <w:rFonts w:ascii="Arial" w:hAnsi="Arial"/>
                <w:b/>
                <w:sz w:val="10"/>
                <w:szCs w:val="10"/>
              </w:rPr>
            </w:pPr>
            <w:r w:rsidRPr="00F9037E">
              <w:rPr>
                <w:rFonts w:ascii="Arial" w:hAnsi="Arial"/>
                <w:b/>
                <w:sz w:val="10"/>
                <w:szCs w:val="10"/>
              </w:rPr>
              <w:t>2008</w:t>
            </w:r>
          </w:p>
        </w:tc>
        <w:tc>
          <w:tcPr>
            <w:tcW w:w="567" w:type="dxa"/>
          </w:tcPr>
          <w:p w14:paraId="57DB15C9" w14:textId="77777777" w:rsidR="0082736F" w:rsidRPr="00F9037E" w:rsidRDefault="0082736F" w:rsidP="006955C5">
            <w:pPr>
              <w:keepNext/>
              <w:keepLines/>
              <w:spacing w:before="120" w:after="100" w:afterAutospacing="1"/>
              <w:ind w:left="-107" w:right="-49"/>
              <w:jc w:val="center"/>
              <w:rPr>
                <w:sz w:val="10"/>
                <w:szCs w:val="10"/>
              </w:rPr>
            </w:pPr>
            <w:r w:rsidRPr="00F9037E">
              <w:rPr>
                <w:rFonts w:ascii="Arial" w:hAnsi="Arial"/>
                <w:b/>
                <w:sz w:val="10"/>
                <w:szCs w:val="10"/>
              </w:rPr>
              <w:t>2009</w:t>
            </w:r>
          </w:p>
        </w:tc>
        <w:tc>
          <w:tcPr>
            <w:tcW w:w="567" w:type="dxa"/>
          </w:tcPr>
          <w:p w14:paraId="0ADFA4BA" w14:textId="77777777" w:rsidR="0082736F" w:rsidRPr="00F9037E" w:rsidRDefault="0082736F" w:rsidP="006955C5">
            <w:pPr>
              <w:keepNext/>
              <w:keepLines/>
              <w:spacing w:before="120" w:after="100" w:afterAutospacing="1"/>
              <w:ind w:left="-107" w:right="-49"/>
              <w:jc w:val="center"/>
              <w:rPr>
                <w:rFonts w:ascii="Arial" w:hAnsi="Arial"/>
                <w:sz w:val="10"/>
                <w:szCs w:val="10"/>
              </w:rPr>
            </w:pPr>
            <w:r w:rsidRPr="00F9037E">
              <w:rPr>
                <w:rFonts w:ascii="Arial" w:hAnsi="Arial"/>
                <w:b/>
                <w:sz w:val="10"/>
                <w:szCs w:val="10"/>
              </w:rPr>
              <w:t>2010</w:t>
            </w:r>
          </w:p>
        </w:tc>
        <w:tc>
          <w:tcPr>
            <w:tcW w:w="567" w:type="dxa"/>
          </w:tcPr>
          <w:p w14:paraId="40BF2BD7" w14:textId="77777777" w:rsidR="0082736F" w:rsidRPr="00F9037E" w:rsidRDefault="0082736F" w:rsidP="006955C5">
            <w:pPr>
              <w:keepNext/>
              <w:keepLines/>
              <w:spacing w:before="120" w:after="100" w:afterAutospacing="1"/>
              <w:ind w:left="-107" w:right="-49"/>
              <w:jc w:val="center"/>
              <w:rPr>
                <w:b/>
                <w:sz w:val="10"/>
                <w:szCs w:val="10"/>
              </w:rPr>
            </w:pPr>
            <w:r w:rsidRPr="00F9037E">
              <w:rPr>
                <w:rFonts w:ascii="Arial" w:hAnsi="Arial"/>
                <w:b/>
                <w:sz w:val="10"/>
                <w:szCs w:val="10"/>
              </w:rPr>
              <w:t>2011</w:t>
            </w:r>
          </w:p>
        </w:tc>
        <w:tc>
          <w:tcPr>
            <w:tcW w:w="567" w:type="dxa"/>
          </w:tcPr>
          <w:p w14:paraId="0101C0C2" w14:textId="77777777" w:rsidR="0082736F" w:rsidRPr="00F9037E" w:rsidRDefault="0082736F" w:rsidP="006955C5">
            <w:pPr>
              <w:keepNext/>
              <w:keepLines/>
              <w:spacing w:before="120" w:after="100" w:afterAutospacing="1"/>
              <w:ind w:left="-107" w:right="-49"/>
              <w:jc w:val="center"/>
              <w:rPr>
                <w:rFonts w:ascii="Arial" w:hAnsi="Arial"/>
                <w:b/>
                <w:sz w:val="10"/>
                <w:szCs w:val="10"/>
              </w:rPr>
            </w:pPr>
            <w:r w:rsidRPr="00F9037E">
              <w:rPr>
                <w:rFonts w:ascii="Arial" w:hAnsi="Arial"/>
                <w:b/>
                <w:sz w:val="10"/>
                <w:szCs w:val="10"/>
              </w:rPr>
              <w:t>2012</w:t>
            </w:r>
          </w:p>
        </w:tc>
        <w:tc>
          <w:tcPr>
            <w:tcW w:w="425" w:type="dxa"/>
          </w:tcPr>
          <w:p w14:paraId="3B4C8A4C" w14:textId="77777777" w:rsidR="0082736F" w:rsidRPr="00F9037E" w:rsidRDefault="0082736F" w:rsidP="006955C5">
            <w:pPr>
              <w:keepNext/>
              <w:keepLines/>
              <w:spacing w:before="120" w:after="100" w:afterAutospacing="1"/>
              <w:ind w:left="-107" w:right="-49"/>
              <w:jc w:val="center"/>
              <w:rPr>
                <w:rFonts w:ascii="Arial" w:hAnsi="Arial"/>
                <w:b/>
                <w:sz w:val="10"/>
                <w:szCs w:val="10"/>
              </w:rPr>
            </w:pPr>
            <w:r w:rsidRPr="00F9037E">
              <w:rPr>
                <w:rFonts w:ascii="Arial" w:hAnsi="Arial"/>
                <w:b/>
                <w:sz w:val="10"/>
                <w:szCs w:val="10"/>
              </w:rPr>
              <w:t>2013</w:t>
            </w:r>
          </w:p>
        </w:tc>
        <w:tc>
          <w:tcPr>
            <w:tcW w:w="426" w:type="dxa"/>
          </w:tcPr>
          <w:p w14:paraId="02626BD1" w14:textId="77777777" w:rsidR="0082736F" w:rsidRPr="00F9037E" w:rsidRDefault="0082736F" w:rsidP="006955C5">
            <w:pPr>
              <w:keepNext/>
              <w:keepLines/>
              <w:spacing w:before="120" w:after="100" w:afterAutospacing="1"/>
              <w:ind w:left="-107" w:right="-49"/>
              <w:jc w:val="center"/>
              <w:rPr>
                <w:rFonts w:ascii="Arial" w:hAnsi="Arial"/>
                <w:b/>
                <w:sz w:val="10"/>
                <w:szCs w:val="10"/>
              </w:rPr>
            </w:pPr>
            <w:r w:rsidRPr="00F9037E">
              <w:rPr>
                <w:rFonts w:ascii="Arial" w:hAnsi="Arial"/>
                <w:b/>
                <w:sz w:val="10"/>
                <w:szCs w:val="10"/>
              </w:rPr>
              <w:t>2014</w:t>
            </w:r>
          </w:p>
        </w:tc>
        <w:tc>
          <w:tcPr>
            <w:tcW w:w="425" w:type="dxa"/>
          </w:tcPr>
          <w:p w14:paraId="14CEE694" w14:textId="77777777" w:rsidR="0082736F" w:rsidRPr="00F9037E" w:rsidRDefault="0082736F" w:rsidP="006955C5">
            <w:pPr>
              <w:keepNext/>
              <w:keepLines/>
              <w:spacing w:before="120" w:after="100" w:afterAutospacing="1"/>
              <w:ind w:left="-107" w:right="-49"/>
              <w:jc w:val="center"/>
              <w:rPr>
                <w:rFonts w:ascii="Arial" w:hAnsi="Arial"/>
                <w:b/>
                <w:sz w:val="10"/>
                <w:szCs w:val="10"/>
              </w:rPr>
            </w:pPr>
            <w:r w:rsidRPr="00F9037E">
              <w:rPr>
                <w:rFonts w:ascii="Arial" w:hAnsi="Arial"/>
                <w:b/>
                <w:sz w:val="10"/>
                <w:szCs w:val="10"/>
              </w:rPr>
              <w:t>2015</w:t>
            </w:r>
          </w:p>
        </w:tc>
        <w:tc>
          <w:tcPr>
            <w:tcW w:w="425" w:type="dxa"/>
          </w:tcPr>
          <w:p w14:paraId="60707157" w14:textId="77777777" w:rsidR="0082736F" w:rsidRPr="00F9037E" w:rsidRDefault="0082736F" w:rsidP="006955C5">
            <w:pPr>
              <w:keepNext/>
              <w:keepLines/>
              <w:spacing w:before="120" w:after="100" w:afterAutospacing="1"/>
              <w:ind w:left="-107" w:right="-49"/>
              <w:jc w:val="center"/>
              <w:rPr>
                <w:rFonts w:ascii="Arial" w:hAnsi="Arial"/>
                <w:b/>
                <w:sz w:val="10"/>
                <w:szCs w:val="10"/>
              </w:rPr>
            </w:pPr>
            <w:r w:rsidRPr="00F9037E">
              <w:rPr>
                <w:rFonts w:ascii="Arial" w:hAnsi="Arial"/>
                <w:b/>
                <w:sz w:val="10"/>
                <w:szCs w:val="10"/>
              </w:rPr>
              <w:t>2016</w:t>
            </w:r>
          </w:p>
        </w:tc>
        <w:tc>
          <w:tcPr>
            <w:tcW w:w="425" w:type="dxa"/>
          </w:tcPr>
          <w:p w14:paraId="54B90294" w14:textId="77777777" w:rsidR="0082736F" w:rsidRPr="00F9037E" w:rsidRDefault="0082736F" w:rsidP="006955C5">
            <w:pPr>
              <w:keepNext/>
              <w:keepLines/>
              <w:spacing w:before="120" w:after="100" w:afterAutospacing="1"/>
              <w:ind w:left="-107" w:right="-49"/>
              <w:jc w:val="center"/>
              <w:rPr>
                <w:rFonts w:ascii="Arial" w:hAnsi="Arial"/>
                <w:b/>
                <w:sz w:val="10"/>
                <w:szCs w:val="10"/>
              </w:rPr>
            </w:pPr>
            <w:r w:rsidRPr="00F9037E">
              <w:rPr>
                <w:rFonts w:ascii="Arial" w:hAnsi="Arial"/>
                <w:b/>
                <w:sz w:val="10"/>
                <w:szCs w:val="10"/>
              </w:rPr>
              <w:t>2017</w:t>
            </w:r>
          </w:p>
        </w:tc>
        <w:tc>
          <w:tcPr>
            <w:tcW w:w="426" w:type="dxa"/>
          </w:tcPr>
          <w:p w14:paraId="58A4B7CA" w14:textId="77777777" w:rsidR="0082736F" w:rsidRPr="00F9037E" w:rsidRDefault="0082736F" w:rsidP="006955C5">
            <w:pPr>
              <w:keepNext/>
              <w:keepLines/>
              <w:spacing w:before="120" w:after="100" w:afterAutospacing="1"/>
              <w:ind w:left="-107" w:right="-49"/>
              <w:jc w:val="center"/>
              <w:rPr>
                <w:rFonts w:ascii="Arial" w:hAnsi="Arial"/>
                <w:b/>
                <w:sz w:val="10"/>
                <w:szCs w:val="10"/>
              </w:rPr>
            </w:pPr>
            <w:r w:rsidRPr="00F9037E">
              <w:rPr>
                <w:rFonts w:ascii="Arial" w:hAnsi="Arial"/>
                <w:b/>
                <w:sz w:val="10"/>
                <w:szCs w:val="10"/>
              </w:rPr>
              <w:t>2018</w:t>
            </w:r>
          </w:p>
        </w:tc>
        <w:tc>
          <w:tcPr>
            <w:tcW w:w="567" w:type="dxa"/>
          </w:tcPr>
          <w:p w14:paraId="422B99EC" w14:textId="77777777" w:rsidR="0082736F" w:rsidRPr="00F9037E" w:rsidRDefault="0082736F" w:rsidP="006955C5">
            <w:pPr>
              <w:keepNext/>
              <w:keepLines/>
              <w:spacing w:before="120" w:after="100" w:afterAutospacing="1"/>
              <w:ind w:left="-107" w:right="-49"/>
              <w:jc w:val="center"/>
              <w:rPr>
                <w:rFonts w:ascii="Arial" w:hAnsi="Arial"/>
                <w:b/>
                <w:sz w:val="10"/>
                <w:szCs w:val="10"/>
              </w:rPr>
            </w:pPr>
            <w:r w:rsidRPr="00F9037E">
              <w:rPr>
                <w:rFonts w:ascii="Arial" w:hAnsi="Arial"/>
                <w:b/>
                <w:sz w:val="10"/>
                <w:szCs w:val="10"/>
              </w:rPr>
              <w:t>2005</w:t>
            </w:r>
            <w:r w:rsidRPr="00F9037E">
              <w:rPr>
                <w:rFonts w:ascii="Arial" w:hAnsi="Arial"/>
                <w:b/>
                <w:sz w:val="10"/>
                <w:szCs w:val="10"/>
              </w:rPr>
              <w:br/>
              <w:t xml:space="preserve">(1ExMOP </w:t>
            </w:r>
            <w:r w:rsidRPr="00F9037E">
              <w:rPr>
                <w:rFonts w:ascii="Arial" w:hAnsi="Arial"/>
                <w:b/>
                <w:sz w:val="10"/>
                <w:szCs w:val="10"/>
              </w:rPr>
              <w:br/>
              <w:t>and</w:t>
            </w:r>
            <w:r w:rsidRPr="00F9037E">
              <w:rPr>
                <w:rFonts w:ascii="Arial" w:hAnsi="Arial"/>
                <w:b/>
                <w:sz w:val="10"/>
                <w:szCs w:val="10"/>
              </w:rPr>
              <w:br/>
              <w:t>16MOP)</w:t>
            </w:r>
          </w:p>
        </w:tc>
        <w:tc>
          <w:tcPr>
            <w:tcW w:w="567" w:type="dxa"/>
          </w:tcPr>
          <w:p w14:paraId="1DBCCEE6" w14:textId="77777777" w:rsidR="0082736F" w:rsidRPr="00F9037E" w:rsidRDefault="0082736F" w:rsidP="006955C5">
            <w:pPr>
              <w:keepNext/>
              <w:keepLines/>
              <w:spacing w:before="120" w:after="100" w:afterAutospacing="1"/>
              <w:ind w:left="-107" w:right="-49"/>
              <w:jc w:val="center"/>
              <w:rPr>
                <w:rFonts w:ascii="Arial" w:hAnsi="Arial"/>
                <w:b/>
                <w:sz w:val="10"/>
                <w:szCs w:val="10"/>
              </w:rPr>
            </w:pPr>
            <w:r w:rsidRPr="00F9037E">
              <w:rPr>
                <w:rFonts w:ascii="Arial" w:hAnsi="Arial"/>
                <w:b/>
                <w:sz w:val="10"/>
                <w:szCs w:val="10"/>
              </w:rPr>
              <w:t>2006</w:t>
            </w:r>
            <w:r w:rsidRPr="00F9037E">
              <w:rPr>
                <w:rFonts w:ascii="Arial" w:hAnsi="Arial"/>
                <w:b/>
                <w:sz w:val="10"/>
                <w:szCs w:val="10"/>
              </w:rPr>
              <w:br/>
              <w:t>(16MOP+</w:t>
            </w:r>
            <w:r w:rsidRPr="00F9037E">
              <w:rPr>
                <w:rFonts w:ascii="Arial" w:hAnsi="Arial"/>
                <w:b/>
                <w:sz w:val="10"/>
                <w:szCs w:val="10"/>
              </w:rPr>
              <w:br/>
              <w:t>2ExMOP+</w:t>
            </w:r>
            <w:r w:rsidRPr="00F9037E">
              <w:rPr>
                <w:rFonts w:ascii="Arial" w:hAnsi="Arial"/>
                <w:b/>
                <w:sz w:val="10"/>
                <w:szCs w:val="10"/>
              </w:rPr>
              <w:br/>
              <w:t>17MOP)</w:t>
            </w:r>
          </w:p>
        </w:tc>
        <w:tc>
          <w:tcPr>
            <w:tcW w:w="567" w:type="dxa"/>
          </w:tcPr>
          <w:p w14:paraId="6F5A1110" w14:textId="77777777" w:rsidR="0082736F" w:rsidRPr="00F9037E" w:rsidRDefault="0082736F" w:rsidP="006955C5">
            <w:pPr>
              <w:keepNext/>
              <w:keepLines/>
              <w:spacing w:before="120" w:after="100" w:afterAutospacing="1"/>
              <w:ind w:left="-107" w:right="-49"/>
              <w:jc w:val="center"/>
              <w:rPr>
                <w:rFonts w:ascii="Arial" w:hAnsi="Arial"/>
                <w:b/>
                <w:sz w:val="10"/>
                <w:szCs w:val="10"/>
              </w:rPr>
            </w:pPr>
            <w:r w:rsidRPr="00F9037E">
              <w:rPr>
                <w:rFonts w:ascii="Arial" w:hAnsi="Arial"/>
                <w:b/>
                <w:sz w:val="10"/>
                <w:szCs w:val="10"/>
              </w:rPr>
              <w:t>2007</w:t>
            </w:r>
            <w:r w:rsidRPr="00F9037E">
              <w:rPr>
                <w:rFonts w:ascii="Arial" w:hAnsi="Arial"/>
                <w:b/>
                <w:sz w:val="10"/>
                <w:szCs w:val="10"/>
              </w:rPr>
              <w:br/>
              <w:t>(17MOP + 18MOP)</w:t>
            </w:r>
            <w:r w:rsidRPr="00F9037E">
              <w:rPr>
                <w:rFonts w:ascii="Arial" w:hAnsi="Arial"/>
                <w:b/>
                <w:sz w:val="10"/>
                <w:szCs w:val="10"/>
              </w:rPr>
              <w:br/>
            </w:r>
          </w:p>
        </w:tc>
        <w:tc>
          <w:tcPr>
            <w:tcW w:w="567" w:type="dxa"/>
          </w:tcPr>
          <w:p w14:paraId="6D4D85E6" w14:textId="77777777" w:rsidR="0082736F" w:rsidRPr="00F9037E" w:rsidRDefault="0082736F" w:rsidP="006955C5">
            <w:pPr>
              <w:keepNext/>
              <w:keepLines/>
              <w:spacing w:before="120" w:after="100" w:afterAutospacing="1"/>
              <w:ind w:left="-107" w:right="-49"/>
              <w:jc w:val="center"/>
              <w:rPr>
                <w:rFonts w:ascii="Arial" w:hAnsi="Arial"/>
                <w:sz w:val="10"/>
                <w:szCs w:val="10"/>
              </w:rPr>
            </w:pPr>
            <w:r w:rsidRPr="00F9037E">
              <w:rPr>
                <w:rFonts w:ascii="Arial" w:hAnsi="Arial"/>
                <w:b/>
                <w:sz w:val="10"/>
                <w:szCs w:val="10"/>
              </w:rPr>
              <w:t>2008</w:t>
            </w:r>
            <w:r w:rsidRPr="00F9037E">
              <w:rPr>
                <w:rFonts w:ascii="Arial" w:hAnsi="Arial"/>
                <w:b/>
                <w:sz w:val="10"/>
                <w:szCs w:val="10"/>
              </w:rPr>
              <w:br/>
              <w:t>(18MOP</w:t>
            </w:r>
            <w:r w:rsidRPr="00F9037E">
              <w:rPr>
                <w:rFonts w:ascii="Arial" w:hAnsi="Arial"/>
                <w:b/>
                <w:sz w:val="10"/>
                <w:szCs w:val="10"/>
              </w:rPr>
              <w:br/>
              <w:t>+</w:t>
            </w:r>
            <w:r w:rsidRPr="00F9037E">
              <w:rPr>
                <w:rFonts w:ascii="Arial" w:hAnsi="Arial"/>
                <w:b/>
                <w:sz w:val="10"/>
                <w:szCs w:val="10"/>
              </w:rPr>
              <w:br/>
              <w:t>19MOP)</w:t>
            </w:r>
          </w:p>
        </w:tc>
        <w:tc>
          <w:tcPr>
            <w:tcW w:w="567" w:type="dxa"/>
          </w:tcPr>
          <w:p w14:paraId="5216C8C2" w14:textId="77777777" w:rsidR="0082736F" w:rsidRPr="00F9037E" w:rsidRDefault="0082736F" w:rsidP="006955C5">
            <w:pPr>
              <w:keepNext/>
              <w:keepLines/>
              <w:spacing w:before="120" w:after="100" w:afterAutospacing="1"/>
              <w:ind w:left="-107" w:right="-49"/>
              <w:jc w:val="center"/>
              <w:rPr>
                <w:rFonts w:ascii="Arial" w:hAnsi="Arial"/>
                <w:sz w:val="10"/>
                <w:szCs w:val="10"/>
              </w:rPr>
            </w:pPr>
            <w:r w:rsidRPr="00F9037E">
              <w:rPr>
                <w:rFonts w:ascii="Arial" w:hAnsi="Arial"/>
                <w:b/>
                <w:sz w:val="10"/>
                <w:szCs w:val="10"/>
              </w:rPr>
              <w:t>2009</w:t>
            </w:r>
            <w:r w:rsidRPr="00F9037E">
              <w:rPr>
                <w:rFonts w:ascii="Arial" w:hAnsi="Arial"/>
                <w:b/>
                <w:sz w:val="10"/>
                <w:szCs w:val="10"/>
              </w:rPr>
              <w:br/>
              <w:t>(19MOP)</w:t>
            </w:r>
            <w:r w:rsidRPr="00F9037E">
              <w:rPr>
                <w:rFonts w:ascii="Arial" w:hAnsi="Arial"/>
                <w:b/>
                <w:sz w:val="10"/>
                <w:szCs w:val="10"/>
              </w:rPr>
              <w:br/>
            </w:r>
          </w:p>
        </w:tc>
        <w:tc>
          <w:tcPr>
            <w:tcW w:w="567" w:type="dxa"/>
          </w:tcPr>
          <w:p w14:paraId="4F208C39" w14:textId="77777777" w:rsidR="0082736F" w:rsidRPr="00F9037E" w:rsidRDefault="0082736F" w:rsidP="006955C5">
            <w:pPr>
              <w:keepNext/>
              <w:keepLines/>
              <w:spacing w:before="120" w:after="100" w:afterAutospacing="1"/>
              <w:ind w:left="-107" w:right="-49"/>
              <w:jc w:val="center"/>
              <w:rPr>
                <w:rFonts w:ascii="Arial" w:hAnsi="Arial"/>
                <w:b/>
                <w:sz w:val="10"/>
                <w:szCs w:val="10"/>
              </w:rPr>
            </w:pPr>
            <w:r w:rsidRPr="00F9037E">
              <w:rPr>
                <w:rFonts w:ascii="Arial" w:hAnsi="Arial"/>
                <w:b/>
                <w:sz w:val="10"/>
                <w:szCs w:val="10"/>
              </w:rPr>
              <w:t>2010</w:t>
            </w:r>
            <w:r w:rsidRPr="00F9037E">
              <w:rPr>
                <w:rFonts w:ascii="Arial" w:hAnsi="Arial"/>
                <w:b/>
                <w:sz w:val="10"/>
                <w:szCs w:val="10"/>
              </w:rPr>
              <w:br/>
              <w:t>(20MOP</w:t>
            </w:r>
            <w:r w:rsidRPr="00F9037E">
              <w:rPr>
                <w:rFonts w:ascii="Arial" w:hAnsi="Arial"/>
                <w:b/>
                <w:sz w:val="10"/>
                <w:szCs w:val="10"/>
              </w:rPr>
              <w:br/>
              <w:t>+</w:t>
            </w:r>
            <w:r w:rsidRPr="00F9037E">
              <w:rPr>
                <w:rFonts w:ascii="Arial" w:hAnsi="Arial"/>
                <w:b/>
                <w:sz w:val="10"/>
                <w:szCs w:val="10"/>
              </w:rPr>
              <w:br/>
              <w:t>21MOP)</w:t>
            </w:r>
          </w:p>
        </w:tc>
        <w:tc>
          <w:tcPr>
            <w:tcW w:w="567" w:type="dxa"/>
          </w:tcPr>
          <w:p w14:paraId="2EB04711" w14:textId="77777777" w:rsidR="0082736F" w:rsidRPr="00F9037E" w:rsidRDefault="0082736F" w:rsidP="006955C5">
            <w:pPr>
              <w:pStyle w:val="NormalWeb"/>
              <w:spacing w:before="120"/>
              <w:ind w:left="-107" w:right="-49"/>
              <w:jc w:val="center"/>
              <w:rPr>
                <w:sz w:val="10"/>
                <w:szCs w:val="10"/>
                <w:lang w:val="en-GB"/>
              </w:rPr>
            </w:pPr>
            <w:r w:rsidRPr="00F9037E">
              <w:rPr>
                <w:rStyle w:val="Strong"/>
                <w:bCs/>
                <w:sz w:val="10"/>
                <w:szCs w:val="10"/>
                <w:lang w:val="en-GB"/>
              </w:rPr>
              <w:t>2011</w:t>
            </w:r>
            <w:r w:rsidRPr="00F9037E">
              <w:rPr>
                <w:sz w:val="10"/>
                <w:szCs w:val="10"/>
                <w:lang w:val="en-GB"/>
              </w:rPr>
              <w:br/>
            </w:r>
            <w:r w:rsidRPr="00F9037E">
              <w:rPr>
                <w:rStyle w:val="Strong"/>
                <w:bCs/>
                <w:sz w:val="10"/>
                <w:szCs w:val="10"/>
                <w:lang w:val="en-GB"/>
              </w:rPr>
              <w:t>(21MOP)</w:t>
            </w:r>
          </w:p>
        </w:tc>
        <w:tc>
          <w:tcPr>
            <w:tcW w:w="567" w:type="dxa"/>
          </w:tcPr>
          <w:p w14:paraId="3BA32148" w14:textId="77777777" w:rsidR="0082736F" w:rsidRPr="00F9037E" w:rsidRDefault="0082736F" w:rsidP="006955C5">
            <w:pPr>
              <w:pStyle w:val="NormalWeb"/>
              <w:spacing w:before="120" w:after="0"/>
              <w:ind w:left="-108" w:right="-51"/>
              <w:jc w:val="center"/>
              <w:rPr>
                <w:rStyle w:val="Strong"/>
                <w:bCs/>
                <w:sz w:val="10"/>
                <w:szCs w:val="10"/>
                <w:lang w:val="en-GB"/>
              </w:rPr>
            </w:pPr>
            <w:r w:rsidRPr="00F9037E">
              <w:rPr>
                <w:rStyle w:val="Strong"/>
                <w:bCs/>
                <w:sz w:val="10"/>
                <w:szCs w:val="10"/>
                <w:lang w:val="en-GB"/>
              </w:rPr>
              <w:t>2012</w:t>
            </w:r>
          </w:p>
          <w:p w14:paraId="7C409348" w14:textId="77777777" w:rsidR="0082736F" w:rsidRPr="00F9037E" w:rsidRDefault="0082736F" w:rsidP="006955C5">
            <w:pPr>
              <w:pStyle w:val="NormalWeb"/>
              <w:spacing w:before="0"/>
              <w:ind w:left="-108" w:right="-51"/>
              <w:rPr>
                <w:rStyle w:val="Strong"/>
                <w:bCs/>
                <w:sz w:val="10"/>
                <w:szCs w:val="10"/>
                <w:lang w:val="en-GB"/>
              </w:rPr>
            </w:pPr>
            <w:r w:rsidRPr="00F9037E">
              <w:rPr>
                <w:rStyle w:val="Strong"/>
                <w:bCs/>
                <w:sz w:val="10"/>
                <w:szCs w:val="10"/>
                <w:lang w:val="en-GB"/>
              </w:rPr>
              <w:t>(22MOP)</w:t>
            </w:r>
          </w:p>
        </w:tc>
        <w:tc>
          <w:tcPr>
            <w:tcW w:w="567" w:type="dxa"/>
          </w:tcPr>
          <w:p w14:paraId="545F1FF9" w14:textId="77777777" w:rsidR="0082736F" w:rsidRPr="00F9037E" w:rsidRDefault="0082736F" w:rsidP="006955C5">
            <w:pPr>
              <w:pStyle w:val="NormalWeb"/>
              <w:spacing w:before="120" w:after="0"/>
              <w:ind w:left="-108" w:right="-51"/>
              <w:jc w:val="center"/>
              <w:rPr>
                <w:rStyle w:val="Strong"/>
                <w:bCs/>
                <w:sz w:val="10"/>
                <w:szCs w:val="10"/>
                <w:lang w:val="en-GB"/>
              </w:rPr>
            </w:pPr>
            <w:r w:rsidRPr="00F9037E">
              <w:rPr>
                <w:rStyle w:val="Strong"/>
                <w:bCs/>
                <w:sz w:val="10"/>
                <w:szCs w:val="10"/>
                <w:lang w:val="en-GB"/>
              </w:rPr>
              <w:t>2013</w:t>
            </w:r>
          </w:p>
          <w:p w14:paraId="605A862C" w14:textId="77777777" w:rsidR="0082736F" w:rsidRPr="00F9037E" w:rsidRDefault="0082736F" w:rsidP="006955C5">
            <w:pPr>
              <w:pStyle w:val="NormalWeb"/>
              <w:spacing w:before="0"/>
              <w:ind w:left="-108" w:right="-51"/>
              <w:jc w:val="center"/>
              <w:rPr>
                <w:rStyle w:val="Strong"/>
                <w:bCs/>
                <w:sz w:val="10"/>
                <w:szCs w:val="10"/>
                <w:lang w:val="en-GB"/>
              </w:rPr>
            </w:pPr>
            <w:r w:rsidRPr="00F9037E">
              <w:rPr>
                <w:rStyle w:val="Strong"/>
                <w:bCs/>
                <w:sz w:val="10"/>
                <w:szCs w:val="10"/>
                <w:lang w:val="en-GB"/>
              </w:rPr>
              <w:t>(23MOP)</w:t>
            </w:r>
          </w:p>
        </w:tc>
        <w:tc>
          <w:tcPr>
            <w:tcW w:w="567" w:type="dxa"/>
          </w:tcPr>
          <w:p w14:paraId="0BDA2359" w14:textId="77777777" w:rsidR="0082736F" w:rsidRPr="00F9037E" w:rsidRDefault="0082736F" w:rsidP="006955C5">
            <w:pPr>
              <w:pStyle w:val="NormalWeb"/>
              <w:spacing w:before="120" w:after="0"/>
              <w:ind w:left="-108" w:right="-51"/>
              <w:jc w:val="center"/>
              <w:rPr>
                <w:rStyle w:val="Strong"/>
                <w:bCs/>
                <w:sz w:val="10"/>
                <w:szCs w:val="10"/>
                <w:lang w:val="en-GB"/>
              </w:rPr>
            </w:pPr>
            <w:r w:rsidRPr="00F9037E">
              <w:rPr>
                <w:rStyle w:val="Strong"/>
                <w:bCs/>
                <w:sz w:val="10"/>
                <w:szCs w:val="10"/>
                <w:lang w:val="en-GB"/>
              </w:rPr>
              <w:t>2014</w:t>
            </w:r>
          </w:p>
          <w:p w14:paraId="4A8ACD3F" w14:textId="77777777" w:rsidR="0082736F" w:rsidRPr="00F9037E" w:rsidRDefault="0082736F" w:rsidP="006955C5">
            <w:pPr>
              <w:pStyle w:val="NormalWeb"/>
              <w:spacing w:before="0"/>
              <w:ind w:left="-108" w:right="-51"/>
              <w:rPr>
                <w:rStyle w:val="Strong"/>
                <w:bCs/>
                <w:sz w:val="10"/>
                <w:szCs w:val="10"/>
                <w:lang w:val="en-GB"/>
              </w:rPr>
            </w:pPr>
            <w:r w:rsidRPr="00F9037E">
              <w:rPr>
                <w:rStyle w:val="Strong"/>
                <w:bCs/>
                <w:sz w:val="10"/>
                <w:szCs w:val="10"/>
                <w:lang w:val="en-GB"/>
              </w:rPr>
              <w:t>(24MOP)</w:t>
            </w:r>
          </w:p>
        </w:tc>
        <w:tc>
          <w:tcPr>
            <w:tcW w:w="567" w:type="dxa"/>
          </w:tcPr>
          <w:p w14:paraId="49F0C167" w14:textId="77777777" w:rsidR="0082736F" w:rsidRPr="00F9037E" w:rsidRDefault="0082736F" w:rsidP="006955C5">
            <w:pPr>
              <w:keepNext/>
              <w:keepLines/>
              <w:spacing w:before="120" w:after="0"/>
              <w:ind w:left="-108" w:right="-51"/>
              <w:jc w:val="center"/>
              <w:rPr>
                <w:rFonts w:ascii="Arial" w:hAnsi="Arial"/>
                <w:b/>
                <w:sz w:val="10"/>
                <w:szCs w:val="10"/>
              </w:rPr>
            </w:pPr>
            <w:r w:rsidRPr="00F9037E">
              <w:rPr>
                <w:rFonts w:ascii="Arial" w:hAnsi="Arial"/>
                <w:b/>
                <w:sz w:val="10"/>
                <w:szCs w:val="10"/>
              </w:rPr>
              <w:t xml:space="preserve">2015  </w:t>
            </w:r>
          </w:p>
          <w:p w14:paraId="34386C41" w14:textId="77777777" w:rsidR="0082736F" w:rsidRPr="00F9037E" w:rsidRDefault="0082736F" w:rsidP="006955C5">
            <w:pPr>
              <w:keepNext/>
              <w:keepLines/>
              <w:spacing w:after="0"/>
              <w:ind w:left="-108" w:right="-51"/>
              <w:jc w:val="center"/>
              <w:rPr>
                <w:rFonts w:ascii="Arial" w:hAnsi="Arial"/>
                <w:b/>
                <w:sz w:val="10"/>
                <w:szCs w:val="10"/>
              </w:rPr>
            </w:pPr>
            <w:r w:rsidRPr="00F9037E">
              <w:rPr>
                <w:rFonts w:ascii="Arial" w:hAnsi="Arial"/>
                <w:b/>
                <w:sz w:val="10"/>
                <w:szCs w:val="10"/>
              </w:rPr>
              <w:t>(25 MOP)</w:t>
            </w:r>
          </w:p>
          <w:p w14:paraId="739DB94D" w14:textId="77777777" w:rsidR="0082736F" w:rsidRPr="00F9037E" w:rsidRDefault="0082736F" w:rsidP="006955C5">
            <w:pPr>
              <w:keepNext/>
              <w:keepLines/>
              <w:spacing w:after="0"/>
              <w:ind w:left="-108" w:right="-51"/>
              <w:jc w:val="center"/>
              <w:rPr>
                <w:rFonts w:ascii="Arial" w:hAnsi="Arial"/>
                <w:b/>
                <w:sz w:val="10"/>
                <w:szCs w:val="10"/>
              </w:rPr>
            </w:pPr>
          </w:p>
        </w:tc>
        <w:tc>
          <w:tcPr>
            <w:tcW w:w="567" w:type="dxa"/>
          </w:tcPr>
          <w:p w14:paraId="04DAA7F3" w14:textId="77777777" w:rsidR="0082736F" w:rsidRPr="00F9037E" w:rsidRDefault="0082736F" w:rsidP="006955C5">
            <w:pPr>
              <w:keepNext/>
              <w:keepLines/>
              <w:spacing w:before="120" w:after="0"/>
              <w:ind w:left="-108" w:right="-51"/>
              <w:jc w:val="center"/>
              <w:rPr>
                <w:rFonts w:ascii="Arial" w:hAnsi="Arial"/>
                <w:b/>
                <w:sz w:val="10"/>
                <w:szCs w:val="10"/>
              </w:rPr>
            </w:pPr>
            <w:r w:rsidRPr="00F9037E">
              <w:rPr>
                <w:rFonts w:ascii="Arial" w:hAnsi="Arial"/>
                <w:b/>
                <w:sz w:val="10"/>
                <w:szCs w:val="10"/>
              </w:rPr>
              <w:t xml:space="preserve">2016  </w:t>
            </w:r>
          </w:p>
          <w:p w14:paraId="5369DB2F" w14:textId="77777777" w:rsidR="0082736F" w:rsidRPr="00F9037E" w:rsidRDefault="0082736F" w:rsidP="006955C5">
            <w:pPr>
              <w:keepNext/>
              <w:keepLines/>
              <w:spacing w:after="0"/>
              <w:ind w:left="-108" w:right="-51"/>
              <w:jc w:val="center"/>
              <w:rPr>
                <w:rFonts w:ascii="Arial" w:hAnsi="Arial"/>
                <w:b/>
                <w:sz w:val="10"/>
                <w:szCs w:val="10"/>
              </w:rPr>
            </w:pPr>
            <w:r w:rsidRPr="00F9037E">
              <w:rPr>
                <w:rFonts w:ascii="Arial" w:hAnsi="Arial"/>
                <w:b/>
                <w:sz w:val="10"/>
                <w:szCs w:val="10"/>
              </w:rPr>
              <w:t>(26 MOP)</w:t>
            </w:r>
          </w:p>
          <w:p w14:paraId="1F0A85F9" w14:textId="77777777" w:rsidR="0082736F" w:rsidRPr="00F9037E" w:rsidRDefault="0082736F" w:rsidP="006955C5">
            <w:pPr>
              <w:keepNext/>
              <w:keepLines/>
              <w:spacing w:before="120" w:after="100" w:afterAutospacing="1"/>
              <w:ind w:left="-107" w:right="-49"/>
              <w:jc w:val="center"/>
              <w:rPr>
                <w:rFonts w:ascii="Arial" w:hAnsi="Arial"/>
                <w:b/>
                <w:sz w:val="10"/>
                <w:szCs w:val="10"/>
              </w:rPr>
            </w:pPr>
          </w:p>
        </w:tc>
        <w:tc>
          <w:tcPr>
            <w:tcW w:w="709" w:type="dxa"/>
          </w:tcPr>
          <w:p w14:paraId="71C26A82" w14:textId="77777777" w:rsidR="000718F1" w:rsidRPr="00F9037E" w:rsidRDefault="00F565F1" w:rsidP="006955C5">
            <w:pPr>
              <w:keepNext/>
              <w:keepLines/>
              <w:spacing w:before="120" w:after="0"/>
              <w:ind w:left="-108" w:right="-51"/>
              <w:jc w:val="center"/>
              <w:rPr>
                <w:rFonts w:ascii="Arial" w:hAnsi="Arial"/>
                <w:b/>
                <w:sz w:val="14"/>
                <w:szCs w:val="10"/>
              </w:rPr>
            </w:pPr>
            <w:r w:rsidRPr="00F9037E">
              <w:rPr>
                <w:rFonts w:ascii="Arial" w:hAnsi="Arial"/>
                <w:b/>
                <w:sz w:val="14"/>
                <w:szCs w:val="10"/>
              </w:rPr>
              <w:t>[</w:t>
            </w:r>
            <w:r w:rsidR="0082736F" w:rsidRPr="00F9037E">
              <w:rPr>
                <w:rFonts w:ascii="Arial" w:hAnsi="Arial"/>
                <w:b/>
                <w:sz w:val="14"/>
                <w:szCs w:val="10"/>
              </w:rPr>
              <w:t>2017</w:t>
            </w:r>
            <w:r w:rsidRPr="00F9037E">
              <w:rPr>
                <w:rFonts w:ascii="Arial" w:hAnsi="Arial"/>
                <w:b/>
                <w:sz w:val="14"/>
                <w:szCs w:val="10"/>
              </w:rPr>
              <w:t>]</w:t>
            </w:r>
          </w:p>
          <w:p w14:paraId="4A7D0140" w14:textId="77777777" w:rsidR="0082736F" w:rsidRPr="00F9037E" w:rsidRDefault="00F565F1" w:rsidP="00F565F1">
            <w:pPr>
              <w:keepNext/>
              <w:keepLines/>
              <w:spacing w:before="120" w:after="0"/>
              <w:ind w:left="-108" w:right="-51"/>
              <w:rPr>
                <w:rFonts w:ascii="Arial" w:hAnsi="Arial"/>
                <w:b/>
                <w:sz w:val="14"/>
                <w:szCs w:val="10"/>
              </w:rPr>
            </w:pPr>
            <w:r w:rsidRPr="00F9037E">
              <w:rPr>
                <w:rFonts w:ascii="Arial" w:hAnsi="Arial"/>
                <w:b/>
                <w:sz w:val="14"/>
                <w:szCs w:val="10"/>
              </w:rPr>
              <w:t>+</w:t>
            </w:r>
            <w:r w:rsidR="000718F1" w:rsidRPr="00F9037E">
              <w:rPr>
                <w:rFonts w:ascii="Arial" w:hAnsi="Arial"/>
                <w:b/>
                <w:sz w:val="14"/>
                <w:szCs w:val="10"/>
              </w:rPr>
              <w:t xml:space="preserve"> </w:t>
            </w:r>
            <w:r w:rsidR="0082736F" w:rsidRPr="00F9037E">
              <w:rPr>
                <w:rFonts w:ascii="Arial" w:hAnsi="Arial"/>
                <w:b/>
                <w:sz w:val="14"/>
                <w:szCs w:val="10"/>
              </w:rPr>
              <w:t>27 MOP</w:t>
            </w:r>
          </w:p>
        </w:tc>
        <w:tc>
          <w:tcPr>
            <w:tcW w:w="709" w:type="dxa"/>
          </w:tcPr>
          <w:p w14:paraId="38A5D030" w14:textId="77777777" w:rsidR="0082736F" w:rsidRPr="00F9037E" w:rsidRDefault="00F565F1" w:rsidP="006955C5">
            <w:pPr>
              <w:keepNext/>
              <w:keepLines/>
              <w:spacing w:before="120" w:after="100" w:afterAutospacing="1"/>
              <w:ind w:left="-107" w:right="-49"/>
              <w:jc w:val="center"/>
              <w:rPr>
                <w:rFonts w:ascii="Arial" w:hAnsi="Arial"/>
                <w:b/>
                <w:sz w:val="14"/>
                <w:szCs w:val="12"/>
              </w:rPr>
            </w:pPr>
            <w:r w:rsidRPr="00F9037E">
              <w:rPr>
                <w:rFonts w:ascii="Arial" w:hAnsi="Arial"/>
                <w:b/>
                <w:sz w:val="14"/>
                <w:szCs w:val="12"/>
              </w:rPr>
              <w:t>[</w:t>
            </w:r>
            <w:r w:rsidR="0082736F" w:rsidRPr="00F9037E">
              <w:rPr>
                <w:rFonts w:ascii="Arial" w:hAnsi="Arial"/>
                <w:b/>
                <w:sz w:val="14"/>
                <w:szCs w:val="12"/>
              </w:rPr>
              <w:t>2018</w:t>
            </w:r>
            <w:r w:rsidRPr="00F9037E">
              <w:rPr>
                <w:rFonts w:ascii="Arial" w:hAnsi="Arial"/>
                <w:b/>
                <w:sz w:val="14"/>
                <w:szCs w:val="12"/>
              </w:rPr>
              <w:t>]</w:t>
            </w:r>
          </w:p>
        </w:tc>
      </w:tr>
      <w:tr w:rsidR="002F6DFE" w:rsidRPr="00F9037E" w14:paraId="3F054867" w14:textId="77777777" w:rsidTr="000718F1">
        <w:tc>
          <w:tcPr>
            <w:tcW w:w="992" w:type="dxa"/>
            <w:vAlign w:val="center"/>
          </w:tcPr>
          <w:p w14:paraId="7F06ECDE" w14:textId="77777777" w:rsidR="0082736F" w:rsidRPr="00F9037E" w:rsidRDefault="0082736F" w:rsidP="006955C5">
            <w:pPr>
              <w:keepNext/>
              <w:keepLines/>
              <w:spacing w:before="120" w:after="120"/>
              <w:jc w:val="center"/>
              <w:rPr>
                <w:rFonts w:ascii="Arial" w:hAnsi="Arial"/>
                <w:sz w:val="14"/>
                <w:szCs w:val="10"/>
              </w:rPr>
            </w:pPr>
            <w:r w:rsidRPr="00F9037E">
              <w:rPr>
                <w:rFonts w:ascii="Arial" w:hAnsi="Arial"/>
                <w:sz w:val="14"/>
                <w:szCs w:val="10"/>
              </w:rPr>
              <w:t>Australia</w:t>
            </w:r>
          </w:p>
        </w:tc>
        <w:tc>
          <w:tcPr>
            <w:tcW w:w="567" w:type="dxa"/>
            <w:vAlign w:val="center"/>
          </w:tcPr>
          <w:p w14:paraId="47B9FFBA" w14:textId="77777777" w:rsidR="0082736F" w:rsidRPr="00F9037E" w:rsidRDefault="0082736F" w:rsidP="006955C5">
            <w:pPr>
              <w:keepNext/>
              <w:keepLines/>
              <w:spacing w:before="120" w:after="120"/>
              <w:ind w:left="-107" w:right="-49"/>
              <w:jc w:val="center"/>
              <w:rPr>
                <w:rFonts w:ascii="Arial" w:hAnsi="Arial"/>
                <w:sz w:val="10"/>
                <w:szCs w:val="10"/>
              </w:rPr>
            </w:pPr>
            <w:r w:rsidRPr="00F9037E">
              <w:rPr>
                <w:rFonts w:ascii="Arial" w:hAnsi="Arial"/>
                <w:sz w:val="10"/>
                <w:szCs w:val="10"/>
              </w:rPr>
              <w:t>206.950</w:t>
            </w:r>
          </w:p>
        </w:tc>
        <w:tc>
          <w:tcPr>
            <w:tcW w:w="567" w:type="dxa"/>
            <w:vAlign w:val="center"/>
          </w:tcPr>
          <w:p w14:paraId="45945ECF" w14:textId="77777777" w:rsidR="0082736F" w:rsidRPr="00F9037E" w:rsidRDefault="0082736F" w:rsidP="006955C5">
            <w:pPr>
              <w:keepNext/>
              <w:keepLines/>
              <w:spacing w:before="120" w:after="120"/>
              <w:ind w:left="-107" w:right="-49"/>
              <w:jc w:val="center"/>
              <w:rPr>
                <w:rFonts w:ascii="Arial" w:hAnsi="Arial"/>
                <w:sz w:val="10"/>
                <w:szCs w:val="10"/>
              </w:rPr>
            </w:pPr>
            <w:r w:rsidRPr="00F9037E">
              <w:rPr>
                <w:rFonts w:ascii="Arial" w:hAnsi="Arial"/>
                <w:sz w:val="10"/>
                <w:szCs w:val="10"/>
              </w:rPr>
              <w:t>52.900</w:t>
            </w:r>
          </w:p>
        </w:tc>
        <w:tc>
          <w:tcPr>
            <w:tcW w:w="567" w:type="dxa"/>
            <w:vAlign w:val="center"/>
          </w:tcPr>
          <w:p w14:paraId="6805F5AD" w14:textId="77777777" w:rsidR="0082736F" w:rsidRPr="00F9037E" w:rsidRDefault="0082736F" w:rsidP="006955C5">
            <w:pPr>
              <w:keepNext/>
              <w:keepLines/>
              <w:spacing w:before="120" w:after="120"/>
              <w:ind w:left="-107" w:right="-49"/>
              <w:jc w:val="center"/>
              <w:rPr>
                <w:rFonts w:ascii="Arial" w:hAnsi="Arial"/>
                <w:sz w:val="10"/>
                <w:szCs w:val="10"/>
              </w:rPr>
            </w:pPr>
            <w:r w:rsidRPr="00F9037E">
              <w:rPr>
                <w:rFonts w:ascii="Arial" w:hAnsi="Arial"/>
                <w:sz w:val="10"/>
                <w:szCs w:val="10"/>
              </w:rPr>
              <w:t>38.990</w:t>
            </w:r>
          </w:p>
        </w:tc>
        <w:tc>
          <w:tcPr>
            <w:tcW w:w="567" w:type="dxa"/>
            <w:vAlign w:val="center"/>
          </w:tcPr>
          <w:p w14:paraId="47AEDCD1" w14:textId="77777777" w:rsidR="0082736F" w:rsidRPr="00F9037E" w:rsidRDefault="0082736F" w:rsidP="006955C5">
            <w:pPr>
              <w:keepNext/>
              <w:keepLines/>
              <w:spacing w:before="120" w:after="120"/>
              <w:ind w:left="-107" w:right="-49"/>
              <w:jc w:val="center"/>
              <w:rPr>
                <w:rFonts w:ascii="Arial" w:hAnsi="Arial"/>
                <w:sz w:val="10"/>
                <w:szCs w:val="10"/>
              </w:rPr>
            </w:pPr>
            <w:r w:rsidRPr="00F9037E">
              <w:rPr>
                <w:rFonts w:ascii="Arial" w:hAnsi="Arial"/>
                <w:sz w:val="10"/>
                <w:szCs w:val="10"/>
              </w:rPr>
              <w:t>37.610</w:t>
            </w:r>
          </w:p>
        </w:tc>
        <w:tc>
          <w:tcPr>
            <w:tcW w:w="567" w:type="dxa"/>
            <w:vAlign w:val="center"/>
          </w:tcPr>
          <w:p w14:paraId="1A5A1824" w14:textId="77777777" w:rsidR="0082736F" w:rsidRPr="00F9037E" w:rsidRDefault="0082736F" w:rsidP="006955C5">
            <w:pPr>
              <w:keepNext/>
              <w:keepLines/>
              <w:spacing w:before="120" w:after="120"/>
              <w:ind w:left="-107" w:right="-49"/>
              <w:jc w:val="center"/>
              <w:rPr>
                <w:rFonts w:ascii="Arial" w:hAnsi="Arial"/>
                <w:sz w:val="10"/>
                <w:szCs w:val="10"/>
              </w:rPr>
            </w:pPr>
            <w:r w:rsidRPr="00F9037E">
              <w:rPr>
                <w:rFonts w:ascii="Arial" w:hAnsi="Arial"/>
                <w:sz w:val="10"/>
                <w:szCs w:val="10"/>
              </w:rPr>
              <w:t>35.450</w:t>
            </w:r>
          </w:p>
        </w:tc>
        <w:tc>
          <w:tcPr>
            <w:tcW w:w="567" w:type="dxa"/>
            <w:vAlign w:val="center"/>
          </w:tcPr>
          <w:p w14:paraId="0D5CEB3B" w14:textId="77777777" w:rsidR="0082736F" w:rsidRPr="00F9037E" w:rsidRDefault="0082736F" w:rsidP="006955C5">
            <w:pPr>
              <w:keepNext/>
              <w:keepLines/>
              <w:spacing w:before="120" w:after="120"/>
              <w:ind w:left="-107" w:right="-49"/>
              <w:jc w:val="center"/>
              <w:rPr>
                <w:rFonts w:ascii="Arial" w:hAnsi="Arial"/>
                <w:sz w:val="10"/>
                <w:szCs w:val="10"/>
              </w:rPr>
            </w:pPr>
            <w:r w:rsidRPr="00F9037E">
              <w:rPr>
                <w:rFonts w:ascii="Arial" w:hAnsi="Arial"/>
                <w:sz w:val="10"/>
                <w:szCs w:val="10"/>
              </w:rPr>
              <w:t>34.660</w:t>
            </w:r>
          </w:p>
        </w:tc>
        <w:tc>
          <w:tcPr>
            <w:tcW w:w="425" w:type="dxa"/>
            <w:vAlign w:val="center"/>
          </w:tcPr>
          <w:p w14:paraId="40B8FB38" w14:textId="77777777" w:rsidR="0082736F" w:rsidRPr="00F9037E" w:rsidRDefault="0082736F" w:rsidP="006955C5">
            <w:pPr>
              <w:keepNext/>
              <w:keepLines/>
              <w:spacing w:before="120" w:after="120"/>
              <w:ind w:left="-107" w:right="-49"/>
              <w:jc w:val="center"/>
              <w:rPr>
                <w:rFonts w:ascii="Arial" w:hAnsi="Arial"/>
                <w:sz w:val="10"/>
                <w:szCs w:val="10"/>
              </w:rPr>
            </w:pPr>
            <w:r w:rsidRPr="00F9037E">
              <w:rPr>
                <w:rFonts w:ascii="Arial" w:hAnsi="Arial"/>
                <w:sz w:val="10"/>
                <w:szCs w:val="10"/>
              </w:rPr>
              <w:t>32.164</w:t>
            </w:r>
          </w:p>
        </w:tc>
        <w:tc>
          <w:tcPr>
            <w:tcW w:w="426" w:type="dxa"/>
            <w:vAlign w:val="center"/>
          </w:tcPr>
          <w:p w14:paraId="138A6372" w14:textId="77777777" w:rsidR="0082736F" w:rsidRPr="00F9037E" w:rsidRDefault="0082736F" w:rsidP="006955C5">
            <w:pPr>
              <w:keepNext/>
              <w:keepLines/>
              <w:spacing w:before="120" w:after="120"/>
              <w:ind w:left="-107" w:right="-49"/>
              <w:jc w:val="center"/>
              <w:rPr>
                <w:rFonts w:ascii="Arial" w:hAnsi="Arial"/>
                <w:sz w:val="10"/>
                <w:szCs w:val="10"/>
              </w:rPr>
            </w:pPr>
            <w:r w:rsidRPr="00F9037E">
              <w:rPr>
                <w:rFonts w:ascii="Arial" w:hAnsi="Arial"/>
                <w:sz w:val="10"/>
                <w:szCs w:val="10"/>
              </w:rPr>
              <w:t>30.947</w:t>
            </w:r>
          </w:p>
        </w:tc>
        <w:tc>
          <w:tcPr>
            <w:tcW w:w="425" w:type="dxa"/>
            <w:vAlign w:val="center"/>
          </w:tcPr>
          <w:p w14:paraId="3F15C68F" w14:textId="77777777" w:rsidR="0082736F" w:rsidRPr="00F9037E" w:rsidRDefault="0082736F" w:rsidP="006955C5">
            <w:pPr>
              <w:keepNext/>
              <w:keepLines/>
              <w:spacing w:before="120" w:after="120"/>
              <w:ind w:left="-107" w:right="-49"/>
              <w:jc w:val="center"/>
              <w:rPr>
                <w:rFonts w:ascii="Arial" w:hAnsi="Arial"/>
                <w:sz w:val="10"/>
                <w:szCs w:val="10"/>
              </w:rPr>
            </w:pPr>
            <w:r w:rsidRPr="00F9037E">
              <w:rPr>
                <w:rFonts w:ascii="Arial" w:hAnsi="Arial"/>
                <w:sz w:val="10"/>
                <w:szCs w:val="10"/>
              </w:rPr>
              <w:t>29.76</w:t>
            </w:r>
          </w:p>
        </w:tc>
        <w:tc>
          <w:tcPr>
            <w:tcW w:w="425" w:type="dxa"/>
            <w:vAlign w:val="center"/>
          </w:tcPr>
          <w:p w14:paraId="416F33FD" w14:textId="77777777" w:rsidR="0082736F" w:rsidRPr="00F9037E" w:rsidRDefault="0082736F" w:rsidP="006955C5">
            <w:pPr>
              <w:keepNext/>
              <w:keepLines/>
              <w:spacing w:before="120" w:after="120"/>
              <w:ind w:left="-107" w:right="-49"/>
              <w:jc w:val="center"/>
              <w:rPr>
                <w:rFonts w:ascii="Arial" w:hAnsi="Arial"/>
                <w:sz w:val="10"/>
                <w:szCs w:val="10"/>
              </w:rPr>
            </w:pPr>
            <w:r w:rsidRPr="00F9037E">
              <w:rPr>
                <w:rFonts w:ascii="Arial" w:hAnsi="Arial"/>
                <w:sz w:val="10"/>
                <w:szCs w:val="10"/>
              </w:rPr>
              <w:t>29.76</w:t>
            </w:r>
          </w:p>
        </w:tc>
        <w:tc>
          <w:tcPr>
            <w:tcW w:w="425" w:type="dxa"/>
            <w:vAlign w:val="center"/>
          </w:tcPr>
          <w:p w14:paraId="622A5B28" w14:textId="77777777" w:rsidR="0082736F" w:rsidRPr="00F9037E" w:rsidRDefault="0082736F" w:rsidP="006955C5">
            <w:pPr>
              <w:keepNext/>
              <w:keepLines/>
              <w:spacing w:before="120" w:after="120"/>
              <w:ind w:left="-107" w:right="-49"/>
              <w:jc w:val="center"/>
              <w:rPr>
                <w:rFonts w:ascii="Arial" w:hAnsi="Arial"/>
                <w:sz w:val="10"/>
                <w:szCs w:val="10"/>
              </w:rPr>
            </w:pPr>
            <w:r w:rsidRPr="00F9037E">
              <w:rPr>
                <w:rFonts w:ascii="Arial" w:hAnsi="Arial"/>
                <w:sz w:val="10"/>
                <w:szCs w:val="10"/>
              </w:rPr>
              <w:t>29.76</w:t>
            </w:r>
          </w:p>
        </w:tc>
        <w:tc>
          <w:tcPr>
            <w:tcW w:w="426" w:type="dxa"/>
            <w:vAlign w:val="center"/>
          </w:tcPr>
          <w:p w14:paraId="0DF7FD1A" w14:textId="77777777" w:rsidR="0082736F" w:rsidRPr="00F9037E" w:rsidRDefault="0082736F" w:rsidP="006955C5">
            <w:pPr>
              <w:keepNext/>
              <w:keepLines/>
              <w:spacing w:before="120" w:after="120"/>
              <w:ind w:left="-107" w:right="-49"/>
              <w:jc w:val="center"/>
              <w:rPr>
                <w:rFonts w:ascii="Arial" w:hAnsi="Arial"/>
                <w:sz w:val="10"/>
                <w:szCs w:val="10"/>
              </w:rPr>
            </w:pPr>
            <w:r w:rsidRPr="00F9037E">
              <w:rPr>
                <w:rFonts w:ascii="Arial" w:hAnsi="Arial"/>
                <w:sz w:val="10"/>
                <w:szCs w:val="10"/>
              </w:rPr>
              <w:t>29.76</w:t>
            </w:r>
          </w:p>
        </w:tc>
        <w:tc>
          <w:tcPr>
            <w:tcW w:w="567" w:type="dxa"/>
            <w:vAlign w:val="center"/>
          </w:tcPr>
          <w:p w14:paraId="7DB593AD" w14:textId="77777777" w:rsidR="0082736F" w:rsidRPr="00F9037E" w:rsidRDefault="0082736F" w:rsidP="006955C5">
            <w:pPr>
              <w:keepNext/>
              <w:keepLines/>
              <w:spacing w:before="120" w:after="120"/>
              <w:ind w:left="-107" w:right="-49"/>
              <w:jc w:val="center"/>
              <w:rPr>
                <w:rFonts w:ascii="Arial" w:hAnsi="Arial"/>
                <w:sz w:val="10"/>
                <w:szCs w:val="10"/>
              </w:rPr>
            </w:pPr>
            <w:r w:rsidRPr="00F9037E">
              <w:rPr>
                <w:rFonts w:ascii="Arial" w:hAnsi="Arial"/>
                <w:sz w:val="10"/>
                <w:szCs w:val="10"/>
              </w:rPr>
              <w:t>146.600</w:t>
            </w:r>
          </w:p>
        </w:tc>
        <w:tc>
          <w:tcPr>
            <w:tcW w:w="567" w:type="dxa"/>
            <w:vAlign w:val="center"/>
          </w:tcPr>
          <w:p w14:paraId="39EF4DC2" w14:textId="77777777" w:rsidR="0082736F" w:rsidRPr="00F9037E" w:rsidRDefault="0082736F" w:rsidP="006955C5">
            <w:pPr>
              <w:keepNext/>
              <w:keepLines/>
              <w:spacing w:before="120" w:after="120"/>
              <w:ind w:left="-107" w:right="-49"/>
              <w:jc w:val="center"/>
              <w:rPr>
                <w:rFonts w:ascii="Arial" w:hAnsi="Arial"/>
                <w:sz w:val="10"/>
                <w:szCs w:val="10"/>
              </w:rPr>
            </w:pPr>
            <w:r w:rsidRPr="00F9037E">
              <w:rPr>
                <w:rFonts w:ascii="Arial" w:hAnsi="Arial"/>
                <w:sz w:val="10"/>
                <w:szCs w:val="10"/>
              </w:rPr>
              <w:t>75.100</w:t>
            </w:r>
          </w:p>
        </w:tc>
        <w:tc>
          <w:tcPr>
            <w:tcW w:w="567" w:type="dxa"/>
            <w:vAlign w:val="center"/>
          </w:tcPr>
          <w:p w14:paraId="2C86D356" w14:textId="77777777" w:rsidR="0082736F" w:rsidRPr="00F9037E" w:rsidRDefault="0082736F" w:rsidP="006955C5">
            <w:pPr>
              <w:keepNext/>
              <w:keepLines/>
              <w:spacing w:before="120" w:after="120"/>
              <w:ind w:left="-107" w:right="-49"/>
              <w:jc w:val="center"/>
              <w:rPr>
                <w:rFonts w:ascii="Arial" w:hAnsi="Arial"/>
                <w:sz w:val="10"/>
                <w:szCs w:val="10"/>
              </w:rPr>
            </w:pPr>
            <w:r w:rsidRPr="00F9037E">
              <w:rPr>
                <w:rFonts w:ascii="Arial" w:hAnsi="Arial"/>
                <w:sz w:val="10"/>
                <w:szCs w:val="10"/>
              </w:rPr>
              <w:t>48.517</w:t>
            </w:r>
          </w:p>
        </w:tc>
        <w:tc>
          <w:tcPr>
            <w:tcW w:w="567" w:type="dxa"/>
            <w:vAlign w:val="center"/>
          </w:tcPr>
          <w:p w14:paraId="4B664523" w14:textId="77777777" w:rsidR="0082736F" w:rsidRPr="00F9037E" w:rsidRDefault="0082736F" w:rsidP="006955C5">
            <w:pPr>
              <w:keepNext/>
              <w:keepLines/>
              <w:spacing w:before="120" w:after="120"/>
              <w:ind w:left="-107" w:right="-49"/>
              <w:jc w:val="center"/>
              <w:rPr>
                <w:rFonts w:ascii="Arial" w:hAnsi="Arial"/>
                <w:sz w:val="10"/>
                <w:szCs w:val="10"/>
              </w:rPr>
            </w:pPr>
            <w:r w:rsidRPr="00F9037E">
              <w:rPr>
                <w:rFonts w:ascii="Arial" w:hAnsi="Arial"/>
                <w:sz w:val="10"/>
                <w:szCs w:val="10"/>
              </w:rPr>
              <w:t>48.450</w:t>
            </w:r>
          </w:p>
        </w:tc>
        <w:tc>
          <w:tcPr>
            <w:tcW w:w="567" w:type="dxa"/>
            <w:vAlign w:val="center"/>
          </w:tcPr>
          <w:p w14:paraId="2D7720B7" w14:textId="77777777" w:rsidR="0082736F" w:rsidRPr="00F9037E" w:rsidRDefault="0082736F" w:rsidP="006955C5">
            <w:pPr>
              <w:keepNext/>
              <w:keepLines/>
              <w:spacing w:before="120" w:after="120"/>
              <w:ind w:left="-107" w:right="-49"/>
              <w:jc w:val="center"/>
              <w:rPr>
                <w:rFonts w:ascii="Arial" w:hAnsi="Arial"/>
                <w:sz w:val="10"/>
                <w:szCs w:val="10"/>
              </w:rPr>
            </w:pPr>
            <w:r w:rsidRPr="00F9037E">
              <w:rPr>
                <w:rFonts w:ascii="Arial" w:hAnsi="Arial"/>
                <w:sz w:val="10"/>
                <w:szCs w:val="10"/>
              </w:rPr>
              <w:t>37.610</w:t>
            </w:r>
          </w:p>
        </w:tc>
        <w:tc>
          <w:tcPr>
            <w:tcW w:w="567" w:type="dxa"/>
            <w:vAlign w:val="center"/>
          </w:tcPr>
          <w:p w14:paraId="4E2ECD85" w14:textId="77777777" w:rsidR="0082736F" w:rsidRPr="00F9037E" w:rsidRDefault="0082736F" w:rsidP="006955C5">
            <w:pPr>
              <w:keepNext/>
              <w:keepLines/>
              <w:spacing w:before="120" w:after="120"/>
              <w:ind w:left="-107" w:right="-49"/>
              <w:jc w:val="center"/>
              <w:rPr>
                <w:rFonts w:ascii="Arial" w:hAnsi="Arial"/>
                <w:sz w:val="10"/>
                <w:szCs w:val="10"/>
              </w:rPr>
            </w:pPr>
            <w:r w:rsidRPr="00F9037E">
              <w:rPr>
                <w:rFonts w:ascii="Arial" w:hAnsi="Arial"/>
                <w:sz w:val="10"/>
                <w:szCs w:val="10"/>
              </w:rPr>
              <w:t>36.440</w:t>
            </w:r>
          </w:p>
        </w:tc>
        <w:tc>
          <w:tcPr>
            <w:tcW w:w="567" w:type="dxa"/>
            <w:vAlign w:val="center"/>
          </w:tcPr>
          <w:p w14:paraId="748F3444" w14:textId="77777777" w:rsidR="0082736F" w:rsidRPr="00F9037E" w:rsidRDefault="0082736F" w:rsidP="006955C5">
            <w:pPr>
              <w:keepNext/>
              <w:keepLines/>
              <w:spacing w:before="20" w:after="20"/>
              <w:ind w:left="-109"/>
              <w:jc w:val="center"/>
              <w:rPr>
                <w:rFonts w:ascii="Arial" w:hAnsi="Arial"/>
                <w:sz w:val="10"/>
                <w:szCs w:val="10"/>
              </w:rPr>
            </w:pPr>
            <w:r w:rsidRPr="00F9037E">
              <w:rPr>
                <w:rFonts w:ascii="Arial" w:hAnsi="Arial"/>
                <w:sz w:val="10"/>
                <w:szCs w:val="10"/>
              </w:rPr>
              <w:t>28.710</w:t>
            </w:r>
          </w:p>
        </w:tc>
        <w:tc>
          <w:tcPr>
            <w:tcW w:w="567" w:type="dxa"/>
            <w:vAlign w:val="center"/>
          </w:tcPr>
          <w:p w14:paraId="34D50373" w14:textId="77777777" w:rsidR="0082736F" w:rsidRPr="00F9037E" w:rsidRDefault="0082736F" w:rsidP="006955C5">
            <w:pPr>
              <w:pStyle w:val="NormalWeb"/>
              <w:spacing w:before="120" w:after="120"/>
              <w:ind w:left="-107" w:right="-49"/>
              <w:jc w:val="center"/>
              <w:rPr>
                <w:sz w:val="10"/>
                <w:szCs w:val="10"/>
                <w:lang w:val="en-GB"/>
              </w:rPr>
            </w:pPr>
            <w:r w:rsidRPr="00F9037E">
              <w:rPr>
                <w:sz w:val="10"/>
                <w:szCs w:val="10"/>
                <w:lang w:val="en-GB"/>
              </w:rPr>
              <w:t>31.708</w:t>
            </w:r>
          </w:p>
        </w:tc>
        <w:tc>
          <w:tcPr>
            <w:tcW w:w="567" w:type="dxa"/>
            <w:vAlign w:val="center"/>
          </w:tcPr>
          <w:p w14:paraId="6AF2183C" w14:textId="77777777" w:rsidR="0082736F" w:rsidRPr="00F9037E" w:rsidRDefault="0082736F" w:rsidP="006955C5">
            <w:pPr>
              <w:keepNext/>
              <w:keepLines/>
              <w:spacing w:before="120" w:after="120"/>
              <w:ind w:left="-107" w:right="-49"/>
              <w:jc w:val="center"/>
              <w:rPr>
                <w:rFonts w:ascii="Arial" w:hAnsi="Arial"/>
                <w:sz w:val="10"/>
                <w:szCs w:val="10"/>
              </w:rPr>
            </w:pPr>
            <w:r w:rsidRPr="00F9037E">
              <w:rPr>
                <w:rFonts w:ascii="Arial" w:hAnsi="Arial"/>
                <w:sz w:val="10"/>
                <w:szCs w:val="10"/>
              </w:rPr>
              <w:t>32.134</w:t>
            </w:r>
          </w:p>
        </w:tc>
        <w:tc>
          <w:tcPr>
            <w:tcW w:w="567" w:type="dxa"/>
            <w:vAlign w:val="center"/>
          </w:tcPr>
          <w:p w14:paraId="64989E3F" w14:textId="77777777" w:rsidR="0082736F" w:rsidRPr="00F9037E" w:rsidRDefault="0082736F" w:rsidP="006955C5">
            <w:pPr>
              <w:keepNext/>
              <w:keepLines/>
              <w:spacing w:before="120" w:after="120"/>
              <w:ind w:left="-107" w:right="-49"/>
              <w:jc w:val="center"/>
              <w:rPr>
                <w:rFonts w:ascii="Arial" w:hAnsi="Arial"/>
                <w:sz w:val="10"/>
                <w:szCs w:val="10"/>
              </w:rPr>
            </w:pPr>
            <w:r w:rsidRPr="00F9037E">
              <w:rPr>
                <w:rFonts w:ascii="Arial" w:hAnsi="Arial"/>
                <w:sz w:val="10"/>
                <w:szCs w:val="10"/>
              </w:rPr>
              <w:t>30.947</w:t>
            </w:r>
          </w:p>
        </w:tc>
        <w:tc>
          <w:tcPr>
            <w:tcW w:w="567" w:type="dxa"/>
            <w:vAlign w:val="center"/>
          </w:tcPr>
          <w:p w14:paraId="4DFBB8D1" w14:textId="77777777" w:rsidR="0082736F" w:rsidRPr="00F9037E" w:rsidRDefault="0082736F" w:rsidP="006955C5">
            <w:pPr>
              <w:keepNext/>
              <w:keepLines/>
              <w:spacing w:before="120" w:after="120"/>
              <w:ind w:left="-107" w:right="-49"/>
              <w:jc w:val="center"/>
              <w:rPr>
                <w:rFonts w:ascii="Arial" w:hAnsi="Arial"/>
                <w:sz w:val="10"/>
                <w:szCs w:val="10"/>
              </w:rPr>
            </w:pPr>
            <w:r w:rsidRPr="00F9037E">
              <w:rPr>
                <w:rFonts w:ascii="Arial" w:hAnsi="Arial"/>
                <w:sz w:val="10"/>
                <w:szCs w:val="10"/>
              </w:rPr>
              <w:t>29.76</w:t>
            </w:r>
          </w:p>
        </w:tc>
        <w:tc>
          <w:tcPr>
            <w:tcW w:w="567" w:type="dxa"/>
            <w:vAlign w:val="center"/>
          </w:tcPr>
          <w:p w14:paraId="4CEE1346" w14:textId="77777777" w:rsidR="0082736F" w:rsidRPr="00F9037E" w:rsidRDefault="0082736F" w:rsidP="006955C5">
            <w:pPr>
              <w:keepNext/>
              <w:keepLines/>
              <w:spacing w:before="120" w:after="120"/>
              <w:ind w:left="-107" w:right="-49"/>
              <w:jc w:val="center"/>
              <w:rPr>
                <w:rFonts w:ascii="Arial" w:hAnsi="Arial"/>
                <w:sz w:val="10"/>
                <w:szCs w:val="10"/>
              </w:rPr>
            </w:pPr>
            <w:r w:rsidRPr="00F9037E">
              <w:rPr>
                <w:rFonts w:ascii="Arial" w:hAnsi="Arial"/>
                <w:sz w:val="10"/>
                <w:szCs w:val="10"/>
              </w:rPr>
              <w:t>29.76</w:t>
            </w:r>
          </w:p>
        </w:tc>
        <w:tc>
          <w:tcPr>
            <w:tcW w:w="709" w:type="dxa"/>
            <w:vAlign w:val="center"/>
          </w:tcPr>
          <w:p w14:paraId="64664D1A" w14:textId="77777777" w:rsidR="0082736F" w:rsidRPr="00F9037E" w:rsidRDefault="0082736F" w:rsidP="006955C5">
            <w:pPr>
              <w:keepNext/>
              <w:keepLines/>
              <w:spacing w:before="120" w:after="120"/>
              <w:ind w:left="-107" w:right="-49"/>
              <w:jc w:val="center"/>
              <w:rPr>
                <w:rFonts w:ascii="Arial" w:hAnsi="Arial"/>
                <w:sz w:val="12"/>
                <w:szCs w:val="12"/>
              </w:rPr>
            </w:pPr>
            <w:r w:rsidRPr="00F9037E">
              <w:rPr>
                <w:rFonts w:ascii="Arial" w:hAnsi="Arial"/>
                <w:sz w:val="12"/>
                <w:szCs w:val="10"/>
              </w:rPr>
              <w:t>29.76</w:t>
            </w:r>
            <w:r w:rsidR="000718F1" w:rsidRPr="00F9037E">
              <w:rPr>
                <w:rFonts w:ascii="Arial" w:hAnsi="Arial"/>
                <w:sz w:val="12"/>
                <w:szCs w:val="10"/>
                <w:vertAlign w:val="superscript"/>
              </w:rPr>
              <w:t>A</w:t>
            </w:r>
          </w:p>
        </w:tc>
        <w:tc>
          <w:tcPr>
            <w:tcW w:w="709" w:type="dxa"/>
            <w:vAlign w:val="center"/>
          </w:tcPr>
          <w:p w14:paraId="43A8D522" w14:textId="77777777" w:rsidR="0082736F" w:rsidRPr="00F9037E" w:rsidRDefault="0082736F" w:rsidP="00F565F1">
            <w:pPr>
              <w:keepNext/>
              <w:keepLines/>
              <w:spacing w:before="120" w:after="120"/>
              <w:ind w:left="-107" w:right="-49"/>
              <w:jc w:val="center"/>
              <w:rPr>
                <w:rFonts w:ascii="Arial" w:hAnsi="Arial"/>
                <w:b/>
                <w:sz w:val="12"/>
                <w:szCs w:val="12"/>
              </w:rPr>
            </w:pPr>
            <w:r w:rsidRPr="00F9037E">
              <w:rPr>
                <w:rFonts w:ascii="Arial" w:hAnsi="Arial"/>
                <w:b/>
                <w:sz w:val="12"/>
                <w:szCs w:val="12"/>
              </w:rPr>
              <w:t>[</w:t>
            </w:r>
            <w:r w:rsidR="00842AF8" w:rsidRPr="00F9037E">
              <w:rPr>
                <w:rFonts w:ascii="Arial" w:hAnsi="Arial"/>
                <w:b/>
                <w:sz w:val="12"/>
                <w:szCs w:val="12"/>
              </w:rPr>
              <w:t>29.73</w:t>
            </w:r>
            <w:r w:rsidR="00F565F1" w:rsidRPr="00F9037E">
              <w:rPr>
                <w:rFonts w:ascii="Arial" w:hAnsi="Arial"/>
                <w:b/>
                <w:sz w:val="12"/>
                <w:szCs w:val="12"/>
              </w:rPr>
              <w:t>0</w:t>
            </w:r>
            <w:r w:rsidRPr="00F9037E">
              <w:rPr>
                <w:rFonts w:ascii="Arial" w:hAnsi="Arial"/>
                <w:b/>
                <w:sz w:val="12"/>
                <w:szCs w:val="12"/>
              </w:rPr>
              <w:t>]</w:t>
            </w:r>
          </w:p>
        </w:tc>
      </w:tr>
      <w:tr w:rsidR="002F6DFE" w:rsidRPr="00F9037E" w14:paraId="5B8A988E" w14:textId="77777777" w:rsidTr="000718F1">
        <w:trPr>
          <w:trHeight w:val="246"/>
        </w:trPr>
        <w:tc>
          <w:tcPr>
            <w:tcW w:w="992" w:type="dxa"/>
            <w:vAlign w:val="center"/>
          </w:tcPr>
          <w:p w14:paraId="48B76318" w14:textId="77777777" w:rsidR="0082736F" w:rsidRPr="00F9037E" w:rsidRDefault="0082736F" w:rsidP="006955C5">
            <w:pPr>
              <w:keepNext/>
              <w:keepLines/>
              <w:spacing w:before="120" w:after="120"/>
              <w:jc w:val="center"/>
              <w:rPr>
                <w:rFonts w:ascii="Arial" w:hAnsi="Arial"/>
                <w:sz w:val="14"/>
                <w:szCs w:val="10"/>
              </w:rPr>
            </w:pPr>
            <w:r w:rsidRPr="00F9037E">
              <w:rPr>
                <w:rFonts w:ascii="Arial" w:hAnsi="Arial"/>
                <w:sz w:val="14"/>
                <w:szCs w:val="10"/>
              </w:rPr>
              <w:t>Canada</w:t>
            </w:r>
          </w:p>
        </w:tc>
        <w:tc>
          <w:tcPr>
            <w:tcW w:w="567" w:type="dxa"/>
            <w:vAlign w:val="center"/>
          </w:tcPr>
          <w:p w14:paraId="3E617B17" w14:textId="77777777" w:rsidR="0082736F" w:rsidRPr="00F9037E" w:rsidRDefault="0082736F" w:rsidP="006955C5">
            <w:pPr>
              <w:keepNext/>
              <w:keepLines/>
              <w:spacing w:after="0"/>
              <w:ind w:left="-107" w:right="-49"/>
              <w:jc w:val="center"/>
              <w:rPr>
                <w:rFonts w:ascii="Arial" w:hAnsi="Arial"/>
                <w:b/>
                <w:sz w:val="10"/>
                <w:szCs w:val="10"/>
              </w:rPr>
            </w:pPr>
            <w:r w:rsidRPr="00F9037E">
              <w:rPr>
                <w:rFonts w:ascii="Arial" w:hAnsi="Arial"/>
                <w:sz w:val="10"/>
                <w:szCs w:val="10"/>
              </w:rPr>
              <w:t>61.992</w:t>
            </w:r>
          </w:p>
        </w:tc>
        <w:tc>
          <w:tcPr>
            <w:tcW w:w="567" w:type="dxa"/>
            <w:vAlign w:val="center"/>
          </w:tcPr>
          <w:p w14:paraId="3CBC065C" w14:textId="77777777" w:rsidR="0082736F" w:rsidRPr="00F9037E" w:rsidRDefault="0082736F" w:rsidP="006955C5">
            <w:pPr>
              <w:keepNext/>
              <w:keepLines/>
              <w:spacing w:after="0"/>
              <w:ind w:left="-107" w:right="-49"/>
              <w:jc w:val="center"/>
              <w:rPr>
                <w:rFonts w:ascii="Arial" w:hAnsi="Arial"/>
                <w:b/>
                <w:sz w:val="10"/>
                <w:szCs w:val="10"/>
              </w:rPr>
            </w:pPr>
            <w:r w:rsidRPr="00F9037E">
              <w:rPr>
                <w:rFonts w:ascii="Arial" w:hAnsi="Arial"/>
                <w:sz w:val="10"/>
                <w:szCs w:val="10"/>
              </w:rPr>
              <w:t>42.241</w:t>
            </w:r>
          </w:p>
        </w:tc>
        <w:tc>
          <w:tcPr>
            <w:tcW w:w="567" w:type="dxa"/>
            <w:vAlign w:val="center"/>
          </w:tcPr>
          <w:p w14:paraId="144CCB92" w14:textId="77777777" w:rsidR="0082736F" w:rsidRPr="00F9037E" w:rsidRDefault="0082736F" w:rsidP="006955C5">
            <w:pPr>
              <w:keepNext/>
              <w:keepLines/>
              <w:spacing w:after="0"/>
              <w:ind w:left="-107" w:right="-49"/>
              <w:jc w:val="center"/>
              <w:rPr>
                <w:rFonts w:ascii="Arial" w:hAnsi="Arial"/>
                <w:b/>
                <w:sz w:val="10"/>
                <w:szCs w:val="10"/>
              </w:rPr>
            </w:pPr>
            <w:r w:rsidRPr="00F9037E">
              <w:rPr>
                <w:rFonts w:ascii="Arial" w:hAnsi="Arial"/>
                <w:sz w:val="10"/>
                <w:szCs w:val="10"/>
              </w:rPr>
              <w:t>39.115</w:t>
            </w:r>
          </w:p>
        </w:tc>
        <w:tc>
          <w:tcPr>
            <w:tcW w:w="567" w:type="dxa"/>
            <w:vAlign w:val="center"/>
          </w:tcPr>
          <w:p w14:paraId="612A52D7" w14:textId="77777777" w:rsidR="0082736F" w:rsidRPr="00F9037E" w:rsidRDefault="0082736F" w:rsidP="006955C5">
            <w:pPr>
              <w:keepNext/>
              <w:keepLines/>
              <w:spacing w:after="0"/>
              <w:ind w:left="-107" w:right="-49"/>
              <w:jc w:val="center"/>
              <w:rPr>
                <w:rFonts w:ascii="Arial" w:hAnsi="Arial"/>
                <w:b/>
                <w:sz w:val="10"/>
                <w:szCs w:val="10"/>
              </w:rPr>
            </w:pPr>
            <w:r w:rsidRPr="00F9037E">
              <w:rPr>
                <w:rFonts w:ascii="Arial" w:hAnsi="Arial"/>
                <w:sz w:val="10"/>
                <w:szCs w:val="10"/>
              </w:rPr>
              <w:t>35.080</w:t>
            </w:r>
          </w:p>
        </w:tc>
        <w:tc>
          <w:tcPr>
            <w:tcW w:w="567" w:type="dxa"/>
            <w:vAlign w:val="center"/>
          </w:tcPr>
          <w:p w14:paraId="2FB8E1CA" w14:textId="77777777" w:rsidR="0082736F" w:rsidRPr="00F9037E" w:rsidRDefault="0082736F" w:rsidP="006955C5">
            <w:pPr>
              <w:keepNext/>
              <w:keepLines/>
              <w:spacing w:after="0"/>
              <w:ind w:left="-108" w:right="-51"/>
              <w:jc w:val="center"/>
              <w:rPr>
                <w:rFonts w:ascii="Arial" w:hAnsi="Arial"/>
                <w:sz w:val="10"/>
                <w:szCs w:val="10"/>
              </w:rPr>
            </w:pPr>
            <w:r w:rsidRPr="00F9037E">
              <w:rPr>
                <w:rFonts w:ascii="Arial" w:hAnsi="Arial"/>
                <w:sz w:val="10"/>
                <w:szCs w:val="10"/>
              </w:rPr>
              <w:t>19.368</w:t>
            </w:r>
            <w:r w:rsidRPr="00F9037E">
              <w:rPr>
                <w:rFonts w:ascii="Arial" w:hAnsi="Arial"/>
                <w:sz w:val="10"/>
                <w:szCs w:val="10"/>
              </w:rPr>
              <w:br/>
              <w:t>+3.529</w:t>
            </w:r>
          </w:p>
        </w:tc>
        <w:tc>
          <w:tcPr>
            <w:tcW w:w="567" w:type="dxa"/>
            <w:vAlign w:val="center"/>
          </w:tcPr>
          <w:p w14:paraId="62BADA7F" w14:textId="77777777" w:rsidR="0082736F" w:rsidRPr="00F9037E" w:rsidRDefault="0082736F" w:rsidP="006955C5">
            <w:pPr>
              <w:keepNext/>
              <w:keepLines/>
              <w:spacing w:after="0"/>
              <w:ind w:left="-107" w:right="-49"/>
              <w:jc w:val="center"/>
              <w:rPr>
                <w:rFonts w:ascii="Arial" w:hAnsi="Arial"/>
                <w:b/>
                <w:sz w:val="10"/>
                <w:szCs w:val="10"/>
              </w:rPr>
            </w:pPr>
            <w:r w:rsidRPr="00F9037E">
              <w:rPr>
                <w:rFonts w:ascii="Arial" w:hAnsi="Arial"/>
                <w:sz w:val="10"/>
                <w:szCs w:val="10"/>
              </w:rPr>
              <w:t>16.281</w:t>
            </w:r>
          </w:p>
        </w:tc>
        <w:tc>
          <w:tcPr>
            <w:tcW w:w="425" w:type="dxa"/>
            <w:vAlign w:val="center"/>
          </w:tcPr>
          <w:p w14:paraId="355D2B5B" w14:textId="77777777" w:rsidR="0082736F" w:rsidRPr="00F9037E" w:rsidRDefault="0082736F" w:rsidP="006955C5">
            <w:pPr>
              <w:keepNext/>
              <w:keepLines/>
              <w:spacing w:after="0"/>
              <w:ind w:left="-107" w:right="-49"/>
              <w:jc w:val="center"/>
              <w:rPr>
                <w:rFonts w:ascii="Arial" w:hAnsi="Arial"/>
                <w:b/>
                <w:sz w:val="10"/>
                <w:szCs w:val="10"/>
              </w:rPr>
            </w:pPr>
            <w:r w:rsidRPr="00F9037E">
              <w:rPr>
                <w:rFonts w:ascii="Arial" w:hAnsi="Arial"/>
                <w:sz w:val="10"/>
                <w:szCs w:val="10"/>
              </w:rPr>
              <w:t>13.444</w:t>
            </w:r>
          </w:p>
        </w:tc>
        <w:tc>
          <w:tcPr>
            <w:tcW w:w="426" w:type="dxa"/>
            <w:vAlign w:val="center"/>
          </w:tcPr>
          <w:p w14:paraId="52550724" w14:textId="77777777" w:rsidR="0082736F" w:rsidRPr="00F9037E" w:rsidRDefault="0082736F" w:rsidP="006955C5">
            <w:pPr>
              <w:keepNext/>
              <w:keepLines/>
              <w:spacing w:after="0"/>
              <w:ind w:left="-107" w:right="-49"/>
              <w:jc w:val="center"/>
              <w:rPr>
                <w:rFonts w:ascii="Arial" w:hAnsi="Arial"/>
                <w:b/>
                <w:sz w:val="10"/>
                <w:szCs w:val="10"/>
              </w:rPr>
            </w:pPr>
            <w:r w:rsidRPr="00F9037E">
              <w:rPr>
                <w:rFonts w:ascii="Arial" w:hAnsi="Arial"/>
                <w:sz w:val="10"/>
                <w:szCs w:val="10"/>
              </w:rPr>
              <w:t>10.305</w:t>
            </w:r>
          </w:p>
        </w:tc>
        <w:tc>
          <w:tcPr>
            <w:tcW w:w="425" w:type="dxa"/>
            <w:vAlign w:val="center"/>
          </w:tcPr>
          <w:p w14:paraId="22FFDC0D" w14:textId="77777777" w:rsidR="0082736F" w:rsidRPr="00F9037E" w:rsidRDefault="0082736F" w:rsidP="006955C5">
            <w:pPr>
              <w:keepNext/>
              <w:keepLines/>
              <w:spacing w:after="0"/>
              <w:ind w:left="-107" w:right="-49"/>
              <w:jc w:val="center"/>
              <w:rPr>
                <w:rFonts w:ascii="Arial" w:hAnsi="Arial"/>
                <w:b/>
                <w:sz w:val="10"/>
                <w:szCs w:val="10"/>
              </w:rPr>
            </w:pPr>
            <w:r w:rsidRPr="00F9037E">
              <w:rPr>
                <w:rFonts w:ascii="Arial" w:hAnsi="Arial"/>
                <w:sz w:val="10"/>
                <w:szCs w:val="10"/>
              </w:rPr>
              <w:t>5.261</w:t>
            </w:r>
          </w:p>
        </w:tc>
        <w:tc>
          <w:tcPr>
            <w:tcW w:w="425" w:type="dxa"/>
            <w:vAlign w:val="center"/>
          </w:tcPr>
          <w:p w14:paraId="4CA9AEBF" w14:textId="77777777" w:rsidR="0082736F" w:rsidRPr="00F9037E" w:rsidRDefault="0082736F" w:rsidP="006955C5">
            <w:pPr>
              <w:keepNext/>
              <w:keepLines/>
              <w:spacing w:after="0"/>
              <w:ind w:left="-107" w:right="-49"/>
              <w:jc w:val="center"/>
              <w:rPr>
                <w:rFonts w:ascii="Arial" w:hAnsi="Arial"/>
                <w:b/>
                <w:sz w:val="10"/>
                <w:szCs w:val="10"/>
              </w:rPr>
            </w:pPr>
            <w:r w:rsidRPr="00F9037E">
              <w:rPr>
                <w:rFonts w:ascii="Arial" w:hAnsi="Arial"/>
                <w:sz w:val="10"/>
                <w:szCs w:val="10"/>
              </w:rPr>
              <w:t>5.261</w:t>
            </w:r>
          </w:p>
        </w:tc>
        <w:tc>
          <w:tcPr>
            <w:tcW w:w="425" w:type="dxa"/>
            <w:vAlign w:val="center"/>
          </w:tcPr>
          <w:p w14:paraId="24A1AEEE" w14:textId="77777777" w:rsidR="0082736F" w:rsidRPr="00F9037E" w:rsidRDefault="0082736F" w:rsidP="006955C5">
            <w:pPr>
              <w:keepNext/>
              <w:keepLines/>
              <w:spacing w:after="0"/>
              <w:ind w:left="-107" w:right="-49"/>
              <w:jc w:val="center"/>
              <w:rPr>
                <w:rFonts w:ascii="Arial" w:hAnsi="Arial"/>
                <w:b/>
                <w:sz w:val="10"/>
                <w:szCs w:val="10"/>
              </w:rPr>
            </w:pPr>
            <w:r w:rsidRPr="00F9037E">
              <w:rPr>
                <w:rFonts w:ascii="Arial" w:hAnsi="Arial"/>
                <w:sz w:val="10"/>
                <w:szCs w:val="10"/>
              </w:rPr>
              <w:t>5.261</w:t>
            </w:r>
          </w:p>
        </w:tc>
        <w:tc>
          <w:tcPr>
            <w:tcW w:w="426" w:type="dxa"/>
            <w:vAlign w:val="center"/>
          </w:tcPr>
          <w:p w14:paraId="69C09642" w14:textId="77777777" w:rsidR="0082736F" w:rsidRPr="00F9037E" w:rsidRDefault="0082736F" w:rsidP="006955C5">
            <w:pPr>
              <w:keepNext/>
              <w:keepLines/>
              <w:spacing w:after="0"/>
              <w:ind w:left="-107" w:right="-49"/>
              <w:jc w:val="center"/>
              <w:rPr>
                <w:rFonts w:ascii="Arial" w:hAnsi="Arial"/>
                <w:sz w:val="10"/>
                <w:szCs w:val="10"/>
              </w:rPr>
            </w:pPr>
          </w:p>
        </w:tc>
        <w:tc>
          <w:tcPr>
            <w:tcW w:w="567" w:type="dxa"/>
            <w:vAlign w:val="center"/>
          </w:tcPr>
          <w:p w14:paraId="1C514BDA" w14:textId="77777777" w:rsidR="0082736F" w:rsidRPr="00F9037E" w:rsidRDefault="0082736F" w:rsidP="006955C5">
            <w:pPr>
              <w:keepNext/>
              <w:keepLines/>
              <w:spacing w:after="0"/>
              <w:ind w:left="-107" w:right="-49"/>
              <w:jc w:val="center"/>
              <w:rPr>
                <w:rFonts w:ascii="Arial" w:hAnsi="Arial"/>
                <w:b/>
                <w:sz w:val="10"/>
                <w:szCs w:val="10"/>
              </w:rPr>
            </w:pPr>
            <w:r w:rsidRPr="00F9037E">
              <w:rPr>
                <w:rFonts w:ascii="Arial" w:hAnsi="Arial"/>
                <w:sz w:val="10"/>
                <w:szCs w:val="10"/>
              </w:rPr>
              <w:t>61.792</w:t>
            </w:r>
          </w:p>
        </w:tc>
        <w:tc>
          <w:tcPr>
            <w:tcW w:w="567" w:type="dxa"/>
            <w:vAlign w:val="center"/>
          </w:tcPr>
          <w:p w14:paraId="75D7B6EB" w14:textId="77777777" w:rsidR="0082736F" w:rsidRPr="00F9037E" w:rsidRDefault="0082736F" w:rsidP="006955C5">
            <w:pPr>
              <w:keepNext/>
              <w:keepLines/>
              <w:spacing w:after="0"/>
              <w:ind w:left="-107" w:right="-49"/>
              <w:jc w:val="center"/>
              <w:rPr>
                <w:rFonts w:ascii="Arial" w:hAnsi="Arial"/>
                <w:b/>
                <w:sz w:val="10"/>
                <w:szCs w:val="10"/>
              </w:rPr>
            </w:pPr>
            <w:r w:rsidRPr="00F9037E">
              <w:rPr>
                <w:rFonts w:ascii="Arial" w:hAnsi="Arial"/>
                <w:sz w:val="10"/>
                <w:szCs w:val="10"/>
              </w:rPr>
              <w:t>53.897</w:t>
            </w:r>
          </w:p>
        </w:tc>
        <w:tc>
          <w:tcPr>
            <w:tcW w:w="567" w:type="dxa"/>
            <w:vAlign w:val="center"/>
          </w:tcPr>
          <w:p w14:paraId="6F915592" w14:textId="77777777" w:rsidR="0082736F" w:rsidRPr="00F9037E" w:rsidRDefault="0082736F" w:rsidP="006955C5">
            <w:pPr>
              <w:keepNext/>
              <w:keepLines/>
              <w:spacing w:after="0"/>
              <w:ind w:left="-107" w:right="-49"/>
              <w:jc w:val="center"/>
              <w:rPr>
                <w:rFonts w:ascii="Arial" w:hAnsi="Arial"/>
                <w:b/>
                <w:sz w:val="10"/>
                <w:szCs w:val="10"/>
              </w:rPr>
            </w:pPr>
            <w:r w:rsidRPr="00F9037E">
              <w:rPr>
                <w:rFonts w:ascii="Arial" w:hAnsi="Arial"/>
                <w:sz w:val="10"/>
                <w:szCs w:val="10"/>
              </w:rPr>
              <w:t>52.874</w:t>
            </w:r>
          </w:p>
        </w:tc>
        <w:tc>
          <w:tcPr>
            <w:tcW w:w="567" w:type="dxa"/>
            <w:vAlign w:val="center"/>
          </w:tcPr>
          <w:p w14:paraId="358CBA26" w14:textId="77777777" w:rsidR="0082736F" w:rsidRPr="00F9037E" w:rsidRDefault="0082736F" w:rsidP="006955C5">
            <w:pPr>
              <w:keepNext/>
              <w:keepLines/>
              <w:spacing w:after="0"/>
              <w:ind w:left="-107" w:right="-49"/>
              <w:jc w:val="center"/>
              <w:rPr>
                <w:rFonts w:ascii="Arial" w:hAnsi="Arial"/>
                <w:b/>
                <w:sz w:val="10"/>
                <w:szCs w:val="10"/>
              </w:rPr>
            </w:pPr>
            <w:r w:rsidRPr="00F9037E">
              <w:rPr>
                <w:rFonts w:ascii="Arial" w:hAnsi="Arial"/>
                <w:sz w:val="10"/>
                <w:szCs w:val="10"/>
              </w:rPr>
              <w:t>36.112</w:t>
            </w:r>
          </w:p>
        </w:tc>
        <w:tc>
          <w:tcPr>
            <w:tcW w:w="567" w:type="dxa"/>
            <w:vAlign w:val="center"/>
          </w:tcPr>
          <w:p w14:paraId="72CE243C" w14:textId="77777777" w:rsidR="0082736F" w:rsidRPr="00F9037E" w:rsidRDefault="0082736F" w:rsidP="006955C5">
            <w:pPr>
              <w:keepNext/>
              <w:keepLines/>
              <w:spacing w:after="0"/>
              <w:ind w:left="-107" w:right="-49"/>
              <w:jc w:val="center"/>
              <w:rPr>
                <w:rFonts w:ascii="Arial" w:hAnsi="Arial"/>
                <w:b/>
                <w:sz w:val="10"/>
                <w:szCs w:val="10"/>
              </w:rPr>
            </w:pPr>
            <w:r w:rsidRPr="00F9037E">
              <w:rPr>
                <w:rFonts w:ascii="Arial" w:hAnsi="Arial"/>
                <w:sz w:val="10"/>
                <w:szCs w:val="10"/>
              </w:rPr>
              <w:t>39.020</w:t>
            </w:r>
          </w:p>
        </w:tc>
        <w:tc>
          <w:tcPr>
            <w:tcW w:w="567" w:type="dxa"/>
            <w:vAlign w:val="center"/>
          </w:tcPr>
          <w:p w14:paraId="6951093B" w14:textId="77777777" w:rsidR="0082736F" w:rsidRPr="00F9037E" w:rsidRDefault="0082736F" w:rsidP="006955C5">
            <w:pPr>
              <w:keepNext/>
              <w:keepLines/>
              <w:spacing w:after="0"/>
              <w:ind w:left="-108" w:right="-51"/>
              <w:jc w:val="center"/>
              <w:rPr>
                <w:rFonts w:ascii="Arial" w:hAnsi="Arial"/>
                <w:sz w:val="10"/>
                <w:szCs w:val="10"/>
              </w:rPr>
            </w:pPr>
            <w:r w:rsidRPr="00F9037E">
              <w:rPr>
                <w:rFonts w:ascii="Arial" w:hAnsi="Arial"/>
                <w:sz w:val="10"/>
                <w:szCs w:val="10"/>
              </w:rPr>
              <w:t>30.340</w:t>
            </w:r>
          </w:p>
          <w:p w14:paraId="64DC0AF3" w14:textId="77777777" w:rsidR="0082736F" w:rsidRPr="00F9037E" w:rsidRDefault="0082736F" w:rsidP="006955C5">
            <w:pPr>
              <w:keepNext/>
              <w:keepLines/>
              <w:spacing w:after="0"/>
              <w:ind w:left="-108" w:right="-51"/>
              <w:jc w:val="center"/>
              <w:rPr>
                <w:rFonts w:ascii="Arial" w:hAnsi="Arial"/>
                <w:sz w:val="10"/>
                <w:szCs w:val="10"/>
              </w:rPr>
            </w:pPr>
            <w:r w:rsidRPr="00F9037E">
              <w:rPr>
                <w:rFonts w:ascii="Arial" w:hAnsi="Arial"/>
                <w:sz w:val="10"/>
                <w:szCs w:val="10"/>
              </w:rPr>
              <w:t>+3.529</w:t>
            </w:r>
          </w:p>
        </w:tc>
        <w:tc>
          <w:tcPr>
            <w:tcW w:w="567" w:type="dxa"/>
            <w:vAlign w:val="center"/>
          </w:tcPr>
          <w:p w14:paraId="689D0968" w14:textId="77777777" w:rsidR="0082736F" w:rsidRPr="00F9037E" w:rsidRDefault="0082736F" w:rsidP="006955C5">
            <w:pPr>
              <w:keepNext/>
              <w:keepLines/>
              <w:spacing w:after="0"/>
              <w:ind w:left="-109"/>
              <w:jc w:val="center"/>
              <w:rPr>
                <w:rFonts w:ascii="Arial" w:hAnsi="Arial"/>
                <w:sz w:val="10"/>
                <w:szCs w:val="10"/>
              </w:rPr>
            </w:pPr>
          </w:p>
          <w:p w14:paraId="6B7EC1A8" w14:textId="77777777" w:rsidR="0082736F" w:rsidRPr="00F9037E" w:rsidRDefault="0082736F" w:rsidP="006955C5">
            <w:pPr>
              <w:keepNext/>
              <w:keepLines/>
              <w:spacing w:after="0"/>
              <w:ind w:left="-109"/>
              <w:jc w:val="center"/>
              <w:rPr>
                <w:rFonts w:ascii="Arial" w:hAnsi="Arial"/>
                <w:b/>
                <w:sz w:val="10"/>
                <w:szCs w:val="10"/>
              </w:rPr>
            </w:pPr>
            <w:r w:rsidRPr="00F9037E">
              <w:rPr>
                <w:rFonts w:ascii="Arial" w:hAnsi="Arial"/>
                <w:sz w:val="10"/>
                <w:szCs w:val="10"/>
              </w:rPr>
              <w:t>19.368</w:t>
            </w:r>
          </w:p>
        </w:tc>
        <w:tc>
          <w:tcPr>
            <w:tcW w:w="567" w:type="dxa"/>
            <w:vAlign w:val="center"/>
          </w:tcPr>
          <w:p w14:paraId="78D832ED" w14:textId="77777777" w:rsidR="0082736F" w:rsidRPr="00F9037E" w:rsidRDefault="0082736F" w:rsidP="006955C5">
            <w:pPr>
              <w:pStyle w:val="NormalWeb"/>
              <w:spacing w:before="0" w:after="0"/>
              <w:ind w:left="-107" w:right="-49"/>
              <w:jc w:val="center"/>
              <w:rPr>
                <w:b/>
                <w:sz w:val="10"/>
                <w:szCs w:val="10"/>
                <w:lang w:val="en-GB"/>
              </w:rPr>
            </w:pPr>
            <w:r w:rsidRPr="00F9037E">
              <w:rPr>
                <w:sz w:val="10"/>
                <w:szCs w:val="10"/>
                <w:lang w:val="en-GB"/>
              </w:rPr>
              <w:t>16.281</w:t>
            </w:r>
          </w:p>
        </w:tc>
        <w:tc>
          <w:tcPr>
            <w:tcW w:w="567" w:type="dxa"/>
            <w:vAlign w:val="center"/>
          </w:tcPr>
          <w:p w14:paraId="1926B9B1" w14:textId="77777777" w:rsidR="0082736F" w:rsidRPr="00F9037E" w:rsidRDefault="0082736F" w:rsidP="006955C5">
            <w:pPr>
              <w:keepNext/>
              <w:keepLines/>
              <w:spacing w:after="0"/>
              <w:ind w:left="-107" w:right="-49"/>
              <w:jc w:val="center"/>
              <w:rPr>
                <w:rFonts w:ascii="Arial" w:hAnsi="Arial"/>
                <w:b/>
                <w:sz w:val="10"/>
                <w:szCs w:val="10"/>
              </w:rPr>
            </w:pPr>
            <w:r w:rsidRPr="00F9037E">
              <w:rPr>
                <w:rFonts w:ascii="Arial" w:hAnsi="Arial"/>
                <w:sz w:val="10"/>
                <w:szCs w:val="10"/>
              </w:rPr>
              <w:t>13.109</w:t>
            </w:r>
          </w:p>
        </w:tc>
        <w:tc>
          <w:tcPr>
            <w:tcW w:w="567" w:type="dxa"/>
            <w:vAlign w:val="center"/>
          </w:tcPr>
          <w:p w14:paraId="7DAE7E0F" w14:textId="77777777" w:rsidR="0082736F" w:rsidRPr="00F9037E" w:rsidRDefault="0082736F" w:rsidP="006955C5">
            <w:pPr>
              <w:keepNext/>
              <w:keepLines/>
              <w:spacing w:after="0"/>
              <w:ind w:left="-107" w:right="-49"/>
              <w:jc w:val="center"/>
              <w:rPr>
                <w:rFonts w:ascii="Arial" w:hAnsi="Arial"/>
                <w:b/>
                <w:sz w:val="10"/>
                <w:szCs w:val="10"/>
              </w:rPr>
            </w:pPr>
            <w:r w:rsidRPr="00F9037E">
              <w:rPr>
                <w:rFonts w:ascii="Arial" w:hAnsi="Arial"/>
                <w:sz w:val="10"/>
                <w:szCs w:val="10"/>
              </w:rPr>
              <w:t>10.305</w:t>
            </w:r>
          </w:p>
        </w:tc>
        <w:tc>
          <w:tcPr>
            <w:tcW w:w="567" w:type="dxa"/>
            <w:vAlign w:val="center"/>
          </w:tcPr>
          <w:p w14:paraId="2A26FF96" w14:textId="77777777" w:rsidR="0082736F" w:rsidRPr="00F9037E" w:rsidRDefault="0082736F" w:rsidP="006955C5">
            <w:pPr>
              <w:keepNext/>
              <w:keepLines/>
              <w:spacing w:after="0"/>
              <w:ind w:left="-107" w:right="-49"/>
              <w:jc w:val="center"/>
              <w:rPr>
                <w:rFonts w:ascii="Arial" w:hAnsi="Arial"/>
                <w:b/>
                <w:sz w:val="10"/>
                <w:szCs w:val="10"/>
              </w:rPr>
            </w:pPr>
            <w:r w:rsidRPr="00F9037E">
              <w:rPr>
                <w:rFonts w:ascii="Arial" w:hAnsi="Arial"/>
                <w:sz w:val="10"/>
                <w:szCs w:val="10"/>
              </w:rPr>
              <w:t>5.261</w:t>
            </w:r>
          </w:p>
        </w:tc>
        <w:tc>
          <w:tcPr>
            <w:tcW w:w="567" w:type="dxa"/>
            <w:vAlign w:val="center"/>
          </w:tcPr>
          <w:p w14:paraId="3527D3F7" w14:textId="77777777" w:rsidR="0082736F" w:rsidRPr="00F9037E" w:rsidRDefault="0082736F" w:rsidP="006955C5">
            <w:pPr>
              <w:keepNext/>
              <w:keepLines/>
              <w:spacing w:after="0"/>
              <w:ind w:left="-107" w:right="-49"/>
              <w:jc w:val="center"/>
              <w:rPr>
                <w:rFonts w:ascii="Arial" w:hAnsi="Arial"/>
                <w:b/>
                <w:sz w:val="10"/>
                <w:szCs w:val="10"/>
              </w:rPr>
            </w:pPr>
            <w:r w:rsidRPr="00F9037E">
              <w:rPr>
                <w:rFonts w:ascii="Arial" w:hAnsi="Arial"/>
                <w:sz w:val="10"/>
                <w:szCs w:val="10"/>
              </w:rPr>
              <w:t>5.261</w:t>
            </w:r>
          </w:p>
        </w:tc>
        <w:tc>
          <w:tcPr>
            <w:tcW w:w="709" w:type="dxa"/>
            <w:vAlign w:val="center"/>
          </w:tcPr>
          <w:p w14:paraId="53FB8697" w14:textId="77777777" w:rsidR="0082736F" w:rsidRPr="00F9037E" w:rsidRDefault="000718F1" w:rsidP="006955C5">
            <w:pPr>
              <w:keepNext/>
              <w:keepLines/>
              <w:spacing w:after="0"/>
              <w:ind w:left="-107" w:right="-49"/>
              <w:jc w:val="center"/>
              <w:rPr>
                <w:rFonts w:ascii="Arial" w:hAnsi="Arial"/>
                <w:b/>
                <w:sz w:val="12"/>
                <w:szCs w:val="12"/>
              </w:rPr>
            </w:pPr>
            <w:r w:rsidRPr="00F9037E">
              <w:rPr>
                <w:rFonts w:ascii="Arial" w:hAnsi="Arial"/>
                <w:b/>
                <w:sz w:val="12"/>
                <w:szCs w:val="12"/>
              </w:rPr>
              <w:t>[5.261]</w:t>
            </w:r>
          </w:p>
        </w:tc>
        <w:tc>
          <w:tcPr>
            <w:tcW w:w="709" w:type="dxa"/>
            <w:vAlign w:val="center"/>
          </w:tcPr>
          <w:p w14:paraId="73674337" w14:textId="77777777" w:rsidR="002F6DFE" w:rsidRPr="00F9037E" w:rsidRDefault="002F6DFE" w:rsidP="000718F1">
            <w:pPr>
              <w:keepNext/>
              <w:keepLines/>
              <w:spacing w:after="0"/>
              <w:ind w:left="-108" w:right="-51"/>
              <w:jc w:val="center"/>
              <w:rPr>
                <w:rFonts w:ascii="Arial" w:hAnsi="Arial"/>
                <w:sz w:val="12"/>
                <w:szCs w:val="12"/>
              </w:rPr>
            </w:pPr>
          </w:p>
        </w:tc>
      </w:tr>
      <w:tr w:rsidR="00D81925" w:rsidRPr="00F9037E" w14:paraId="7377108F" w14:textId="77777777" w:rsidTr="000718F1">
        <w:trPr>
          <w:trHeight w:val="428"/>
        </w:trPr>
        <w:tc>
          <w:tcPr>
            <w:tcW w:w="992" w:type="dxa"/>
            <w:vAlign w:val="center"/>
          </w:tcPr>
          <w:p w14:paraId="6F0B57ED" w14:textId="77777777" w:rsidR="00D81925" w:rsidRPr="00F9037E" w:rsidRDefault="00D81925" w:rsidP="00A611C6">
            <w:pPr>
              <w:keepNext/>
              <w:keepLines/>
              <w:spacing w:before="120" w:after="120"/>
              <w:jc w:val="center"/>
              <w:rPr>
                <w:rFonts w:ascii="Arial" w:hAnsi="Arial"/>
                <w:sz w:val="14"/>
                <w:szCs w:val="10"/>
              </w:rPr>
            </w:pPr>
            <w:r w:rsidRPr="00F9037E">
              <w:rPr>
                <w:rFonts w:ascii="Arial" w:hAnsi="Arial"/>
                <w:sz w:val="14"/>
                <w:szCs w:val="10"/>
              </w:rPr>
              <w:t>EC</w:t>
            </w:r>
          </w:p>
        </w:tc>
        <w:tc>
          <w:tcPr>
            <w:tcW w:w="567" w:type="dxa"/>
            <w:vAlign w:val="center"/>
          </w:tcPr>
          <w:p w14:paraId="2138FEDC"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5754.361</w:t>
            </w:r>
          </w:p>
        </w:tc>
        <w:tc>
          <w:tcPr>
            <w:tcW w:w="567" w:type="dxa"/>
            <w:vAlign w:val="center"/>
          </w:tcPr>
          <w:p w14:paraId="2295F6CB"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245.00</w:t>
            </w:r>
          </w:p>
        </w:tc>
        <w:tc>
          <w:tcPr>
            <w:tcW w:w="567" w:type="dxa"/>
            <w:vAlign w:val="center"/>
          </w:tcPr>
          <w:p w14:paraId="6E299E6A"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567" w:type="dxa"/>
            <w:vAlign w:val="center"/>
          </w:tcPr>
          <w:p w14:paraId="4DAF2C16"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567" w:type="dxa"/>
            <w:vAlign w:val="center"/>
          </w:tcPr>
          <w:p w14:paraId="543B3144"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567" w:type="dxa"/>
            <w:vAlign w:val="center"/>
          </w:tcPr>
          <w:p w14:paraId="7DDDDF68"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425" w:type="dxa"/>
            <w:vAlign w:val="center"/>
          </w:tcPr>
          <w:p w14:paraId="43D09397"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426" w:type="dxa"/>
            <w:vAlign w:val="center"/>
          </w:tcPr>
          <w:p w14:paraId="33BAD69B"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425" w:type="dxa"/>
            <w:vAlign w:val="center"/>
          </w:tcPr>
          <w:p w14:paraId="21C7CE7A" w14:textId="77777777" w:rsidR="00D81925" w:rsidRPr="00F9037E" w:rsidRDefault="00D81925" w:rsidP="009C58E9">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425" w:type="dxa"/>
            <w:vAlign w:val="center"/>
          </w:tcPr>
          <w:p w14:paraId="0948F3D1" w14:textId="77777777" w:rsidR="00D81925" w:rsidRPr="00F9037E" w:rsidRDefault="00D81925" w:rsidP="009C58E9">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425" w:type="dxa"/>
            <w:vAlign w:val="center"/>
          </w:tcPr>
          <w:p w14:paraId="4EBE5611" w14:textId="77777777" w:rsidR="00D81925" w:rsidRPr="00F9037E" w:rsidRDefault="00D81925" w:rsidP="009C58E9">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426" w:type="dxa"/>
            <w:vAlign w:val="center"/>
          </w:tcPr>
          <w:p w14:paraId="76F8AC67"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567" w:type="dxa"/>
            <w:vAlign w:val="center"/>
          </w:tcPr>
          <w:p w14:paraId="3CFAF0A4"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4392.812</w:t>
            </w:r>
          </w:p>
        </w:tc>
        <w:tc>
          <w:tcPr>
            <w:tcW w:w="567" w:type="dxa"/>
            <w:vAlign w:val="center"/>
          </w:tcPr>
          <w:p w14:paraId="01EE9BEC"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3536.755</w:t>
            </w:r>
          </w:p>
        </w:tc>
        <w:tc>
          <w:tcPr>
            <w:tcW w:w="567" w:type="dxa"/>
            <w:vAlign w:val="center"/>
          </w:tcPr>
          <w:p w14:paraId="39E06621"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689.142</w:t>
            </w:r>
          </w:p>
        </w:tc>
        <w:tc>
          <w:tcPr>
            <w:tcW w:w="567" w:type="dxa"/>
            <w:vAlign w:val="center"/>
          </w:tcPr>
          <w:p w14:paraId="70BADF12"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245.146</w:t>
            </w:r>
          </w:p>
        </w:tc>
        <w:tc>
          <w:tcPr>
            <w:tcW w:w="567" w:type="dxa"/>
            <w:vAlign w:val="center"/>
          </w:tcPr>
          <w:p w14:paraId="4C0CB9A3"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567" w:type="dxa"/>
            <w:vAlign w:val="center"/>
          </w:tcPr>
          <w:p w14:paraId="1F3A850C"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567" w:type="dxa"/>
            <w:vAlign w:val="center"/>
          </w:tcPr>
          <w:p w14:paraId="230EE73E" w14:textId="77777777" w:rsidR="00D81925" w:rsidRPr="00F9037E" w:rsidRDefault="00D81925" w:rsidP="006955C5">
            <w:pPr>
              <w:keepNext/>
              <w:keepLines/>
              <w:spacing w:before="20" w:after="20"/>
              <w:ind w:left="-109"/>
              <w:jc w:val="center"/>
              <w:rPr>
                <w:rFonts w:ascii="Arial" w:hAnsi="Arial"/>
                <w:sz w:val="10"/>
                <w:szCs w:val="10"/>
              </w:rPr>
            </w:pPr>
            <w:r w:rsidRPr="00F9037E">
              <w:rPr>
                <w:rFonts w:ascii="Arial" w:hAnsi="Arial"/>
                <w:sz w:val="10"/>
                <w:szCs w:val="10"/>
              </w:rPr>
              <w:t>0</w:t>
            </w:r>
          </w:p>
        </w:tc>
        <w:tc>
          <w:tcPr>
            <w:tcW w:w="567" w:type="dxa"/>
            <w:vAlign w:val="center"/>
          </w:tcPr>
          <w:p w14:paraId="0DC9ECC0" w14:textId="77777777" w:rsidR="00D81925" w:rsidRPr="00F9037E" w:rsidRDefault="00D81925" w:rsidP="006955C5">
            <w:pPr>
              <w:pStyle w:val="NormalWeb"/>
              <w:spacing w:before="120" w:after="120"/>
              <w:ind w:left="-107" w:right="-49"/>
              <w:jc w:val="center"/>
              <w:rPr>
                <w:rFonts w:ascii="Arial" w:hAnsi="Arial"/>
                <w:color w:val="000000"/>
                <w:sz w:val="10"/>
                <w:szCs w:val="10"/>
                <w:lang w:val="en-GB"/>
              </w:rPr>
            </w:pPr>
            <w:r w:rsidRPr="00F9037E">
              <w:rPr>
                <w:rFonts w:ascii="Arial" w:hAnsi="Arial"/>
                <w:color w:val="000000"/>
                <w:sz w:val="10"/>
                <w:szCs w:val="10"/>
                <w:lang w:val="en-GB"/>
              </w:rPr>
              <w:t>0</w:t>
            </w:r>
          </w:p>
        </w:tc>
        <w:tc>
          <w:tcPr>
            <w:tcW w:w="567" w:type="dxa"/>
            <w:vAlign w:val="center"/>
          </w:tcPr>
          <w:p w14:paraId="168C3035"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567" w:type="dxa"/>
            <w:vAlign w:val="center"/>
          </w:tcPr>
          <w:p w14:paraId="1B222C69"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567" w:type="dxa"/>
            <w:vAlign w:val="center"/>
          </w:tcPr>
          <w:p w14:paraId="090E72BE" w14:textId="77777777" w:rsidR="00D81925" w:rsidRPr="00F9037E" w:rsidRDefault="00D81925" w:rsidP="00266678">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567" w:type="dxa"/>
            <w:vAlign w:val="center"/>
          </w:tcPr>
          <w:p w14:paraId="0A549827" w14:textId="77777777" w:rsidR="00D81925" w:rsidRPr="00F9037E" w:rsidRDefault="00D81925" w:rsidP="006955C5">
            <w:pPr>
              <w:keepNext/>
              <w:keepLines/>
              <w:spacing w:after="0"/>
              <w:ind w:left="-108" w:right="-51"/>
              <w:jc w:val="center"/>
              <w:rPr>
                <w:rFonts w:ascii="Arial" w:hAnsi="Arial"/>
                <w:sz w:val="10"/>
                <w:szCs w:val="10"/>
              </w:rPr>
            </w:pPr>
            <w:r w:rsidRPr="00F9037E">
              <w:rPr>
                <w:rFonts w:ascii="Arial" w:hAnsi="Arial"/>
                <w:sz w:val="10"/>
                <w:szCs w:val="10"/>
              </w:rPr>
              <w:t>0</w:t>
            </w:r>
          </w:p>
        </w:tc>
        <w:tc>
          <w:tcPr>
            <w:tcW w:w="709" w:type="dxa"/>
            <w:vAlign w:val="center"/>
          </w:tcPr>
          <w:p w14:paraId="6A5DBB53" w14:textId="77777777" w:rsidR="00D81925" w:rsidRPr="00F9037E" w:rsidRDefault="00D81925" w:rsidP="002A0BDB">
            <w:pPr>
              <w:keepNext/>
              <w:keepLines/>
              <w:spacing w:before="120" w:after="120"/>
              <w:ind w:left="-107" w:right="-49"/>
              <w:jc w:val="center"/>
              <w:rPr>
                <w:rFonts w:ascii="Arial" w:hAnsi="Arial"/>
                <w:sz w:val="12"/>
                <w:szCs w:val="10"/>
              </w:rPr>
            </w:pPr>
            <w:r w:rsidRPr="00F9037E">
              <w:rPr>
                <w:rFonts w:ascii="Arial" w:hAnsi="Arial"/>
                <w:sz w:val="12"/>
                <w:szCs w:val="10"/>
              </w:rPr>
              <w:t>0</w:t>
            </w:r>
          </w:p>
        </w:tc>
        <w:tc>
          <w:tcPr>
            <w:tcW w:w="709" w:type="dxa"/>
            <w:vAlign w:val="center"/>
          </w:tcPr>
          <w:p w14:paraId="28E850F8" w14:textId="77777777" w:rsidR="00D81925" w:rsidRPr="00F9037E" w:rsidRDefault="00D81925" w:rsidP="006955C5">
            <w:pPr>
              <w:keepNext/>
              <w:keepLines/>
              <w:spacing w:after="0"/>
              <w:ind w:left="-108" w:right="-51"/>
              <w:jc w:val="center"/>
              <w:rPr>
                <w:rFonts w:ascii="Arial" w:hAnsi="Arial"/>
                <w:sz w:val="12"/>
                <w:szCs w:val="10"/>
              </w:rPr>
            </w:pPr>
          </w:p>
        </w:tc>
      </w:tr>
      <w:tr w:rsidR="00D81925" w:rsidRPr="00F9037E" w14:paraId="7620F821" w14:textId="77777777" w:rsidTr="000718F1">
        <w:tc>
          <w:tcPr>
            <w:tcW w:w="992" w:type="dxa"/>
            <w:vAlign w:val="center"/>
          </w:tcPr>
          <w:p w14:paraId="39C32F51" w14:textId="77777777" w:rsidR="00D81925" w:rsidRPr="00F9037E" w:rsidRDefault="00D81925" w:rsidP="006955C5">
            <w:pPr>
              <w:keepNext/>
              <w:keepLines/>
              <w:spacing w:before="120" w:after="120"/>
              <w:jc w:val="center"/>
              <w:rPr>
                <w:rFonts w:ascii="Arial" w:hAnsi="Arial"/>
                <w:sz w:val="14"/>
                <w:szCs w:val="10"/>
              </w:rPr>
            </w:pPr>
            <w:r w:rsidRPr="00F9037E">
              <w:rPr>
                <w:rFonts w:ascii="Arial" w:hAnsi="Arial"/>
                <w:sz w:val="14"/>
                <w:szCs w:val="10"/>
              </w:rPr>
              <w:t>Israel</w:t>
            </w:r>
          </w:p>
        </w:tc>
        <w:tc>
          <w:tcPr>
            <w:tcW w:w="567" w:type="dxa"/>
            <w:vAlign w:val="center"/>
          </w:tcPr>
          <w:p w14:paraId="0FFB0986"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1117.156</w:t>
            </w:r>
          </w:p>
        </w:tc>
        <w:tc>
          <w:tcPr>
            <w:tcW w:w="567" w:type="dxa"/>
            <w:vAlign w:val="center"/>
          </w:tcPr>
          <w:p w14:paraId="2CA91E04"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952.845</w:t>
            </w:r>
          </w:p>
        </w:tc>
        <w:tc>
          <w:tcPr>
            <w:tcW w:w="567" w:type="dxa"/>
            <w:vAlign w:val="center"/>
          </w:tcPr>
          <w:p w14:paraId="6EF14C1A"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699.448</w:t>
            </w:r>
          </w:p>
        </w:tc>
        <w:tc>
          <w:tcPr>
            <w:tcW w:w="567" w:type="dxa"/>
            <w:vAlign w:val="center"/>
          </w:tcPr>
          <w:p w14:paraId="3A017AAE"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383.700</w:t>
            </w:r>
          </w:p>
        </w:tc>
        <w:tc>
          <w:tcPr>
            <w:tcW w:w="567" w:type="dxa"/>
            <w:vAlign w:val="center"/>
          </w:tcPr>
          <w:p w14:paraId="65CC3B27"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232.247</w:t>
            </w:r>
          </w:p>
        </w:tc>
        <w:tc>
          <w:tcPr>
            <w:tcW w:w="567" w:type="dxa"/>
            <w:vAlign w:val="center"/>
          </w:tcPr>
          <w:p w14:paraId="67062E1E"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425" w:type="dxa"/>
            <w:vAlign w:val="center"/>
          </w:tcPr>
          <w:p w14:paraId="732424C3"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426" w:type="dxa"/>
            <w:vAlign w:val="center"/>
          </w:tcPr>
          <w:p w14:paraId="4CA3544F"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425" w:type="dxa"/>
            <w:vAlign w:val="center"/>
          </w:tcPr>
          <w:p w14:paraId="30E64420"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425" w:type="dxa"/>
            <w:vAlign w:val="center"/>
          </w:tcPr>
          <w:p w14:paraId="0CD048E9"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425" w:type="dxa"/>
            <w:vAlign w:val="center"/>
          </w:tcPr>
          <w:p w14:paraId="2D89B87C"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426" w:type="dxa"/>
            <w:vAlign w:val="center"/>
          </w:tcPr>
          <w:p w14:paraId="17773C79"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567" w:type="dxa"/>
            <w:vAlign w:val="center"/>
          </w:tcPr>
          <w:p w14:paraId="5457B61D"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1089.306</w:t>
            </w:r>
          </w:p>
        </w:tc>
        <w:tc>
          <w:tcPr>
            <w:tcW w:w="567" w:type="dxa"/>
            <w:vAlign w:val="center"/>
          </w:tcPr>
          <w:p w14:paraId="43F24D4D"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880.295</w:t>
            </w:r>
          </w:p>
        </w:tc>
        <w:tc>
          <w:tcPr>
            <w:tcW w:w="567" w:type="dxa"/>
            <w:vAlign w:val="center"/>
          </w:tcPr>
          <w:p w14:paraId="418C69D9"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966.715</w:t>
            </w:r>
          </w:p>
        </w:tc>
        <w:tc>
          <w:tcPr>
            <w:tcW w:w="567" w:type="dxa"/>
            <w:vAlign w:val="center"/>
          </w:tcPr>
          <w:p w14:paraId="42C592BB"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860.580</w:t>
            </w:r>
          </w:p>
        </w:tc>
        <w:tc>
          <w:tcPr>
            <w:tcW w:w="567" w:type="dxa"/>
            <w:vAlign w:val="center"/>
          </w:tcPr>
          <w:p w14:paraId="309AF52A"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610.854</w:t>
            </w:r>
          </w:p>
        </w:tc>
        <w:tc>
          <w:tcPr>
            <w:tcW w:w="567" w:type="dxa"/>
            <w:vAlign w:val="center"/>
          </w:tcPr>
          <w:p w14:paraId="43BC0EF2"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290.878</w:t>
            </w:r>
          </w:p>
        </w:tc>
        <w:tc>
          <w:tcPr>
            <w:tcW w:w="567" w:type="dxa"/>
            <w:vAlign w:val="center"/>
          </w:tcPr>
          <w:p w14:paraId="209626B8" w14:textId="77777777" w:rsidR="00D81925" w:rsidRPr="00F9037E" w:rsidRDefault="00D81925" w:rsidP="006955C5">
            <w:pPr>
              <w:keepNext/>
              <w:keepLines/>
              <w:spacing w:before="20" w:after="20"/>
              <w:ind w:left="-109"/>
              <w:jc w:val="center"/>
              <w:rPr>
                <w:rFonts w:ascii="Arial" w:hAnsi="Arial"/>
                <w:sz w:val="10"/>
                <w:szCs w:val="10"/>
              </w:rPr>
            </w:pPr>
            <w:r w:rsidRPr="00F9037E">
              <w:rPr>
                <w:rFonts w:ascii="Arial" w:hAnsi="Arial"/>
                <w:sz w:val="10"/>
                <w:szCs w:val="10"/>
              </w:rPr>
              <w:t>0</w:t>
            </w:r>
          </w:p>
        </w:tc>
        <w:tc>
          <w:tcPr>
            <w:tcW w:w="567" w:type="dxa"/>
            <w:vAlign w:val="center"/>
          </w:tcPr>
          <w:p w14:paraId="3B581B4A" w14:textId="77777777" w:rsidR="00D81925" w:rsidRPr="00F9037E" w:rsidRDefault="00D81925" w:rsidP="006955C5">
            <w:pPr>
              <w:pStyle w:val="NormalWeb"/>
              <w:spacing w:before="120" w:after="120"/>
              <w:ind w:left="-107" w:right="-49"/>
              <w:jc w:val="center"/>
              <w:rPr>
                <w:sz w:val="10"/>
                <w:szCs w:val="10"/>
                <w:lang w:val="en-GB"/>
              </w:rPr>
            </w:pPr>
            <w:r w:rsidRPr="00F9037E">
              <w:rPr>
                <w:sz w:val="10"/>
                <w:szCs w:val="10"/>
                <w:lang w:val="en-GB"/>
              </w:rPr>
              <w:t>0</w:t>
            </w:r>
          </w:p>
        </w:tc>
        <w:tc>
          <w:tcPr>
            <w:tcW w:w="567" w:type="dxa"/>
            <w:vAlign w:val="center"/>
          </w:tcPr>
          <w:p w14:paraId="3E1BB36F"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567" w:type="dxa"/>
            <w:vAlign w:val="center"/>
          </w:tcPr>
          <w:p w14:paraId="47BF8317"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567" w:type="dxa"/>
            <w:vAlign w:val="center"/>
          </w:tcPr>
          <w:p w14:paraId="1914D410"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567" w:type="dxa"/>
            <w:vAlign w:val="center"/>
          </w:tcPr>
          <w:p w14:paraId="4F1820F6"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709" w:type="dxa"/>
            <w:vAlign w:val="center"/>
          </w:tcPr>
          <w:p w14:paraId="6BB54B37" w14:textId="77777777" w:rsidR="00D81925" w:rsidRPr="00F9037E" w:rsidRDefault="00D81925" w:rsidP="006955C5">
            <w:pPr>
              <w:keepNext/>
              <w:keepLines/>
              <w:spacing w:before="120" w:after="120"/>
              <w:ind w:left="-107" w:right="-49"/>
              <w:jc w:val="center"/>
              <w:rPr>
                <w:rFonts w:ascii="Arial" w:hAnsi="Arial"/>
                <w:sz w:val="12"/>
                <w:szCs w:val="10"/>
              </w:rPr>
            </w:pPr>
            <w:r w:rsidRPr="00F9037E">
              <w:rPr>
                <w:rFonts w:ascii="Arial" w:hAnsi="Arial"/>
                <w:sz w:val="12"/>
                <w:szCs w:val="10"/>
              </w:rPr>
              <w:t>0</w:t>
            </w:r>
          </w:p>
        </w:tc>
        <w:tc>
          <w:tcPr>
            <w:tcW w:w="709" w:type="dxa"/>
            <w:vAlign w:val="center"/>
          </w:tcPr>
          <w:p w14:paraId="2513729F" w14:textId="77777777" w:rsidR="00D81925" w:rsidRPr="00F9037E" w:rsidRDefault="00D81925" w:rsidP="006955C5">
            <w:pPr>
              <w:keepNext/>
              <w:keepLines/>
              <w:spacing w:before="120" w:after="120"/>
              <w:ind w:left="-107" w:right="-49"/>
              <w:jc w:val="center"/>
              <w:rPr>
                <w:rFonts w:ascii="Arial" w:hAnsi="Arial"/>
                <w:sz w:val="12"/>
                <w:szCs w:val="10"/>
              </w:rPr>
            </w:pPr>
          </w:p>
        </w:tc>
      </w:tr>
      <w:tr w:rsidR="00D81925" w:rsidRPr="00F9037E" w14:paraId="25BB176E" w14:textId="77777777" w:rsidTr="000718F1">
        <w:tc>
          <w:tcPr>
            <w:tcW w:w="992" w:type="dxa"/>
            <w:vAlign w:val="center"/>
          </w:tcPr>
          <w:p w14:paraId="69DBF6EF" w14:textId="77777777" w:rsidR="00D81925" w:rsidRPr="00F9037E" w:rsidRDefault="00D81925" w:rsidP="006955C5">
            <w:pPr>
              <w:keepNext/>
              <w:keepLines/>
              <w:spacing w:before="120" w:after="120"/>
              <w:jc w:val="center"/>
              <w:rPr>
                <w:rFonts w:ascii="Arial" w:hAnsi="Arial"/>
                <w:sz w:val="14"/>
                <w:szCs w:val="10"/>
              </w:rPr>
            </w:pPr>
            <w:r w:rsidRPr="00F9037E">
              <w:rPr>
                <w:rFonts w:ascii="Arial" w:hAnsi="Arial"/>
                <w:sz w:val="14"/>
                <w:szCs w:val="10"/>
              </w:rPr>
              <w:t>Japan</w:t>
            </w:r>
          </w:p>
        </w:tc>
        <w:tc>
          <w:tcPr>
            <w:tcW w:w="567" w:type="dxa"/>
            <w:vAlign w:val="center"/>
          </w:tcPr>
          <w:p w14:paraId="369D0CDC"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748.000</w:t>
            </w:r>
          </w:p>
        </w:tc>
        <w:tc>
          <w:tcPr>
            <w:tcW w:w="567" w:type="dxa"/>
            <w:vAlign w:val="center"/>
          </w:tcPr>
          <w:p w14:paraId="42032C30"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589.600</w:t>
            </w:r>
          </w:p>
        </w:tc>
        <w:tc>
          <w:tcPr>
            <w:tcW w:w="567" w:type="dxa"/>
            <w:vAlign w:val="center"/>
          </w:tcPr>
          <w:p w14:paraId="0EC3063B"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508.900</w:t>
            </w:r>
          </w:p>
        </w:tc>
        <w:tc>
          <w:tcPr>
            <w:tcW w:w="567" w:type="dxa"/>
            <w:vAlign w:val="center"/>
          </w:tcPr>
          <w:p w14:paraId="6AD2C246"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288.500</w:t>
            </w:r>
          </w:p>
        </w:tc>
        <w:tc>
          <w:tcPr>
            <w:tcW w:w="567" w:type="dxa"/>
            <w:vAlign w:val="center"/>
          </w:tcPr>
          <w:p w14:paraId="3273E427"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249.420</w:t>
            </w:r>
          </w:p>
        </w:tc>
        <w:tc>
          <w:tcPr>
            <w:tcW w:w="567" w:type="dxa"/>
            <w:vAlign w:val="center"/>
          </w:tcPr>
          <w:p w14:paraId="2304753A"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221.104</w:t>
            </w:r>
          </w:p>
        </w:tc>
        <w:tc>
          <w:tcPr>
            <w:tcW w:w="425" w:type="dxa"/>
            <w:vAlign w:val="center"/>
          </w:tcPr>
          <w:p w14:paraId="7D11E95D"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3.317</w:t>
            </w:r>
          </w:p>
        </w:tc>
        <w:tc>
          <w:tcPr>
            <w:tcW w:w="426" w:type="dxa"/>
            <w:vAlign w:val="center"/>
          </w:tcPr>
          <w:p w14:paraId="333296F0"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425" w:type="dxa"/>
            <w:vAlign w:val="center"/>
          </w:tcPr>
          <w:p w14:paraId="36D53C4C"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425" w:type="dxa"/>
            <w:vAlign w:val="center"/>
          </w:tcPr>
          <w:p w14:paraId="2D76F18C"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425" w:type="dxa"/>
            <w:vAlign w:val="center"/>
          </w:tcPr>
          <w:p w14:paraId="471D5BB4"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426" w:type="dxa"/>
            <w:vAlign w:val="center"/>
          </w:tcPr>
          <w:p w14:paraId="4C53EC0B"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567" w:type="dxa"/>
            <w:vAlign w:val="center"/>
          </w:tcPr>
          <w:p w14:paraId="4A93522A"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748.000</w:t>
            </w:r>
          </w:p>
        </w:tc>
        <w:tc>
          <w:tcPr>
            <w:tcW w:w="567" w:type="dxa"/>
            <w:vAlign w:val="center"/>
          </w:tcPr>
          <w:p w14:paraId="10C3EBE1"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741.400</w:t>
            </w:r>
          </w:p>
        </w:tc>
        <w:tc>
          <w:tcPr>
            <w:tcW w:w="567" w:type="dxa"/>
            <w:vAlign w:val="center"/>
          </w:tcPr>
          <w:p w14:paraId="473CC951"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636.172</w:t>
            </w:r>
          </w:p>
        </w:tc>
        <w:tc>
          <w:tcPr>
            <w:tcW w:w="567" w:type="dxa"/>
            <w:vAlign w:val="center"/>
          </w:tcPr>
          <w:p w14:paraId="0203F335"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443.775</w:t>
            </w:r>
          </w:p>
        </w:tc>
        <w:tc>
          <w:tcPr>
            <w:tcW w:w="567" w:type="dxa"/>
            <w:vAlign w:val="center"/>
          </w:tcPr>
          <w:p w14:paraId="6C95F65E"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305.380</w:t>
            </w:r>
          </w:p>
        </w:tc>
        <w:tc>
          <w:tcPr>
            <w:tcW w:w="567" w:type="dxa"/>
            <w:vAlign w:val="center"/>
          </w:tcPr>
          <w:p w14:paraId="5019643E"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267.000</w:t>
            </w:r>
          </w:p>
        </w:tc>
        <w:tc>
          <w:tcPr>
            <w:tcW w:w="567" w:type="dxa"/>
            <w:vAlign w:val="center"/>
          </w:tcPr>
          <w:p w14:paraId="7927853F" w14:textId="77777777" w:rsidR="00D81925" w:rsidRPr="00F9037E" w:rsidRDefault="00D81925" w:rsidP="006955C5">
            <w:pPr>
              <w:keepNext/>
              <w:keepLines/>
              <w:spacing w:before="20" w:after="20"/>
              <w:ind w:left="-109"/>
              <w:jc w:val="center"/>
              <w:rPr>
                <w:rFonts w:ascii="Arial" w:hAnsi="Arial"/>
                <w:sz w:val="10"/>
                <w:szCs w:val="10"/>
              </w:rPr>
            </w:pPr>
            <w:r w:rsidRPr="00F9037E">
              <w:rPr>
                <w:rFonts w:ascii="Arial" w:hAnsi="Arial"/>
                <w:sz w:val="10"/>
                <w:szCs w:val="10"/>
              </w:rPr>
              <w:t>239.746</w:t>
            </w:r>
          </w:p>
        </w:tc>
        <w:tc>
          <w:tcPr>
            <w:tcW w:w="567" w:type="dxa"/>
            <w:vAlign w:val="center"/>
          </w:tcPr>
          <w:p w14:paraId="7C2FC336" w14:textId="77777777" w:rsidR="00D81925" w:rsidRPr="00F9037E" w:rsidRDefault="00D81925" w:rsidP="006955C5">
            <w:pPr>
              <w:pStyle w:val="NormalWeb"/>
              <w:spacing w:before="120" w:after="120"/>
              <w:ind w:left="-107" w:right="-49"/>
              <w:jc w:val="center"/>
              <w:rPr>
                <w:sz w:val="10"/>
                <w:szCs w:val="10"/>
                <w:lang w:val="en-GB"/>
              </w:rPr>
            </w:pPr>
            <w:r w:rsidRPr="00F9037E">
              <w:rPr>
                <w:sz w:val="10"/>
                <w:szCs w:val="10"/>
                <w:lang w:val="en-GB"/>
              </w:rPr>
              <w:t>219.609</w:t>
            </w:r>
          </w:p>
        </w:tc>
        <w:tc>
          <w:tcPr>
            <w:tcW w:w="567" w:type="dxa"/>
            <w:vAlign w:val="center"/>
          </w:tcPr>
          <w:p w14:paraId="4F60DC3D"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3.317</w:t>
            </w:r>
          </w:p>
        </w:tc>
        <w:tc>
          <w:tcPr>
            <w:tcW w:w="567" w:type="dxa"/>
            <w:vAlign w:val="center"/>
          </w:tcPr>
          <w:p w14:paraId="51EDE01C"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567" w:type="dxa"/>
            <w:vAlign w:val="center"/>
          </w:tcPr>
          <w:p w14:paraId="2DBB64BF"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567" w:type="dxa"/>
            <w:vAlign w:val="center"/>
          </w:tcPr>
          <w:p w14:paraId="0914AD4F"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709" w:type="dxa"/>
            <w:vAlign w:val="center"/>
          </w:tcPr>
          <w:p w14:paraId="794972D5" w14:textId="77777777" w:rsidR="00D81925" w:rsidRPr="00F9037E" w:rsidRDefault="00D81925" w:rsidP="006955C5">
            <w:pPr>
              <w:keepNext/>
              <w:keepLines/>
              <w:spacing w:before="120" w:after="120"/>
              <w:ind w:left="-107" w:right="-49"/>
              <w:jc w:val="center"/>
              <w:rPr>
                <w:rFonts w:ascii="Arial" w:hAnsi="Arial"/>
                <w:sz w:val="12"/>
                <w:szCs w:val="10"/>
              </w:rPr>
            </w:pPr>
            <w:r w:rsidRPr="00F9037E">
              <w:rPr>
                <w:rFonts w:ascii="Arial" w:hAnsi="Arial"/>
                <w:sz w:val="12"/>
                <w:szCs w:val="10"/>
              </w:rPr>
              <w:t>0</w:t>
            </w:r>
          </w:p>
        </w:tc>
        <w:tc>
          <w:tcPr>
            <w:tcW w:w="709" w:type="dxa"/>
            <w:vAlign w:val="center"/>
          </w:tcPr>
          <w:p w14:paraId="11C74BFE" w14:textId="77777777" w:rsidR="00D81925" w:rsidRPr="00F9037E" w:rsidRDefault="00D81925" w:rsidP="006955C5">
            <w:pPr>
              <w:keepNext/>
              <w:keepLines/>
              <w:spacing w:before="120" w:after="120"/>
              <w:ind w:left="-107" w:right="-49"/>
              <w:jc w:val="center"/>
              <w:rPr>
                <w:rFonts w:ascii="Arial" w:hAnsi="Arial"/>
                <w:sz w:val="12"/>
                <w:szCs w:val="10"/>
              </w:rPr>
            </w:pPr>
          </w:p>
        </w:tc>
      </w:tr>
      <w:tr w:rsidR="00D81925" w:rsidRPr="00F9037E" w14:paraId="05CE9C6B" w14:textId="77777777" w:rsidTr="000718F1">
        <w:trPr>
          <w:trHeight w:val="363"/>
        </w:trPr>
        <w:tc>
          <w:tcPr>
            <w:tcW w:w="992" w:type="dxa"/>
            <w:vAlign w:val="center"/>
          </w:tcPr>
          <w:p w14:paraId="157EADBB" w14:textId="77777777" w:rsidR="00D81925" w:rsidRPr="00F9037E" w:rsidRDefault="00D81925" w:rsidP="006955C5">
            <w:pPr>
              <w:keepNext/>
              <w:keepLines/>
              <w:spacing w:before="120" w:after="120"/>
              <w:jc w:val="center"/>
              <w:rPr>
                <w:rFonts w:ascii="Arial" w:hAnsi="Arial"/>
                <w:sz w:val="14"/>
                <w:szCs w:val="10"/>
              </w:rPr>
            </w:pPr>
            <w:r w:rsidRPr="00F9037E">
              <w:rPr>
                <w:rFonts w:ascii="Arial" w:hAnsi="Arial"/>
                <w:sz w:val="14"/>
                <w:szCs w:val="10"/>
              </w:rPr>
              <w:t>New Zealand</w:t>
            </w:r>
          </w:p>
        </w:tc>
        <w:tc>
          <w:tcPr>
            <w:tcW w:w="567" w:type="dxa"/>
            <w:vAlign w:val="center"/>
          </w:tcPr>
          <w:p w14:paraId="37DB9F73"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53.085</w:t>
            </w:r>
          </w:p>
        </w:tc>
        <w:tc>
          <w:tcPr>
            <w:tcW w:w="567" w:type="dxa"/>
            <w:vAlign w:val="center"/>
          </w:tcPr>
          <w:p w14:paraId="7F80C14F"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567" w:type="dxa"/>
            <w:vAlign w:val="center"/>
          </w:tcPr>
          <w:p w14:paraId="0984FF4B" w14:textId="77777777" w:rsidR="00D81925" w:rsidRPr="00F9037E" w:rsidRDefault="00D81925" w:rsidP="006955C5">
            <w:pPr>
              <w:keepNext/>
              <w:keepLines/>
              <w:spacing w:before="120" w:after="120"/>
              <w:ind w:left="-107" w:right="-49"/>
              <w:jc w:val="center"/>
              <w:rPr>
                <w:rFonts w:ascii="Arial" w:hAnsi="Arial"/>
                <w:b/>
                <w:sz w:val="10"/>
                <w:szCs w:val="10"/>
              </w:rPr>
            </w:pPr>
            <w:r w:rsidRPr="00F9037E">
              <w:rPr>
                <w:rFonts w:ascii="Arial" w:hAnsi="Arial"/>
                <w:sz w:val="10"/>
                <w:szCs w:val="10"/>
              </w:rPr>
              <w:t>0</w:t>
            </w:r>
          </w:p>
        </w:tc>
        <w:tc>
          <w:tcPr>
            <w:tcW w:w="567" w:type="dxa"/>
            <w:vAlign w:val="center"/>
          </w:tcPr>
          <w:p w14:paraId="4E42A302" w14:textId="77777777" w:rsidR="00D81925" w:rsidRPr="00F9037E" w:rsidRDefault="00D81925" w:rsidP="006955C5">
            <w:pPr>
              <w:keepNext/>
              <w:keepLines/>
              <w:spacing w:before="120" w:after="120"/>
              <w:ind w:left="-107" w:right="-49"/>
              <w:jc w:val="center"/>
              <w:rPr>
                <w:rFonts w:ascii="Arial" w:hAnsi="Arial"/>
                <w:b/>
                <w:sz w:val="10"/>
                <w:szCs w:val="10"/>
              </w:rPr>
            </w:pPr>
            <w:r w:rsidRPr="00F9037E">
              <w:rPr>
                <w:rFonts w:ascii="Arial" w:hAnsi="Arial"/>
                <w:sz w:val="10"/>
                <w:szCs w:val="10"/>
              </w:rPr>
              <w:t>0</w:t>
            </w:r>
          </w:p>
        </w:tc>
        <w:tc>
          <w:tcPr>
            <w:tcW w:w="567" w:type="dxa"/>
            <w:vAlign w:val="center"/>
          </w:tcPr>
          <w:p w14:paraId="6D74577E" w14:textId="77777777" w:rsidR="00D81925" w:rsidRPr="00F9037E" w:rsidRDefault="00D81925" w:rsidP="006955C5">
            <w:pPr>
              <w:keepNext/>
              <w:keepLines/>
              <w:spacing w:before="120" w:after="120"/>
              <w:ind w:left="-107" w:right="-49"/>
              <w:jc w:val="center"/>
              <w:rPr>
                <w:rFonts w:ascii="Arial" w:hAnsi="Arial"/>
                <w:b/>
                <w:sz w:val="10"/>
                <w:szCs w:val="10"/>
              </w:rPr>
            </w:pPr>
            <w:r w:rsidRPr="00F9037E">
              <w:rPr>
                <w:rFonts w:ascii="Arial" w:hAnsi="Arial"/>
                <w:sz w:val="10"/>
                <w:szCs w:val="10"/>
              </w:rPr>
              <w:t>0</w:t>
            </w:r>
          </w:p>
        </w:tc>
        <w:tc>
          <w:tcPr>
            <w:tcW w:w="567" w:type="dxa"/>
            <w:vAlign w:val="center"/>
          </w:tcPr>
          <w:p w14:paraId="234D7FD3" w14:textId="77777777" w:rsidR="00D81925" w:rsidRPr="00F9037E" w:rsidRDefault="00D81925" w:rsidP="006955C5">
            <w:pPr>
              <w:keepNext/>
              <w:keepLines/>
              <w:spacing w:before="120" w:after="120"/>
              <w:ind w:left="-107" w:right="-49"/>
              <w:jc w:val="center"/>
              <w:rPr>
                <w:rFonts w:ascii="Arial" w:hAnsi="Arial"/>
                <w:b/>
                <w:sz w:val="10"/>
                <w:szCs w:val="10"/>
              </w:rPr>
            </w:pPr>
            <w:r w:rsidRPr="00F9037E">
              <w:rPr>
                <w:rFonts w:ascii="Arial" w:hAnsi="Arial"/>
                <w:sz w:val="10"/>
                <w:szCs w:val="10"/>
              </w:rPr>
              <w:t>0</w:t>
            </w:r>
          </w:p>
        </w:tc>
        <w:tc>
          <w:tcPr>
            <w:tcW w:w="425" w:type="dxa"/>
            <w:vAlign w:val="center"/>
          </w:tcPr>
          <w:p w14:paraId="6F2D8FA6" w14:textId="77777777" w:rsidR="00D81925" w:rsidRPr="00F9037E" w:rsidRDefault="00D81925" w:rsidP="006955C5">
            <w:pPr>
              <w:keepNext/>
              <w:keepLines/>
              <w:spacing w:before="120" w:after="120"/>
              <w:ind w:left="-107" w:right="-49"/>
              <w:jc w:val="center"/>
              <w:rPr>
                <w:rFonts w:ascii="Arial" w:hAnsi="Arial"/>
                <w:b/>
                <w:sz w:val="10"/>
                <w:szCs w:val="10"/>
              </w:rPr>
            </w:pPr>
            <w:r w:rsidRPr="00F9037E">
              <w:rPr>
                <w:rFonts w:ascii="Arial" w:hAnsi="Arial"/>
                <w:sz w:val="10"/>
                <w:szCs w:val="10"/>
              </w:rPr>
              <w:t>0</w:t>
            </w:r>
          </w:p>
        </w:tc>
        <w:tc>
          <w:tcPr>
            <w:tcW w:w="426" w:type="dxa"/>
            <w:vAlign w:val="center"/>
          </w:tcPr>
          <w:p w14:paraId="41ECD6E1" w14:textId="77777777" w:rsidR="00D81925" w:rsidRPr="00F9037E" w:rsidRDefault="00D81925" w:rsidP="006955C5">
            <w:pPr>
              <w:keepNext/>
              <w:keepLines/>
              <w:spacing w:before="120" w:after="120"/>
              <w:ind w:left="-107" w:right="-49"/>
              <w:jc w:val="center"/>
              <w:rPr>
                <w:rFonts w:ascii="Arial" w:hAnsi="Arial"/>
                <w:b/>
                <w:sz w:val="10"/>
                <w:szCs w:val="10"/>
              </w:rPr>
            </w:pPr>
            <w:r w:rsidRPr="00F9037E">
              <w:rPr>
                <w:rFonts w:ascii="Arial" w:hAnsi="Arial"/>
                <w:sz w:val="10"/>
                <w:szCs w:val="10"/>
              </w:rPr>
              <w:t>0</w:t>
            </w:r>
          </w:p>
        </w:tc>
        <w:tc>
          <w:tcPr>
            <w:tcW w:w="425" w:type="dxa"/>
            <w:vAlign w:val="center"/>
          </w:tcPr>
          <w:p w14:paraId="35FC4E14" w14:textId="77777777" w:rsidR="00D81925" w:rsidRPr="00F9037E" w:rsidRDefault="00D81925" w:rsidP="006955C5">
            <w:pPr>
              <w:keepNext/>
              <w:keepLines/>
              <w:spacing w:before="120" w:after="120"/>
              <w:ind w:left="-107" w:right="-49"/>
              <w:jc w:val="center"/>
              <w:rPr>
                <w:rFonts w:ascii="Arial" w:hAnsi="Arial"/>
                <w:b/>
                <w:sz w:val="10"/>
                <w:szCs w:val="10"/>
              </w:rPr>
            </w:pPr>
            <w:r w:rsidRPr="00F9037E">
              <w:rPr>
                <w:rFonts w:ascii="Arial" w:hAnsi="Arial"/>
                <w:sz w:val="10"/>
                <w:szCs w:val="10"/>
              </w:rPr>
              <w:t>0</w:t>
            </w:r>
          </w:p>
        </w:tc>
        <w:tc>
          <w:tcPr>
            <w:tcW w:w="425" w:type="dxa"/>
            <w:vAlign w:val="center"/>
          </w:tcPr>
          <w:p w14:paraId="2B4C3507" w14:textId="77777777" w:rsidR="00D81925" w:rsidRPr="00F9037E" w:rsidRDefault="00D81925" w:rsidP="006955C5">
            <w:pPr>
              <w:keepNext/>
              <w:keepLines/>
              <w:spacing w:before="120" w:after="120"/>
              <w:ind w:left="-107" w:right="-49"/>
              <w:jc w:val="center"/>
              <w:rPr>
                <w:rFonts w:ascii="Arial" w:hAnsi="Arial"/>
                <w:b/>
                <w:sz w:val="10"/>
                <w:szCs w:val="10"/>
              </w:rPr>
            </w:pPr>
            <w:r w:rsidRPr="00F9037E">
              <w:rPr>
                <w:rFonts w:ascii="Arial" w:hAnsi="Arial"/>
                <w:sz w:val="10"/>
                <w:szCs w:val="10"/>
              </w:rPr>
              <w:t>0</w:t>
            </w:r>
          </w:p>
        </w:tc>
        <w:tc>
          <w:tcPr>
            <w:tcW w:w="425" w:type="dxa"/>
            <w:vAlign w:val="center"/>
          </w:tcPr>
          <w:p w14:paraId="259B0644" w14:textId="77777777" w:rsidR="00D81925" w:rsidRPr="00F9037E" w:rsidRDefault="00D81925" w:rsidP="006955C5">
            <w:pPr>
              <w:keepNext/>
              <w:keepLines/>
              <w:spacing w:before="120" w:after="120"/>
              <w:ind w:left="-107" w:right="-49"/>
              <w:jc w:val="center"/>
              <w:rPr>
                <w:rFonts w:ascii="Arial" w:hAnsi="Arial"/>
                <w:b/>
                <w:sz w:val="10"/>
                <w:szCs w:val="10"/>
              </w:rPr>
            </w:pPr>
            <w:r w:rsidRPr="00F9037E">
              <w:rPr>
                <w:rFonts w:ascii="Arial" w:hAnsi="Arial"/>
                <w:sz w:val="10"/>
                <w:szCs w:val="10"/>
              </w:rPr>
              <w:t>0</w:t>
            </w:r>
          </w:p>
        </w:tc>
        <w:tc>
          <w:tcPr>
            <w:tcW w:w="426" w:type="dxa"/>
            <w:vAlign w:val="center"/>
          </w:tcPr>
          <w:p w14:paraId="474C256F"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567" w:type="dxa"/>
            <w:vAlign w:val="center"/>
          </w:tcPr>
          <w:p w14:paraId="4F44FF25" w14:textId="77777777" w:rsidR="00D81925" w:rsidRPr="00F9037E" w:rsidRDefault="00D81925" w:rsidP="006955C5">
            <w:pPr>
              <w:keepNext/>
              <w:keepLines/>
              <w:spacing w:before="120" w:after="120"/>
              <w:ind w:left="-107" w:right="-49"/>
              <w:jc w:val="center"/>
              <w:rPr>
                <w:rFonts w:ascii="Arial" w:hAnsi="Arial"/>
                <w:b/>
                <w:sz w:val="10"/>
                <w:szCs w:val="10"/>
              </w:rPr>
            </w:pPr>
            <w:r w:rsidRPr="00F9037E">
              <w:rPr>
                <w:rFonts w:ascii="Arial" w:hAnsi="Arial"/>
                <w:sz w:val="10"/>
                <w:szCs w:val="10"/>
              </w:rPr>
              <w:t>50.000</w:t>
            </w:r>
          </w:p>
        </w:tc>
        <w:tc>
          <w:tcPr>
            <w:tcW w:w="567" w:type="dxa"/>
            <w:vAlign w:val="center"/>
          </w:tcPr>
          <w:p w14:paraId="24FD16E5" w14:textId="77777777" w:rsidR="00D81925" w:rsidRPr="00F9037E" w:rsidRDefault="00D81925" w:rsidP="006955C5">
            <w:pPr>
              <w:keepNext/>
              <w:keepLines/>
              <w:spacing w:before="120" w:after="120"/>
              <w:ind w:left="-107" w:right="-49"/>
              <w:jc w:val="center"/>
              <w:rPr>
                <w:rFonts w:ascii="Arial" w:hAnsi="Arial"/>
                <w:b/>
                <w:sz w:val="10"/>
                <w:szCs w:val="10"/>
              </w:rPr>
            </w:pPr>
            <w:r w:rsidRPr="00F9037E">
              <w:rPr>
                <w:rFonts w:ascii="Arial" w:hAnsi="Arial"/>
                <w:sz w:val="10"/>
                <w:szCs w:val="10"/>
              </w:rPr>
              <w:t>42.000</w:t>
            </w:r>
          </w:p>
        </w:tc>
        <w:tc>
          <w:tcPr>
            <w:tcW w:w="567" w:type="dxa"/>
            <w:vAlign w:val="center"/>
          </w:tcPr>
          <w:p w14:paraId="1C640A9D" w14:textId="77777777" w:rsidR="00D81925" w:rsidRPr="00F9037E" w:rsidRDefault="00D81925" w:rsidP="006955C5">
            <w:pPr>
              <w:keepNext/>
              <w:keepLines/>
              <w:spacing w:before="120" w:after="120"/>
              <w:ind w:left="-107" w:right="-49"/>
              <w:jc w:val="center"/>
              <w:rPr>
                <w:rFonts w:ascii="Arial" w:hAnsi="Arial"/>
                <w:b/>
                <w:sz w:val="10"/>
                <w:szCs w:val="10"/>
              </w:rPr>
            </w:pPr>
            <w:r w:rsidRPr="00F9037E">
              <w:rPr>
                <w:rFonts w:ascii="Arial" w:hAnsi="Arial"/>
                <w:sz w:val="10"/>
                <w:szCs w:val="10"/>
              </w:rPr>
              <w:t>18.234</w:t>
            </w:r>
          </w:p>
        </w:tc>
        <w:tc>
          <w:tcPr>
            <w:tcW w:w="567" w:type="dxa"/>
            <w:vAlign w:val="center"/>
          </w:tcPr>
          <w:p w14:paraId="44F7DE16" w14:textId="77777777" w:rsidR="00D81925" w:rsidRPr="00F9037E" w:rsidRDefault="00D81925" w:rsidP="006955C5">
            <w:pPr>
              <w:keepNext/>
              <w:keepLines/>
              <w:spacing w:before="120" w:after="120"/>
              <w:ind w:left="-107" w:right="-49"/>
              <w:jc w:val="center"/>
              <w:rPr>
                <w:rFonts w:ascii="Arial" w:hAnsi="Arial"/>
                <w:b/>
                <w:sz w:val="10"/>
                <w:szCs w:val="10"/>
              </w:rPr>
            </w:pPr>
            <w:r w:rsidRPr="00F9037E">
              <w:rPr>
                <w:rFonts w:ascii="Arial" w:hAnsi="Arial"/>
                <w:sz w:val="10"/>
                <w:szCs w:val="10"/>
              </w:rPr>
              <w:t>0</w:t>
            </w:r>
          </w:p>
        </w:tc>
        <w:tc>
          <w:tcPr>
            <w:tcW w:w="567" w:type="dxa"/>
            <w:vAlign w:val="center"/>
          </w:tcPr>
          <w:p w14:paraId="740FBC8B" w14:textId="77777777" w:rsidR="00D81925" w:rsidRPr="00F9037E" w:rsidRDefault="00D81925" w:rsidP="006955C5">
            <w:pPr>
              <w:keepNext/>
              <w:keepLines/>
              <w:spacing w:before="120" w:after="120"/>
              <w:ind w:left="-107" w:right="-49"/>
              <w:jc w:val="center"/>
              <w:rPr>
                <w:rFonts w:ascii="Arial" w:hAnsi="Arial"/>
                <w:b/>
                <w:sz w:val="10"/>
                <w:szCs w:val="10"/>
              </w:rPr>
            </w:pPr>
            <w:r w:rsidRPr="00F9037E">
              <w:rPr>
                <w:rFonts w:ascii="Arial" w:hAnsi="Arial"/>
                <w:sz w:val="10"/>
                <w:szCs w:val="10"/>
              </w:rPr>
              <w:t>0</w:t>
            </w:r>
          </w:p>
        </w:tc>
        <w:tc>
          <w:tcPr>
            <w:tcW w:w="567" w:type="dxa"/>
            <w:vAlign w:val="center"/>
          </w:tcPr>
          <w:p w14:paraId="1AC11670" w14:textId="77777777" w:rsidR="00D81925" w:rsidRPr="00F9037E" w:rsidRDefault="00D81925" w:rsidP="006955C5">
            <w:pPr>
              <w:keepNext/>
              <w:keepLines/>
              <w:spacing w:before="120" w:after="120"/>
              <w:ind w:left="-107" w:right="-49"/>
              <w:jc w:val="center"/>
              <w:rPr>
                <w:rFonts w:ascii="Arial" w:hAnsi="Arial"/>
                <w:b/>
                <w:sz w:val="10"/>
                <w:szCs w:val="10"/>
              </w:rPr>
            </w:pPr>
            <w:r w:rsidRPr="00F9037E">
              <w:rPr>
                <w:rFonts w:ascii="Arial" w:hAnsi="Arial"/>
                <w:sz w:val="10"/>
                <w:szCs w:val="10"/>
              </w:rPr>
              <w:t>0</w:t>
            </w:r>
          </w:p>
        </w:tc>
        <w:tc>
          <w:tcPr>
            <w:tcW w:w="567" w:type="dxa"/>
            <w:vAlign w:val="center"/>
          </w:tcPr>
          <w:p w14:paraId="7C867690" w14:textId="77777777" w:rsidR="00D81925" w:rsidRPr="00F9037E" w:rsidRDefault="00D81925" w:rsidP="00266678">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567" w:type="dxa"/>
            <w:vAlign w:val="center"/>
          </w:tcPr>
          <w:p w14:paraId="4D7F7523" w14:textId="77777777" w:rsidR="00D81925" w:rsidRPr="00F9037E" w:rsidRDefault="00D81925" w:rsidP="006955C5">
            <w:pPr>
              <w:pStyle w:val="NormalWeb"/>
              <w:spacing w:before="120" w:after="120"/>
              <w:ind w:left="-107" w:right="-49"/>
              <w:jc w:val="center"/>
              <w:rPr>
                <w:b/>
                <w:sz w:val="10"/>
                <w:szCs w:val="10"/>
                <w:lang w:val="en-GB"/>
              </w:rPr>
            </w:pPr>
            <w:r w:rsidRPr="00F9037E">
              <w:rPr>
                <w:sz w:val="10"/>
                <w:szCs w:val="10"/>
                <w:lang w:val="en-GB"/>
              </w:rPr>
              <w:t>0</w:t>
            </w:r>
          </w:p>
        </w:tc>
        <w:tc>
          <w:tcPr>
            <w:tcW w:w="567" w:type="dxa"/>
            <w:vAlign w:val="center"/>
          </w:tcPr>
          <w:p w14:paraId="2DBD9F40" w14:textId="77777777" w:rsidR="00D81925" w:rsidRPr="00F9037E" w:rsidRDefault="00D81925" w:rsidP="006955C5">
            <w:pPr>
              <w:keepNext/>
              <w:keepLines/>
              <w:spacing w:before="120" w:after="120"/>
              <w:ind w:left="-107" w:right="-49"/>
              <w:jc w:val="center"/>
              <w:rPr>
                <w:rFonts w:ascii="Arial" w:hAnsi="Arial"/>
                <w:b/>
                <w:sz w:val="10"/>
                <w:szCs w:val="10"/>
              </w:rPr>
            </w:pPr>
            <w:r w:rsidRPr="00F9037E">
              <w:rPr>
                <w:rFonts w:ascii="Arial" w:hAnsi="Arial"/>
                <w:sz w:val="10"/>
                <w:szCs w:val="10"/>
              </w:rPr>
              <w:t>0</w:t>
            </w:r>
          </w:p>
        </w:tc>
        <w:tc>
          <w:tcPr>
            <w:tcW w:w="567" w:type="dxa"/>
            <w:vAlign w:val="center"/>
          </w:tcPr>
          <w:p w14:paraId="5E93246D" w14:textId="77777777" w:rsidR="00D81925" w:rsidRPr="00F9037E" w:rsidRDefault="00D81925" w:rsidP="006955C5">
            <w:pPr>
              <w:keepNext/>
              <w:keepLines/>
              <w:spacing w:before="120" w:after="120"/>
              <w:ind w:left="-107" w:right="-49"/>
              <w:jc w:val="center"/>
              <w:rPr>
                <w:rFonts w:ascii="Arial" w:hAnsi="Arial"/>
                <w:b/>
                <w:sz w:val="10"/>
                <w:szCs w:val="10"/>
              </w:rPr>
            </w:pPr>
            <w:r w:rsidRPr="00F9037E">
              <w:rPr>
                <w:rFonts w:ascii="Arial" w:hAnsi="Arial"/>
                <w:sz w:val="10"/>
                <w:szCs w:val="10"/>
              </w:rPr>
              <w:t>0</w:t>
            </w:r>
          </w:p>
        </w:tc>
        <w:tc>
          <w:tcPr>
            <w:tcW w:w="567" w:type="dxa"/>
            <w:vAlign w:val="center"/>
          </w:tcPr>
          <w:p w14:paraId="4DE9630E" w14:textId="77777777" w:rsidR="00D81925" w:rsidRPr="00F9037E" w:rsidRDefault="00D81925" w:rsidP="006955C5">
            <w:pPr>
              <w:keepNext/>
              <w:keepLines/>
              <w:spacing w:after="0"/>
              <w:ind w:right="-51"/>
              <w:jc w:val="center"/>
              <w:rPr>
                <w:rFonts w:ascii="Arial" w:hAnsi="Arial"/>
                <w:sz w:val="10"/>
                <w:szCs w:val="10"/>
              </w:rPr>
            </w:pPr>
          </w:p>
          <w:p w14:paraId="0D89FACA" w14:textId="77777777" w:rsidR="00D81925" w:rsidRPr="00F9037E" w:rsidRDefault="00D81925" w:rsidP="006955C5">
            <w:pPr>
              <w:keepNext/>
              <w:keepLines/>
              <w:spacing w:after="0"/>
              <w:ind w:right="-51"/>
              <w:jc w:val="center"/>
              <w:rPr>
                <w:rFonts w:ascii="Arial" w:hAnsi="Arial"/>
                <w:b/>
                <w:sz w:val="10"/>
                <w:szCs w:val="10"/>
              </w:rPr>
            </w:pPr>
            <w:r w:rsidRPr="00F9037E">
              <w:rPr>
                <w:rFonts w:ascii="Arial" w:hAnsi="Arial"/>
                <w:sz w:val="10"/>
                <w:szCs w:val="10"/>
              </w:rPr>
              <w:t>0</w:t>
            </w:r>
          </w:p>
        </w:tc>
        <w:tc>
          <w:tcPr>
            <w:tcW w:w="567" w:type="dxa"/>
            <w:vAlign w:val="center"/>
          </w:tcPr>
          <w:p w14:paraId="0166BDAD" w14:textId="77777777" w:rsidR="00D81925" w:rsidRPr="00F9037E" w:rsidRDefault="00D81925" w:rsidP="006955C5">
            <w:pPr>
              <w:keepNext/>
              <w:keepLines/>
              <w:spacing w:after="0"/>
              <w:ind w:right="-51"/>
              <w:jc w:val="center"/>
              <w:rPr>
                <w:rFonts w:ascii="Arial" w:hAnsi="Arial"/>
                <w:sz w:val="10"/>
                <w:szCs w:val="10"/>
              </w:rPr>
            </w:pPr>
          </w:p>
          <w:p w14:paraId="5D87425B" w14:textId="77777777" w:rsidR="00D81925" w:rsidRPr="00F9037E" w:rsidRDefault="00D81925" w:rsidP="006955C5">
            <w:pPr>
              <w:keepNext/>
              <w:keepLines/>
              <w:spacing w:after="0"/>
              <w:ind w:right="-51"/>
              <w:jc w:val="center"/>
              <w:rPr>
                <w:rFonts w:ascii="Arial" w:hAnsi="Arial"/>
                <w:b/>
                <w:sz w:val="10"/>
                <w:szCs w:val="10"/>
              </w:rPr>
            </w:pPr>
            <w:r w:rsidRPr="00F9037E">
              <w:rPr>
                <w:rFonts w:ascii="Arial" w:hAnsi="Arial"/>
                <w:sz w:val="10"/>
                <w:szCs w:val="10"/>
              </w:rPr>
              <w:t>0</w:t>
            </w:r>
          </w:p>
        </w:tc>
        <w:tc>
          <w:tcPr>
            <w:tcW w:w="709" w:type="dxa"/>
            <w:vAlign w:val="center"/>
          </w:tcPr>
          <w:p w14:paraId="290972DB" w14:textId="77777777" w:rsidR="00D81925" w:rsidRPr="00F9037E" w:rsidRDefault="00D81925" w:rsidP="006955C5">
            <w:pPr>
              <w:keepNext/>
              <w:keepLines/>
              <w:spacing w:after="0"/>
              <w:ind w:left="-108" w:right="-51"/>
              <w:jc w:val="center"/>
              <w:rPr>
                <w:rFonts w:ascii="Arial" w:hAnsi="Arial"/>
                <w:sz w:val="12"/>
                <w:szCs w:val="10"/>
              </w:rPr>
            </w:pPr>
          </w:p>
          <w:p w14:paraId="6A87F9AC" w14:textId="77777777" w:rsidR="00D81925" w:rsidRPr="00F9037E" w:rsidRDefault="00D81925" w:rsidP="006955C5">
            <w:pPr>
              <w:keepNext/>
              <w:keepLines/>
              <w:spacing w:after="0"/>
              <w:ind w:left="-108" w:right="-51"/>
              <w:jc w:val="center"/>
              <w:rPr>
                <w:rFonts w:ascii="Arial" w:hAnsi="Arial"/>
                <w:sz w:val="12"/>
                <w:szCs w:val="10"/>
              </w:rPr>
            </w:pPr>
            <w:r w:rsidRPr="00F9037E">
              <w:rPr>
                <w:rFonts w:ascii="Arial" w:hAnsi="Arial"/>
                <w:sz w:val="12"/>
                <w:szCs w:val="10"/>
              </w:rPr>
              <w:t>0</w:t>
            </w:r>
          </w:p>
        </w:tc>
        <w:tc>
          <w:tcPr>
            <w:tcW w:w="709" w:type="dxa"/>
            <w:vAlign w:val="center"/>
          </w:tcPr>
          <w:p w14:paraId="7D822B93" w14:textId="77777777" w:rsidR="00D81925" w:rsidRPr="00F9037E" w:rsidRDefault="00D81925" w:rsidP="006955C5">
            <w:pPr>
              <w:keepNext/>
              <w:keepLines/>
              <w:spacing w:after="0"/>
              <w:ind w:left="-108" w:right="-51"/>
              <w:jc w:val="center"/>
              <w:rPr>
                <w:rFonts w:ascii="Arial" w:hAnsi="Arial"/>
                <w:sz w:val="12"/>
                <w:szCs w:val="10"/>
              </w:rPr>
            </w:pPr>
          </w:p>
        </w:tc>
      </w:tr>
      <w:tr w:rsidR="00D81925" w:rsidRPr="00F9037E" w14:paraId="02551DE4" w14:textId="77777777" w:rsidTr="000718F1">
        <w:tc>
          <w:tcPr>
            <w:tcW w:w="992" w:type="dxa"/>
            <w:vAlign w:val="center"/>
          </w:tcPr>
          <w:p w14:paraId="62536BA4" w14:textId="77777777" w:rsidR="00D81925" w:rsidRPr="00F9037E" w:rsidRDefault="00D81925" w:rsidP="006955C5">
            <w:pPr>
              <w:keepNext/>
              <w:keepLines/>
              <w:spacing w:before="120" w:after="120"/>
              <w:jc w:val="center"/>
              <w:rPr>
                <w:rFonts w:ascii="Arial" w:hAnsi="Arial"/>
                <w:sz w:val="14"/>
                <w:szCs w:val="10"/>
              </w:rPr>
            </w:pPr>
            <w:r w:rsidRPr="00F9037E">
              <w:rPr>
                <w:rFonts w:ascii="Arial" w:hAnsi="Arial"/>
                <w:sz w:val="14"/>
                <w:szCs w:val="10"/>
              </w:rPr>
              <w:t>Switzerland</w:t>
            </w:r>
          </w:p>
        </w:tc>
        <w:tc>
          <w:tcPr>
            <w:tcW w:w="567" w:type="dxa"/>
            <w:vAlign w:val="center"/>
          </w:tcPr>
          <w:p w14:paraId="35556A51" w14:textId="77777777" w:rsidR="00D81925" w:rsidRPr="00F9037E" w:rsidRDefault="00D81925" w:rsidP="009C58E9">
            <w:pPr>
              <w:keepNext/>
              <w:keepLines/>
              <w:spacing w:before="120" w:after="120"/>
              <w:ind w:left="-107" w:right="-49"/>
              <w:jc w:val="center"/>
              <w:rPr>
                <w:rFonts w:ascii="Arial" w:hAnsi="Arial"/>
                <w:b/>
                <w:sz w:val="10"/>
                <w:szCs w:val="10"/>
              </w:rPr>
            </w:pPr>
            <w:r w:rsidRPr="00F9037E">
              <w:rPr>
                <w:rFonts w:ascii="Arial" w:hAnsi="Arial"/>
                <w:sz w:val="10"/>
                <w:szCs w:val="10"/>
              </w:rPr>
              <w:t>8.700</w:t>
            </w:r>
          </w:p>
        </w:tc>
        <w:tc>
          <w:tcPr>
            <w:tcW w:w="567" w:type="dxa"/>
            <w:vAlign w:val="center"/>
          </w:tcPr>
          <w:p w14:paraId="28DC62F2" w14:textId="77777777" w:rsidR="00D81925" w:rsidRPr="00F9037E" w:rsidRDefault="00D81925" w:rsidP="009C58E9">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567" w:type="dxa"/>
            <w:vAlign w:val="center"/>
          </w:tcPr>
          <w:p w14:paraId="29CC9643" w14:textId="77777777" w:rsidR="00D81925" w:rsidRPr="00F9037E" w:rsidRDefault="00D81925" w:rsidP="009C58E9">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567" w:type="dxa"/>
            <w:vAlign w:val="center"/>
          </w:tcPr>
          <w:p w14:paraId="28AD5298" w14:textId="77777777" w:rsidR="00D81925" w:rsidRPr="00F9037E" w:rsidRDefault="00D81925" w:rsidP="009C58E9">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567" w:type="dxa"/>
            <w:vAlign w:val="center"/>
          </w:tcPr>
          <w:p w14:paraId="1C466B49" w14:textId="77777777" w:rsidR="00D81925" w:rsidRPr="00F9037E" w:rsidRDefault="00D81925" w:rsidP="009C58E9">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567" w:type="dxa"/>
            <w:vAlign w:val="center"/>
          </w:tcPr>
          <w:p w14:paraId="548E8FBB" w14:textId="77777777" w:rsidR="00D81925" w:rsidRPr="00F9037E" w:rsidRDefault="00D81925" w:rsidP="009C58E9">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425" w:type="dxa"/>
            <w:vAlign w:val="center"/>
          </w:tcPr>
          <w:p w14:paraId="7C2CEC52" w14:textId="77777777" w:rsidR="00D81925" w:rsidRPr="00F9037E" w:rsidRDefault="00D81925" w:rsidP="009C58E9">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426" w:type="dxa"/>
            <w:vAlign w:val="center"/>
          </w:tcPr>
          <w:p w14:paraId="6272FB80" w14:textId="77777777" w:rsidR="00D81925" w:rsidRPr="00F9037E" w:rsidRDefault="00D81925" w:rsidP="009C58E9">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425" w:type="dxa"/>
            <w:vAlign w:val="center"/>
          </w:tcPr>
          <w:p w14:paraId="70274520"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425" w:type="dxa"/>
            <w:vAlign w:val="center"/>
          </w:tcPr>
          <w:p w14:paraId="2D93BE7C"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425" w:type="dxa"/>
            <w:vAlign w:val="center"/>
          </w:tcPr>
          <w:p w14:paraId="17FF5738"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426" w:type="dxa"/>
            <w:vAlign w:val="center"/>
          </w:tcPr>
          <w:p w14:paraId="39C1AD5A"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567" w:type="dxa"/>
            <w:vAlign w:val="center"/>
          </w:tcPr>
          <w:p w14:paraId="56241D67"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8.700</w:t>
            </w:r>
          </w:p>
        </w:tc>
        <w:tc>
          <w:tcPr>
            <w:tcW w:w="567" w:type="dxa"/>
            <w:vAlign w:val="center"/>
          </w:tcPr>
          <w:p w14:paraId="4288CBBD"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7.000</w:t>
            </w:r>
          </w:p>
        </w:tc>
        <w:tc>
          <w:tcPr>
            <w:tcW w:w="567" w:type="dxa"/>
            <w:vAlign w:val="center"/>
          </w:tcPr>
          <w:p w14:paraId="14FCEAE7"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567" w:type="dxa"/>
            <w:vAlign w:val="center"/>
          </w:tcPr>
          <w:p w14:paraId="45CC6035"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567" w:type="dxa"/>
            <w:vAlign w:val="center"/>
          </w:tcPr>
          <w:p w14:paraId="4C93A540"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567" w:type="dxa"/>
            <w:vAlign w:val="center"/>
          </w:tcPr>
          <w:p w14:paraId="5737537A"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567" w:type="dxa"/>
            <w:vAlign w:val="center"/>
          </w:tcPr>
          <w:p w14:paraId="008A5740" w14:textId="77777777" w:rsidR="00D81925" w:rsidRPr="00F9037E" w:rsidRDefault="00D81925" w:rsidP="002A0BDB">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567" w:type="dxa"/>
            <w:vAlign w:val="center"/>
          </w:tcPr>
          <w:p w14:paraId="5641E341" w14:textId="77777777" w:rsidR="00D81925" w:rsidRPr="00F9037E" w:rsidRDefault="00D81925" w:rsidP="006955C5">
            <w:pPr>
              <w:pStyle w:val="NormalWeb"/>
              <w:spacing w:before="120" w:after="120"/>
              <w:ind w:left="-107" w:right="-49"/>
              <w:jc w:val="center"/>
              <w:rPr>
                <w:sz w:val="10"/>
                <w:szCs w:val="10"/>
                <w:lang w:val="en-GB"/>
              </w:rPr>
            </w:pPr>
            <w:r w:rsidRPr="00F9037E">
              <w:rPr>
                <w:sz w:val="10"/>
                <w:szCs w:val="10"/>
                <w:lang w:val="en-GB"/>
              </w:rPr>
              <w:t>0</w:t>
            </w:r>
          </w:p>
        </w:tc>
        <w:tc>
          <w:tcPr>
            <w:tcW w:w="567" w:type="dxa"/>
            <w:vAlign w:val="center"/>
          </w:tcPr>
          <w:p w14:paraId="38B80683"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567" w:type="dxa"/>
            <w:vAlign w:val="center"/>
          </w:tcPr>
          <w:p w14:paraId="06DEA2FD"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567" w:type="dxa"/>
            <w:vAlign w:val="center"/>
          </w:tcPr>
          <w:p w14:paraId="261F7DC2"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567" w:type="dxa"/>
            <w:vAlign w:val="center"/>
          </w:tcPr>
          <w:p w14:paraId="212837A5" w14:textId="77777777" w:rsidR="00D81925" w:rsidRPr="00F9037E" w:rsidRDefault="00D81925" w:rsidP="006955C5">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709" w:type="dxa"/>
            <w:vAlign w:val="center"/>
          </w:tcPr>
          <w:p w14:paraId="1EEB8950" w14:textId="77777777" w:rsidR="00D81925" w:rsidRPr="00F9037E" w:rsidRDefault="00D81925" w:rsidP="006955C5">
            <w:pPr>
              <w:keepNext/>
              <w:keepLines/>
              <w:spacing w:before="120" w:after="120"/>
              <w:ind w:left="-107" w:right="-49"/>
              <w:jc w:val="center"/>
              <w:rPr>
                <w:rFonts w:ascii="Arial" w:hAnsi="Arial"/>
                <w:sz w:val="12"/>
                <w:szCs w:val="10"/>
              </w:rPr>
            </w:pPr>
            <w:r w:rsidRPr="00F9037E">
              <w:rPr>
                <w:rFonts w:ascii="Arial" w:hAnsi="Arial"/>
                <w:sz w:val="12"/>
                <w:szCs w:val="10"/>
              </w:rPr>
              <w:t>0</w:t>
            </w:r>
          </w:p>
        </w:tc>
        <w:tc>
          <w:tcPr>
            <w:tcW w:w="709" w:type="dxa"/>
            <w:vAlign w:val="center"/>
          </w:tcPr>
          <w:p w14:paraId="4CFF89C5" w14:textId="77777777" w:rsidR="00D81925" w:rsidRPr="00F9037E" w:rsidRDefault="00D81925" w:rsidP="006955C5">
            <w:pPr>
              <w:keepNext/>
              <w:keepLines/>
              <w:spacing w:before="120" w:after="120"/>
              <w:ind w:left="-107" w:right="-49"/>
              <w:jc w:val="center"/>
              <w:rPr>
                <w:rFonts w:ascii="Arial" w:hAnsi="Arial"/>
                <w:sz w:val="12"/>
                <w:szCs w:val="10"/>
              </w:rPr>
            </w:pPr>
          </w:p>
        </w:tc>
      </w:tr>
      <w:tr w:rsidR="002F6DFE" w:rsidRPr="00F9037E" w14:paraId="6FDA733F" w14:textId="77777777" w:rsidTr="000718F1">
        <w:trPr>
          <w:trHeight w:val="449"/>
        </w:trPr>
        <w:tc>
          <w:tcPr>
            <w:tcW w:w="992" w:type="dxa"/>
            <w:vAlign w:val="center"/>
          </w:tcPr>
          <w:p w14:paraId="166866B5" w14:textId="77777777" w:rsidR="0082736F" w:rsidRPr="00F9037E" w:rsidRDefault="0082736F" w:rsidP="006955C5">
            <w:pPr>
              <w:keepNext/>
              <w:keepLines/>
              <w:spacing w:before="120" w:after="120"/>
              <w:jc w:val="center"/>
              <w:rPr>
                <w:rFonts w:ascii="Arial" w:hAnsi="Arial"/>
                <w:sz w:val="14"/>
                <w:szCs w:val="10"/>
              </w:rPr>
            </w:pPr>
            <w:r w:rsidRPr="00F9037E">
              <w:rPr>
                <w:rFonts w:ascii="Arial" w:hAnsi="Arial"/>
                <w:sz w:val="14"/>
                <w:szCs w:val="10"/>
              </w:rPr>
              <w:t>USA</w:t>
            </w:r>
          </w:p>
        </w:tc>
        <w:tc>
          <w:tcPr>
            <w:tcW w:w="567" w:type="dxa"/>
            <w:vAlign w:val="center"/>
          </w:tcPr>
          <w:p w14:paraId="3E38EE0C" w14:textId="77777777" w:rsidR="0082736F" w:rsidRPr="00F9037E" w:rsidRDefault="0082736F" w:rsidP="006955C5">
            <w:pPr>
              <w:keepNext/>
              <w:keepLines/>
              <w:spacing w:before="120" w:after="120"/>
              <w:ind w:left="-107" w:right="-49"/>
              <w:jc w:val="center"/>
              <w:rPr>
                <w:rFonts w:ascii="Arial" w:hAnsi="Arial"/>
                <w:sz w:val="10"/>
                <w:szCs w:val="10"/>
              </w:rPr>
            </w:pPr>
            <w:r w:rsidRPr="00F9037E">
              <w:rPr>
                <w:rFonts w:ascii="Arial" w:hAnsi="Arial"/>
                <w:sz w:val="10"/>
                <w:szCs w:val="10"/>
              </w:rPr>
              <w:t>10753.997</w:t>
            </w:r>
          </w:p>
        </w:tc>
        <w:tc>
          <w:tcPr>
            <w:tcW w:w="567" w:type="dxa"/>
            <w:vAlign w:val="center"/>
          </w:tcPr>
          <w:p w14:paraId="291106FF" w14:textId="77777777" w:rsidR="0082736F" w:rsidRPr="00F9037E" w:rsidRDefault="0082736F" w:rsidP="006955C5">
            <w:pPr>
              <w:keepNext/>
              <w:keepLines/>
              <w:spacing w:before="120" w:after="120"/>
              <w:ind w:left="-107" w:right="-49"/>
              <w:jc w:val="center"/>
              <w:rPr>
                <w:rFonts w:ascii="Arial" w:hAnsi="Arial"/>
                <w:sz w:val="10"/>
                <w:szCs w:val="10"/>
              </w:rPr>
            </w:pPr>
            <w:r w:rsidRPr="00F9037E">
              <w:rPr>
                <w:rFonts w:ascii="Arial" w:hAnsi="Arial"/>
                <w:sz w:val="10"/>
                <w:szCs w:val="10"/>
              </w:rPr>
              <w:t>6415.153</w:t>
            </w:r>
          </w:p>
        </w:tc>
        <w:tc>
          <w:tcPr>
            <w:tcW w:w="567" w:type="dxa"/>
            <w:vAlign w:val="center"/>
          </w:tcPr>
          <w:p w14:paraId="0D4626CD" w14:textId="77777777" w:rsidR="0082736F" w:rsidRPr="00F9037E" w:rsidRDefault="0082736F" w:rsidP="006955C5">
            <w:pPr>
              <w:keepNext/>
              <w:keepLines/>
              <w:spacing w:before="120" w:after="120"/>
              <w:ind w:left="-107" w:right="-49"/>
              <w:jc w:val="center"/>
              <w:rPr>
                <w:rFonts w:ascii="Arial" w:hAnsi="Arial"/>
                <w:sz w:val="10"/>
                <w:szCs w:val="10"/>
              </w:rPr>
            </w:pPr>
            <w:r w:rsidRPr="00F9037E">
              <w:rPr>
                <w:rFonts w:ascii="Arial" w:hAnsi="Arial"/>
                <w:sz w:val="10"/>
                <w:szCs w:val="10"/>
              </w:rPr>
              <w:t>4958.034</w:t>
            </w:r>
          </w:p>
        </w:tc>
        <w:tc>
          <w:tcPr>
            <w:tcW w:w="567" w:type="dxa"/>
            <w:vAlign w:val="center"/>
          </w:tcPr>
          <w:p w14:paraId="574B48DC" w14:textId="77777777" w:rsidR="0082736F" w:rsidRPr="00F9037E" w:rsidRDefault="0082736F" w:rsidP="006955C5">
            <w:pPr>
              <w:keepNext/>
              <w:keepLines/>
              <w:spacing w:before="120" w:after="120"/>
              <w:ind w:left="-107" w:right="-49"/>
              <w:jc w:val="center"/>
              <w:rPr>
                <w:rFonts w:ascii="Arial" w:hAnsi="Arial"/>
                <w:sz w:val="10"/>
                <w:szCs w:val="10"/>
              </w:rPr>
            </w:pPr>
            <w:r w:rsidRPr="00F9037E">
              <w:rPr>
                <w:rFonts w:ascii="Arial" w:hAnsi="Arial"/>
                <w:sz w:val="10"/>
                <w:szCs w:val="10"/>
              </w:rPr>
              <w:t>3299.490</w:t>
            </w:r>
          </w:p>
        </w:tc>
        <w:tc>
          <w:tcPr>
            <w:tcW w:w="567" w:type="dxa"/>
            <w:vAlign w:val="center"/>
          </w:tcPr>
          <w:p w14:paraId="7E36F736" w14:textId="77777777" w:rsidR="0082736F" w:rsidRPr="00F9037E" w:rsidRDefault="0082736F" w:rsidP="006955C5">
            <w:pPr>
              <w:keepNext/>
              <w:keepLines/>
              <w:spacing w:before="120" w:after="120"/>
              <w:ind w:left="-107" w:right="-49"/>
              <w:jc w:val="center"/>
              <w:rPr>
                <w:rFonts w:ascii="Arial" w:hAnsi="Arial"/>
                <w:sz w:val="10"/>
                <w:szCs w:val="10"/>
              </w:rPr>
            </w:pPr>
            <w:r w:rsidRPr="00F9037E">
              <w:rPr>
                <w:rFonts w:ascii="Arial" w:hAnsi="Arial"/>
                <w:sz w:val="10"/>
                <w:szCs w:val="10"/>
              </w:rPr>
              <w:t>2388.128</w:t>
            </w:r>
          </w:p>
        </w:tc>
        <w:tc>
          <w:tcPr>
            <w:tcW w:w="567" w:type="dxa"/>
            <w:vAlign w:val="center"/>
          </w:tcPr>
          <w:p w14:paraId="1DB6C3E9" w14:textId="77777777" w:rsidR="0082736F" w:rsidRPr="00F9037E" w:rsidRDefault="0082736F" w:rsidP="009C58E9">
            <w:pPr>
              <w:keepNext/>
              <w:keepLines/>
              <w:spacing w:before="120" w:after="120"/>
              <w:ind w:left="-107" w:right="-49"/>
              <w:jc w:val="center"/>
              <w:rPr>
                <w:rFonts w:ascii="Arial" w:hAnsi="Arial"/>
                <w:sz w:val="10"/>
                <w:szCs w:val="10"/>
              </w:rPr>
            </w:pPr>
            <w:r w:rsidRPr="00F9037E">
              <w:rPr>
                <w:rFonts w:ascii="Arial" w:hAnsi="Arial"/>
                <w:sz w:val="10"/>
                <w:szCs w:val="10"/>
              </w:rPr>
              <w:t>118</w:t>
            </w:r>
            <w:r w:rsidR="009C58E9" w:rsidRPr="00F9037E">
              <w:rPr>
                <w:rFonts w:ascii="Arial" w:hAnsi="Arial"/>
                <w:sz w:val="10"/>
                <w:szCs w:val="10"/>
              </w:rPr>
              <w:t>7.118</w:t>
            </w:r>
          </w:p>
        </w:tc>
        <w:tc>
          <w:tcPr>
            <w:tcW w:w="425" w:type="dxa"/>
            <w:vAlign w:val="center"/>
          </w:tcPr>
          <w:p w14:paraId="07868DB3" w14:textId="77777777" w:rsidR="0082736F" w:rsidRPr="00F9037E" w:rsidRDefault="0082736F" w:rsidP="006955C5">
            <w:pPr>
              <w:keepNext/>
              <w:keepLines/>
              <w:spacing w:before="120" w:after="120"/>
              <w:ind w:left="-107" w:right="-49"/>
              <w:jc w:val="center"/>
              <w:rPr>
                <w:rFonts w:ascii="Arial" w:hAnsi="Arial"/>
                <w:sz w:val="10"/>
                <w:szCs w:val="10"/>
              </w:rPr>
            </w:pPr>
            <w:r w:rsidRPr="00F9037E">
              <w:rPr>
                <w:rFonts w:ascii="Arial" w:hAnsi="Arial"/>
                <w:sz w:val="10"/>
                <w:szCs w:val="10"/>
              </w:rPr>
              <w:t>691.608</w:t>
            </w:r>
          </w:p>
        </w:tc>
        <w:tc>
          <w:tcPr>
            <w:tcW w:w="426" w:type="dxa"/>
            <w:vAlign w:val="center"/>
          </w:tcPr>
          <w:p w14:paraId="4FF6CD84" w14:textId="77777777" w:rsidR="0082736F" w:rsidRPr="00F9037E" w:rsidRDefault="0082736F" w:rsidP="006955C5">
            <w:pPr>
              <w:keepNext/>
              <w:keepLines/>
              <w:spacing w:before="120" w:after="120"/>
              <w:ind w:left="-107" w:right="-49"/>
              <w:jc w:val="center"/>
              <w:rPr>
                <w:rFonts w:ascii="Arial" w:hAnsi="Arial"/>
                <w:sz w:val="10"/>
                <w:szCs w:val="10"/>
              </w:rPr>
            </w:pPr>
            <w:r w:rsidRPr="00F9037E">
              <w:rPr>
                <w:rFonts w:ascii="Arial" w:hAnsi="Arial"/>
                <w:sz w:val="10"/>
                <w:szCs w:val="10"/>
              </w:rPr>
              <w:t>442.337</w:t>
            </w:r>
          </w:p>
        </w:tc>
        <w:tc>
          <w:tcPr>
            <w:tcW w:w="425" w:type="dxa"/>
            <w:vAlign w:val="center"/>
          </w:tcPr>
          <w:p w14:paraId="4A37115A" w14:textId="77777777" w:rsidR="0082736F" w:rsidRPr="00F9037E" w:rsidRDefault="0082736F" w:rsidP="006955C5">
            <w:pPr>
              <w:keepNext/>
              <w:keepLines/>
              <w:spacing w:before="120" w:after="120"/>
              <w:ind w:left="-107" w:right="-49"/>
              <w:jc w:val="center"/>
              <w:rPr>
                <w:rFonts w:ascii="Arial" w:hAnsi="Arial"/>
                <w:sz w:val="10"/>
                <w:szCs w:val="10"/>
              </w:rPr>
            </w:pPr>
            <w:r w:rsidRPr="00F9037E">
              <w:rPr>
                <w:rFonts w:ascii="Arial" w:hAnsi="Arial"/>
                <w:sz w:val="10"/>
                <w:szCs w:val="10"/>
              </w:rPr>
              <w:t>377.170</w:t>
            </w:r>
          </w:p>
        </w:tc>
        <w:tc>
          <w:tcPr>
            <w:tcW w:w="425" w:type="dxa"/>
            <w:vAlign w:val="center"/>
          </w:tcPr>
          <w:p w14:paraId="3DA17FB7" w14:textId="77777777" w:rsidR="0082736F" w:rsidRPr="00F9037E" w:rsidRDefault="0082736F" w:rsidP="006955C5">
            <w:pPr>
              <w:keepNext/>
              <w:keepLines/>
              <w:spacing w:before="120" w:after="120"/>
              <w:ind w:left="-107" w:right="-49"/>
              <w:jc w:val="center"/>
              <w:rPr>
                <w:rFonts w:ascii="Arial" w:hAnsi="Arial"/>
                <w:sz w:val="10"/>
                <w:szCs w:val="10"/>
              </w:rPr>
            </w:pPr>
            <w:r w:rsidRPr="00F9037E">
              <w:rPr>
                <w:rFonts w:ascii="Arial" w:hAnsi="Arial"/>
                <w:sz w:val="10"/>
                <w:szCs w:val="10"/>
              </w:rPr>
              <w:t>234.78</w:t>
            </w:r>
          </w:p>
        </w:tc>
        <w:tc>
          <w:tcPr>
            <w:tcW w:w="425" w:type="dxa"/>
            <w:vAlign w:val="center"/>
          </w:tcPr>
          <w:p w14:paraId="77AD5709" w14:textId="77777777" w:rsidR="0082736F" w:rsidRPr="00F9037E" w:rsidRDefault="0082736F" w:rsidP="006955C5">
            <w:pPr>
              <w:keepNext/>
              <w:keepLines/>
              <w:spacing w:before="120" w:after="120"/>
              <w:ind w:left="-107" w:right="-49"/>
              <w:jc w:val="center"/>
              <w:rPr>
                <w:rFonts w:ascii="Arial" w:hAnsi="Arial"/>
                <w:sz w:val="10"/>
                <w:szCs w:val="10"/>
              </w:rPr>
            </w:pPr>
            <w:r w:rsidRPr="00F9037E">
              <w:rPr>
                <w:rFonts w:ascii="Arial" w:hAnsi="Arial"/>
                <w:sz w:val="10"/>
                <w:szCs w:val="10"/>
              </w:rPr>
              <w:t>3.240</w:t>
            </w:r>
          </w:p>
        </w:tc>
        <w:tc>
          <w:tcPr>
            <w:tcW w:w="426" w:type="dxa"/>
            <w:vAlign w:val="center"/>
          </w:tcPr>
          <w:p w14:paraId="4FF0E004" w14:textId="77777777" w:rsidR="0082736F" w:rsidRPr="00F9037E" w:rsidRDefault="0082736F" w:rsidP="006955C5">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567" w:type="dxa"/>
            <w:vAlign w:val="center"/>
          </w:tcPr>
          <w:p w14:paraId="66CEDB15" w14:textId="77777777" w:rsidR="0082736F" w:rsidRPr="00F9037E" w:rsidRDefault="0082736F" w:rsidP="006955C5">
            <w:pPr>
              <w:keepNext/>
              <w:keepLines/>
              <w:spacing w:before="120" w:after="120"/>
              <w:ind w:left="-107" w:right="-49"/>
              <w:jc w:val="center"/>
              <w:rPr>
                <w:rFonts w:ascii="Arial" w:hAnsi="Arial"/>
                <w:sz w:val="10"/>
                <w:szCs w:val="10"/>
              </w:rPr>
            </w:pPr>
            <w:r w:rsidRPr="00F9037E">
              <w:rPr>
                <w:rFonts w:ascii="Arial" w:hAnsi="Arial"/>
                <w:sz w:val="10"/>
                <w:szCs w:val="10"/>
              </w:rPr>
              <w:t>9552.879</w:t>
            </w:r>
          </w:p>
        </w:tc>
        <w:tc>
          <w:tcPr>
            <w:tcW w:w="567" w:type="dxa"/>
            <w:vAlign w:val="center"/>
          </w:tcPr>
          <w:p w14:paraId="28B7A878" w14:textId="77777777" w:rsidR="0082736F" w:rsidRPr="00F9037E" w:rsidRDefault="0082736F" w:rsidP="006955C5">
            <w:pPr>
              <w:keepNext/>
              <w:keepLines/>
              <w:spacing w:before="120" w:after="120"/>
              <w:ind w:left="-108" w:right="-51"/>
              <w:jc w:val="center"/>
              <w:rPr>
                <w:rFonts w:ascii="Arial" w:hAnsi="Arial"/>
                <w:sz w:val="10"/>
                <w:szCs w:val="10"/>
              </w:rPr>
            </w:pPr>
            <w:r w:rsidRPr="00F9037E">
              <w:rPr>
                <w:rFonts w:ascii="Arial" w:hAnsi="Arial"/>
                <w:sz w:val="10"/>
                <w:szCs w:val="10"/>
              </w:rPr>
              <w:t>8081.753</w:t>
            </w:r>
          </w:p>
        </w:tc>
        <w:tc>
          <w:tcPr>
            <w:tcW w:w="567" w:type="dxa"/>
            <w:vAlign w:val="center"/>
          </w:tcPr>
          <w:p w14:paraId="28C6D664" w14:textId="77777777" w:rsidR="0082736F" w:rsidRPr="00F9037E" w:rsidRDefault="0082736F" w:rsidP="006955C5">
            <w:pPr>
              <w:keepNext/>
              <w:keepLines/>
              <w:spacing w:before="120" w:after="120"/>
              <w:ind w:left="-107" w:right="-49"/>
              <w:jc w:val="center"/>
              <w:rPr>
                <w:rFonts w:ascii="Arial" w:hAnsi="Arial"/>
                <w:sz w:val="10"/>
                <w:szCs w:val="10"/>
              </w:rPr>
            </w:pPr>
            <w:r w:rsidRPr="00F9037E">
              <w:rPr>
                <w:rFonts w:ascii="Arial" w:hAnsi="Arial"/>
                <w:sz w:val="10"/>
                <w:szCs w:val="10"/>
              </w:rPr>
              <w:t>6749.060</w:t>
            </w:r>
          </w:p>
        </w:tc>
        <w:tc>
          <w:tcPr>
            <w:tcW w:w="567" w:type="dxa"/>
            <w:vAlign w:val="center"/>
          </w:tcPr>
          <w:p w14:paraId="6F1B8926" w14:textId="77777777" w:rsidR="0082736F" w:rsidRPr="00F9037E" w:rsidRDefault="0082736F" w:rsidP="006955C5">
            <w:pPr>
              <w:keepNext/>
              <w:keepLines/>
              <w:spacing w:before="120" w:after="120"/>
              <w:ind w:left="-107" w:right="-49"/>
              <w:jc w:val="center"/>
              <w:rPr>
                <w:rFonts w:ascii="Arial" w:hAnsi="Arial"/>
                <w:sz w:val="10"/>
                <w:szCs w:val="10"/>
              </w:rPr>
            </w:pPr>
            <w:r w:rsidRPr="00F9037E">
              <w:rPr>
                <w:rFonts w:ascii="Arial" w:hAnsi="Arial"/>
                <w:sz w:val="10"/>
                <w:szCs w:val="10"/>
              </w:rPr>
              <w:t>5355.976</w:t>
            </w:r>
          </w:p>
        </w:tc>
        <w:tc>
          <w:tcPr>
            <w:tcW w:w="567" w:type="dxa"/>
            <w:vAlign w:val="center"/>
          </w:tcPr>
          <w:p w14:paraId="0E697A4F" w14:textId="77777777" w:rsidR="0082736F" w:rsidRPr="00F9037E" w:rsidRDefault="0082736F" w:rsidP="006955C5">
            <w:pPr>
              <w:keepNext/>
              <w:keepLines/>
              <w:spacing w:before="120" w:after="120"/>
              <w:ind w:left="-107" w:right="-49"/>
              <w:jc w:val="center"/>
              <w:rPr>
                <w:rFonts w:ascii="Arial" w:hAnsi="Arial"/>
                <w:sz w:val="10"/>
                <w:szCs w:val="10"/>
              </w:rPr>
            </w:pPr>
            <w:r w:rsidRPr="00F9037E">
              <w:rPr>
                <w:rFonts w:ascii="Arial" w:hAnsi="Arial"/>
                <w:sz w:val="10"/>
                <w:szCs w:val="10"/>
              </w:rPr>
              <w:t>4261.974</w:t>
            </w:r>
          </w:p>
        </w:tc>
        <w:tc>
          <w:tcPr>
            <w:tcW w:w="567" w:type="dxa"/>
            <w:vAlign w:val="center"/>
          </w:tcPr>
          <w:p w14:paraId="7F85D3C8" w14:textId="77777777" w:rsidR="0082736F" w:rsidRPr="00F9037E" w:rsidRDefault="009C58E9" w:rsidP="006955C5">
            <w:pPr>
              <w:keepNext/>
              <w:keepLines/>
              <w:spacing w:before="120" w:after="120"/>
              <w:ind w:left="-107" w:right="-49"/>
              <w:jc w:val="center"/>
              <w:rPr>
                <w:rFonts w:ascii="Arial" w:hAnsi="Arial"/>
                <w:sz w:val="10"/>
                <w:szCs w:val="10"/>
              </w:rPr>
            </w:pPr>
            <w:r w:rsidRPr="00F9037E">
              <w:rPr>
                <w:rFonts w:ascii="Arial" w:hAnsi="Arial"/>
                <w:sz w:val="10"/>
                <w:szCs w:val="10"/>
              </w:rPr>
              <w:t>3234.074</w:t>
            </w:r>
          </w:p>
        </w:tc>
        <w:tc>
          <w:tcPr>
            <w:tcW w:w="567" w:type="dxa"/>
            <w:vAlign w:val="center"/>
          </w:tcPr>
          <w:p w14:paraId="4C1A8A81" w14:textId="77777777" w:rsidR="0082736F" w:rsidRPr="00F9037E" w:rsidRDefault="0082736F" w:rsidP="006955C5">
            <w:pPr>
              <w:keepNext/>
              <w:keepLines/>
              <w:spacing w:before="120" w:after="120"/>
              <w:ind w:left="-107" w:right="-49"/>
              <w:jc w:val="center"/>
              <w:rPr>
                <w:rFonts w:ascii="Arial" w:hAnsi="Arial"/>
                <w:sz w:val="10"/>
                <w:szCs w:val="10"/>
              </w:rPr>
            </w:pPr>
            <w:r w:rsidRPr="00F9037E">
              <w:rPr>
                <w:rFonts w:ascii="Arial" w:hAnsi="Arial"/>
                <w:sz w:val="10"/>
                <w:szCs w:val="10"/>
              </w:rPr>
              <w:t>2055.200</w:t>
            </w:r>
          </w:p>
        </w:tc>
        <w:tc>
          <w:tcPr>
            <w:tcW w:w="567" w:type="dxa"/>
            <w:vAlign w:val="center"/>
          </w:tcPr>
          <w:p w14:paraId="3140519A" w14:textId="77777777" w:rsidR="0082736F" w:rsidRPr="00F9037E" w:rsidRDefault="0082736F" w:rsidP="006955C5">
            <w:pPr>
              <w:pStyle w:val="NormalWeb"/>
              <w:spacing w:before="120" w:after="120"/>
              <w:ind w:left="-107" w:right="-49"/>
              <w:jc w:val="center"/>
              <w:rPr>
                <w:rFonts w:ascii="Arial" w:hAnsi="Arial"/>
                <w:sz w:val="10"/>
                <w:szCs w:val="10"/>
                <w:lang w:val="en-GB" w:eastAsia="en-US"/>
              </w:rPr>
            </w:pPr>
            <w:r w:rsidRPr="00F9037E">
              <w:rPr>
                <w:rFonts w:ascii="Arial" w:hAnsi="Arial"/>
                <w:sz w:val="10"/>
                <w:szCs w:val="10"/>
                <w:lang w:val="en-GB" w:eastAsia="en-US"/>
              </w:rPr>
              <w:t>993.706</w:t>
            </w:r>
          </w:p>
        </w:tc>
        <w:tc>
          <w:tcPr>
            <w:tcW w:w="567" w:type="dxa"/>
            <w:vAlign w:val="center"/>
          </w:tcPr>
          <w:p w14:paraId="0B875984" w14:textId="77777777" w:rsidR="0082736F" w:rsidRPr="00F9037E" w:rsidRDefault="0082736F" w:rsidP="006955C5">
            <w:pPr>
              <w:keepNext/>
              <w:keepLines/>
              <w:spacing w:before="120" w:after="120"/>
              <w:ind w:left="-108" w:right="-51"/>
              <w:jc w:val="center"/>
              <w:rPr>
                <w:rFonts w:ascii="Arial" w:hAnsi="Arial"/>
                <w:sz w:val="10"/>
                <w:szCs w:val="10"/>
              </w:rPr>
            </w:pPr>
            <w:r w:rsidRPr="00F9037E">
              <w:rPr>
                <w:rFonts w:ascii="Arial" w:hAnsi="Arial"/>
                <w:sz w:val="10"/>
                <w:szCs w:val="10"/>
              </w:rPr>
              <w:t>562.328</w:t>
            </w:r>
          </w:p>
        </w:tc>
        <w:tc>
          <w:tcPr>
            <w:tcW w:w="567" w:type="dxa"/>
            <w:vAlign w:val="center"/>
          </w:tcPr>
          <w:p w14:paraId="6281C4E3" w14:textId="77777777" w:rsidR="0082736F" w:rsidRPr="00F9037E" w:rsidRDefault="0082736F" w:rsidP="006955C5">
            <w:pPr>
              <w:keepNext/>
              <w:keepLines/>
              <w:spacing w:before="120" w:after="120"/>
              <w:ind w:left="-108" w:right="-51"/>
              <w:jc w:val="center"/>
              <w:rPr>
                <w:rFonts w:ascii="Arial" w:hAnsi="Arial"/>
                <w:sz w:val="10"/>
                <w:szCs w:val="10"/>
              </w:rPr>
            </w:pPr>
            <w:r w:rsidRPr="00F9037E">
              <w:rPr>
                <w:rFonts w:ascii="Arial" w:hAnsi="Arial"/>
                <w:sz w:val="10"/>
                <w:szCs w:val="10"/>
              </w:rPr>
              <w:t>442.337</w:t>
            </w:r>
          </w:p>
        </w:tc>
        <w:tc>
          <w:tcPr>
            <w:tcW w:w="567" w:type="dxa"/>
            <w:vAlign w:val="center"/>
          </w:tcPr>
          <w:p w14:paraId="276B318D" w14:textId="77777777" w:rsidR="0082736F" w:rsidRPr="00F9037E" w:rsidRDefault="0082736F" w:rsidP="006955C5">
            <w:pPr>
              <w:keepNext/>
              <w:keepLines/>
              <w:spacing w:before="120" w:after="120"/>
              <w:ind w:left="-108" w:right="-51"/>
              <w:jc w:val="center"/>
              <w:rPr>
                <w:rFonts w:ascii="Arial" w:hAnsi="Arial"/>
                <w:sz w:val="10"/>
                <w:szCs w:val="10"/>
              </w:rPr>
            </w:pPr>
            <w:r w:rsidRPr="00F9037E">
              <w:rPr>
                <w:rFonts w:ascii="Arial" w:hAnsi="Arial"/>
                <w:sz w:val="10"/>
                <w:szCs w:val="10"/>
              </w:rPr>
              <w:t>377.170</w:t>
            </w:r>
          </w:p>
        </w:tc>
        <w:tc>
          <w:tcPr>
            <w:tcW w:w="567" w:type="dxa"/>
            <w:vAlign w:val="center"/>
          </w:tcPr>
          <w:p w14:paraId="5658B614" w14:textId="77777777" w:rsidR="0082736F" w:rsidRPr="00F9037E" w:rsidRDefault="0082736F" w:rsidP="006955C5">
            <w:pPr>
              <w:keepNext/>
              <w:keepLines/>
              <w:spacing w:before="120" w:after="120"/>
              <w:ind w:left="-108" w:right="-51"/>
              <w:jc w:val="center"/>
              <w:rPr>
                <w:rFonts w:ascii="Arial" w:hAnsi="Arial"/>
                <w:sz w:val="10"/>
                <w:szCs w:val="10"/>
              </w:rPr>
            </w:pPr>
            <w:r w:rsidRPr="00F9037E">
              <w:rPr>
                <w:rFonts w:ascii="Arial" w:hAnsi="Arial"/>
                <w:sz w:val="10"/>
                <w:szCs w:val="10"/>
              </w:rPr>
              <w:t>234.780</w:t>
            </w:r>
          </w:p>
        </w:tc>
        <w:tc>
          <w:tcPr>
            <w:tcW w:w="709" w:type="dxa"/>
            <w:vAlign w:val="center"/>
          </w:tcPr>
          <w:p w14:paraId="244DFE86" w14:textId="77777777" w:rsidR="0082736F" w:rsidRPr="00F9037E" w:rsidRDefault="006955C5" w:rsidP="006955C5">
            <w:pPr>
              <w:keepNext/>
              <w:keepLines/>
              <w:spacing w:before="120" w:after="120"/>
              <w:ind w:left="-108" w:right="-51"/>
              <w:jc w:val="center"/>
              <w:rPr>
                <w:rFonts w:ascii="Arial" w:hAnsi="Arial"/>
                <w:sz w:val="12"/>
                <w:szCs w:val="10"/>
              </w:rPr>
            </w:pPr>
            <w:r w:rsidRPr="00F9037E">
              <w:rPr>
                <w:rFonts w:ascii="Arial" w:hAnsi="Arial"/>
                <w:sz w:val="12"/>
                <w:szCs w:val="10"/>
              </w:rPr>
              <w:t>0</w:t>
            </w:r>
          </w:p>
        </w:tc>
        <w:tc>
          <w:tcPr>
            <w:tcW w:w="709" w:type="dxa"/>
            <w:vAlign w:val="center"/>
          </w:tcPr>
          <w:p w14:paraId="5F2A2BAD" w14:textId="77777777" w:rsidR="0082736F" w:rsidRPr="00F9037E" w:rsidRDefault="0082736F" w:rsidP="006955C5">
            <w:pPr>
              <w:keepNext/>
              <w:keepLines/>
              <w:spacing w:before="120" w:after="120"/>
              <w:ind w:left="-108" w:right="-51"/>
              <w:jc w:val="center"/>
              <w:rPr>
                <w:rFonts w:ascii="Arial" w:hAnsi="Arial"/>
                <w:sz w:val="12"/>
                <w:szCs w:val="10"/>
              </w:rPr>
            </w:pPr>
          </w:p>
        </w:tc>
      </w:tr>
      <w:tr w:rsidR="006955C5" w:rsidRPr="00F9037E" w14:paraId="154B1FBE" w14:textId="77777777" w:rsidTr="000718F1">
        <w:trPr>
          <w:trHeight w:val="363"/>
        </w:trPr>
        <w:tc>
          <w:tcPr>
            <w:tcW w:w="992" w:type="dxa"/>
            <w:vAlign w:val="center"/>
          </w:tcPr>
          <w:p w14:paraId="2A842B34" w14:textId="77777777" w:rsidR="006955C5" w:rsidRPr="00F9037E" w:rsidRDefault="006955C5" w:rsidP="006955C5">
            <w:pPr>
              <w:keepNext/>
              <w:keepLines/>
              <w:spacing w:before="120" w:after="120"/>
              <w:jc w:val="center"/>
              <w:rPr>
                <w:rFonts w:ascii="Arial" w:hAnsi="Arial"/>
                <w:sz w:val="14"/>
                <w:szCs w:val="10"/>
              </w:rPr>
            </w:pPr>
            <w:r w:rsidRPr="00F9037E">
              <w:rPr>
                <w:rFonts w:ascii="Arial" w:hAnsi="Arial"/>
                <w:sz w:val="14"/>
                <w:szCs w:val="10"/>
              </w:rPr>
              <w:t>Argentina</w:t>
            </w:r>
          </w:p>
        </w:tc>
        <w:tc>
          <w:tcPr>
            <w:tcW w:w="567" w:type="dxa"/>
            <w:vAlign w:val="center"/>
          </w:tcPr>
          <w:p w14:paraId="2B7A3259"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567" w:type="dxa"/>
            <w:vAlign w:val="center"/>
          </w:tcPr>
          <w:p w14:paraId="09EA4C9D"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567" w:type="dxa"/>
            <w:vAlign w:val="center"/>
          </w:tcPr>
          <w:p w14:paraId="7C89D310"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567" w:type="dxa"/>
            <w:vAlign w:val="center"/>
          </w:tcPr>
          <w:p w14:paraId="4E72F736"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567" w:type="dxa"/>
            <w:vAlign w:val="center"/>
          </w:tcPr>
          <w:p w14:paraId="2B82A9C3"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567" w:type="dxa"/>
            <w:vAlign w:val="center"/>
          </w:tcPr>
          <w:p w14:paraId="4EB75AD5" w14:textId="77777777" w:rsidR="006955C5" w:rsidRPr="00F9037E" w:rsidRDefault="006955C5" w:rsidP="006955C5">
            <w:pPr>
              <w:keepNext/>
              <w:keepLines/>
              <w:spacing w:before="120" w:after="0"/>
              <w:ind w:left="-108" w:right="-51"/>
              <w:jc w:val="center"/>
              <w:rPr>
                <w:rFonts w:ascii="Arial" w:hAnsi="Arial"/>
                <w:sz w:val="10"/>
                <w:szCs w:val="10"/>
              </w:rPr>
            </w:pPr>
            <w:r w:rsidRPr="00F9037E">
              <w:rPr>
                <w:rFonts w:ascii="Arial" w:hAnsi="Arial"/>
                <w:sz w:val="10"/>
                <w:szCs w:val="10"/>
              </w:rPr>
              <w:t>-</w:t>
            </w:r>
          </w:p>
        </w:tc>
        <w:tc>
          <w:tcPr>
            <w:tcW w:w="425" w:type="dxa"/>
            <w:vAlign w:val="center"/>
          </w:tcPr>
          <w:p w14:paraId="6B2471AC"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426" w:type="dxa"/>
            <w:vAlign w:val="center"/>
          </w:tcPr>
          <w:p w14:paraId="7029BA95"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425" w:type="dxa"/>
            <w:vAlign w:val="center"/>
          </w:tcPr>
          <w:p w14:paraId="0BE7E3F0"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245</w:t>
            </w:r>
          </w:p>
        </w:tc>
        <w:tc>
          <w:tcPr>
            <w:tcW w:w="425" w:type="dxa"/>
            <w:vAlign w:val="center"/>
          </w:tcPr>
          <w:p w14:paraId="5A2020C3"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223</w:t>
            </w:r>
          </w:p>
        </w:tc>
        <w:tc>
          <w:tcPr>
            <w:tcW w:w="425" w:type="dxa"/>
            <w:vAlign w:val="center"/>
          </w:tcPr>
          <w:p w14:paraId="1D95C9FC" w14:textId="77777777" w:rsidR="006955C5" w:rsidRPr="00F9037E" w:rsidRDefault="008552FB" w:rsidP="006955C5">
            <w:pPr>
              <w:keepNext/>
              <w:keepLines/>
              <w:spacing w:before="120" w:after="120"/>
              <w:ind w:left="-107" w:right="-49"/>
              <w:jc w:val="center"/>
              <w:rPr>
                <w:rFonts w:ascii="Arial" w:hAnsi="Arial"/>
                <w:sz w:val="10"/>
                <w:szCs w:val="10"/>
              </w:rPr>
            </w:pPr>
            <w:r w:rsidRPr="00F9037E">
              <w:rPr>
                <w:rFonts w:ascii="Arial" w:hAnsi="Arial"/>
                <w:sz w:val="10"/>
                <w:szCs w:val="10"/>
              </w:rPr>
              <w:t>120.3</w:t>
            </w:r>
          </w:p>
        </w:tc>
        <w:tc>
          <w:tcPr>
            <w:tcW w:w="426" w:type="dxa"/>
            <w:vAlign w:val="center"/>
          </w:tcPr>
          <w:p w14:paraId="167286AA" w14:textId="77777777" w:rsidR="006955C5" w:rsidRPr="00F9037E" w:rsidRDefault="006955C5" w:rsidP="006955C5">
            <w:pPr>
              <w:keepNext/>
              <w:keepLines/>
              <w:spacing w:before="120" w:after="120"/>
              <w:ind w:left="-107" w:right="-49"/>
              <w:jc w:val="center"/>
              <w:rPr>
                <w:rFonts w:ascii="Arial" w:hAnsi="Arial"/>
                <w:sz w:val="10"/>
                <w:szCs w:val="10"/>
              </w:rPr>
            </w:pPr>
          </w:p>
        </w:tc>
        <w:tc>
          <w:tcPr>
            <w:tcW w:w="567" w:type="dxa"/>
            <w:vAlign w:val="center"/>
          </w:tcPr>
          <w:p w14:paraId="42A4F17D"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567" w:type="dxa"/>
            <w:vAlign w:val="center"/>
          </w:tcPr>
          <w:p w14:paraId="4CD1180F" w14:textId="77777777" w:rsidR="006955C5" w:rsidRPr="00F9037E" w:rsidRDefault="006955C5" w:rsidP="006955C5">
            <w:pPr>
              <w:keepNext/>
              <w:keepLines/>
              <w:spacing w:before="120" w:after="120"/>
              <w:ind w:left="-108" w:right="-51"/>
              <w:jc w:val="center"/>
              <w:rPr>
                <w:rFonts w:ascii="Arial" w:hAnsi="Arial"/>
                <w:sz w:val="10"/>
                <w:szCs w:val="10"/>
              </w:rPr>
            </w:pPr>
            <w:r w:rsidRPr="00F9037E">
              <w:rPr>
                <w:rFonts w:ascii="Arial" w:hAnsi="Arial"/>
                <w:sz w:val="10"/>
                <w:szCs w:val="10"/>
              </w:rPr>
              <w:t>-</w:t>
            </w:r>
          </w:p>
        </w:tc>
        <w:tc>
          <w:tcPr>
            <w:tcW w:w="567" w:type="dxa"/>
            <w:vAlign w:val="center"/>
          </w:tcPr>
          <w:p w14:paraId="0C94D483"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567" w:type="dxa"/>
            <w:vAlign w:val="center"/>
          </w:tcPr>
          <w:p w14:paraId="44A96FFE"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567" w:type="dxa"/>
            <w:vAlign w:val="center"/>
          </w:tcPr>
          <w:p w14:paraId="333A4B46"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567" w:type="dxa"/>
            <w:vAlign w:val="center"/>
          </w:tcPr>
          <w:p w14:paraId="5E669AC3"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567" w:type="dxa"/>
            <w:vAlign w:val="center"/>
          </w:tcPr>
          <w:p w14:paraId="214C1EFB"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567" w:type="dxa"/>
            <w:vAlign w:val="center"/>
          </w:tcPr>
          <w:p w14:paraId="004D4B7E" w14:textId="77777777" w:rsidR="006955C5" w:rsidRPr="00F9037E" w:rsidRDefault="006955C5" w:rsidP="006955C5">
            <w:pPr>
              <w:pStyle w:val="NormalWeb"/>
              <w:spacing w:before="120" w:after="120"/>
              <w:ind w:left="-107" w:right="-49"/>
              <w:jc w:val="center"/>
              <w:rPr>
                <w:rFonts w:ascii="Arial" w:hAnsi="Arial"/>
                <w:sz w:val="10"/>
                <w:szCs w:val="10"/>
                <w:lang w:val="en-GB" w:eastAsia="en-US"/>
              </w:rPr>
            </w:pPr>
            <w:r w:rsidRPr="00F9037E">
              <w:rPr>
                <w:rFonts w:ascii="Arial" w:hAnsi="Arial"/>
                <w:sz w:val="10"/>
                <w:szCs w:val="10"/>
                <w:lang w:val="en-GB" w:eastAsia="en-US"/>
              </w:rPr>
              <w:t>-</w:t>
            </w:r>
          </w:p>
        </w:tc>
        <w:tc>
          <w:tcPr>
            <w:tcW w:w="567" w:type="dxa"/>
            <w:vAlign w:val="center"/>
          </w:tcPr>
          <w:p w14:paraId="3055DF1D" w14:textId="77777777" w:rsidR="006955C5" w:rsidRPr="00F9037E" w:rsidRDefault="006955C5" w:rsidP="006955C5">
            <w:pPr>
              <w:keepNext/>
              <w:keepLines/>
              <w:spacing w:before="120" w:after="120"/>
              <w:ind w:left="-108" w:right="-51"/>
              <w:jc w:val="center"/>
              <w:rPr>
                <w:rFonts w:ascii="Arial" w:hAnsi="Arial"/>
                <w:sz w:val="10"/>
                <w:szCs w:val="10"/>
              </w:rPr>
            </w:pPr>
            <w:r w:rsidRPr="00F9037E">
              <w:rPr>
                <w:rFonts w:ascii="Arial" w:hAnsi="Arial"/>
                <w:sz w:val="10"/>
                <w:szCs w:val="10"/>
              </w:rPr>
              <w:t>-</w:t>
            </w:r>
          </w:p>
        </w:tc>
        <w:tc>
          <w:tcPr>
            <w:tcW w:w="567" w:type="dxa"/>
            <w:vAlign w:val="center"/>
          </w:tcPr>
          <w:p w14:paraId="695D3A2B" w14:textId="77777777" w:rsidR="006955C5" w:rsidRPr="00F9037E" w:rsidRDefault="006955C5" w:rsidP="006955C5">
            <w:pPr>
              <w:keepNext/>
              <w:keepLines/>
              <w:spacing w:before="120" w:after="120"/>
              <w:ind w:left="-108" w:right="-51"/>
              <w:jc w:val="center"/>
              <w:rPr>
                <w:rFonts w:ascii="Arial" w:hAnsi="Arial"/>
                <w:sz w:val="10"/>
                <w:szCs w:val="10"/>
              </w:rPr>
            </w:pPr>
            <w:r w:rsidRPr="00F9037E">
              <w:rPr>
                <w:rFonts w:ascii="Arial" w:hAnsi="Arial"/>
                <w:sz w:val="10"/>
                <w:szCs w:val="10"/>
              </w:rPr>
              <w:t>-</w:t>
            </w:r>
          </w:p>
        </w:tc>
        <w:tc>
          <w:tcPr>
            <w:tcW w:w="567" w:type="dxa"/>
            <w:vAlign w:val="center"/>
          </w:tcPr>
          <w:p w14:paraId="388D7BA8" w14:textId="77777777" w:rsidR="006955C5" w:rsidRPr="00F9037E" w:rsidRDefault="006955C5" w:rsidP="006955C5">
            <w:pPr>
              <w:keepNext/>
              <w:keepLines/>
              <w:spacing w:before="120" w:after="120"/>
              <w:ind w:left="-108" w:right="-51"/>
              <w:jc w:val="center"/>
              <w:rPr>
                <w:rFonts w:ascii="Arial" w:hAnsi="Arial"/>
                <w:sz w:val="10"/>
                <w:szCs w:val="10"/>
              </w:rPr>
            </w:pPr>
            <w:r w:rsidRPr="00F9037E">
              <w:rPr>
                <w:rFonts w:ascii="Arial" w:hAnsi="Arial"/>
                <w:sz w:val="10"/>
                <w:szCs w:val="10"/>
              </w:rPr>
              <w:t>170</w:t>
            </w:r>
          </w:p>
        </w:tc>
        <w:tc>
          <w:tcPr>
            <w:tcW w:w="567" w:type="dxa"/>
            <w:vAlign w:val="center"/>
          </w:tcPr>
          <w:p w14:paraId="26CDB56C" w14:textId="77777777" w:rsidR="006955C5" w:rsidRPr="00F9037E" w:rsidRDefault="006955C5" w:rsidP="006955C5">
            <w:pPr>
              <w:keepNext/>
              <w:keepLines/>
              <w:spacing w:before="120" w:after="120"/>
              <w:ind w:left="-108" w:right="-51"/>
              <w:jc w:val="center"/>
              <w:rPr>
                <w:rFonts w:ascii="Arial" w:hAnsi="Arial"/>
                <w:sz w:val="10"/>
                <w:szCs w:val="10"/>
              </w:rPr>
            </w:pPr>
            <w:r w:rsidRPr="00F9037E">
              <w:rPr>
                <w:rFonts w:ascii="Arial" w:hAnsi="Arial"/>
                <w:sz w:val="10"/>
                <w:szCs w:val="10"/>
              </w:rPr>
              <w:t>129.25</w:t>
            </w:r>
          </w:p>
        </w:tc>
        <w:tc>
          <w:tcPr>
            <w:tcW w:w="709" w:type="dxa"/>
            <w:vAlign w:val="center"/>
          </w:tcPr>
          <w:p w14:paraId="3CB5BE76" w14:textId="77777777" w:rsidR="006955C5" w:rsidRPr="00F9037E" w:rsidRDefault="000718F1" w:rsidP="006955C5">
            <w:pPr>
              <w:keepNext/>
              <w:keepLines/>
              <w:spacing w:before="120" w:after="120"/>
              <w:ind w:left="-108" w:right="-51"/>
              <w:jc w:val="center"/>
              <w:rPr>
                <w:rFonts w:ascii="Arial" w:hAnsi="Arial"/>
                <w:b/>
                <w:sz w:val="12"/>
                <w:szCs w:val="10"/>
              </w:rPr>
            </w:pPr>
            <w:r w:rsidRPr="00F9037E">
              <w:rPr>
                <w:rFonts w:ascii="Arial" w:hAnsi="Arial"/>
                <w:b/>
                <w:sz w:val="12"/>
                <w:szCs w:val="10"/>
              </w:rPr>
              <w:t>[102.94</w:t>
            </w:r>
            <w:r w:rsidR="00F565F1" w:rsidRPr="00F9037E">
              <w:rPr>
                <w:rFonts w:ascii="Arial" w:hAnsi="Arial"/>
                <w:b/>
                <w:sz w:val="12"/>
                <w:szCs w:val="10"/>
              </w:rPr>
              <w:t>0</w:t>
            </w:r>
            <w:r w:rsidRPr="00F9037E">
              <w:rPr>
                <w:rFonts w:ascii="Arial" w:hAnsi="Arial"/>
                <w:b/>
                <w:sz w:val="12"/>
                <w:szCs w:val="10"/>
              </w:rPr>
              <w:t>]</w:t>
            </w:r>
          </w:p>
        </w:tc>
        <w:tc>
          <w:tcPr>
            <w:tcW w:w="709" w:type="dxa"/>
            <w:vAlign w:val="center"/>
          </w:tcPr>
          <w:p w14:paraId="2358809F" w14:textId="77777777" w:rsidR="006955C5" w:rsidRPr="00F9037E" w:rsidRDefault="006955C5" w:rsidP="000718F1">
            <w:pPr>
              <w:keepNext/>
              <w:keepLines/>
              <w:spacing w:before="120" w:after="120"/>
              <w:ind w:left="-108" w:right="-51"/>
              <w:jc w:val="center"/>
              <w:rPr>
                <w:rFonts w:ascii="Arial" w:hAnsi="Arial"/>
                <w:b/>
                <w:sz w:val="12"/>
                <w:szCs w:val="10"/>
              </w:rPr>
            </w:pPr>
          </w:p>
        </w:tc>
      </w:tr>
      <w:tr w:rsidR="006955C5" w:rsidRPr="00F9037E" w14:paraId="235C4239" w14:textId="77777777" w:rsidTr="000718F1">
        <w:trPr>
          <w:trHeight w:val="442"/>
        </w:trPr>
        <w:tc>
          <w:tcPr>
            <w:tcW w:w="992" w:type="dxa"/>
            <w:vAlign w:val="center"/>
          </w:tcPr>
          <w:p w14:paraId="7E0D768A" w14:textId="77777777" w:rsidR="006955C5" w:rsidRPr="00F9037E" w:rsidRDefault="006955C5" w:rsidP="006955C5">
            <w:pPr>
              <w:keepNext/>
              <w:keepLines/>
              <w:spacing w:before="120" w:after="120"/>
              <w:jc w:val="center"/>
              <w:rPr>
                <w:rFonts w:ascii="Arial" w:hAnsi="Arial"/>
                <w:sz w:val="14"/>
                <w:szCs w:val="10"/>
              </w:rPr>
            </w:pPr>
            <w:r w:rsidRPr="00F9037E">
              <w:rPr>
                <w:rFonts w:ascii="Arial" w:hAnsi="Arial"/>
                <w:sz w:val="14"/>
                <w:szCs w:val="10"/>
              </w:rPr>
              <w:t>China</w:t>
            </w:r>
          </w:p>
        </w:tc>
        <w:tc>
          <w:tcPr>
            <w:tcW w:w="567" w:type="dxa"/>
            <w:vAlign w:val="center"/>
          </w:tcPr>
          <w:p w14:paraId="65898703"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567" w:type="dxa"/>
            <w:vAlign w:val="center"/>
          </w:tcPr>
          <w:p w14:paraId="680D7A18"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567" w:type="dxa"/>
            <w:vAlign w:val="center"/>
          </w:tcPr>
          <w:p w14:paraId="6811DC28"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567" w:type="dxa"/>
            <w:vAlign w:val="center"/>
          </w:tcPr>
          <w:p w14:paraId="1037EAE3"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567" w:type="dxa"/>
            <w:vAlign w:val="center"/>
          </w:tcPr>
          <w:p w14:paraId="4C3ABFB6"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567" w:type="dxa"/>
            <w:vAlign w:val="center"/>
          </w:tcPr>
          <w:p w14:paraId="04D97A45" w14:textId="77777777" w:rsidR="006955C5" w:rsidRPr="00F9037E" w:rsidRDefault="006955C5" w:rsidP="006955C5">
            <w:pPr>
              <w:keepNext/>
              <w:keepLines/>
              <w:spacing w:before="120" w:after="0"/>
              <w:ind w:left="-108" w:right="-51"/>
              <w:jc w:val="center"/>
              <w:rPr>
                <w:rFonts w:ascii="Arial" w:hAnsi="Arial"/>
                <w:sz w:val="10"/>
                <w:szCs w:val="10"/>
              </w:rPr>
            </w:pPr>
            <w:r w:rsidRPr="00F9037E">
              <w:rPr>
                <w:rFonts w:ascii="Arial" w:hAnsi="Arial"/>
                <w:sz w:val="10"/>
                <w:szCs w:val="10"/>
              </w:rPr>
              <w:t>-</w:t>
            </w:r>
          </w:p>
        </w:tc>
        <w:tc>
          <w:tcPr>
            <w:tcW w:w="425" w:type="dxa"/>
            <w:vAlign w:val="center"/>
          </w:tcPr>
          <w:p w14:paraId="263451AE"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426" w:type="dxa"/>
            <w:vAlign w:val="center"/>
          </w:tcPr>
          <w:p w14:paraId="402E44EC"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425" w:type="dxa"/>
            <w:vAlign w:val="center"/>
          </w:tcPr>
          <w:p w14:paraId="4A16DADD"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120</w:t>
            </w:r>
          </w:p>
        </w:tc>
        <w:tc>
          <w:tcPr>
            <w:tcW w:w="425" w:type="dxa"/>
            <w:vAlign w:val="center"/>
          </w:tcPr>
          <w:p w14:paraId="69D734E9"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114</w:t>
            </w:r>
          </w:p>
        </w:tc>
        <w:tc>
          <w:tcPr>
            <w:tcW w:w="425" w:type="dxa"/>
            <w:vAlign w:val="center"/>
          </w:tcPr>
          <w:p w14:paraId="0015CCAE" w14:textId="77777777" w:rsidR="006955C5" w:rsidRPr="00F9037E" w:rsidRDefault="008552FB" w:rsidP="006955C5">
            <w:pPr>
              <w:keepNext/>
              <w:keepLines/>
              <w:spacing w:before="120" w:after="120"/>
              <w:ind w:left="-107" w:right="-49"/>
              <w:jc w:val="center"/>
              <w:rPr>
                <w:rFonts w:ascii="Arial" w:hAnsi="Arial"/>
                <w:sz w:val="10"/>
                <w:szCs w:val="10"/>
              </w:rPr>
            </w:pPr>
            <w:r w:rsidRPr="00F9037E">
              <w:rPr>
                <w:rFonts w:ascii="Arial" w:hAnsi="Arial"/>
                <w:sz w:val="10"/>
                <w:szCs w:val="10"/>
              </w:rPr>
              <w:t>99.75</w:t>
            </w:r>
          </w:p>
        </w:tc>
        <w:tc>
          <w:tcPr>
            <w:tcW w:w="426" w:type="dxa"/>
            <w:vAlign w:val="center"/>
          </w:tcPr>
          <w:p w14:paraId="5F59D041" w14:textId="77777777" w:rsidR="006955C5" w:rsidRPr="00F9037E" w:rsidRDefault="006955C5" w:rsidP="006955C5">
            <w:pPr>
              <w:keepNext/>
              <w:keepLines/>
              <w:spacing w:before="120" w:after="120"/>
              <w:ind w:left="-107" w:right="-49"/>
              <w:jc w:val="center"/>
              <w:rPr>
                <w:rFonts w:ascii="Arial" w:hAnsi="Arial"/>
                <w:sz w:val="10"/>
                <w:szCs w:val="10"/>
              </w:rPr>
            </w:pPr>
          </w:p>
        </w:tc>
        <w:tc>
          <w:tcPr>
            <w:tcW w:w="567" w:type="dxa"/>
            <w:vAlign w:val="center"/>
          </w:tcPr>
          <w:p w14:paraId="13972B6E"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567" w:type="dxa"/>
            <w:vAlign w:val="center"/>
          </w:tcPr>
          <w:p w14:paraId="2969C599" w14:textId="77777777" w:rsidR="006955C5" w:rsidRPr="00F9037E" w:rsidRDefault="006955C5" w:rsidP="006955C5">
            <w:pPr>
              <w:keepNext/>
              <w:keepLines/>
              <w:spacing w:before="120" w:after="120"/>
              <w:ind w:left="-108" w:right="-51"/>
              <w:jc w:val="center"/>
              <w:rPr>
                <w:rFonts w:ascii="Arial" w:hAnsi="Arial"/>
                <w:sz w:val="10"/>
                <w:szCs w:val="10"/>
              </w:rPr>
            </w:pPr>
            <w:r w:rsidRPr="00F9037E">
              <w:rPr>
                <w:rFonts w:ascii="Arial" w:hAnsi="Arial"/>
                <w:sz w:val="10"/>
                <w:szCs w:val="10"/>
              </w:rPr>
              <w:t>-</w:t>
            </w:r>
          </w:p>
        </w:tc>
        <w:tc>
          <w:tcPr>
            <w:tcW w:w="567" w:type="dxa"/>
            <w:vAlign w:val="center"/>
          </w:tcPr>
          <w:p w14:paraId="59CE3F9E"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567" w:type="dxa"/>
            <w:vAlign w:val="center"/>
          </w:tcPr>
          <w:p w14:paraId="586B83B6"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567" w:type="dxa"/>
            <w:vAlign w:val="center"/>
          </w:tcPr>
          <w:p w14:paraId="2FA8CBDD"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567" w:type="dxa"/>
            <w:vAlign w:val="center"/>
          </w:tcPr>
          <w:p w14:paraId="79A1A297"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567" w:type="dxa"/>
            <w:vAlign w:val="center"/>
          </w:tcPr>
          <w:p w14:paraId="48E77BBB"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567" w:type="dxa"/>
            <w:vAlign w:val="center"/>
          </w:tcPr>
          <w:p w14:paraId="73829EF4" w14:textId="77777777" w:rsidR="006955C5" w:rsidRPr="00F9037E" w:rsidRDefault="006955C5" w:rsidP="006955C5">
            <w:pPr>
              <w:pStyle w:val="NormalWeb"/>
              <w:spacing w:before="120" w:after="120"/>
              <w:ind w:left="-107" w:right="-49"/>
              <w:jc w:val="center"/>
              <w:rPr>
                <w:rFonts w:ascii="Arial" w:hAnsi="Arial"/>
                <w:sz w:val="10"/>
                <w:szCs w:val="10"/>
                <w:lang w:val="en-GB" w:eastAsia="en-US"/>
              </w:rPr>
            </w:pPr>
            <w:r w:rsidRPr="00F9037E">
              <w:rPr>
                <w:rFonts w:ascii="Arial" w:hAnsi="Arial"/>
                <w:sz w:val="10"/>
                <w:szCs w:val="10"/>
                <w:lang w:val="en-GB" w:eastAsia="en-US"/>
              </w:rPr>
              <w:t>-</w:t>
            </w:r>
          </w:p>
        </w:tc>
        <w:tc>
          <w:tcPr>
            <w:tcW w:w="567" w:type="dxa"/>
            <w:vAlign w:val="center"/>
          </w:tcPr>
          <w:p w14:paraId="7518F7AA" w14:textId="77777777" w:rsidR="006955C5" w:rsidRPr="00F9037E" w:rsidRDefault="006955C5" w:rsidP="006955C5">
            <w:pPr>
              <w:keepNext/>
              <w:keepLines/>
              <w:spacing w:before="120" w:after="120"/>
              <w:ind w:left="-108" w:right="-51"/>
              <w:jc w:val="center"/>
              <w:rPr>
                <w:rFonts w:ascii="Arial" w:hAnsi="Arial"/>
                <w:sz w:val="10"/>
                <w:szCs w:val="10"/>
              </w:rPr>
            </w:pPr>
            <w:r w:rsidRPr="00F9037E">
              <w:rPr>
                <w:rFonts w:ascii="Arial" w:hAnsi="Arial"/>
                <w:sz w:val="10"/>
                <w:szCs w:val="10"/>
              </w:rPr>
              <w:t>-</w:t>
            </w:r>
          </w:p>
        </w:tc>
        <w:tc>
          <w:tcPr>
            <w:tcW w:w="567" w:type="dxa"/>
            <w:vAlign w:val="center"/>
          </w:tcPr>
          <w:p w14:paraId="59E22CDE" w14:textId="77777777" w:rsidR="006955C5" w:rsidRPr="00F9037E" w:rsidRDefault="006955C5" w:rsidP="006955C5">
            <w:pPr>
              <w:keepNext/>
              <w:keepLines/>
              <w:spacing w:before="120" w:after="120"/>
              <w:ind w:left="-108" w:right="-51"/>
              <w:jc w:val="center"/>
              <w:rPr>
                <w:rFonts w:ascii="Arial" w:hAnsi="Arial"/>
                <w:sz w:val="10"/>
                <w:szCs w:val="10"/>
              </w:rPr>
            </w:pPr>
            <w:r w:rsidRPr="00F9037E">
              <w:rPr>
                <w:rFonts w:ascii="Arial" w:hAnsi="Arial"/>
                <w:sz w:val="10"/>
                <w:szCs w:val="10"/>
              </w:rPr>
              <w:t>-</w:t>
            </w:r>
          </w:p>
        </w:tc>
        <w:tc>
          <w:tcPr>
            <w:tcW w:w="567" w:type="dxa"/>
            <w:vAlign w:val="center"/>
          </w:tcPr>
          <w:p w14:paraId="54E02115" w14:textId="77777777" w:rsidR="006955C5" w:rsidRPr="00F9037E" w:rsidRDefault="006955C5" w:rsidP="006955C5">
            <w:pPr>
              <w:keepNext/>
              <w:keepLines/>
              <w:spacing w:before="120" w:after="120"/>
              <w:ind w:left="-108" w:right="-51"/>
              <w:jc w:val="center"/>
              <w:rPr>
                <w:rFonts w:ascii="Arial" w:hAnsi="Arial"/>
                <w:sz w:val="10"/>
                <w:szCs w:val="10"/>
              </w:rPr>
            </w:pPr>
            <w:r w:rsidRPr="00F9037E">
              <w:rPr>
                <w:rFonts w:ascii="Arial" w:hAnsi="Arial"/>
                <w:sz w:val="10"/>
                <w:szCs w:val="10"/>
              </w:rPr>
              <w:t>114</w:t>
            </w:r>
          </w:p>
        </w:tc>
        <w:tc>
          <w:tcPr>
            <w:tcW w:w="567" w:type="dxa"/>
            <w:vAlign w:val="center"/>
          </w:tcPr>
          <w:p w14:paraId="3561F3B4" w14:textId="77777777" w:rsidR="006955C5" w:rsidRPr="00F9037E" w:rsidRDefault="006955C5" w:rsidP="006955C5">
            <w:pPr>
              <w:keepNext/>
              <w:keepLines/>
              <w:spacing w:before="120" w:after="120"/>
              <w:ind w:left="-108" w:right="-51"/>
              <w:jc w:val="center"/>
              <w:rPr>
                <w:rFonts w:ascii="Arial" w:hAnsi="Arial"/>
                <w:sz w:val="10"/>
                <w:szCs w:val="10"/>
              </w:rPr>
            </w:pPr>
            <w:r w:rsidRPr="00F9037E">
              <w:rPr>
                <w:rFonts w:ascii="Arial" w:hAnsi="Arial"/>
                <w:sz w:val="10"/>
                <w:szCs w:val="10"/>
              </w:rPr>
              <w:t>99.75</w:t>
            </w:r>
          </w:p>
        </w:tc>
        <w:tc>
          <w:tcPr>
            <w:tcW w:w="709" w:type="dxa"/>
            <w:vAlign w:val="center"/>
          </w:tcPr>
          <w:p w14:paraId="09CF0866" w14:textId="77777777" w:rsidR="006955C5" w:rsidRPr="00F9037E" w:rsidRDefault="000718F1" w:rsidP="006955C5">
            <w:pPr>
              <w:keepNext/>
              <w:keepLines/>
              <w:spacing w:before="120" w:after="120"/>
              <w:ind w:left="-108" w:right="-51"/>
              <w:jc w:val="center"/>
              <w:rPr>
                <w:rFonts w:ascii="Arial" w:hAnsi="Arial"/>
                <w:b/>
                <w:sz w:val="12"/>
                <w:szCs w:val="10"/>
              </w:rPr>
            </w:pPr>
            <w:r w:rsidRPr="00F9037E">
              <w:rPr>
                <w:rFonts w:ascii="Arial" w:hAnsi="Arial"/>
                <w:b/>
                <w:sz w:val="12"/>
                <w:szCs w:val="10"/>
              </w:rPr>
              <w:t>[92.977]</w:t>
            </w:r>
          </w:p>
        </w:tc>
        <w:tc>
          <w:tcPr>
            <w:tcW w:w="709" w:type="dxa"/>
            <w:vAlign w:val="center"/>
          </w:tcPr>
          <w:p w14:paraId="6681F9E2" w14:textId="77777777" w:rsidR="006955C5" w:rsidRPr="00F9037E" w:rsidRDefault="006955C5" w:rsidP="006E04F4">
            <w:pPr>
              <w:keepNext/>
              <w:keepLines/>
              <w:spacing w:before="120" w:after="120"/>
              <w:ind w:left="-108" w:right="-51"/>
              <w:jc w:val="center"/>
              <w:rPr>
                <w:rFonts w:ascii="Arial" w:hAnsi="Arial"/>
                <w:b/>
                <w:sz w:val="12"/>
                <w:szCs w:val="10"/>
              </w:rPr>
            </w:pPr>
          </w:p>
        </w:tc>
      </w:tr>
      <w:tr w:rsidR="006955C5" w:rsidRPr="00F9037E" w14:paraId="137E6121" w14:textId="77777777" w:rsidTr="000718F1">
        <w:trPr>
          <w:trHeight w:val="449"/>
        </w:trPr>
        <w:tc>
          <w:tcPr>
            <w:tcW w:w="992" w:type="dxa"/>
            <w:vAlign w:val="center"/>
          </w:tcPr>
          <w:p w14:paraId="2565467F" w14:textId="77777777" w:rsidR="006955C5" w:rsidRPr="00F9037E" w:rsidRDefault="006955C5" w:rsidP="006955C5">
            <w:pPr>
              <w:keepNext/>
              <w:keepLines/>
              <w:spacing w:before="120" w:after="120"/>
              <w:jc w:val="center"/>
              <w:rPr>
                <w:rFonts w:ascii="Arial" w:hAnsi="Arial"/>
                <w:sz w:val="14"/>
                <w:szCs w:val="10"/>
              </w:rPr>
            </w:pPr>
            <w:r w:rsidRPr="00F9037E">
              <w:rPr>
                <w:rFonts w:ascii="Arial" w:hAnsi="Arial"/>
                <w:sz w:val="14"/>
                <w:szCs w:val="10"/>
              </w:rPr>
              <w:t>Mexico</w:t>
            </w:r>
          </w:p>
        </w:tc>
        <w:tc>
          <w:tcPr>
            <w:tcW w:w="567" w:type="dxa"/>
            <w:vAlign w:val="center"/>
          </w:tcPr>
          <w:p w14:paraId="394E3C0C"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567" w:type="dxa"/>
            <w:vAlign w:val="center"/>
          </w:tcPr>
          <w:p w14:paraId="09625DE6"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567" w:type="dxa"/>
            <w:vAlign w:val="center"/>
          </w:tcPr>
          <w:p w14:paraId="1DB8E340"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567" w:type="dxa"/>
            <w:vAlign w:val="center"/>
          </w:tcPr>
          <w:p w14:paraId="58F2C58C"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567" w:type="dxa"/>
            <w:vAlign w:val="center"/>
          </w:tcPr>
          <w:p w14:paraId="749167A5"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567" w:type="dxa"/>
            <w:vAlign w:val="center"/>
          </w:tcPr>
          <w:p w14:paraId="09421257" w14:textId="77777777" w:rsidR="006955C5" w:rsidRPr="00F9037E" w:rsidRDefault="006955C5" w:rsidP="006955C5">
            <w:pPr>
              <w:keepNext/>
              <w:keepLines/>
              <w:spacing w:before="120" w:after="0"/>
              <w:ind w:left="-108" w:right="-51"/>
              <w:jc w:val="center"/>
              <w:rPr>
                <w:rFonts w:ascii="Arial" w:hAnsi="Arial"/>
                <w:sz w:val="10"/>
                <w:szCs w:val="10"/>
              </w:rPr>
            </w:pPr>
            <w:r w:rsidRPr="00F9037E">
              <w:rPr>
                <w:rFonts w:ascii="Arial" w:hAnsi="Arial"/>
                <w:sz w:val="10"/>
                <w:szCs w:val="10"/>
              </w:rPr>
              <w:t>-</w:t>
            </w:r>
          </w:p>
        </w:tc>
        <w:tc>
          <w:tcPr>
            <w:tcW w:w="425" w:type="dxa"/>
            <w:vAlign w:val="center"/>
          </w:tcPr>
          <w:p w14:paraId="46C64E93"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426" w:type="dxa"/>
            <w:vAlign w:val="center"/>
          </w:tcPr>
          <w:p w14:paraId="40C1355E"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425" w:type="dxa"/>
            <w:vAlign w:val="center"/>
          </w:tcPr>
          <w:p w14:paraId="4F293A6E"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140</w:t>
            </w:r>
          </w:p>
        </w:tc>
        <w:tc>
          <w:tcPr>
            <w:tcW w:w="425" w:type="dxa"/>
            <w:vAlign w:val="center"/>
          </w:tcPr>
          <w:p w14:paraId="7BB35B49"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120.978</w:t>
            </w:r>
          </w:p>
        </w:tc>
        <w:tc>
          <w:tcPr>
            <w:tcW w:w="425" w:type="dxa"/>
            <w:vAlign w:val="center"/>
          </w:tcPr>
          <w:p w14:paraId="2AC1EABE"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0</w:t>
            </w:r>
          </w:p>
        </w:tc>
        <w:tc>
          <w:tcPr>
            <w:tcW w:w="426" w:type="dxa"/>
            <w:vAlign w:val="center"/>
          </w:tcPr>
          <w:p w14:paraId="6C57522A" w14:textId="77777777" w:rsidR="006955C5" w:rsidRPr="00F9037E" w:rsidRDefault="006955C5" w:rsidP="006955C5">
            <w:pPr>
              <w:keepNext/>
              <w:keepLines/>
              <w:spacing w:before="120" w:after="120"/>
              <w:ind w:left="-107" w:right="-49"/>
              <w:jc w:val="center"/>
              <w:rPr>
                <w:rFonts w:ascii="Arial" w:hAnsi="Arial"/>
                <w:sz w:val="10"/>
                <w:szCs w:val="10"/>
              </w:rPr>
            </w:pPr>
          </w:p>
        </w:tc>
        <w:tc>
          <w:tcPr>
            <w:tcW w:w="567" w:type="dxa"/>
            <w:vAlign w:val="center"/>
          </w:tcPr>
          <w:p w14:paraId="6CF7F89C"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567" w:type="dxa"/>
            <w:vAlign w:val="center"/>
          </w:tcPr>
          <w:p w14:paraId="0009737C" w14:textId="77777777" w:rsidR="006955C5" w:rsidRPr="00F9037E" w:rsidRDefault="006955C5" w:rsidP="006955C5">
            <w:pPr>
              <w:keepNext/>
              <w:keepLines/>
              <w:spacing w:before="120" w:after="120"/>
              <w:ind w:left="-108" w:right="-51"/>
              <w:jc w:val="center"/>
              <w:rPr>
                <w:rFonts w:ascii="Arial" w:hAnsi="Arial"/>
                <w:sz w:val="10"/>
                <w:szCs w:val="10"/>
              </w:rPr>
            </w:pPr>
            <w:r w:rsidRPr="00F9037E">
              <w:rPr>
                <w:rFonts w:ascii="Arial" w:hAnsi="Arial"/>
                <w:sz w:val="10"/>
                <w:szCs w:val="10"/>
              </w:rPr>
              <w:t>-</w:t>
            </w:r>
          </w:p>
        </w:tc>
        <w:tc>
          <w:tcPr>
            <w:tcW w:w="567" w:type="dxa"/>
            <w:vAlign w:val="center"/>
          </w:tcPr>
          <w:p w14:paraId="05A00470"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567" w:type="dxa"/>
            <w:vAlign w:val="center"/>
          </w:tcPr>
          <w:p w14:paraId="66D6EC7E"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567" w:type="dxa"/>
            <w:vAlign w:val="center"/>
          </w:tcPr>
          <w:p w14:paraId="5E3B80EC"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567" w:type="dxa"/>
            <w:vAlign w:val="center"/>
          </w:tcPr>
          <w:p w14:paraId="2BCDBB9F"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567" w:type="dxa"/>
            <w:vAlign w:val="center"/>
          </w:tcPr>
          <w:p w14:paraId="0EA38D18"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567" w:type="dxa"/>
            <w:vAlign w:val="center"/>
          </w:tcPr>
          <w:p w14:paraId="33688C64" w14:textId="77777777" w:rsidR="006955C5" w:rsidRPr="00F9037E" w:rsidRDefault="006955C5" w:rsidP="006955C5">
            <w:pPr>
              <w:pStyle w:val="NormalWeb"/>
              <w:spacing w:before="120" w:after="120"/>
              <w:ind w:left="-107" w:right="-49"/>
              <w:jc w:val="center"/>
              <w:rPr>
                <w:rFonts w:ascii="Arial" w:hAnsi="Arial"/>
                <w:sz w:val="10"/>
                <w:szCs w:val="10"/>
                <w:lang w:val="en-GB" w:eastAsia="en-US"/>
              </w:rPr>
            </w:pPr>
            <w:r w:rsidRPr="00F9037E">
              <w:rPr>
                <w:rFonts w:ascii="Arial" w:hAnsi="Arial"/>
                <w:sz w:val="10"/>
                <w:szCs w:val="10"/>
                <w:lang w:val="en-GB" w:eastAsia="en-US"/>
              </w:rPr>
              <w:t>-</w:t>
            </w:r>
          </w:p>
        </w:tc>
        <w:tc>
          <w:tcPr>
            <w:tcW w:w="567" w:type="dxa"/>
            <w:vAlign w:val="center"/>
          </w:tcPr>
          <w:p w14:paraId="4CDE946C" w14:textId="77777777" w:rsidR="006955C5" w:rsidRPr="00F9037E" w:rsidRDefault="006955C5" w:rsidP="006955C5">
            <w:pPr>
              <w:keepNext/>
              <w:keepLines/>
              <w:spacing w:before="120" w:after="120"/>
              <w:ind w:left="-108" w:right="-51"/>
              <w:jc w:val="center"/>
              <w:rPr>
                <w:rFonts w:ascii="Arial" w:hAnsi="Arial"/>
                <w:sz w:val="10"/>
                <w:szCs w:val="10"/>
              </w:rPr>
            </w:pPr>
            <w:r w:rsidRPr="00F9037E">
              <w:rPr>
                <w:rFonts w:ascii="Arial" w:hAnsi="Arial"/>
                <w:sz w:val="10"/>
                <w:szCs w:val="10"/>
              </w:rPr>
              <w:t>-</w:t>
            </w:r>
          </w:p>
        </w:tc>
        <w:tc>
          <w:tcPr>
            <w:tcW w:w="567" w:type="dxa"/>
            <w:vAlign w:val="center"/>
          </w:tcPr>
          <w:p w14:paraId="11F0C0A3" w14:textId="77777777" w:rsidR="006955C5" w:rsidRPr="00F9037E" w:rsidRDefault="006955C5" w:rsidP="006955C5">
            <w:pPr>
              <w:keepNext/>
              <w:keepLines/>
              <w:spacing w:before="120" w:after="120"/>
              <w:ind w:left="-108" w:right="-51"/>
              <w:jc w:val="center"/>
              <w:rPr>
                <w:rFonts w:ascii="Arial" w:hAnsi="Arial"/>
                <w:sz w:val="10"/>
                <w:szCs w:val="10"/>
              </w:rPr>
            </w:pPr>
            <w:r w:rsidRPr="00F9037E">
              <w:rPr>
                <w:rFonts w:ascii="Arial" w:hAnsi="Arial"/>
                <w:sz w:val="10"/>
                <w:szCs w:val="10"/>
              </w:rPr>
              <w:t>-</w:t>
            </w:r>
          </w:p>
        </w:tc>
        <w:tc>
          <w:tcPr>
            <w:tcW w:w="567" w:type="dxa"/>
            <w:vAlign w:val="center"/>
          </w:tcPr>
          <w:p w14:paraId="5C1AF90A" w14:textId="77777777" w:rsidR="006955C5" w:rsidRPr="00F9037E" w:rsidRDefault="006955C5" w:rsidP="006955C5">
            <w:pPr>
              <w:keepNext/>
              <w:keepLines/>
              <w:spacing w:before="120" w:after="120"/>
              <w:ind w:left="-108" w:right="-51"/>
              <w:jc w:val="center"/>
              <w:rPr>
                <w:rFonts w:ascii="Arial" w:hAnsi="Arial"/>
                <w:sz w:val="10"/>
                <w:szCs w:val="10"/>
              </w:rPr>
            </w:pPr>
            <w:r w:rsidRPr="00F9037E">
              <w:rPr>
                <w:rFonts w:ascii="Arial" w:hAnsi="Arial"/>
                <w:sz w:val="10"/>
                <w:szCs w:val="10"/>
              </w:rPr>
              <w:t>84.957</w:t>
            </w:r>
          </w:p>
        </w:tc>
        <w:tc>
          <w:tcPr>
            <w:tcW w:w="567" w:type="dxa"/>
            <w:vAlign w:val="center"/>
          </w:tcPr>
          <w:p w14:paraId="11D0EDF2" w14:textId="77777777" w:rsidR="006955C5" w:rsidRPr="00F9037E" w:rsidRDefault="006955C5" w:rsidP="006955C5">
            <w:pPr>
              <w:keepNext/>
              <w:keepLines/>
              <w:spacing w:before="120" w:after="120"/>
              <w:ind w:left="-108" w:right="-51"/>
              <w:jc w:val="center"/>
              <w:rPr>
                <w:rFonts w:ascii="Arial" w:hAnsi="Arial"/>
                <w:sz w:val="10"/>
                <w:szCs w:val="10"/>
              </w:rPr>
            </w:pPr>
            <w:r w:rsidRPr="00F9037E">
              <w:rPr>
                <w:rFonts w:ascii="Arial" w:hAnsi="Arial"/>
                <w:sz w:val="10"/>
                <w:szCs w:val="10"/>
              </w:rPr>
              <w:t>84.957</w:t>
            </w:r>
          </w:p>
        </w:tc>
        <w:tc>
          <w:tcPr>
            <w:tcW w:w="709" w:type="dxa"/>
            <w:vAlign w:val="center"/>
          </w:tcPr>
          <w:p w14:paraId="17451351" w14:textId="77777777" w:rsidR="006955C5" w:rsidRPr="00F9037E" w:rsidRDefault="000718F1" w:rsidP="006955C5">
            <w:pPr>
              <w:keepNext/>
              <w:keepLines/>
              <w:spacing w:before="120" w:after="120"/>
              <w:ind w:left="-108" w:right="-51"/>
              <w:jc w:val="center"/>
              <w:rPr>
                <w:rFonts w:ascii="Arial" w:hAnsi="Arial"/>
                <w:b/>
                <w:sz w:val="12"/>
                <w:szCs w:val="10"/>
              </w:rPr>
            </w:pPr>
            <w:r w:rsidRPr="00F9037E">
              <w:rPr>
                <w:rFonts w:ascii="Arial" w:hAnsi="Arial"/>
                <w:b/>
                <w:sz w:val="12"/>
                <w:szCs w:val="10"/>
              </w:rPr>
              <w:t>-</w:t>
            </w:r>
          </w:p>
        </w:tc>
        <w:tc>
          <w:tcPr>
            <w:tcW w:w="709" w:type="dxa"/>
            <w:vAlign w:val="center"/>
          </w:tcPr>
          <w:p w14:paraId="5002B8F5" w14:textId="77777777" w:rsidR="006955C5" w:rsidRPr="00F9037E" w:rsidRDefault="006955C5" w:rsidP="006955C5">
            <w:pPr>
              <w:keepNext/>
              <w:keepLines/>
              <w:spacing w:before="120" w:after="120"/>
              <w:ind w:left="-108" w:right="-51"/>
              <w:jc w:val="center"/>
              <w:rPr>
                <w:rFonts w:ascii="Arial" w:hAnsi="Arial"/>
                <w:b/>
                <w:sz w:val="12"/>
                <w:szCs w:val="10"/>
              </w:rPr>
            </w:pPr>
          </w:p>
        </w:tc>
      </w:tr>
      <w:tr w:rsidR="006955C5" w:rsidRPr="00F9037E" w14:paraId="1CF8FD6C" w14:textId="77777777" w:rsidTr="000718F1">
        <w:trPr>
          <w:trHeight w:val="449"/>
        </w:trPr>
        <w:tc>
          <w:tcPr>
            <w:tcW w:w="992" w:type="dxa"/>
            <w:shd w:val="clear" w:color="auto" w:fill="auto"/>
            <w:vAlign w:val="center"/>
          </w:tcPr>
          <w:p w14:paraId="7260E575" w14:textId="77777777" w:rsidR="006955C5" w:rsidRPr="00F9037E" w:rsidRDefault="006955C5" w:rsidP="006955C5">
            <w:pPr>
              <w:keepNext/>
              <w:keepLines/>
              <w:spacing w:before="120" w:after="120"/>
              <w:jc w:val="center"/>
              <w:rPr>
                <w:rFonts w:ascii="Arial" w:hAnsi="Arial"/>
                <w:sz w:val="14"/>
                <w:szCs w:val="10"/>
              </w:rPr>
            </w:pPr>
            <w:r w:rsidRPr="00F9037E">
              <w:rPr>
                <w:rFonts w:ascii="Arial" w:hAnsi="Arial"/>
                <w:sz w:val="14"/>
                <w:szCs w:val="10"/>
              </w:rPr>
              <w:t>South Africa</w:t>
            </w:r>
          </w:p>
        </w:tc>
        <w:tc>
          <w:tcPr>
            <w:tcW w:w="567" w:type="dxa"/>
            <w:shd w:val="clear" w:color="auto" w:fill="auto"/>
            <w:vAlign w:val="center"/>
          </w:tcPr>
          <w:p w14:paraId="0A4FBBBC"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567" w:type="dxa"/>
            <w:shd w:val="clear" w:color="auto" w:fill="auto"/>
            <w:vAlign w:val="center"/>
          </w:tcPr>
          <w:p w14:paraId="2FE1C316"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567" w:type="dxa"/>
            <w:shd w:val="clear" w:color="auto" w:fill="auto"/>
            <w:vAlign w:val="center"/>
          </w:tcPr>
          <w:p w14:paraId="0305E7C8"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567" w:type="dxa"/>
            <w:shd w:val="clear" w:color="auto" w:fill="auto"/>
            <w:vAlign w:val="center"/>
          </w:tcPr>
          <w:p w14:paraId="14998D65"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567" w:type="dxa"/>
            <w:shd w:val="clear" w:color="auto" w:fill="auto"/>
            <w:vAlign w:val="center"/>
          </w:tcPr>
          <w:p w14:paraId="61D215D6"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567" w:type="dxa"/>
            <w:shd w:val="clear" w:color="auto" w:fill="auto"/>
            <w:vAlign w:val="center"/>
          </w:tcPr>
          <w:p w14:paraId="539CA1C9" w14:textId="77777777" w:rsidR="006955C5" w:rsidRPr="00F9037E" w:rsidRDefault="006955C5" w:rsidP="006955C5">
            <w:pPr>
              <w:keepNext/>
              <w:keepLines/>
              <w:spacing w:before="120" w:after="0"/>
              <w:ind w:left="-108" w:right="-51"/>
              <w:jc w:val="center"/>
              <w:rPr>
                <w:rFonts w:ascii="Arial" w:hAnsi="Arial"/>
                <w:sz w:val="10"/>
                <w:szCs w:val="10"/>
              </w:rPr>
            </w:pPr>
            <w:r w:rsidRPr="00F9037E">
              <w:rPr>
                <w:rFonts w:ascii="Arial" w:hAnsi="Arial"/>
                <w:sz w:val="10"/>
                <w:szCs w:val="10"/>
              </w:rPr>
              <w:t>-</w:t>
            </w:r>
          </w:p>
        </w:tc>
        <w:tc>
          <w:tcPr>
            <w:tcW w:w="425" w:type="dxa"/>
            <w:shd w:val="clear" w:color="auto" w:fill="auto"/>
            <w:vAlign w:val="center"/>
          </w:tcPr>
          <w:p w14:paraId="3AF77D34"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426" w:type="dxa"/>
            <w:shd w:val="clear" w:color="auto" w:fill="auto"/>
            <w:vAlign w:val="center"/>
          </w:tcPr>
          <w:p w14:paraId="438AFDEB"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425" w:type="dxa"/>
            <w:shd w:val="clear" w:color="auto" w:fill="auto"/>
            <w:vAlign w:val="center"/>
          </w:tcPr>
          <w:p w14:paraId="463C0BE5"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425" w:type="dxa"/>
            <w:shd w:val="clear" w:color="auto" w:fill="auto"/>
            <w:vAlign w:val="center"/>
          </w:tcPr>
          <w:p w14:paraId="08A11CC6"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81.60</w:t>
            </w:r>
          </w:p>
        </w:tc>
        <w:tc>
          <w:tcPr>
            <w:tcW w:w="425" w:type="dxa"/>
            <w:shd w:val="clear" w:color="auto" w:fill="auto"/>
            <w:vAlign w:val="center"/>
          </w:tcPr>
          <w:p w14:paraId="27D97D78" w14:textId="77777777" w:rsidR="006955C5" w:rsidRPr="00F9037E" w:rsidRDefault="006955C5" w:rsidP="006955C5">
            <w:pPr>
              <w:keepNext/>
              <w:keepLines/>
              <w:spacing w:before="120" w:after="120"/>
              <w:ind w:left="-107" w:right="-49"/>
              <w:jc w:val="center"/>
              <w:rPr>
                <w:rFonts w:ascii="Arial" w:hAnsi="Arial"/>
                <w:sz w:val="10"/>
                <w:szCs w:val="10"/>
              </w:rPr>
            </w:pPr>
            <w:r w:rsidRPr="00F9037E">
              <w:rPr>
                <w:rFonts w:ascii="Arial" w:hAnsi="Arial"/>
                <w:sz w:val="10"/>
                <w:szCs w:val="10"/>
              </w:rPr>
              <w:t>83</w:t>
            </w:r>
          </w:p>
        </w:tc>
        <w:tc>
          <w:tcPr>
            <w:tcW w:w="426" w:type="dxa"/>
            <w:vAlign w:val="center"/>
          </w:tcPr>
          <w:p w14:paraId="5DAF3E82" w14:textId="77777777" w:rsidR="006955C5" w:rsidRPr="00F9037E" w:rsidRDefault="006955C5" w:rsidP="006955C5">
            <w:pPr>
              <w:keepNext/>
              <w:keepLines/>
              <w:spacing w:before="120" w:after="120"/>
              <w:ind w:left="-107" w:right="-49"/>
              <w:jc w:val="center"/>
              <w:rPr>
                <w:rFonts w:ascii="Arial" w:hAnsi="Arial"/>
                <w:sz w:val="10"/>
                <w:szCs w:val="10"/>
              </w:rPr>
            </w:pPr>
          </w:p>
        </w:tc>
        <w:tc>
          <w:tcPr>
            <w:tcW w:w="567" w:type="dxa"/>
            <w:shd w:val="clear" w:color="auto" w:fill="auto"/>
            <w:vAlign w:val="center"/>
          </w:tcPr>
          <w:p w14:paraId="26FDD9DE" w14:textId="77777777" w:rsidR="006955C5" w:rsidRPr="00F9037E" w:rsidRDefault="008552FB"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567" w:type="dxa"/>
            <w:shd w:val="clear" w:color="auto" w:fill="auto"/>
            <w:vAlign w:val="center"/>
          </w:tcPr>
          <w:p w14:paraId="739BEEEA" w14:textId="77777777" w:rsidR="006955C5" w:rsidRPr="00F9037E" w:rsidRDefault="008552FB" w:rsidP="006955C5">
            <w:pPr>
              <w:keepNext/>
              <w:keepLines/>
              <w:spacing w:before="120" w:after="120"/>
              <w:ind w:left="-108" w:right="-51"/>
              <w:jc w:val="center"/>
              <w:rPr>
                <w:rFonts w:ascii="Arial" w:hAnsi="Arial"/>
                <w:sz w:val="10"/>
                <w:szCs w:val="10"/>
              </w:rPr>
            </w:pPr>
            <w:r w:rsidRPr="00F9037E">
              <w:rPr>
                <w:rFonts w:ascii="Arial" w:hAnsi="Arial"/>
                <w:sz w:val="10"/>
                <w:szCs w:val="10"/>
              </w:rPr>
              <w:t>-</w:t>
            </w:r>
          </w:p>
        </w:tc>
        <w:tc>
          <w:tcPr>
            <w:tcW w:w="567" w:type="dxa"/>
            <w:shd w:val="clear" w:color="auto" w:fill="auto"/>
            <w:vAlign w:val="center"/>
          </w:tcPr>
          <w:p w14:paraId="40297BF9" w14:textId="77777777" w:rsidR="006955C5" w:rsidRPr="00F9037E" w:rsidRDefault="008552FB"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567" w:type="dxa"/>
            <w:shd w:val="clear" w:color="auto" w:fill="auto"/>
            <w:vAlign w:val="center"/>
          </w:tcPr>
          <w:p w14:paraId="1285C7C4" w14:textId="77777777" w:rsidR="006955C5" w:rsidRPr="00F9037E" w:rsidRDefault="008552FB"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567" w:type="dxa"/>
            <w:shd w:val="clear" w:color="auto" w:fill="auto"/>
            <w:vAlign w:val="center"/>
          </w:tcPr>
          <w:p w14:paraId="314D688B" w14:textId="77777777" w:rsidR="006955C5" w:rsidRPr="00F9037E" w:rsidRDefault="008552FB"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567" w:type="dxa"/>
            <w:shd w:val="clear" w:color="auto" w:fill="auto"/>
            <w:vAlign w:val="center"/>
          </w:tcPr>
          <w:p w14:paraId="01B07B22" w14:textId="77777777" w:rsidR="006955C5" w:rsidRPr="00F9037E" w:rsidRDefault="008552FB"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567" w:type="dxa"/>
            <w:shd w:val="clear" w:color="auto" w:fill="auto"/>
            <w:vAlign w:val="center"/>
          </w:tcPr>
          <w:p w14:paraId="6A708AA3" w14:textId="77777777" w:rsidR="006955C5" w:rsidRPr="00F9037E" w:rsidRDefault="008552FB" w:rsidP="006955C5">
            <w:pPr>
              <w:keepNext/>
              <w:keepLines/>
              <w:spacing w:before="120" w:after="120"/>
              <w:ind w:left="-107" w:right="-49"/>
              <w:jc w:val="center"/>
              <w:rPr>
                <w:rFonts w:ascii="Arial" w:hAnsi="Arial"/>
                <w:sz w:val="10"/>
                <w:szCs w:val="10"/>
              </w:rPr>
            </w:pPr>
            <w:r w:rsidRPr="00F9037E">
              <w:rPr>
                <w:rFonts w:ascii="Arial" w:hAnsi="Arial"/>
                <w:sz w:val="10"/>
                <w:szCs w:val="10"/>
              </w:rPr>
              <w:t>-</w:t>
            </w:r>
          </w:p>
        </w:tc>
        <w:tc>
          <w:tcPr>
            <w:tcW w:w="567" w:type="dxa"/>
            <w:shd w:val="clear" w:color="auto" w:fill="auto"/>
            <w:vAlign w:val="center"/>
          </w:tcPr>
          <w:p w14:paraId="7A836D66" w14:textId="77777777" w:rsidR="006955C5" w:rsidRPr="00F9037E" w:rsidRDefault="008552FB" w:rsidP="006955C5">
            <w:pPr>
              <w:pStyle w:val="NormalWeb"/>
              <w:spacing w:before="120" w:after="120"/>
              <w:ind w:left="-107" w:right="-49"/>
              <w:jc w:val="center"/>
              <w:rPr>
                <w:rFonts w:ascii="Arial" w:hAnsi="Arial"/>
                <w:sz w:val="10"/>
                <w:szCs w:val="10"/>
                <w:lang w:val="en-GB" w:eastAsia="en-US"/>
              </w:rPr>
            </w:pPr>
            <w:r w:rsidRPr="00F9037E">
              <w:rPr>
                <w:rFonts w:ascii="Arial" w:hAnsi="Arial"/>
                <w:sz w:val="10"/>
                <w:szCs w:val="10"/>
                <w:lang w:val="en-GB" w:eastAsia="en-US"/>
              </w:rPr>
              <w:t>-</w:t>
            </w:r>
          </w:p>
        </w:tc>
        <w:tc>
          <w:tcPr>
            <w:tcW w:w="567" w:type="dxa"/>
            <w:shd w:val="clear" w:color="auto" w:fill="auto"/>
            <w:vAlign w:val="center"/>
          </w:tcPr>
          <w:p w14:paraId="1F08DF43" w14:textId="77777777" w:rsidR="006955C5" w:rsidRPr="00F9037E" w:rsidRDefault="008552FB" w:rsidP="006955C5">
            <w:pPr>
              <w:keepNext/>
              <w:keepLines/>
              <w:spacing w:before="120" w:after="120"/>
              <w:ind w:left="-108" w:right="-51"/>
              <w:jc w:val="center"/>
              <w:rPr>
                <w:rFonts w:ascii="Arial" w:hAnsi="Arial"/>
                <w:sz w:val="10"/>
                <w:szCs w:val="10"/>
              </w:rPr>
            </w:pPr>
            <w:r w:rsidRPr="00F9037E">
              <w:rPr>
                <w:rFonts w:ascii="Arial" w:hAnsi="Arial"/>
                <w:sz w:val="10"/>
                <w:szCs w:val="10"/>
              </w:rPr>
              <w:t>-</w:t>
            </w:r>
          </w:p>
        </w:tc>
        <w:tc>
          <w:tcPr>
            <w:tcW w:w="567" w:type="dxa"/>
            <w:shd w:val="clear" w:color="auto" w:fill="auto"/>
            <w:vAlign w:val="center"/>
          </w:tcPr>
          <w:p w14:paraId="3269D4E6" w14:textId="77777777" w:rsidR="006955C5" w:rsidRPr="00F9037E" w:rsidRDefault="008552FB" w:rsidP="006955C5">
            <w:pPr>
              <w:keepNext/>
              <w:keepLines/>
              <w:spacing w:before="120" w:after="120"/>
              <w:ind w:left="-108" w:right="-51"/>
              <w:jc w:val="center"/>
              <w:rPr>
                <w:rFonts w:ascii="Arial" w:hAnsi="Arial"/>
                <w:sz w:val="10"/>
                <w:szCs w:val="10"/>
              </w:rPr>
            </w:pPr>
            <w:r w:rsidRPr="00F9037E">
              <w:rPr>
                <w:rFonts w:ascii="Arial" w:hAnsi="Arial"/>
                <w:sz w:val="10"/>
                <w:szCs w:val="10"/>
              </w:rPr>
              <w:t>-</w:t>
            </w:r>
          </w:p>
        </w:tc>
        <w:tc>
          <w:tcPr>
            <w:tcW w:w="567" w:type="dxa"/>
            <w:shd w:val="clear" w:color="auto" w:fill="auto"/>
            <w:vAlign w:val="center"/>
          </w:tcPr>
          <w:p w14:paraId="211940F1" w14:textId="77777777" w:rsidR="006955C5" w:rsidRPr="00F9037E" w:rsidRDefault="008552FB" w:rsidP="006955C5">
            <w:pPr>
              <w:keepNext/>
              <w:keepLines/>
              <w:spacing w:before="120" w:after="120"/>
              <w:ind w:left="-108" w:right="-51"/>
              <w:jc w:val="center"/>
              <w:rPr>
                <w:rFonts w:ascii="Arial" w:hAnsi="Arial"/>
                <w:sz w:val="10"/>
                <w:szCs w:val="10"/>
              </w:rPr>
            </w:pPr>
            <w:r w:rsidRPr="00F9037E">
              <w:rPr>
                <w:rFonts w:ascii="Arial" w:hAnsi="Arial"/>
                <w:sz w:val="10"/>
                <w:szCs w:val="10"/>
              </w:rPr>
              <w:t>-</w:t>
            </w:r>
          </w:p>
        </w:tc>
        <w:tc>
          <w:tcPr>
            <w:tcW w:w="567" w:type="dxa"/>
            <w:shd w:val="clear" w:color="auto" w:fill="auto"/>
            <w:vAlign w:val="center"/>
          </w:tcPr>
          <w:p w14:paraId="60DD18AB" w14:textId="77777777" w:rsidR="006955C5" w:rsidRPr="00F9037E" w:rsidRDefault="008552FB" w:rsidP="006955C5">
            <w:pPr>
              <w:keepNext/>
              <w:keepLines/>
              <w:spacing w:before="120" w:after="120"/>
              <w:ind w:left="-108" w:right="-51"/>
              <w:jc w:val="center"/>
              <w:rPr>
                <w:rFonts w:ascii="Arial" w:hAnsi="Arial"/>
                <w:sz w:val="10"/>
                <w:szCs w:val="10"/>
              </w:rPr>
            </w:pPr>
            <w:r w:rsidRPr="00F9037E">
              <w:rPr>
                <w:rFonts w:ascii="Arial" w:hAnsi="Arial"/>
                <w:sz w:val="10"/>
                <w:szCs w:val="10"/>
              </w:rPr>
              <w:t>74.062</w:t>
            </w:r>
          </w:p>
        </w:tc>
        <w:tc>
          <w:tcPr>
            <w:tcW w:w="709" w:type="dxa"/>
            <w:shd w:val="clear" w:color="auto" w:fill="auto"/>
            <w:vAlign w:val="center"/>
          </w:tcPr>
          <w:p w14:paraId="1D083E07" w14:textId="77777777" w:rsidR="006955C5" w:rsidRPr="00F9037E" w:rsidRDefault="000718F1" w:rsidP="006955C5">
            <w:pPr>
              <w:keepNext/>
              <w:keepLines/>
              <w:spacing w:before="120" w:after="120"/>
              <w:ind w:left="-108" w:right="-51"/>
              <w:jc w:val="center"/>
              <w:rPr>
                <w:rFonts w:ascii="Arial" w:hAnsi="Arial"/>
                <w:b/>
                <w:sz w:val="12"/>
                <w:szCs w:val="10"/>
              </w:rPr>
            </w:pPr>
            <w:r w:rsidRPr="00F9037E">
              <w:rPr>
                <w:rFonts w:ascii="Arial" w:hAnsi="Arial"/>
                <w:b/>
                <w:sz w:val="12"/>
                <w:szCs w:val="10"/>
              </w:rPr>
              <w:t>[59.1</w:t>
            </w:r>
            <w:r w:rsidR="00F565F1" w:rsidRPr="00F9037E">
              <w:rPr>
                <w:rFonts w:ascii="Arial" w:hAnsi="Arial"/>
                <w:b/>
                <w:sz w:val="12"/>
                <w:szCs w:val="10"/>
              </w:rPr>
              <w:t>00</w:t>
            </w:r>
            <w:r w:rsidRPr="00F9037E">
              <w:rPr>
                <w:rFonts w:ascii="Arial" w:hAnsi="Arial"/>
                <w:b/>
                <w:sz w:val="12"/>
                <w:szCs w:val="10"/>
              </w:rPr>
              <w:t>]</w:t>
            </w:r>
          </w:p>
        </w:tc>
        <w:tc>
          <w:tcPr>
            <w:tcW w:w="709" w:type="dxa"/>
            <w:vAlign w:val="center"/>
          </w:tcPr>
          <w:p w14:paraId="60404737" w14:textId="77777777" w:rsidR="006955C5" w:rsidRPr="00F9037E" w:rsidRDefault="006955C5" w:rsidP="00842AF8">
            <w:pPr>
              <w:keepNext/>
              <w:keepLines/>
              <w:spacing w:before="120" w:after="120"/>
              <w:ind w:left="-108" w:right="-51"/>
              <w:jc w:val="center"/>
              <w:rPr>
                <w:rFonts w:ascii="Arial" w:hAnsi="Arial"/>
                <w:b/>
                <w:sz w:val="12"/>
                <w:szCs w:val="10"/>
              </w:rPr>
            </w:pPr>
          </w:p>
        </w:tc>
      </w:tr>
      <w:tr w:rsidR="006955C5" w:rsidRPr="00F9037E" w14:paraId="3610C014" w14:textId="77777777" w:rsidTr="00F565F1">
        <w:trPr>
          <w:trHeight w:val="276"/>
        </w:trPr>
        <w:tc>
          <w:tcPr>
            <w:tcW w:w="992" w:type="dxa"/>
          </w:tcPr>
          <w:p w14:paraId="171ED60E" w14:textId="77777777" w:rsidR="006955C5" w:rsidRPr="00F9037E" w:rsidRDefault="006955C5" w:rsidP="006955C5">
            <w:pPr>
              <w:keepNext/>
              <w:keepLines/>
              <w:spacing w:before="120" w:after="0"/>
              <w:rPr>
                <w:rFonts w:ascii="Arial" w:hAnsi="Arial"/>
                <w:b/>
                <w:sz w:val="14"/>
                <w:szCs w:val="10"/>
              </w:rPr>
            </w:pPr>
            <w:r w:rsidRPr="00F9037E">
              <w:rPr>
                <w:rFonts w:ascii="Arial" w:hAnsi="Arial"/>
                <w:b/>
                <w:sz w:val="14"/>
                <w:szCs w:val="10"/>
              </w:rPr>
              <w:t>TOTALS</w:t>
            </w:r>
          </w:p>
        </w:tc>
        <w:tc>
          <w:tcPr>
            <w:tcW w:w="567" w:type="dxa"/>
          </w:tcPr>
          <w:p w14:paraId="150684F2" w14:textId="77777777" w:rsidR="006955C5" w:rsidRPr="00F9037E" w:rsidRDefault="006955C5" w:rsidP="006955C5">
            <w:pPr>
              <w:keepNext/>
              <w:keepLines/>
              <w:spacing w:before="120" w:after="0"/>
              <w:ind w:left="-107" w:right="-49"/>
              <w:rPr>
                <w:rFonts w:ascii="Arial" w:hAnsi="Arial"/>
                <w:b/>
                <w:sz w:val="10"/>
                <w:szCs w:val="10"/>
              </w:rPr>
            </w:pPr>
            <w:r w:rsidRPr="00F9037E">
              <w:rPr>
                <w:rFonts w:ascii="Arial" w:hAnsi="Arial"/>
                <w:b/>
                <w:sz w:val="10"/>
                <w:szCs w:val="10"/>
              </w:rPr>
              <w:t>18704.241</w:t>
            </w:r>
          </w:p>
        </w:tc>
        <w:tc>
          <w:tcPr>
            <w:tcW w:w="567" w:type="dxa"/>
          </w:tcPr>
          <w:p w14:paraId="3626F1AF" w14:textId="77777777" w:rsidR="006955C5" w:rsidRPr="00F9037E" w:rsidRDefault="006955C5" w:rsidP="006955C5">
            <w:pPr>
              <w:keepNext/>
              <w:keepLines/>
              <w:spacing w:before="120" w:after="0"/>
              <w:ind w:left="-107" w:right="-49"/>
              <w:jc w:val="right"/>
              <w:rPr>
                <w:rFonts w:ascii="Arial" w:hAnsi="Arial"/>
                <w:b/>
                <w:sz w:val="10"/>
                <w:szCs w:val="10"/>
              </w:rPr>
            </w:pPr>
            <w:r w:rsidRPr="00F9037E">
              <w:rPr>
                <w:rFonts w:ascii="Arial" w:hAnsi="Arial"/>
                <w:b/>
                <w:sz w:val="10"/>
                <w:szCs w:val="10"/>
              </w:rPr>
              <w:t>8297.739</w:t>
            </w:r>
          </w:p>
        </w:tc>
        <w:tc>
          <w:tcPr>
            <w:tcW w:w="567" w:type="dxa"/>
          </w:tcPr>
          <w:p w14:paraId="0F12A224" w14:textId="77777777" w:rsidR="006955C5" w:rsidRPr="00F9037E" w:rsidRDefault="006955C5" w:rsidP="006955C5">
            <w:pPr>
              <w:keepNext/>
              <w:keepLines/>
              <w:spacing w:before="120" w:after="0"/>
              <w:ind w:left="-107" w:right="-49"/>
              <w:jc w:val="right"/>
              <w:rPr>
                <w:rFonts w:ascii="Arial" w:hAnsi="Arial"/>
                <w:b/>
                <w:sz w:val="10"/>
                <w:szCs w:val="10"/>
              </w:rPr>
            </w:pPr>
            <w:r w:rsidRPr="00F9037E">
              <w:rPr>
                <w:rFonts w:ascii="Arial" w:hAnsi="Arial"/>
                <w:b/>
                <w:sz w:val="10"/>
                <w:szCs w:val="10"/>
              </w:rPr>
              <w:t>6244.487</w:t>
            </w:r>
          </w:p>
        </w:tc>
        <w:tc>
          <w:tcPr>
            <w:tcW w:w="567" w:type="dxa"/>
          </w:tcPr>
          <w:p w14:paraId="58E2F134" w14:textId="77777777" w:rsidR="006955C5" w:rsidRPr="00F9037E" w:rsidRDefault="006955C5" w:rsidP="006955C5">
            <w:pPr>
              <w:keepNext/>
              <w:keepLines/>
              <w:spacing w:before="120" w:after="0"/>
              <w:ind w:left="-107" w:right="-49"/>
              <w:jc w:val="right"/>
              <w:rPr>
                <w:rFonts w:ascii="Arial" w:hAnsi="Arial"/>
                <w:b/>
                <w:sz w:val="10"/>
                <w:szCs w:val="10"/>
              </w:rPr>
            </w:pPr>
            <w:r w:rsidRPr="00F9037E">
              <w:rPr>
                <w:rFonts w:ascii="Arial" w:hAnsi="Arial"/>
                <w:b/>
                <w:sz w:val="10"/>
                <w:szCs w:val="10"/>
              </w:rPr>
              <w:t>4044.380</w:t>
            </w:r>
          </w:p>
        </w:tc>
        <w:tc>
          <w:tcPr>
            <w:tcW w:w="567" w:type="dxa"/>
          </w:tcPr>
          <w:p w14:paraId="154C4597" w14:textId="77777777" w:rsidR="006955C5" w:rsidRPr="00F9037E" w:rsidRDefault="006955C5" w:rsidP="006955C5">
            <w:pPr>
              <w:keepNext/>
              <w:keepLines/>
              <w:spacing w:before="120" w:after="0"/>
              <w:ind w:left="-107" w:right="-49"/>
              <w:jc w:val="right"/>
              <w:rPr>
                <w:rFonts w:ascii="Arial" w:hAnsi="Arial"/>
                <w:b/>
                <w:sz w:val="10"/>
                <w:szCs w:val="10"/>
              </w:rPr>
            </w:pPr>
            <w:r w:rsidRPr="00F9037E">
              <w:rPr>
                <w:rFonts w:ascii="Arial" w:hAnsi="Arial"/>
                <w:b/>
                <w:sz w:val="10"/>
                <w:szCs w:val="10"/>
              </w:rPr>
              <w:t>2928.142</w:t>
            </w:r>
          </w:p>
        </w:tc>
        <w:tc>
          <w:tcPr>
            <w:tcW w:w="567" w:type="dxa"/>
          </w:tcPr>
          <w:p w14:paraId="2A166256" w14:textId="77777777" w:rsidR="006955C5" w:rsidRPr="00F9037E" w:rsidRDefault="006955C5" w:rsidP="006955C5">
            <w:pPr>
              <w:keepNext/>
              <w:keepLines/>
              <w:spacing w:before="120" w:after="0"/>
              <w:ind w:right="-51"/>
              <w:rPr>
                <w:rFonts w:ascii="Arial" w:hAnsi="Arial"/>
                <w:b/>
                <w:sz w:val="9"/>
                <w:szCs w:val="9"/>
              </w:rPr>
            </w:pPr>
            <w:r w:rsidRPr="00F9037E">
              <w:rPr>
                <w:rFonts w:ascii="Arial" w:hAnsi="Arial"/>
                <w:b/>
                <w:sz w:val="9"/>
                <w:szCs w:val="9"/>
              </w:rPr>
              <w:t>1460.163</w:t>
            </w:r>
          </w:p>
        </w:tc>
        <w:tc>
          <w:tcPr>
            <w:tcW w:w="425" w:type="dxa"/>
          </w:tcPr>
          <w:p w14:paraId="37C744B9" w14:textId="77777777" w:rsidR="006955C5" w:rsidRPr="00F9037E" w:rsidRDefault="006955C5" w:rsidP="006955C5">
            <w:pPr>
              <w:keepNext/>
              <w:keepLines/>
              <w:spacing w:before="120" w:after="0"/>
              <w:ind w:left="-107" w:right="-49"/>
              <w:jc w:val="right"/>
              <w:rPr>
                <w:rFonts w:ascii="Arial" w:hAnsi="Arial"/>
                <w:b/>
                <w:sz w:val="10"/>
                <w:szCs w:val="10"/>
              </w:rPr>
            </w:pPr>
            <w:r w:rsidRPr="00F9037E">
              <w:rPr>
                <w:rFonts w:ascii="Arial" w:hAnsi="Arial"/>
                <w:b/>
                <w:sz w:val="10"/>
                <w:szCs w:val="10"/>
              </w:rPr>
              <w:t>740.533</w:t>
            </w:r>
          </w:p>
        </w:tc>
        <w:tc>
          <w:tcPr>
            <w:tcW w:w="426" w:type="dxa"/>
          </w:tcPr>
          <w:p w14:paraId="72A451FC" w14:textId="77777777" w:rsidR="006955C5" w:rsidRPr="00F9037E" w:rsidRDefault="006955C5" w:rsidP="006955C5">
            <w:pPr>
              <w:keepNext/>
              <w:keepLines/>
              <w:spacing w:before="120" w:after="0"/>
              <w:ind w:left="-107" w:right="-49"/>
              <w:jc w:val="right"/>
              <w:rPr>
                <w:rFonts w:ascii="Arial" w:hAnsi="Arial"/>
                <w:b/>
                <w:sz w:val="10"/>
                <w:szCs w:val="10"/>
              </w:rPr>
            </w:pPr>
            <w:r w:rsidRPr="00F9037E">
              <w:rPr>
                <w:rFonts w:ascii="Arial" w:hAnsi="Arial"/>
                <w:b/>
                <w:sz w:val="10"/>
                <w:szCs w:val="10"/>
              </w:rPr>
              <w:t>483.589</w:t>
            </w:r>
          </w:p>
        </w:tc>
        <w:tc>
          <w:tcPr>
            <w:tcW w:w="425" w:type="dxa"/>
          </w:tcPr>
          <w:p w14:paraId="24EA1627" w14:textId="77777777" w:rsidR="006955C5" w:rsidRPr="00F9037E" w:rsidRDefault="006955C5" w:rsidP="006955C5">
            <w:pPr>
              <w:keepNext/>
              <w:keepLines/>
              <w:spacing w:before="120" w:after="0"/>
              <w:ind w:left="-108" w:right="-51"/>
              <w:jc w:val="center"/>
              <w:rPr>
                <w:rFonts w:ascii="Arial" w:hAnsi="Arial"/>
                <w:b/>
                <w:sz w:val="10"/>
                <w:szCs w:val="10"/>
              </w:rPr>
            </w:pPr>
            <w:r w:rsidRPr="00F9037E">
              <w:rPr>
                <w:rFonts w:ascii="Arial" w:hAnsi="Arial"/>
                <w:b/>
                <w:sz w:val="10"/>
                <w:szCs w:val="10"/>
              </w:rPr>
              <w:t>917.191</w:t>
            </w:r>
          </w:p>
        </w:tc>
        <w:tc>
          <w:tcPr>
            <w:tcW w:w="425" w:type="dxa"/>
          </w:tcPr>
          <w:p w14:paraId="43609555" w14:textId="77777777" w:rsidR="006955C5" w:rsidRPr="00F9037E" w:rsidRDefault="00A22324" w:rsidP="006955C5">
            <w:pPr>
              <w:keepNext/>
              <w:keepLines/>
              <w:spacing w:before="120" w:after="0"/>
              <w:ind w:left="-108" w:right="-51"/>
              <w:jc w:val="center"/>
              <w:rPr>
                <w:rFonts w:ascii="Arial" w:hAnsi="Arial"/>
                <w:b/>
                <w:sz w:val="10"/>
                <w:szCs w:val="10"/>
              </w:rPr>
            </w:pPr>
            <w:r w:rsidRPr="00F9037E">
              <w:rPr>
                <w:rFonts w:ascii="Arial" w:hAnsi="Arial"/>
                <w:b/>
                <w:sz w:val="10"/>
                <w:szCs w:val="10"/>
              </w:rPr>
              <w:t>809.379</w:t>
            </w:r>
          </w:p>
        </w:tc>
        <w:tc>
          <w:tcPr>
            <w:tcW w:w="425" w:type="dxa"/>
          </w:tcPr>
          <w:p w14:paraId="6B4DBC70" w14:textId="77777777" w:rsidR="006955C5" w:rsidRPr="00F9037E" w:rsidRDefault="00A22324" w:rsidP="006955C5">
            <w:pPr>
              <w:keepNext/>
              <w:keepLines/>
              <w:spacing w:before="120" w:after="0"/>
              <w:ind w:left="-108" w:right="-51"/>
              <w:jc w:val="center"/>
              <w:rPr>
                <w:rFonts w:ascii="Arial" w:hAnsi="Arial"/>
                <w:b/>
                <w:sz w:val="10"/>
                <w:szCs w:val="10"/>
              </w:rPr>
            </w:pPr>
            <w:r w:rsidRPr="00F9037E">
              <w:rPr>
                <w:rFonts w:ascii="Arial" w:hAnsi="Arial"/>
                <w:b/>
                <w:sz w:val="10"/>
                <w:szCs w:val="10"/>
              </w:rPr>
              <w:t>341.311</w:t>
            </w:r>
          </w:p>
        </w:tc>
        <w:tc>
          <w:tcPr>
            <w:tcW w:w="426" w:type="dxa"/>
          </w:tcPr>
          <w:p w14:paraId="2042F75F" w14:textId="77777777" w:rsidR="006955C5" w:rsidRPr="00F9037E" w:rsidRDefault="000718F1" w:rsidP="006955C5">
            <w:pPr>
              <w:keepNext/>
              <w:keepLines/>
              <w:spacing w:before="120" w:after="0"/>
              <w:ind w:left="-107" w:right="-49"/>
              <w:jc w:val="right"/>
              <w:rPr>
                <w:rFonts w:ascii="Arial" w:hAnsi="Arial"/>
                <w:b/>
                <w:sz w:val="10"/>
                <w:szCs w:val="10"/>
              </w:rPr>
            </w:pPr>
            <w:r w:rsidRPr="00F9037E">
              <w:rPr>
                <w:rFonts w:ascii="Arial" w:hAnsi="Arial"/>
                <w:b/>
                <w:sz w:val="10"/>
                <w:szCs w:val="10"/>
              </w:rPr>
              <w:t>29.79</w:t>
            </w:r>
          </w:p>
        </w:tc>
        <w:tc>
          <w:tcPr>
            <w:tcW w:w="567" w:type="dxa"/>
          </w:tcPr>
          <w:p w14:paraId="4418B388" w14:textId="77777777" w:rsidR="006955C5" w:rsidRPr="00F9037E" w:rsidRDefault="006955C5" w:rsidP="006955C5">
            <w:pPr>
              <w:keepNext/>
              <w:keepLines/>
              <w:spacing w:before="120" w:after="0"/>
              <w:ind w:left="-107" w:right="-49"/>
              <w:jc w:val="right"/>
              <w:rPr>
                <w:rFonts w:ascii="Arial" w:hAnsi="Arial"/>
                <w:b/>
                <w:sz w:val="10"/>
                <w:szCs w:val="10"/>
              </w:rPr>
            </w:pPr>
            <w:r w:rsidRPr="00F9037E">
              <w:rPr>
                <w:rFonts w:ascii="Arial" w:hAnsi="Arial"/>
                <w:b/>
                <w:sz w:val="10"/>
                <w:szCs w:val="10"/>
              </w:rPr>
              <w:t>16050.089</w:t>
            </w:r>
          </w:p>
        </w:tc>
        <w:tc>
          <w:tcPr>
            <w:tcW w:w="567" w:type="dxa"/>
          </w:tcPr>
          <w:p w14:paraId="02AC2ED8" w14:textId="77777777" w:rsidR="006955C5" w:rsidRPr="00F9037E" w:rsidRDefault="006955C5" w:rsidP="006955C5">
            <w:pPr>
              <w:keepNext/>
              <w:keepLines/>
              <w:spacing w:before="120" w:after="0"/>
              <w:ind w:left="-107" w:right="-49"/>
              <w:jc w:val="right"/>
              <w:rPr>
                <w:rFonts w:ascii="Arial" w:hAnsi="Arial"/>
                <w:b/>
                <w:sz w:val="10"/>
                <w:szCs w:val="10"/>
              </w:rPr>
            </w:pPr>
            <w:r w:rsidRPr="00F9037E">
              <w:rPr>
                <w:rFonts w:ascii="Arial" w:hAnsi="Arial"/>
                <w:b/>
                <w:sz w:val="10"/>
                <w:szCs w:val="10"/>
              </w:rPr>
              <w:t>13418.200</w:t>
            </w:r>
          </w:p>
        </w:tc>
        <w:tc>
          <w:tcPr>
            <w:tcW w:w="567" w:type="dxa"/>
          </w:tcPr>
          <w:p w14:paraId="228DBE0E" w14:textId="77777777" w:rsidR="006955C5" w:rsidRPr="00F9037E" w:rsidRDefault="006955C5" w:rsidP="006955C5">
            <w:pPr>
              <w:keepNext/>
              <w:keepLines/>
              <w:spacing w:before="120" w:after="0"/>
              <w:ind w:left="-107" w:right="-49"/>
              <w:jc w:val="right"/>
              <w:rPr>
                <w:rFonts w:ascii="Arial" w:hAnsi="Arial"/>
                <w:b/>
                <w:sz w:val="10"/>
                <w:szCs w:val="10"/>
              </w:rPr>
            </w:pPr>
            <w:r w:rsidRPr="00F9037E">
              <w:rPr>
                <w:rFonts w:ascii="Arial" w:hAnsi="Arial"/>
                <w:b/>
                <w:sz w:val="10"/>
                <w:szCs w:val="10"/>
              </w:rPr>
              <w:t>9160.714</w:t>
            </w:r>
          </w:p>
        </w:tc>
        <w:tc>
          <w:tcPr>
            <w:tcW w:w="567" w:type="dxa"/>
          </w:tcPr>
          <w:p w14:paraId="32C0F1A9" w14:textId="77777777" w:rsidR="006955C5" w:rsidRPr="00F9037E" w:rsidRDefault="006955C5" w:rsidP="006955C5">
            <w:pPr>
              <w:keepNext/>
              <w:keepLines/>
              <w:spacing w:before="120" w:after="0"/>
              <w:ind w:left="-107" w:right="-49"/>
              <w:jc w:val="right"/>
              <w:rPr>
                <w:rFonts w:ascii="Arial" w:hAnsi="Arial"/>
                <w:b/>
                <w:sz w:val="10"/>
                <w:szCs w:val="10"/>
              </w:rPr>
            </w:pPr>
            <w:r w:rsidRPr="00F9037E">
              <w:rPr>
                <w:rFonts w:ascii="Arial" w:hAnsi="Arial"/>
                <w:b/>
                <w:sz w:val="10"/>
                <w:szCs w:val="10"/>
              </w:rPr>
              <w:t>6990.039</w:t>
            </w:r>
          </w:p>
        </w:tc>
        <w:tc>
          <w:tcPr>
            <w:tcW w:w="567" w:type="dxa"/>
          </w:tcPr>
          <w:p w14:paraId="2F03B152" w14:textId="77777777" w:rsidR="006955C5" w:rsidRPr="00F9037E" w:rsidRDefault="006955C5" w:rsidP="006955C5">
            <w:pPr>
              <w:keepNext/>
              <w:keepLines/>
              <w:spacing w:before="120" w:after="0"/>
              <w:ind w:left="-107" w:right="-49"/>
              <w:jc w:val="right"/>
              <w:rPr>
                <w:rFonts w:ascii="Arial" w:hAnsi="Arial"/>
                <w:b/>
                <w:sz w:val="10"/>
                <w:szCs w:val="10"/>
              </w:rPr>
            </w:pPr>
            <w:r w:rsidRPr="00F9037E">
              <w:rPr>
                <w:rFonts w:ascii="Arial" w:hAnsi="Arial"/>
                <w:b/>
                <w:sz w:val="10"/>
                <w:szCs w:val="10"/>
              </w:rPr>
              <w:t>5,254.838</w:t>
            </w:r>
          </w:p>
        </w:tc>
        <w:tc>
          <w:tcPr>
            <w:tcW w:w="567" w:type="dxa"/>
          </w:tcPr>
          <w:p w14:paraId="3BB650DC" w14:textId="77777777" w:rsidR="006955C5" w:rsidRPr="00F9037E" w:rsidRDefault="006955C5" w:rsidP="006955C5">
            <w:pPr>
              <w:keepNext/>
              <w:keepLines/>
              <w:spacing w:before="120" w:after="0"/>
              <w:ind w:left="-107" w:right="-49"/>
              <w:jc w:val="right"/>
              <w:rPr>
                <w:rFonts w:ascii="Arial" w:hAnsi="Arial"/>
                <w:b/>
                <w:sz w:val="10"/>
                <w:szCs w:val="10"/>
              </w:rPr>
            </w:pPr>
            <w:r w:rsidRPr="00F9037E">
              <w:rPr>
                <w:rFonts w:ascii="Arial" w:hAnsi="Arial"/>
                <w:b/>
                <w:sz w:val="10"/>
                <w:szCs w:val="10"/>
              </w:rPr>
              <w:t>3572.183</w:t>
            </w:r>
          </w:p>
        </w:tc>
        <w:tc>
          <w:tcPr>
            <w:tcW w:w="567" w:type="dxa"/>
          </w:tcPr>
          <w:p w14:paraId="5C48D8FE" w14:textId="77777777" w:rsidR="006955C5" w:rsidRPr="00F9037E" w:rsidRDefault="006955C5" w:rsidP="006955C5">
            <w:pPr>
              <w:keepNext/>
              <w:keepLines/>
              <w:spacing w:before="120" w:after="0"/>
              <w:ind w:left="-108"/>
              <w:jc w:val="right"/>
              <w:rPr>
                <w:rFonts w:ascii="Arial" w:hAnsi="Arial"/>
                <w:b/>
                <w:sz w:val="10"/>
                <w:szCs w:val="10"/>
              </w:rPr>
            </w:pPr>
            <w:r w:rsidRPr="00F9037E">
              <w:rPr>
                <w:rFonts w:ascii="Arial" w:hAnsi="Arial"/>
                <w:b/>
                <w:sz w:val="10"/>
                <w:szCs w:val="10"/>
              </w:rPr>
              <w:t>2343.024</w:t>
            </w:r>
          </w:p>
        </w:tc>
        <w:tc>
          <w:tcPr>
            <w:tcW w:w="567" w:type="dxa"/>
          </w:tcPr>
          <w:p w14:paraId="71B976A4" w14:textId="77777777" w:rsidR="006955C5" w:rsidRPr="00F9037E" w:rsidRDefault="006955C5" w:rsidP="006955C5">
            <w:pPr>
              <w:keepNext/>
              <w:keepLines/>
              <w:spacing w:before="120" w:after="0"/>
              <w:ind w:left="-108"/>
              <w:jc w:val="right"/>
              <w:rPr>
                <w:rFonts w:ascii="Arial" w:hAnsi="Arial"/>
                <w:sz w:val="10"/>
                <w:szCs w:val="10"/>
                <w:lang w:eastAsia="en-US"/>
              </w:rPr>
            </w:pPr>
            <w:r w:rsidRPr="00F9037E">
              <w:rPr>
                <w:rFonts w:ascii="Arial" w:hAnsi="Arial"/>
                <w:b/>
                <w:sz w:val="10"/>
                <w:szCs w:val="10"/>
              </w:rPr>
              <w:t>1261.304</w:t>
            </w:r>
          </w:p>
        </w:tc>
        <w:tc>
          <w:tcPr>
            <w:tcW w:w="567" w:type="dxa"/>
          </w:tcPr>
          <w:p w14:paraId="730960C5" w14:textId="77777777" w:rsidR="006955C5" w:rsidRPr="00F9037E" w:rsidRDefault="006955C5" w:rsidP="006955C5">
            <w:pPr>
              <w:spacing w:before="120" w:after="0"/>
              <w:ind w:left="-107" w:right="-49"/>
              <w:jc w:val="right"/>
              <w:rPr>
                <w:rFonts w:ascii="Arial" w:hAnsi="Arial"/>
                <w:b/>
                <w:sz w:val="10"/>
                <w:szCs w:val="10"/>
              </w:rPr>
            </w:pPr>
            <w:r w:rsidRPr="00F9037E">
              <w:rPr>
                <w:rFonts w:ascii="Arial" w:hAnsi="Arial"/>
                <w:b/>
                <w:sz w:val="10"/>
                <w:szCs w:val="10"/>
              </w:rPr>
              <w:t>610.888</w:t>
            </w:r>
          </w:p>
        </w:tc>
        <w:tc>
          <w:tcPr>
            <w:tcW w:w="567" w:type="dxa"/>
          </w:tcPr>
          <w:p w14:paraId="49D254AF" w14:textId="77777777" w:rsidR="006955C5" w:rsidRPr="00F9037E" w:rsidRDefault="006955C5" w:rsidP="006955C5">
            <w:pPr>
              <w:spacing w:before="120" w:after="0"/>
              <w:ind w:left="-107" w:right="-49"/>
              <w:jc w:val="right"/>
              <w:rPr>
                <w:rFonts w:ascii="Arial" w:hAnsi="Arial"/>
                <w:b/>
                <w:sz w:val="10"/>
                <w:szCs w:val="10"/>
              </w:rPr>
            </w:pPr>
            <w:r w:rsidRPr="00F9037E">
              <w:rPr>
                <w:rFonts w:ascii="Arial" w:hAnsi="Arial"/>
                <w:b/>
                <w:sz w:val="10"/>
                <w:szCs w:val="10"/>
              </w:rPr>
              <w:t>483.589</w:t>
            </w:r>
          </w:p>
        </w:tc>
        <w:tc>
          <w:tcPr>
            <w:tcW w:w="567" w:type="dxa"/>
            <w:vAlign w:val="center"/>
          </w:tcPr>
          <w:p w14:paraId="2507A5CD" w14:textId="77777777" w:rsidR="006955C5" w:rsidRPr="00F9037E" w:rsidRDefault="00A22324" w:rsidP="008552FB">
            <w:pPr>
              <w:spacing w:after="0"/>
              <w:ind w:left="-108" w:right="-51"/>
              <w:jc w:val="center"/>
              <w:rPr>
                <w:rFonts w:ascii="Arial" w:hAnsi="Arial"/>
                <w:b/>
                <w:sz w:val="10"/>
                <w:szCs w:val="10"/>
              </w:rPr>
            </w:pPr>
            <w:r w:rsidRPr="00F9037E">
              <w:rPr>
                <w:rFonts w:ascii="Arial" w:hAnsi="Arial"/>
                <w:b/>
                <w:sz w:val="10"/>
                <w:szCs w:val="10"/>
              </w:rPr>
              <w:t>751.388</w:t>
            </w:r>
          </w:p>
        </w:tc>
        <w:tc>
          <w:tcPr>
            <w:tcW w:w="567" w:type="dxa"/>
            <w:vAlign w:val="bottom"/>
          </w:tcPr>
          <w:p w14:paraId="3170765A" w14:textId="77777777" w:rsidR="006955C5" w:rsidRPr="00F9037E" w:rsidRDefault="006955C5" w:rsidP="00F565F1">
            <w:pPr>
              <w:spacing w:after="0"/>
              <w:ind w:left="-108" w:right="-51"/>
              <w:jc w:val="center"/>
              <w:rPr>
                <w:rFonts w:ascii="Arial" w:hAnsi="Arial"/>
                <w:b/>
                <w:sz w:val="10"/>
                <w:szCs w:val="10"/>
              </w:rPr>
            </w:pPr>
          </w:p>
          <w:p w14:paraId="42791C1C" w14:textId="77777777" w:rsidR="006955C5" w:rsidRPr="00F9037E" w:rsidRDefault="00A22324" w:rsidP="00F565F1">
            <w:pPr>
              <w:spacing w:after="0"/>
              <w:ind w:left="-108" w:right="-51"/>
              <w:jc w:val="center"/>
              <w:rPr>
                <w:rFonts w:ascii="Arial" w:hAnsi="Arial"/>
                <w:b/>
                <w:sz w:val="10"/>
                <w:szCs w:val="10"/>
              </w:rPr>
            </w:pPr>
            <w:r w:rsidRPr="00F9037E">
              <w:rPr>
                <w:rFonts w:ascii="Arial" w:hAnsi="Arial"/>
                <w:b/>
                <w:sz w:val="10"/>
                <w:szCs w:val="10"/>
              </w:rPr>
              <w:t>628.06</w:t>
            </w:r>
          </w:p>
          <w:p w14:paraId="3B38279A" w14:textId="77777777" w:rsidR="006955C5" w:rsidRPr="00F9037E" w:rsidRDefault="006955C5" w:rsidP="00F565F1">
            <w:pPr>
              <w:spacing w:after="0"/>
              <w:ind w:left="-108" w:right="-51"/>
              <w:jc w:val="center"/>
              <w:rPr>
                <w:rFonts w:ascii="Arial" w:hAnsi="Arial"/>
                <w:b/>
                <w:sz w:val="10"/>
                <w:szCs w:val="10"/>
              </w:rPr>
            </w:pPr>
          </w:p>
        </w:tc>
        <w:tc>
          <w:tcPr>
            <w:tcW w:w="709" w:type="dxa"/>
            <w:vAlign w:val="center"/>
          </w:tcPr>
          <w:p w14:paraId="74541915" w14:textId="77777777" w:rsidR="008552FB" w:rsidRPr="00F9037E" w:rsidRDefault="006955C5" w:rsidP="008552FB">
            <w:pPr>
              <w:spacing w:after="0"/>
              <w:ind w:left="-108" w:right="-51"/>
              <w:jc w:val="center"/>
              <w:rPr>
                <w:rFonts w:ascii="Arial" w:hAnsi="Arial"/>
                <w:b/>
                <w:sz w:val="12"/>
                <w:szCs w:val="12"/>
              </w:rPr>
            </w:pPr>
            <w:r w:rsidRPr="00F9037E">
              <w:rPr>
                <w:rFonts w:ascii="Arial" w:hAnsi="Arial"/>
                <w:b/>
                <w:sz w:val="12"/>
                <w:szCs w:val="12"/>
              </w:rPr>
              <w:t>29.76</w:t>
            </w:r>
            <w:r w:rsidR="008552FB" w:rsidRPr="00F9037E">
              <w:rPr>
                <w:rFonts w:ascii="Arial" w:hAnsi="Arial"/>
                <w:b/>
                <w:sz w:val="12"/>
                <w:szCs w:val="12"/>
              </w:rPr>
              <w:t>+</w:t>
            </w:r>
          </w:p>
          <w:p w14:paraId="5953282C" w14:textId="77777777" w:rsidR="006955C5" w:rsidRPr="00F9037E" w:rsidRDefault="008552FB" w:rsidP="00F565F1">
            <w:pPr>
              <w:spacing w:after="0"/>
              <w:ind w:left="-108" w:right="-51"/>
              <w:jc w:val="center"/>
              <w:rPr>
                <w:rFonts w:ascii="Arial" w:hAnsi="Arial"/>
                <w:b/>
                <w:sz w:val="12"/>
                <w:szCs w:val="12"/>
              </w:rPr>
            </w:pPr>
            <w:r w:rsidRPr="00F9037E">
              <w:rPr>
                <w:rFonts w:ascii="Arial" w:hAnsi="Arial"/>
                <w:b/>
                <w:sz w:val="12"/>
                <w:szCs w:val="12"/>
              </w:rPr>
              <w:t>[</w:t>
            </w:r>
            <w:r w:rsidR="00F565F1" w:rsidRPr="00F9037E">
              <w:rPr>
                <w:rFonts w:ascii="Arial" w:hAnsi="Arial"/>
                <w:b/>
                <w:sz w:val="12"/>
                <w:szCs w:val="12"/>
              </w:rPr>
              <w:t>255.017</w:t>
            </w:r>
            <w:r w:rsidRPr="00F9037E">
              <w:rPr>
                <w:rFonts w:ascii="Arial" w:hAnsi="Arial"/>
                <w:b/>
                <w:sz w:val="12"/>
                <w:szCs w:val="12"/>
              </w:rPr>
              <w:t>]</w:t>
            </w:r>
          </w:p>
        </w:tc>
        <w:tc>
          <w:tcPr>
            <w:tcW w:w="709" w:type="dxa"/>
          </w:tcPr>
          <w:p w14:paraId="66390F67" w14:textId="77777777" w:rsidR="006955C5" w:rsidRPr="00F9037E" w:rsidRDefault="00F565F1" w:rsidP="00F565F1">
            <w:pPr>
              <w:spacing w:before="120" w:after="0"/>
              <w:ind w:left="-107" w:right="-49"/>
              <w:jc w:val="center"/>
              <w:rPr>
                <w:rFonts w:ascii="Arial" w:hAnsi="Arial"/>
                <w:b/>
                <w:color w:val="000000" w:themeColor="text1"/>
                <w:sz w:val="12"/>
                <w:szCs w:val="12"/>
                <w:highlight w:val="yellow"/>
              </w:rPr>
            </w:pPr>
            <w:r w:rsidRPr="00F9037E">
              <w:rPr>
                <w:rFonts w:ascii="Arial" w:hAnsi="Arial"/>
                <w:b/>
                <w:color w:val="auto"/>
                <w:sz w:val="12"/>
                <w:szCs w:val="12"/>
              </w:rPr>
              <w:t>[29.730]</w:t>
            </w:r>
          </w:p>
        </w:tc>
      </w:tr>
    </w:tbl>
    <w:p w14:paraId="3BA59B0E" w14:textId="7DBD0709" w:rsidR="00B64341" w:rsidRPr="00F9037E" w:rsidRDefault="000718F1" w:rsidP="00F9037E">
      <w:pPr>
        <w:rPr>
          <w:sz w:val="20"/>
        </w:rPr>
      </w:pPr>
      <w:bookmarkStart w:id="60" w:name="_Toc334710382"/>
      <w:bookmarkStart w:id="61" w:name="_Toc334710751"/>
      <w:r w:rsidRPr="00F9037E">
        <w:rPr>
          <w:sz w:val="20"/>
        </w:rPr>
        <w:t>A – Approved at the 27th MOP in 201</w:t>
      </w:r>
      <w:bookmarkEnd w:id="60"/>
      <w:bookmarkEnd w:id="61"/>
      <w:r w:rsidR="00DA1036">
        <w:rPr>
          <w:sz w:val="20"/>
        </w:rPr>
        <w:t>5</w:t>
      </w:r>
    </w:p>
    <w:p w14:paraId="5B3A2F1E" w14:textId="77777777" w:rsidR="000718F1" w:rsidRPr="00F9037E" w:rsidRDefault="000718F1" w:rsidP="000718F1">
      <w:pPr>
        <w:sectPr w:rsidR="000718F1" w:rsidRPr="00F9037E" w:rsidSect="006A07FA">
          <w:headerReference w:type="default" r:id="rId33"/>
          <w:footerReference w:type="even" r:id="rId34"/>
          <w:footerReference w:type="default" r:id="rId35"/>
          <w:headerReference w:type="first" r:id="rId36"/>
          <w:pgSz w:w="16834" w:h="11909" w:orient="landscape" w:code="9"/>
          <w:pgMar w:top="720" w:right="720" w:bottom="720" w:left="720" w:header="720" w:footer="720" w:gutter="0"/>
          <w:cols w:space="720"/>
          <w:docGrid w:linePitch="360"/>
        </w:sectPr>
      </w:pPr>
    </w:p>
    <w:p w14:paraId="622E733B" w14:textId="20EBC93F" w:rsidR="008D5F24" w:rsidRPr="003655C2" w:rsidRDefault="000F08B5" w:rsidP="006A54A1">
      <w:pPr>
        <w:pStyle w:val="Heading2"/>
        <w:rPr>
          <w:rStyle w:val="Heading2Char"/>
          <w:b w:val="0"/>
        </w:rPr>
      </w:pPr>
      <w:bookmarkStart w:id="62" w:name="_Toc461183764"/>
      <w:r w:rsidRPr="003655C2">
        <w:rPr>
          <w:rStyle w:val="Heading2Char"/>
          <w:b w:val="0"/>
        </w:rPr>
        <w:lastRenderedPageBreak/>
        <w:t>3.8.</w:t>
      </w:r>
      <w:r w:rsidR="006B71CA" w:rsidRPr="003655C2">
        <w:rPr>
          <w:rStyle w:val="Heading2Char"/>
          <w:b w:val="0"/>
        </w:rPr>
        <w:tab/>
      </w:r>
      <w:r w:rsidR="008D5F24" w:rsidRPr="003655C2">
        <w:rPr>
          <w:rStyle w:val="Heading2Char"/>
          <w:b w:val="0"/>
        </w:rPr>
        <w:t xml:space="preserve">Evaluations of CUNs – </w:t>
      </w:r>
      <w:r w:rsidR="00316181" w:rsidRPr="003655C2">
        <w:rPr>
          <w:rStyle w:val="Heading2Char"/>
          <w:b w:val="0"/>
        </w:rPr>
        <w:t xml:space="preserve">2016 </w:t>
      </w:r>
      <w:r w:rsidR="00FA261B" w:rsidRPr="003655C2">
        <w:rPr>
          <w:rStyle w:val="Heading2Char"/>
          <w:b w:val="0"/>
        </w:rPr>
        <w:t>R</w:t>
      </w:r>
      <w:r w:rsidR="008D5F24" w:rsidRPr="003655C2">
        <w:rPr>
          <w:rStyle w:val="Heading2Char"/>
          <w:b w:val="0"/>
        </w:rPr>
        <w:t xml:space="preserve">ound for </w:t>
      </w:r>
      <w:r w:rsidR="00316181" w:rsidRPr="003655C2">
        <w:rPr>
          <w:rStyle w:val="Heading2Char"/>
          <w:b w:val="0"/>
        </w:rPr>
        <w:t xml:space="preserve">2017 </w:t>
      </w:r>
      <w:r w:rsidR="00094463" w:rsidRPr="003655C2">
        <w:rPr>
          <w:rStyle w:val="Heading2Char"/>
          <w:b w:val="0"/>
        </w:rPr>
        <w:t xml:space="preserve">and </w:t>
      </w:r>
      <w:r w:rsidR="00316181" w:rsidRPr="003655C2">
        <w:rPr>
          <w:rStyle w:val="Heading2Char"/>
          <w:b w:val="0"/>
        </w:rPr>
        <w:t xml:space="preserve">2018 </w:t>
      </w:r>
      <w:r w:rsidR="00FA261B" w:rsidRPr="003655C2">
        <w:rPr>
          <w:rStyle w:val="Heading2Char"/>
          <w:b w:val="0"/>
        </w:rPr>
        <w:t>E</w:t>
      </w:r>
      <w:r w:rsidR="008D5F24" w:rsidRPr="003655C2">
        <w:rPr>
          <w:rStyle w:val="Heading2Char"/>
          <w:b w:val="0"/>
        </w:rPr>
        <w:t>xemptions</w:t>
      </w:r>
      <w:bookmarkEnd w:id="58"/>
      <w:bookmarkEnd w:id="59"/>
      <w:bookmarkEnd w:id="62"/>
    </w:p>
    <w:p w14:paraId="2B077667" w14:textId="028B86D1" w:rsidR="00842AF8" w:rsidRPr="00220275" w:rsidRDefault="00842AF8" w:rsidP="00A732C1">
      <w:pPr>
        <w:rPr>
          <w:szCs w:val="22"/>
        </w:rPr>
      </w:pPr>
      <w:r w:rsidRPr="00CD3CBD">
        <w:rPr>
          <w:szCs w:val="22"/>
        </w:rPr>
        <w:t>At the 38</w:t>
      </w:r>
      <w:r w:rsidRPr="00CD3CBD">
        <w:rPr>
          <w:szCs w:val="22"/>
          <w:vertAlign w:val="superscript"/>
        </w:rPr>
        <w:t>th</w:t>
      </w:r>
      <w:r w:rsidRPr="00CD3CBD">
        <w:rPr>
          <w:szCs w:val="22"/>
        </w:rPr>
        <w:t>Open Ended Working Group hel</w:t>
      </w:r>
      <w:r w:rsidRPr="00501812">
        <w:rPr>
          <w:szCs w:val="22"/>
        </w:rPr>
        <w:t>d in Vienna in July 2016, MBTOC presented interim recommendations for the eight nominations received in 2016.  These nominations were received from two non A5 Parties –</w:t>
      </w:r>
      <w:r w:rsidRPr="003A30C7">
        <w:rPr>
          <w:szCs w:val="22"/>
        </w:rPr>
        <w:t xml:space="preserve"> Australia and Canada - and three A5 Parties, Argentina, China and the Republic of South Africa as shown in Table 1-5.  During bilateral discussions at the OEWG, two non A5 </w:t>
      </w:r>
      <w:r w:rsidR="007520F8">
        <w:rPr>
          <w:szCs w:val="22"/>
        </w:rPr>
        <w:t xml:space="preserve">Parties </w:t>
      </w:r>
      <w:r w:rsidR="00A732C1" w:rsidRPr="00082015">
        <w:rPr>
          <w:szCs w:val="22"/>
        </w:rPr>
        <w:t>(Australia and Can</w:t>
      </w:r>
      <w:r w:rsidR="00117B87" w:rsidRPr="00082015">
        <w:rPr>
          <w:szCs w:val="22"/>
        </w:rPr>
        <w:t>a</w:t>
      </w:r>
      <w:r w:rsidR="00A732C1" w:rsidRPr="00082015">
        <w:rPr>
          <w:szCs w:val="22"/>
        </w:rPr>
        <w:t xml:space="preserve">da) </w:t>
      </w:r>
      <w:r w:rsidRPr="00082015">
        <w:rPr>
          <w:szCs w:val="22"/>
        </w:rPr>
        <w:t xml:space="preserve">and </w:t>
      </w:r>
      <w:r w:rsidR="00A732C1" w:rsidRPr="00F5313E">
        <w:rPr>
          <w:szCs w:val="22"/>
        </w:rPr>
        <w:t>t</w:t>
      </w:r>
      <w:r w:rsidRPr="00220275">
        <w:rPr>
          <w:szCs w:val="22"/>
        </w:rPr>
        <w:t xml:space="preserve">wo A5 Parties </w:t>
      </w:r>
      <w:r w:rsidR="00A732C1" w:rsidRPr="00220275">
        <w:rPr>
          <w:szCs w:val="22"/>
        </w:rPr>
        <w:t xml:space="preserve">(Argentina and South Africa) </w:t>
      </w:r>
      <w:r w:rsidRPr="00220275">
        <w:rPr>
          <w:szCs w:val="22"/>
        </w:rPr>
        <w:t xml:space="preserve">indicated that they would send subsequent information for reassessment. </w:t>
      </w:r>
    </w:p>
    <w:p w14:paraId="58560A55" w14:textId="11961862" w:rsidR="00842AF8" w:rsidRPr="00B87B95" w:rsidRDefault="00842AF8" w:rsidP="00842AF8">
      <w:r w:rsidRPr="00220275">
        <w:t xml:space="preserve">In summary after the OEWG in 2016, CUNs </w:t>
      </w:r>
      <w:r w:rsidR="00DD04D3" w:rsidRPr="00220275">
        <w:t xml:space="preserve">from Australia, Canada, Argentina and RSA were </w:t>
      </w:r>
      <w:r w:rsidRPr="00220275">
        <w:t xml:space="preserve">reassessed </w:t>
      </w:r>
      <w:r w:rsidR="00DD04D3" w:rsidRPr="00220275">
        <w:t xml:space="preserve">after </w:t>
      </w:r>
      <w:r w:rsidR="00CD3CBD" w:rsidRPr="00220275">
        <w:t>the Parties submitted new information and a request</w:t>
      </w:r>
      <w:r w:rsidR="00DD04D3" w:rsidRPr="00220275">
        <w:t xml:space="preserve">. </w:t>
      </w:r>
    </w:p>
    <w:p w14:paraId="77D75291" w14:textId="31613C15" w:rsidR="006837ED" w:rsidRPr="00F9037E" w:rsidRDefault="00DD04D3">
      <w:pPr>
        <w:rPr>
          <w:iCs/>
          <w:color w:val="auto"/>
        </w:rPr>
      </w:pPr>
      <w:r w:rsidRPr="00B87B95">
        <w:t xml:space="preserve">The total amount of MB nominated for the final assessment in the 2016 round for all countries was </w:t>
      </w:r>
      <w:r w:rsidRPr="00B87B95">
        <w:rPr>
          <w:color w:val="auto"/>
        </w:rPr>
        <w:t>3</w:t>
      </w:r>
      <w:r w:rsidR="006A07FA" w:rsidRPr="00B87B95">
        <w:rPr>
          <w:color w:val="auto"/>
        </w:rPr>
        <w:t>37.81</w:t>
      </w:r>
      <w:r w:rsidRPr="00B87B95">
        <w:rPr>
          <w:color w:val="auto"/>
        </w:rPr>
        <w:t xml:space="preserve"> </w:t>
      </w:r>
      <w:r w:rsidRPr="00563BC0">
        <w:t>tonnes (A5 </w:t>
      </w:r>
      <w:r w:rsidR="009361CD" w:rsidRPr="00563BC0">
        <w:t>302.8</w:t>
      </w:r>
      <w:r w:rsidRPr="00563BC0">
        <w:t xml:space="preserve"> t, Non-A5: </w:t>
      </w:r>
      <w:r w:rsidR="006A07FA" w:rsidRPr="00563BC0">
        <w:t>35.021 t</w:t>
      </w:r>
      <w:r w:rsidRPr="00563BC0">
        <w:t>)</w:t>
      </w:r>
      <w:r w:rsidR="00CD3CBD" w:rsidRPr="00563BC0">
        <w:t>. Of</w:t>
      </w:r>
      <w:r w:rsidRPr="00563BC0">
        <w:t xml:space="preserve"> the amount </w:t>
      </w:r>
      <w:r w:rsidRPr="00563BC0">
        <w:rPr>
          <w:color w:val="auto"/>
        </w:rPr>
        <w:t xml:space="preserve">nominated for 2016, </w:t>
      </w:r>
      <w:r w:rsidR="009361CD" w:rsidRPr="00563BC0">
        <w:rPr>
          <w:color w:val="auto"/>
        </w:rPr>
        <w:t xml:space="preserve">254.821 </w:t>
      </w:r>
      <w:r w:rsidRPr="00563BC0">
        <w:rPr>
          <w:color w:val="auto"/>
        </w:rPr>
        <w:t xml:space="preserve">t was for </w:t>
      </w:r>
      <w:proofErr w:type="spellStart"/>
      <w:r w:rsidRPr="00563BC0">
        <w:rPr>
          <w:color w:val="auto"/>
        </w:rPr>
        <w:t>prepla</w:t>
      </w:r>
      <w:r w:rsidRPr="000F08B5">
        <w:rPr>
          <w:color w:val="auto"/>
        </w:rPr>
        <w:t>nt</w:t>
      </w:r>
      <w:proofErr w:type="spellEnd"/>
      <w:r w:rsidRPr="000F08B5">
        <w:rPr>
          <w:color w:val="auto"/>
        </w:rPr>
        <w:t xml:space="preserve"> soil uses and </w:t>
      </w:r>
      <w:r w:rsidR="009361CD" w:rsidRPr="000F08B5">
        <w:rPr>
          <w:color w:val="auto"/>
        </w:rPr>
        <w:t>83.0</w:t>
      </w:r>
      <w:r w:rsidRPr="000F08B5">
        <w:rPr>
          <w:color w:val="auto"/>
        </w:rPr>
        <w:t xml:space="preserve"> t for commodity uses, all for A5 Parties. </w:t>
      </w:r>
      <w:r w:rsidR="00715BFF" w:rsidRPr="000F08B5">
        <w:rPr>
          <w:color w:val="auto"/>
        </w:rPr>
        <w:t>MBTOC made</w:t>
      </w:r>
      <w:r w:rsidR="006A07FA" w:rsidRPr="000F08B5">
        <w:rPr>
          <w:color w:val="auto"/>
        </w:rPr>
        <w:t xml:space="preserve"> </w:t>
      </w:r>
      <w:r w:rsidR="009361CD" w:rsidRPr="000F08B5">
        <w:rPr>
          <w:color w:val="auto"/>
        </w:rPr>
        <w:t xml:space="preserve">a </w:t>
      </w:r>
      <w:r w:rsidRPr="000F08B5">
        <w:rPr>
          <w:color w:val="auto"/>
        </w:rPr>
        <w:t xml:space="preserve">final </w:t>
      </w:r>
      <w:r w:rsidR="00715BFF" w:rsidRPr="000F08B5">
        <w:rPr>
          <w:color w:val="auto"/>
        </w:rPr>
        <w:t xml:space="preserve">recommendation </w:t>
      </w:r>
      <w:r w:rsidR="009361CD" w:rsidRPr="000F08B5">
        <w:rPr>
          <w:color w:val="auto"/>
        </w:rPr>
        <w:t>of</w:t>
      </w:r>
      <w:r w:rsidR="00715BFF" w:rsidRPr="00365366">
        <w:rPr>
          <w:color w:val="auto"/>
        </w:rPr>
        <w:t xml:space="preserve"> </w:t>
      </w:r>
      <w:r w:rsidR="005B55D2" w:rsidRPr="00365366">
        <w:rPr>
          <w:color w:val="auto"/>
        </w:rPr>
        <w:t xml:space="preserve">290.008 </w:t>
      </w:r>
      <w:r w:rsidR="00715BFF" w:rsidRPr="00365366">
        <w:rPr>
          <w:color w:val="auto"/>
        </w:rPr>
        <w:t>tonnes (Figs 1.5, 1.11).  In 2018, one nomination applied for a CUE of 29.760 t and MBTOC made a</w:t>
      </w:r>
      <w:r w:rsidR="006A07FA" w:rsidRPr="00F9037E">
        <w:rPr>
          <w:color w:val="auto"/>
        </w:rPr>
        <w:t xml:space="preserve"> </w:t>
      </w:r>
      <w:r w:rsidR="00364869" w:rsidRPr="00F9037E">
        <w:rPr>
          <w:color w:val="auto"/>
        </w:rPr>
        <w:t xml:space="preserve">final </w:t>
      </w:r>
      <w:r w:rsidR="00715BFF" w:rsidRPr="00F9037E">
        <w:rPr>
          <w:color w:val="auto"/>
        </w:rPr>
        <w:t xml:space="preserve">recommendation of </w:t>
      </w:r>
      <w:r w:rsidRPr="00F9037E">
        <w:rPr>
          <w:color w:val="auto"/>
        </w:rPr>
        <w:t>29.730</w:t>
      </w:r>
      <w:r w:rsidR="005B55D2" w:rsidRPr="00F9037E">
        <w:rPr>
          <w:color w:val="auto"/>
        </w:rPr>
        <w:t xml:space="preserve"> </w:t>
      </w:r>
      <w:r w:rsidR="00715BFF" w:rsidRPr="00F9037E">
        <w:rPr>
          <w:color w:val="auto"/>
        </w:rPr>
        <w:t xml:space="preserve">tonnes.  </w:t>
      </w:r>
      <w:r w:rsidR="00A43F1B" w:rsidRPr="00F9037E">
        <w:rPr>
          <w:color w:val="auto"/>
        </w:rPr>
        <w:t>T</w:t>
      </w:r>
      <w:r w:rsidR="00F713B4" w:rsidRPr="00F9037E">
        <w:rPr>
          <w:color w:val="auto"/>
        </w:rPr>
        <w:t xml:space="preserve">he </w:t>
      </w:r>
      <w:r w:rsidR="003C583E" w:rsidRPr="00F9037E">
        <w:rPr>
          <w:color w:val="auto"/>
        </w:rPr>
        <w:t xml:space="preserve">grounds used for these recommendations are given in detail </w:t>
      </w:r>
      <w:r w:rsidR="00173B76" w:rsidRPr="00F9037E">
        <w:rPr>
          <w:color w:val="auto"/>
        </w:rPr>
        <w:t xml:space="preserve">for </w:t>
      </w:r>
      <w:r w:rsidR="003C583E" w:rsidRPr="00F9037E">
        <w:rPr>
          <w:color w:val="auto"/>
        </w:rPr>
        <w:t xml:space="preserve">the relevant CUNs in Tables </w:t>
      </w:r>
      <w:r w:rsidR="00655D62" w:rsidRPr="00F9037E">
        <w:rPr>
          <w:color w:val="auto"/>
        </w:rPr>
        <w:t>1</w:t>
      </w:r>
      <w:r w:rsidR="00F01FB5" w:rsidRPr="00F9037E">
        <w:rPr>
          <w:color w:val="auto"/>
        </w:rPr>
        <w:t>.</w:t>
      </w:r>
      <w:r w:rsidR="003C583E" w:rsidRPr="00F9037E">
        <w:rPr>
          <w:color w:val="auto"/>
        </w:rPr>
        <w:t>9</w:t>
      </w:r>
      <w:r w:rsidR="00304B87" w:rsidRPr="00F9037E">
        <w:rPr>
          <w:color w:val="auto"/>
        </w:rPr>
        <w:t xml:space="preserve">, </w:t>
      </w:r>
      <w:r w:rsidR="00655D62" w:rsidRPr="00F9037E">
        <w:rPr>
          <w:color w:val="auto"/>
        </w:rPr>
        <w:t>1</w:t>
      </w:r>
      <w:r w:rsidR="00F01FB5" w:rsidRPr="00F9037E">
        <w:rPr>
          <w:color w:val="auto"/>
        </w:rPr>
        <w:t>.</w:t>
      </w:r>
      <w:r w:rsidR="00304B87" w:rsidRPr="00F9037E">
        <w:rPr>
          <w:color w:val="auto"/>
        </w:rPr>
        <w:t>10</w:t>
      </w:r>
      <w:r w:rsidR="003C583E" w:rsidRPr="00F9037E">
        <w:rPr>
          <w:color w:val="auto"/>
        </w:rPr>
        <w:t xml:space="preserve"> and </w:t>
      </w:r>
      <w:r w:rsidR="00655D62" w:rsidRPr="00F9037E">
        <w:rPr>
          <w:color w:val="auto"/>
        </w:rPr>
        <w:t>1</w:t>
      </w:r>
      <w:r w:rsidR="00F01FB5" w:rsidRPr="00F9037E">
        <w:rPr>
          <w:color w:val="auto"/>
        </w:rPr>
        <w:t>.</w:t>
      </w:r>
      <w:r w:rsidR="003C583E" w:rsidRPr="00F9037E">
        <w:rPr>
          <w:color w:val="auto"/>
        </w:rPr>
        <w:t xml:space="preserve">11.  </w:t>
      </w:r>
    </w:p>
    <w:p w14:paraId="1C3429C6" w14:textId="641CE853" w:rsidR="00235D5A" w:rsidRDefault="008D5F24" w:rsidP="00235D5A">
      <w:pPr>
        <w:jc w:val="both"/>
      </w:pPr>
      <w:r w:rsidRPr="00F9037E">
        <w:t xml:space="preserve">In general the CUNs were submitted due to </w:t>
      </w:r>
      <w:r w:rsidR="00235D5A">
        <w:t>a number of factors including the</w:t>
      </w:r>
      <w:r w:rsidR="00235D5A" w:rsidRPr="007824EB">
        <w:t xml:space="preserve"> following </w:t>
      </w:r>
      <w:r w:rsidR="00235D5A">
        <w:t>situations</w:t>
      </w:r>
      <w:r w:rsidR="00235D5A" w:rsidRPr="007824EB">
        <w:t xml:space="preserve">: </w:t>
      </w:r>
      <w:r w:rsidR="00235D5A">
        <w:t xml:space="preserve">environmental conditions and </w:t>
      </w:r>
      <w:r w:rsidR="00235D5A" w:rsidRPr="007824EB">
        <w:t xml:space="preserve">regulatory restrictions did not allow partial or full use of alternatives, difficulties in the scale-up of alternatives and that </w:t>
      </w:r>
      <w:r w:rsidR="00235D5A">
        <w:t xml:space="preserve">potential </w:t>
      </w:r>
      <w:r w:rsidR="00235D5A" w:rsidRPr="007824EB">
        <w:t xml:space="preserve">alternatives were considered uneconomical, insufficiently effective and/or were unavailable. In paragraph 20 of Annex 1 referred to in Decision XVI/4, </w:t>
      </w:r>
      <w:r w:rsidR="00235D5A">
        <w:t>p</w:t>
      </w:r>
      <w:r w:rsidR="00235D5A" w:rsidRPr="007824EB">
        <w:t xml:space="preserve">arties specifically requested that MBTOC explicitly state the specific basis for the Party’s economic statement relating to CUNs.  Tables </w:t>
      </w:r>
      <w:r w:rsidR="00235D5A">
        <w:t>1.</w:t>
      </w:r>
      <w:r w:rsidR="00235D5A" w:rsidRPr="007824EB">
        <w:t>9</w:t>
      </w:r>
      <w:r w:rsidR="00235D5A">
        <w:t>, 1.10</w:t>
      </w:r>
      <w:r w:rsidR="00235D5A" w:rsidRPr="007824EB">
        <w:t xml:space="preserve"> and </w:t>
      </w:r>
      <w:r w:rsidR="00235D5A">
        <w:t>1.</w:t>
      </w:r>
      <w:r w:rsidR="00235D5A" w:rsidRPr="007824EB">
        <w:t>11 provide this information for each CUN as prepared by the MBTOC economist</w:t>
      </w:r>
      <w:r w:rsidR="00235D5A">
        <w:t xml:space="preserve"> and the MBTOC members</w:t>
      </w:r>
      <w:r w:rsidR="00235D5A" w:rsidRPr="007824EB">
        <w:t xml:space="preserve">. MBTOC notes </w:t>
      </w:r>
      <w:r w:rsidR="00235D5A">
        <w:t xml:space="preserve">that the </w:t>
      </w:r>
      <w:r w:rsidR="00235D5A" w:rsidRPr="007824EB">
        <w:t>economic information supplied by the nominating Parties</w:t>
      </w:r>
      <w:r w:rsidR="00235D5A">
        <w:t xml:space="preserve"> varied in the level of detail</w:t>
      </w:r>
      <w:r w:rsidR="00235D5A" w:rsidRPr="007824EB">
        <w:t>.</w:t>
      </w:r>
    </w:p>
    <w:p w14:paraId="58DCA1B2" w14:textId="13B4026D" w:rsidR="008D5F24" w:rsidRPr="002979B2" w:rsidRDefault="000F08B5" w:rsidP="006A54A1">
      <w:pPr>
        <w:pStyle w:val="Heading2"/>
        <w:rPr>
          <w:rStyle w:val="Heading311ptBoldChar"/>
        </w:rPr>
      </w:pPr>
      <w:bookmarkStart w:id="63" w:name="_Toc324255706"/>
      <w:bookmarkStart w:id="64" w:name="_Toc293054741"/>
      <w:bookmarkStart w:id="65" w:name="_Toc461183765"/>
      <w:r w:rsidRPr="002979B2">
        <w:rPr>
          <w:rStyle w:val="Heading311ptBoldChar"/>
        </w:rPr>
        <w:t>3.8.1.</w:t>
      </w:r>
      <w:r w:rsidR="008D5F24" w:rsidRPr="002979B2">
        <w:rPr>
          <w:rStyle w:val="Heading311ptBoldChar"/>
        </w:rPr>
        <w:tab/>
        <w:t xml:space="preserve">Critical Use Nomination </w:t>
      </w:r>
      <w:r w:rsidR="0073509F" w:rsidRPr="002979B2">
        <w:rPr>
          <w:rStyle w:val="Heading311ptBoldChar"/>
        </w:rPr>
        <w:t xml:space="preserve">Final </w:t>
      </w:r>
      <w:r w:rsidR="008D5F24" w:rsidRPr="002979B2">
        <w:rPr>
          <w:rStyle w:val="Heading311ptBoldChar"/>
        </w:rPr>
        <w:t>Review</w:t>
      </w:r>
      <w:bookmarkEnd w:id="63"/>
      <w:bookmarkEnd w:id="64"/>
      <w:bookmarkEnd w:id="65"/>
    </w:p>
    <w:p w14:paraId="23340D05" w14:textId="77777777" w:rsidR="0073509F" w:rsidRPr="00CD3CBD" w:rsidRDefault="0073509F" w:rsidP="0073509F">
      <w:pPr>
        <w:rPr>
          <w:szCs w:val="22"/>
        </w:rPr>
      </w:pPr>
      <w:r w:rsidRPr="00CD3CBD">
        <w:rPr>
          <w:szCs w:val="22"/>
        </w:rPr>
        <w:t xml:space="preserve">In view of the short timelines, MBTOC conducted the reassessments by email contact with each member contributing their own views on each nomination until consensus was reached.   All members agreed with the final recommendations by consensus. </w:t>
      </w:r>
    </w:p>
    <w:p w14:paraId="1EE44D1D" w14:textId="77777777" w:rsidR="008D5F24" w:rsidRPr="000F08B5" w:rsidRDefault="008D5F24" w:rsidP="009446BE">
      <w:pPr>
        <w:jc w:val="both"/>
      </w:pPr>
      <w:r w:rsidRPr="00501812">
        <w:t xml:space="preserve">The </w:t>
      </w:r>
      <w:r w:rsidR="005C36E1" w:rsidRPr="00501812">
        <w:t>final assessment has been conducted</w:t>
      </w:r>
      <w:r w:rsidR="001309F8" w:rsidRPr="003A30C7">
        <w:t xml:space="preserve"> </w:t>
      </w:r>
      <w:r w:rsidRPr="00082015">
        <w:t xml:space="preserve">as required in accordance with the time schedule for the consideration of CUNs provided in Annex I referred to in Decision XVI/4.  In </w:t>
      </w:r>
      <w:r w:rsidR="00CA7565" w:rsidRPr="00082015">
        <w:t>assessing</w:t>
      </w:r>
      <w:r w:rsidR="001309F8" w:rsidRPr="00082015">
        <w:t xml:space="preserve"> </w:t>
      </w:r>
      <w:r w:rsidRPr="00F5313E">
        <w:t xml:space="preserve">the CUNs submitted in </w:t>
      </w:r>
      <w:r w:rsidR="00AC20A5" w:rsidRPr="00220275">
        <w:t>2016</w:t>
      </w:r>
      <w:r w:rsidRPr="00220275">
        <w:t xml:space="preserve">, as in previous rounds, MBTOC applied as much as possible the standards contained in Annex I of the final report of </w:t>
      </w:r>
      <w:r w:rsidR="00CA7565" w:rsidRPr="00220275">
        <w:t xml:space="preserve">the </w:t>
      </w:r>
      <w:r w:rsidRPr="00220275">
        <w:t>16</w:t>
      </w:r>
      <w:r w:rsidR="00CA7565" w:rsidRPr="00220275">
        <w:rPr>
          <w:vertAlign w:val="superscript"/>
        </w:rPr>
        <w:t>th</w:t>
      </w:r>
      <w:r w:rsidRPr="00220275">
        <w:t xml:space="preserve">MOP and, where relevant, the standard presumptions given below. In particular, </w:t>
      </w:r>
      <w:r w:rsidRPr="00220275">
        <w:rPr>
          <w:lang w:eastAsia="en-GB"/>
        </w:rPr>
        <w:t xml:space="preserve">MBTOC sought to provide consistent treatment of CUNs within and between Parties while at the same time taking local circumstances into consideration. </w:t>
      </w:r>
      <w:r w:rsidR="00094463" w:rsidRPr="00220275">
        <w:t>T</w:t>
      </w:r>
      <w:r w:rsidRPr="00B87B95">
        <w:t>he most recent CUE approved by the Parties for a particular CUN was used as baseline for consideration of continuing nominations</w:t>
      </w:r>
      <w:r w:rsidR="00AC20A5" w:rsidRPr="00B87B95">
        <w:t>.</w:t>
      </w:r>
      <w:r w:rsidRPr="00563BC0">
        <w:t xml:space="preserve"> In evaluating CUNs for soil treatments, MBTOC assumed that the presence of a technically feasible alternative to MB would need to provide sufficient pest and/or weed control </w:t>
      </w:r>
      <w:r w:rsidR="00CA7565" w:rsidRPr="00563BC0">
        <w:t xml:space="preserve">to allow </w:t>
      </w:r>
      <w:r w:rsidRPr="00563BC0">
        <w:t xml:space="preserve">for continued production of that crop </w:t>
      </w:r>
      <w:r w:rsidR="00CA7565" w:rsidRPr="00563BC0">
        <w:t>within</w:t>
      </w:r>
      <w:r w:rsidR="001309F8" w:rsidRPr="00563BC0">
        <w:t xml:space="preserve"> </w:t>
      </w:r>
      <w:r w:rsidRPr="00563BC0">
        <w:t xml:space="preserve">existing market standards. </w:t>
      </w:r>
      <w:r w:rsidR="005641C1" w:rsidRPr="00563BC0">
        <w:t xml:space="preserve">The economic viability of production </w:t>
      </w:r>
      <w:r w:rsidR="00980FD6" w:rsidRPr="00563BC0">
        <w:t xml:space="preserve">was </w:t>
      </w:r>
      <w:r w:rsidR="005641C1" w:rsidRPr="00563BC0">
        <w:t>also considered.</w:t>
      </w:r>
    </w:p>
    <w:p w14:paraId="376F1246" w14:textId="77777777" w:rsidR="008D5F24" w:rsidRPr="00F9037E" w:rsidRDefault="008D5F24" w:rsidP="009446BE">
      <w:pPr>
        <w:jc w:val="both"/>
      </w:pPr>
      <w:r w:rsidRPr="000F08B5">
        <w:t>For commodity and structural applications, it was assumed that technically and economically feasible alte</w:t>
      </w:r>
      <w:r w:rsidRPr="00365366">
        <w:t xml:space="preserve">rnatives would provide disinfestation to a level that met the objectives of a MB treatment, e.g. meeting </w:t>
      </w:r>
      <w:r w:rsidR="005641C1" w:rsidRPr="00F9037E">
        <w:t>dis</w:t>
      </w:r>
      <w:r w:rsidRPr="00F9037E">
        <w:t xml:space="preserve">infestation standards in </w:t>
      </w:r>
      <w:r w:rsidR="005641C1" w:rsidRPr="00F9037E">
        <w:t xml:space="preserve">treated structures or </w:t>
      </w:r>
      <w:r w:rsidRPr="00F9037E">
        <w:t>mill</w:t>
      </w:r>
      <w:r w:rsidR="005641C1" w:rsidRPr="00F9037E">
        <w:t>s</w:t>
      </w:r>
      <w:r w:rsidRPr="00F9037E">
        <w:t xml:space="preserve">. </w:t>
      </w:r>
    </w:p>
    <w:p w14:paraId="3B1CDEDF" w14:textId="77777777" w:rsidR="008D5F24" w:rsidRPr="00F9037E" w:rsidRDefault="008D5F24" w:rsidP="009446BE">
      <w:pPr>
        <w:jc w:val="both"/>
      </w:pPr>
      <w:r w:rsidRPr="00F9037E">
        <w:t xml:space="preserve">The </w:t>
      </w:r>
      <w:r w:rsidR="005C36E1" w:rsidRPr="00F9037E">
        <w:t xml:space="preserve">final </w:t>
      </w:r>
      <w:r w:rsidRPr="00F9037E">
        <w:t xml:space="preserve">outcome of evaluations of CUNs for the soil and structural treatments are presented in Table </w:t>
      </w:r>
      <w:r w:rsidR="00655D62" w:rsidRPr="00F9037E">
        <w:t>1</w:t>
      </w:r>
      <w:r w:rsidRPr="00F9037E">
        <w:t>.9</w:t>
      </w:r>
      <w:r w:rsidR="00304B87" w:rsidRPr="00F9037E">
        <w:t xml:space="preserve">, </w:t>
      </w:r>
      <w:r w:rsidR="00655D62" w:rsidRPr="00F9037E">
        <w:t>1</w:t>
      </w:r>
      <w:r w:rsidR="00304B87" w:rsidRPr="00F9037E">
        <w:t>.10</w:t>
      </w:r>
      <w:r w:rsidRPr="00F9037E">
        <w:t xml:space="preserve"> and </w:t>
      </w:r>
      <w:r w:rsidR="00655D62" w:rsidRPr="00F9037E">
        <w:t>1</w:t>
      </w:r>
      <w:r w:rsidRPr="00F9037E">
        <w:t>.11 below.</w:t>
      </w:r>
    </w:p>
    <w:p w14:paraId="5D9EE9E0" w14:textId="6387A432" w:rsidR="008D5F24" w:rsidRPr="00F9037E" w:rsidRDefault="000F08B5" w:rsidP="006A54A1">
      <w:pPr>
        <w:pStyle w:val="Heading2"/>
        <w:rPr>
          <w:rStyle w:val="Heading311ptBoldChar"/>
        </w:rPr>
      </w:pPr>
      <w:bookmarkStart w:id="66" w:name="_Toc324255707"/>
      <w:bookmarkStart w:id="67" w:name="_Toc293054742"/>
      <w:bookmarkStart w:id="68" w:name="_Toc461183766"/>
      <w:r>
        <w:rPr>
          <w:rStyle w:val="Heading311ptBoldChar"/>
        </w:rPr>
        <w:t>3.8</w:t>
      </w:r>
      <w:r w:rsidR="008D5F24" w:rsidRPr="00F9037E">
        <w:rPr>
          <w:rStyle w:val="Heading311ptBoldChar"/>
        </w:rPr>
        <w:t>.2</w:t>
      </w:r>
      <w:r w:rsidR="008D5F24" w:rsidRPr="00F9037E">
        <w:rPr>
          <w:rStyle w:val="Heading311ptBoldChar"/>
        </w:rPr>
        <w:tab/>
        <w:t>Achieving Consensus</w:t>
      </w:r>
      <w:bookmarkEnd w:id="66"/>
      <w:bookmarkEnd w:id="67"/>
      <w:bookmarkEnd w:id="68"/>
    </w:p>
    <w:p w14:paraId="347F208D" w14:textId="77777777" w:rsidR="008D5F24" w:rsidRPr="00220275" w:rsidRDefault="008D5F24" w:rsidP="009446BE">
      <w:pPr>
        <w:jc w:val="both"/>
        <w:rPr>
          <w:b/>
        </w:rPr>
      </w:pPr>
      <w:r w:rsidRPr="00CD3CBD">
        <w:t xml:space="preserve">In accordance with </w:t>
      </w:r>
      <w:r w:rsidR="004250AA" w:rsidRPr="00CD3CBD">
        <w:t xml:space="preserve">Decision </w:t>
      </w:r>
      <w:r w:rsidRPr="00CD3CBD">
        <w:t xml:space="preserve">XX/5(9) and subsequent </w:t>
      </w:r>
      <w:r w:rsidR="004250AA" w:rsidRPr="00CD3CBD">
        <w:t>D</w:t>
      </w:r>
      <w:r w:rsidR="004250AA" w:rsidRPr="00501812">
        <w:t xml:space="preserve">ecisions </w:t>
      </w:r>
      <w:r w:rsidRPr="00501812">
        <w:t>(XXI/11(4), XXII/6(4) and XXIII/4(3)</w:t>
      </w:r>
      <w:r w:rsidR="003C583E" w:rsidRPr="003A30C7">
        <w:t xml:space="preserve"> and XXIV/5 and 8</w:t>
      </w:r>
      <w:r w:rsidR="004250AA" w:rsidRPr="00082015">
        <w:t>)</w:t>
      </w:r>
      <w:r w:rsidR="001309F8" w:rsidRPr="00082015">
        <w:t xml:space="preserve"> </w:t>
      </w:r>
      <w:r w:rsidRPr="00082015">
        <w:t>the Parties have indicated that MBTOC ‘</w:t>
      </w:r>
      <w:r w:rsidRPr="00082015">
        <w:rPr>
          <w:i/>
        </w:rPr>
        <w:t xml:space="preserve">should ensure that it develops its </w:t>
      </w:r>
      <w:r w:rsidRPr="00082015">
        <w:rPr>
          <w:i/>
        </w:rPr>
        <w:lastRenderedPageBreak/>
        <w:t>recommendations in a consensus process that includes full discussion among all available me</w:t>
      </w:r>
      <w:r w:rsidRPr="00F5313E">
        <w:rPr>
          <w:i/>
        </w:rPr>
        <w:t>mbers of the Committee</w:t>
      </w:r>
      <w:r w:rsidR="00BC4C15" w:rsidRPr="00220275">
        <w:rPr>
          <w:i/>
        </w:rPr>
        <w:t>….</w:t>
      </w:r>
      <w:proofErr w:type="gramStart"/>
      <w:r w:rsidRPr="00220275">
        <w:rPr>
          <w:i/>
        </w:rPr>
        <w:t>’</w:t>
      </w:r>
      <w:r w:rsidRPr="00220275">
        <w:t>.</w:t>
      </w:r>
      <w:proofErr w:type="gramEnd"/>
    </w:p>
    <w:p w14:paraId="0C108376" w14:textId="77777777" w:rsidR="008D5F24" w:rsidRPr="00B87B95" w:rsidRDefault="008D5F24" w:rsidP="001309F8">
      <w:pPr>
        <w:jc w:val="both"/>
      </w:pPr>
      <w:r w:rsidRPr="00220275">
        <w:t>In</w:t>
      </w:r>
      <w:r w:rsidR="009F3308" w:rsidRPr="00220275">
        <w:t xml:space="preserve"> keeping with </w:t>
      </w:r>
      <w:r w:rsidR="004250AA" w:rsidRPr="00220275">
        <w:t>this</w:t>
      </w:r>
      <w:r w:rsidR="001309F8" w:rsidRPr="00220275">
        <w:t xml:space="preserve"> </w:t>
      </w:r>
      <w:r w:rsidR="004250AA" w:rsidRPr="00220275">
        <w:t>mandate</w:t>
      </w:r>
      <w:r w:rsidRPr="00220275">
        <w:t xml:space="preserve"> all members were </w:t>
      </w:r>
      <w:r w:rsidR="0093738F" w:rsidRPr="00220275">
        <w:t>given access to the</w:t>
      </w:r>
      <w:r w:rsidRPr="00220275">
        <w:t xml:space="preserve"> information and </w:t>
      </w:r>
      <w:r w:rsidR="0093738F" w:rsidRPr="00220275">
        <w:t xml:space="preserve">were </w:t>
      </w:r>
      <w:r w:rsidRPr="00220275">
        <w:t>able to discuss issues related to all nominations</w:t>
      </w:r>
      <w:r w:rsidR="0093738F" w:rsidRPr="00220275">
        <w:t xml:space="preserve"> (by electronic means)</w:t>
      </w:r>
      <w:r w:rsidR="005C36E1" w:rsidRPr="00B87B95">
        <w:t>.</w:t>
      </w:r>
    </w:p>
    <w:p w14:paraId="70900F38" w14:textId="53B5F0E2" w:rsidR="00207782" w:rsidRPr="00F9037E" w:rsidRDefault="007520F8" w:rsidP="009446BE">
      <w:pPr>
        <w:jc w:val="both"/>
        <w:rPr>
          <w:rFonts w:eastAsia="MS Mincho"/>
          <w:iCs/>
          <w:szCs w:val="22"/>
          <w:lang w:eastAsia="ja-JP"/>
        </w:rPr>
      </w:pPr>
      <w:r>
        <w:rPr>
          <w:iCs/>
          <w:szCs w:val="22"/>
        </w:rPr>
        <w:t xml:space="preserve">As observed for the interim recommendations, three </w:t>
      </w:r>
      <w:r w:rsidRPr="007824EB">
        <w:rPr>
          <w:iCs/>
          <w:szCs w:val="22"/>
        </w:rPr>
        <w:t>members</w:t>
      </w:r>
      <w:r>
        <w:rPr>
          <w:iCs/>
          <w:szCs w:val="22"/>
        </w:rPr>
        <w:t xml:space="preserve"> did not participate in the final </w:t>
      </w:r>
      <w:r w:rsidRPr="007824EB">
        <w:rPr>
          <w:iCs/>
          <w:szCs w:val="22"/>
        </w:rPr>
        <w:t>recommendations</w:t>
      </w:r>
      <w:r>
        <w:rPr>
          <w:iCs/>
          <w:szCs w:val="22"/>
        </w:rPr>
        <w:t xml:space="preserve"> </w:t>
      </w:r>
      <w:r w:rsidRPr="007824EB">
        <w:rPr>
          <w:iCs/>
          <w:szCs w:val="22"/>
        </w:rPr>
        <w:t>on nominations</w:t>
      </w:r>
      <w:r>
        <w:rPr>
          <w:iCs/>
          <w:szCs w:val="22"/>
        </w:rPr>
        <w:t>,</w:t>
      </w:r>
      <w:r w:rsidRPr="007824EB">
        <w:rPr>
          <w:iCs/>
          <w:szCs w:val="22"/>
        </w:rPr>
        <w:t xml:space="preserve"> as required by MBTOC’s working procedures.  These included Alejandro </w:t>
      </w:r>
      <w:proofErr w:type="spellStart"/>
      <w:r w:rsidRPr="007824EB">
        <w:rPr>
          <w:iCs/>
          <w:szCs w:val="22"/>
        </w:rPr>
        <w:t>Valeiro</w:t>
      </w:r>
      <w:proofErr w:type="spellEnd"/>
      <w:r w:rsidRPr="007824EB">
        <w:rPr>
          <w:iCs/>
          <w:szCs w:val="22"/>
        </w:rPr>
        <w:t xml:space="preserve"> (Argentina strawberry fruit and tomato), </w:t>
      </w:r>
      <w:r>
        <w:rPr>
          <w:iCs/>
          <w:szCs w:val="22"/>
        </w:rPr>
        <w:t xml:space="preserve">Cao </w:t>
      </w:r>
      <w:proofErr w:type="spellStart"/>
      <w:r>
        <w:rPr>
          <w:iCs/>
          <w:szCs w:val="22"/>
        </w:rPr>
        <w:t>Aocheng</w:t>
      </w:r>
      <w:proofErr w:type="spellEnd"/>
      <w:r>
        <w:rPr>
          <w:iCs/>
          <w:szCs w:val="22"/>
        </w:rPr>
        <w:t xml:space="preserve"> </w:t>
      </w:r>
      <w:r w:rsidRPr="007824EB">
        <w:rPr>
          <w:iCs/>
          <w:szCs w:val="22"/>
        </w:rPr>
        <w:t>(China ginger)</w:t>
      </w:r>
      <w:r>
        <w:rPr>
          <w:iCs/>
          <w:szCs w:val="22"/>
        </w:rPr>
        <w:t xml:space="preserve"> and Ian Porter (Australian s</w:t>
      </w:r>
      <w:r w:rsidRPr="007824EB">
        <w:rPr>
          <w:iCs/>
          <w:szCs w:val="22"/>
        </w:rPr>
        <w:t>trawberry</w:t>
      </w:r>
      <w:r>
        <w:rPr>
          <w:iCs/>
          <w:szCs w:val="22"/>
        </w:rPr>
        <w:t xml:space="preserve"> </w:t>
      </w:r>
      <w:r w:rsidRPr="007824EB">
        <w:rPr>
          <w:iCs/>
          <w:szCs w:val="22"/>
        </w:rPr>
        <w:t>nurseries). </w:t>
      </w:r>
      <w:r>
        <w:rPr>
          <w:iCs/>
          <w:szCs w:val="22"/>
        </w:rPr>
        <w:t>The r</w:t>
      </w:r>
      <w:r w:rsidR="004250AA" w:rsidRPr="00F9037E">
        <w:rPr>
          <w:rFonts w:eastAsia="MS Mincho"/>
          <w:iCs/>
          <w:szCs w:val="22"/>
          <w:lang w:eastAsia="ja-JP"/>
        </w:rPr>
        <w:t>ecusals took place either as a result of a member’s disclosure in observance of MBTOC's guidelines or due to a voluntary self-recusal to avoid any perceived conflict of interest.</w:t>
      </w:r>
    </w:p>
    <w:p w14:paraId="61A4D0E0" w14:textId="1EDAB418" w:rsidR="00112D11" w:rsidRPr="00F9037E" w:rsidRDefault="000F08B5" w:rsidP="006A54A1">
      <w:pPr>
        <w:pStyle w:val="Heading2"/>
        <w:rPr>
          <w:rStyle w:val="Heading311ptBoldChar"/>
        </w:rPr>
      </w:pPr>
      <w:bookmarkStart w:id="69" w:name="_Toc461183767"/>
      <w:r>
        <w:rPr>
          <w:rStyle w:val="Heading311ptBoldChar"/>
        </w:rPr>
        <w:t>3.8</w:t>
      </w:r>
      <w:r w:rsidR="00112D11" w:rsidRPr="00F9037E">
        <w:rPr>
          <w:rStyle w:val="Heading311ptBoldChar"/>
        </w:rPr>
        <w:t>.3</w:t>
      </w:r>
      <w:r w:rsidR="00112D11" w:rsidRPr="00F9037E">
        <w:rPr>
          <w:rStyle w:val="Heading311ptBoldChar"/>
        </w:rPr>
        <w:tab/>
        <w:t>Emergency</w:t>
      </w:r>
      <w:r w:rsidR="001309F8" w:rsidRPr="00F9037E">
        <w:rPr>
          <w:rStyle w:val="Heading311ptBoldChar"/>
        </w:rPr>
        <w:t xml:space="preserve"> </w:t>
      </w:r>
      <w:r w:rsidR="009D0C3D" w:rsidRPr="00F9037E">
        <w:rPr>
          <w:rStyle w:val="Heading311ptBoldChar"/>
        </w:rPr>
        <w:t>U</w:t>
      </w:r>
      <w:r w:rsidR="00112D11" w:rsidRPr="00F9037E">
        <w:rPr>
          <w:rStyle w:val="Heading311ptBoldChar"/>
        </w:rPr>
        <w:t>se</w:t>
      </w:r>
      <w:r w:rsidR="00D817FA" w:rsidRPr="00F9037E">
        <w:rPr>
          <w:rStyle w:val="Heading311ptBoldChar"/>
        </w:rPr>
        <w:t>s</w:t>
      </w:r>
      <w:r w:rsidR="001309F8" w:rsidRPr="00F9037E">
        <w:rPr>
          <w:rStyle w:val="Heading311ptBoldChar"/>
        </w:rPr>
        <w:t xml:space="preserve"> </w:t>
      </w:r>
      <w:r w:rsidR="009D0C3D" w:rsidRPr="00F9037E">
        <w:rPr>
          <w:rStyle w:val="Heading311ptBoldChar"/>
        </w:rPr>
        <w:t>R</w:t>
      </w:r>
      <w:r w:rsidR="00112D11" w:rsidRPr="00F9037E">
        <w:rPr>
          <w:rStyle w:val="Heading311ptBoldChar"/>
        </w:rPr>
        <w:t>eported by Israel</w:t>
      </w:r>
      <w:r w:rsidR="00D817FA" w:rsidRPr="00F9037E">
        <w:rPr>
          <w:rStyle w:val="Heading311ptBoldChar"/>
        </w:rPr>
        <w:t xml:space="preserve"> and Jamaica</w:t>
      </w:r>
      <w:bookmarkEnd w:id="69"/>
    </w:p>
    <w:p w14:paraId="0AEE1332" w14:textId="77777777" w:rsidR="00D817FA" w:rsidRPr="00082015" w:rsidRDefault="00D817FA" w:rsidP="001309F8">
      <w:pPr>
        <w:spacing w:after="0"/>
        <w:jc w:val="both"/>
        <w:rPr>
          <w:iCs/>
          <w:szCs w:val="22"/>
        </w:rPr>
      </w:pPr>
      <w:r w:rsidRPr="00501812">
        <w:rPr>
          <w:iCs/>
          <w:szCs w:val="22"/>
        </w:rPr>
        <w:t>As rep</w:t>
      </w:r>
      <w:r w:rsidR="00364869" w:rsidRPr="00501812">
        <w:rPr>
          <w:iCs/>
          <w:szCs w:val="22"/>
        </w:rPr>
        <w:t xml:space="preserve">orted in MBTOC’s </w:t>
      </w:r>
      <w:r w:rsidR="00364869" w:rsidRPr="003A30C7">
        <w:rPr>
          <w:iCs/>
          <w:szCs w:val="22"/>
        </w:rPr>
        <w:t>interim CUN report</w:t>
      </w:r>
      <w:r w:rsidRPr="00082015">
        <w:rPr>
          <w:iCs/>
          <w:szCs w:val="22"/>
        </w:rPr>
        <w:t xml:space="preserve">, </w:t>
      </w:r>
      <w:r w:rsidR="004C3B46" w:rsidRPr="00082015">
        <w:rPr>
          <w:iCs/>
          <w:szCs w:val="22"/>
        </w:rPr>
        <w:t xml:space="preserve">Israel has informed the Ozone Secretariat and MBTOC of an emergency use of methyl bromide in accordance with Decision IX/7 consisting of 500 kg of methyl bromide to control an infestation </w:t>
      </w:r>
      <w:r w:rsidRPr="00082015">
        <w:rPr>
          <w:iCs/>
          <w:szCs w:val="22"/>
        </w:rPr>
        <w:t>of museum artefacts, and provided information on alternatives to methyl bromide for this use (TEAP, 2016).</w:t>
      </w:r>
    </w:p>
    <w:p w14:paraId="6A631544" w14:textId="77777777" w:rsidR="00D817FA" w:rsidRPr="00F5313E" w:rsidRDefault="00D817FA" w:rsidP="00D817FA">
      <w:pPr>
        <w:spacing w:after="0"/>
        <w:jc w:val="both"/>
        <w:rPr>
          <w:iCs/>
          <w:szCs w:val="22"/>
        </w:rPr>
      </w:pPr>
    </w:p>
    <w:p w14:paraId="7633C311" w14:textId="07ACC11F" w:rsidR="004C3B46" w:rsidRDefault="00D817FA" w:rsidP="00D817FA">
      <w:pPr>
        <w:spacing w:after="0"/>
        <w:jc w:val="both"/>
        <w:rPr>
          <w:iCs/>
          <w:szCs w:val="22"/>
        </w:rPr>
      </w:pPr>
      <w:r w:rsidRPr="00220275">
        <w:rPr>
          <w:iCs/>
          <w:szCs w:val="22"/>
        </w:rPr>
        <w:t xml:space="preserve">After the OEWG, Jamaica also informed the Secretariat of an emergency use, </w:t>
      </w:r>
      <w:r w:rsidR="005468CE" w:rsidRPr="00220275">
        <w:rPr>
          <w:iCs/>
          <w:szCs w:val="22"/>
        </w:rPr>
        <w:t>of 1,500 kg of methyl bromide “for use by a flour mill for fumigation of stored commodities and fumigation of its warehouse”. The user has indicated that no suitable alternatives are available for its particular requirements. MBTOC notes that alternatives to methyl bromide f</w:t>
      </w:r>
      <w:r w:rsidR="00364869" w:rsidRPr="00220275">
        <w:rPr>
          <w:iCs/>
          <w:szCs w:val="22"/>
        </w:rPr>
        <w:t xml:space="preserve">or structures – including </w:t>
      </w:r>
      <w:r w:rsidR="00CD3CBD" w:rsidRPr="00220275">
        <w:rPr>
          <w:iCs/>
          <w:szCs w:val="22"/>
        </w:rPr>
        <w:t>flourmills</w:t>
      </w:r>
      <w:r w:rsidR="005468CE" w:rsidRPr="00220275">
        <w:rPr>
          <w:iCs/>
          <w:szCs w:val="22"/>
        </w:rPr>
        <w:t xml:space="preserve"> – and stored commodities are successfully in place around the world</w:t>
      </w:r>
      <w:r w:rsidR="00364869" w:rsidRPr="00220275">
        <w:rPr>
          <w:iCs/>
          <w:szCs w:val="22"/>
        </w:rPr>
        <w:t>.</w:t>
      </w:r>
      <w:r w:rsidR="004B1379" w:rsidRPr="00B87B95">
        <w:rPr>
          <w:iCs/>
          <w:szCs w:val="22"/>
        </w:rPr>
        <w:t xml:space="preserve"> </w:t>
      </w:r>
      <w:r w:rsidR="00364869" w:rsidRPr="00B87B95">
        <w:rPr>
          <w:iCs/>
          <w:szCs w:val="22"/>
        </w:rPr>
        <w:t xml:space="preserve">These </w:t>
      </w:r>
      <w:r w:rsidR="005468CE" w:rsidRPr="00B87B95">
        <w:rPr>
          <w:iCs/>
          <w:szCs w:val="22"/>
        </w:rPr>
        <w:t>includ</w:t>
      </w:r>
      <w:r w:rsidR="00364869" w:rsidRPr="00B87B95">
        <w:rPr>
          <w:iCs/>
          <w:szCs w:val="22"/>
        </w:rPr>
        <w:t>e</w:t>
      </w:r>
      <w:r w:rsidR="005468CE" w:rsidRPr="00563BC0">
        <w:rPr>
          <w:iCs/>
          <w:szCs w:val="22"/>
        </w:rPr>
        <w:t xml:space="preserve"> heat</w:t>
      </w:r>
      <w:r w:rsidR="00364869" w:rsidRPr="00563BC0">
        <w:rPr>
          <w:iCs/>
          <w:szCs w:val="22"/>
        </w:rPr>
        <w:t xml:space="preserve">, phosphine, </w:t>
      </w:r>
      <w:proofErr w:type="spellStart"/>
      <w:r w:rsidR="00364869" w:rsidRPr="00563BC0">
        <w:rPr>
          <w:iCs/>
          <w:szCs w:val="22"/>
        </w:rPr>
        <w:t>sulfuryl</w:t>
      </w:r>
      <w:proofErr w:type="spellEnd"/>
      <w:r w:rsidR="00364869" w:rsidRPr="00563BC0">
        <w:rPr>
          <w:iCs/>
          <w:szCs w:val="22"/>
        </w:rPr>
        <w:t xml:space="preserve"> fluoride and others, within an IPM approach. Sanitation and proper sealing are essential to the successful outcome of alternatives. MBTOC has conducted comprehensive reviews of these alternatives in its past Assessment Reports (MBTOC 2010, 2014).</w:t>
      </w:r>
    </w:p>
    <w:p w14:paraId="70288406" w14:textId="77777777" w:rsidR="00220275" w:rsidRPr="00220275" w:rsidRDefault="00220275" w:rsidP="00D817FA">
      <w:pPr>
        <w:spacing w:after="0"/>
        <w:jc w:val="both"/>
        <w:rPr>
          <w:iCs/>
          <w:szCs w:val="22"/>
        </w:rPr>
      </w:pPr>
    </w:p>
    <w:p w14:paraId="3ACF5C8F" w14:textId="77777777" w:rsidR="004C3B46" w:rsidRPr="00220275" w:rsidRDefault="004C3B46" w:rsidP="004C3B46">
      <w:pPr>
        <w:spacing w:after="0"/>
        <w:rPr>
          <w:iCs/>
          <w:szCs w:val="22"/>
        </w:rPr>
      </w:pPr>
    </w:p>
    <w:p w14:paraId="401EBDAE" w14:textId="4020FBA4" w:rsidR="008D5F24" w:rsidRPr="003655C2" w:rsidRDefault="000F08B5" w:rsidP="006A54A1">
      <w:pPr>
        <w:pStyle w:val="Heading2"/>
        <w:rPr>
          <w:rStyle w:val="Heading2Char"/>
          <w:b w:val="0"/>
        </w:rPr>
      </w:pPr>
      <w:bookmarkStart w:id="70" w:name="_Toc293054743"/>
      <w:bookmarkStart w:id="71" w:name="_Toc461183768"/>
      <w:bookmarkStart w:id="72" w:name="_Toc324255708"/>
      <w:r w:rsidRPr="003655C2">
        <w:rPr>
          <w:rStyle w:val="Heading2Char"/>
          <w:b w:val="0"/>
        </w:rPr>
        <w:t>3.9</w:t>
      </w:r>
      <w:bookmarkStart w:id="73" w:name="_Toc180663261"/>
      <w:r w:rsidR="006B71CA" w:rsidRPr="003655C2">
        <w:rPr>
          <w:rStyle w:val="Heading2Char"/>
          <w:b w:val="0"/>
        </w:rPr>
        <w:tab/>
      </w:r>
      <w:r w:rsidR="009F11A0" w:rsidRPr="003655C2">
        <w:rPr>
          <w:rStyle w:val="Heading2Char"/>
          <w:b w:val="0"/>
        </w:rPr>
        <w:t>Interim E</w:t>
      </w:r>
      <w:r w:rsidR="008D5F24" w:rsidRPr="003655C2">
        <w:rPr>
          <w:rStyle w:val="Heading2Char"/>
          <w:b w:val="0"/>
        </w:rPr>
        <w:t xml:space="preserve">valuations of </w:t>
      </w:r>
      <w:r w:rsidR="005641C1" w:rsidRPr="003655C2">
        <w:rPr>
          <w:rStyle w:val="Heading2Char"/>
          <w:b w:val="0"/>
        </w:rPr>
        <w:t xml:space="preserve">2016 </w:t>
      </w:r>
      <w:r w:rsidR="008D5F24" w:rsidRPr="003655C2">
        <w:rPr>
          <w:rStyle w:val="Heading2Char"/>
          <w:b w:val="0"/>
        </w:rPr>
        <w:t>Critical Use Nominations for Methyl Bromide for</w:t>
      </w:r>
      <w:bookmarkEnd w:id="73"/>
      <w:r w:rsidR="003F36E6" w:rsidRPr="003655C2">
        <w:rPr>
          <w:rStyle w:val="Heading2Char"/>
          <w:b w:val="0"/>
        </w:rPr>
        <w:t xml:space="preserve"> </w:t>
      </w:r>
      <w:proofErr w:type="spellStart"/>
      <w:r w:rsidR="003F36E6" w:rsidRPr="003655C2">
        <w:rPr>
          <w:rStyle w:val="Heading2Char"/>
          <w:b w:val="0"/>
        </w:rPr>
        <w:t>Preplant</w:t>
      </w:r>
      <w:proofErr w:type="spellEnd"/>
      <w:r w:rsidR="003F36E6" w:rsidRPr="003655C2">
        <w:rPr>
          <w:rStyle w:val="Heading2Char"/>
          <w:b w:val="0"/>
        </w:rPr>
        <w:t xml:space="preserve"> soil use in </w:t>
      </w:r>
      <w:r w:rsidR="005641C1" w:rsidRPr="003655C2">
        <w:rPr>
          <w:rStyle w:val="Heading2Char"/>
          <w:b w:val="0"/>
        </w:rPr>
        <w:t>2017</w:t>
      </w:r>
      <w:r w:rsidR="005220FC" w:rsidRPr="003655C2">
        <w:rPr>
          <w:rStyle w:val="Heading2Char"/>
          <w:b w:val="0"/>
        </w:rPr>
        <w:t xml:space="preserve">and </w:t>
      </w:r>
      <w:bookmarkEnd w:id="70"/>
      <w:r w:rsidR="005641C1" w:rsidRPr="003655C2">
        <w:rPr>
          <w:rStyle w:val="Heading2Char"/>
          <w:b w:val="0"/>
        </w:rPr>
        <w:t>2018</w:t>
      </w:r>
      <w:bookmarkEnd w:id="71"/>
    </w:p>
    <w:p w14:paraId="765F8CFB" w14:textId="4A4C5F17" w:rsidR="008D5F24" w:rsidRPr="00F9037E" w:rsidRDefault="000F08B5" w:rsidP="006A54A1">
      <w:pPr>
        <w:pStyle w:val="Heading2"/>
        <w:rPr>
          <w:rStyle w:val="Heading311ptBoldChar"/>
        </w:rPr>
      </w:pPr>
      <w:bookmarkStart w:id="74" w:name="_Toc293054744"/>
      <w:bookmarkStart w:id="75" w:name="_Toc461183769"/>
      <w:bookmarkEnd w:id="72"/>
      <w:r>
        <w:rPr>
          <w:rStyle w:val="Heading311ptBoldChar"/>
        </w:rPr>
        <w:t>3.9</w:t>
      </w:r>
      <w:r w:rsidR="008D5F24" w:rsidRPr="00F9037E">
        <w:rPr>
          <w:rStyle w:val="Heading311ptBoldChar"/>
        </w:rPr>
        <w:t>.</w:t>
      </w:r>
      <w:r w:rsidR="000F72B1" w:rsidRPr="00F9037E">
        <w:rPr>
          <w:rStyle w:val="Heading311ptBoldChar"/>
        </w:rPr>
        <w:t>1</w:t>
      </w:r>
      <w:r w:rsidR="008D5F24" w:rsidRPr="00F9037E">
        <w:rPr>
          <w:rStyle w:val="Heading311ptBoldChar"/>
        </w:rPr>
        <w:tab/>
      </w:r>
      <w:r w:rsidR="007E22DE" w:rsidRPr="00F9037E">
        <w:rPr>
          <w:rStyle w:val="Heading311ptBoldChar"/>
        </w:rPr>
        <w:t>Critical Use Nomination Assessment</w:t>
      </w:r>
      <w:bookmarkEnd w:id="74"/>
      <w:bookmarkEnd w:id="75"/>
    </w:p>
    <w:p w14:paraId="4AB0720B" w14:textId="3715E512" w:rsidR="008D5F24" w:rsidRDefault="000F72B1" w:rsidP="009446BE">
      <w:pPr>
        <w:jc w:val="both"/>
      </w:pPr>
      <w:r w:rsidRPr="00CD3CBD">
        <w:t xml:space="preserve">Table </w:t>
      </w:r>
      <w:r w:rsidR="00655D62" w:rsidRPr="00CD3CBD">
        <w:t>1</w:t>
      </w:r>
      <w:r w:rsidRPr="00CD3CBD">
        <w:t xml:space="preserve">.5 identifies the </w:t>
      </w:r>
      <w:r w:rsidR="00364869" w:rsidRPr="00CD3CBD">
        <w:t xml:space="preserve">final </w:t>
      </w:r>
      <w:r w:rsidRPr="00CD3CBD">
        <w:t>quantities recommended by MBTOC after consideration of all the information provided by the Parties</w:t>
      </w:r>
      <w:r w:rsidR="004701D2" w:rsidRPr="00501812">
        <w:t xml:space="preserve"> before and </w:t>
      </w:r>
      <w:r w:rsidR="005C36E1" w:rsidRPr="00501812">
        <w:t>after the OEWG.</w:t>
      </w:r>
      <w:r w:rsidR="004701D2" w:rsidRPr="003A30C7">
        <w:t xml:space="preserve"> </w:t>
      </w:r>
      <w:r w:rsidR="008D5F24" w:rsidRPr="00082015">
        <w:t>In summary</w:t>
      </w:r>
      <w:r w:rsidR="00A17009" w:rsidRPr="00082015">
        <w:t>,</w:t>
      </w:r>
      <w:r w:rsidR="00A23E4B" w:rsidRPr="00082015">
        <w:t xml:space="preserve"> </w:t>
      </w:r>
      <w:r w:rsidR="008D5F24" w:rsidRPr="00082015">
        <w:t>the Australian</w:t>
      </w:r>
      <w:r w:rsidR="004701D2" w:rsidRPr="00F5313E">
        <w:t xml:space="preserve"> </w:t>
      </w:r>
      <w:r w:rsidR="002B791D" w:rsidRPr="00220275">
        <w:t xml:space="preserve">nomination </w:t>
      </w:r>
      <w:r w:rsidR="00896B71" w:rsidRPr="00220275">
        <w:t>w</w:t>
      </w:r>
      <w:r w:rsidR="00D90513" w:rsidRPr="00220275">
        <w:t xml:space="preserve">as reduced as it was considered that an alternative was suitable for </w:t>
      </w:r>
      <w:r w:rsidR="005C36E1" w:rsidRPr="00220275">
        <w:t xml:space="preserve">a small </w:t>
      </w:r>
      <w:r w:rsidR="00D90513" w:rsidRPr="00220275">
        <w:t>part of the nomination</w:t>
      </w:r>
      <w:r w:rsidR="005220FC" w:rsidRPr="00220275">
        <w:t xml:space="preserve">. </w:t>
      </w:r>
      <w:r w:rsidR="007E0D1E" w:rsidRPr="00220275">
        <w:t xml:space="preserve">The Canadian nomination was </w:t>
      </w:r>
      <w:r w:rsidR="005C36E1" w:rsidRPr="00220275">
        <w:t xml:space="preserve">recommended in full as the Party substantiated that no alternatives </w:t>
      </w:r>
      <w:r w:rsidR="000D74CF" w:rsidRPr="00220275">
        <w:t>could</w:t>
      </w:r>
      <w:r w:rsidR="005C36E1" w:rsidRPr="00220275">
        <w:t xml:space="preserve"> be used in Prince Edward Island or </w:t>
      </w:r>
      <w:r w:rsidR="0079319F">
        <w:t xml:space="preserve">that the available alternatives </w:t>
      </w:r>
      <w:r w:rsidR="005C36E1" w:rsidRPr="00220275">
        <w:t>were unsuitable.  The Party acknowledged that a small proportion of the nomination</w:t>
      </w:r>
      <w:r w:rsidR="000D74CF" w:rsidRPr="00B87B95">
        <w:t xml:space="preserve"> (420 kg) </w:t>
      </w:r>
      <w:r w:rsidR="005C36E1" w:rsidRPr="00B87B95">
        <w:t xml:space="preserve">could </w:t>
      </w:r>
      <w:r w:rsidR="000D74CF" w:rsidRPr="00B87B95">
        <w:t>be replaced with</w:t>
      </w:r>
      <w:r w:rsidR="005C36E1" w:rsidRPr="00B87B95">
        <w:t xml:space="preserve"> substrates in the future and MBTOC anticipates that this amount will not be sought in future rounds. </w:t>
      </w:r>
      <w:r w:rsidR="005220FC" w:rsidRPr="00563BC0">
        <w:t xml:space="preserve">The Argentinean </w:t>
      </w:r>
      <w:r w:rsidR="00F52639" w:rsidRPr="00563BC0">
        <w:t>tomato</w:t>
      </w:r>
      <w:r w:rsidR="00EB7441" w:rsidRPr="00563BC0">
        <w:t xml:space="preserve"> and strawberry </w:t>
      </w:r>
      <w:r w:rsidR="002B791D" w:rsidRPr="00563BC0">
        <w:t>nominations</w:t>
      </w:r>
      <w:r w:rsidR="004701D2" w:rsidRPr="00563BC0">
        <w:t xml:space="preserve"> </w:t>
      </w:r>
      <w:r w:rsidR="00EB7441" w:rsidRPr="00563BC0">
        <w:t>were</w:t>
      </w:r>
      <w:r w:rsidR="004701D2" w:rsidRPr="00563BC0">
        <w:t xml:space="preserve"> </w:t>
      </w:r>
      <w:r w:rsidR="00F52639" w:rsidRPr="00563BC0">
        <w:t xml:space="preserve">reduced because it was considered that </w:t>
      </w:r>
      <w:r w:rsidR="005C36E1" w:rsidRPr="000F08B5">
        <w:t xml:space="preserve">emission control technologies could be used to reduce the dosage rates of MB required for </w:t>
      </w:r>
      <w:r w:rsidR="00F52639" w:rsidRPr="000F08B5">
        <w:t>the nomination</w:t>
      </w:r>
      <w:r w:rsidR="00EB7441" w:rsidRPr="000F08B5">
        <w:t>s</w:t>
      </w:r>
      <w:r w:rsidR="002C2F9B" w:rsidRPr="00365366">
        <w:t>.</w:t>
      </w:r>
      <w:r w:rsidR="005220FC" w:rsidRPr="00F9037E">
        <w:t xml:space="preserve"> The CUNs submitted by China were </w:t>
      </w:r>
      <w:r w:rsidR="005C36E1" w:rsidRPr="00F9037E">
        <w:t>not reconsidered</w:t>
      </w:r>
      <w:r w:rsidR="000D74CF" w:rsidRPr="00F9037E">
        <w:t>,</w:t>
      </w:r>
      <w:r w:rsidR="005C36E1" w:rsidRPr="00F9037E">
        <w:t xml:space="preserve"> as the Party </w:t>
      </w:r>
      <w:r w:rsidR="001D6AC6" w:rsidRPr="00F9037E">
        <w:t>did not request reassessment of the interim recommendations.</w:t>
      </w:r>
      <w:r w:rsidR="00A23E4B" w:rsidRPr="00F9037E">
        <w:t xml:space="preserve"> </w:t>
      </w:r>
      <w:r w:rsidR="000D74CF" w:rsidRPr="00F9037E">
        <w:t>D</w:t>
      </w:r>
      <w:r w:rsidR="00896B71" w:rsidRPr="00F9037E">
        <w:t>etailed descriptions</w:t>
      </w:r>
      <w:r w:rsidR="000D74CF" w:rsidRPr="00F9037E">
        <w:t xml:space="preserve"> of these assessments</w:t>
      </w:r>
      <w:r w:rsidR="00896B71" w:rsidRPr="00F9037E">
        <w:t xml:space="preserve"> can be found in Table </w:t>
      </w:r>
      <w:r w:rsidR="00655D62" w:rsidRPr="00F9037E">
        <w:t>1</w:t>
      </w:r>
      <w:r w:rsidR="006141A5" w:rsidRPr="00F9037E">
        <w:t>-5</w:t>
      </w:r>
      <w:r w:rsidR="008A56FD" w:rsidRPr="00F9037E">
        <w:t>.</w:t>
      </w:r>
    </w:p>
    <w:p w14:paraId="7DCC6C3D" w14:textId="77777777" w:rsidR="005E16D1" w:rsidRDefault="005E16D1" w:rsidP="009446BE">
      <w:pPr>
        <w:jc w:val="both"/>
      </w:pPr>
    </w:p>
    <w:p w14:paraId="26614BAF" w14:textId="77777777" w:rsidR="005E16D1" w:rsidRPr="00F9037E" w:rsidRDefault="005E16D1" w:rsidP="009446BE">
      <w:pPr>
        <w:jc w:val="both"/>
      </w:pPr>
    </w:p>
    <w:p w14:paraId="6E13E962" w14:textId="2A5A37C7" w:rsidR="008D5F24" w:rsidRPr="00563BC0" w:rsidRDefault="008D5F24" w:rsidP="003159A8">
      <w:pPr>
        <w:pStyle w:val="Tableandfigureheadings"/>
        <w:jc w:val="both"/>
      </w:pPr>
      <w:r w:rsidRPr="00220275">
        <w:lastRenderedPageBreak/>
        <w:t xml:space="preserve">Table </w:t>
      </w:r>
      <w:r w:rsidR="00655D62" w:rsidRPr="00220275">
        <w:t>1</w:t>
      </w:r>
      <w:r w:rsidRPr="00220275">
        <w:t>-5</w:t>
      </w:r>
      <w:r w:rsidR="00A639C6" w:rsidRPr="00220275">
        <w:t>.</w:t>
      </w:r>
      <w:r w:rsidRPr="00220275">
        <w:tab/>
        <w:t>Summary of the</w:t>
      </w:r>
      <w:r w:rsidR="00A23E4B" w:rsidRPr="00220275">
        <w:t xml:space="preserve"> interim </w:t>
      </w:r>
      <w:r w:rsidR="00CD3CBD" w:rsidRPr="00B87B95">
        <w:t>and final</w:t>
      </w:r>
      <w:r w:rsidR="00A23E4B" w:rsidRPr="00B87B95">
        <w:t xml:space="preserve"> </w:t>
      </w:r>
      <w:r w:rsidRPr="00B87B95">
        <w:t xml:space="preserve">recommendations (in square brackets) for CUE’s for </w:t>
      </w:r>
      <w:proofErr w:type="spellStart"/>
      <w:r w:rsidRPr="00B87B95">
        <w:t>preplant</w:t>
      </w:r>
      <w:proofErr w:type="spellEnd"/>
      <w:r w:rsidRPr="00B87B95">
        <w:t xml:space="preserve"> uses of MB (tonnes) submitted in 201</w:t>
      </w:r>
      <w:r w:rsidR="00A13EE2" w:rsidRPr="00563BC0">
        <w:t>6</w:t>
      </w:r>
      <w:r w:rsidRPr="00563BC0">
        <w:t xml:space="preserve"> for </w:t>
      </w:r>
      <w:r w:rsidRPr="00563BC0" w:rsidDel="00DE5A07">
        <w:t>201</w:t>
      </w:r>
      <w:r w:rsidR="00A13EE2" w:rsidRPr="00563BC0">
        <w:t>7</w:t>
      </w:r>
      <w:r w:rsidR="005220FC" w:rsidRPr="00563BC0">
        <w:t xml:space="preserve"> and 201</w:t>
      </w:r>
      <w:r w:rsidR="00A13EE2" w:rsidRPr="00563BC0">
        <w:t>8</w:t>
      </w:r>
    </w:p>
    <w:tbl>
      <w:tblPr>
        <w:tblpPr w:leftFromText="180" w:rightFromText="180" w:vertAnchor="text" w:tblpX="108" w:tblpY="1"/>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276"/>
        <w:gridCol w:w="1559"/>
        <w:gridCol w:w="1418"/>
        <w:gridCol w:w="1559"/>
        <w:gridCol w:w="1276"/>
      </w:tblGrid>
      <w:tr w:rsidR="001D6AC6" w:rsidRPr="00F9037E" w14:paraId="789306AE" w14:textId="77777777" w:rsidTr="0082102E">
        <w:trPr>
          <w:cantSplit/>
          <w:trHeight w:val="160"/>
        </w:trPr>
        <w:tc>
          <w:tcPr>
            <w:tcW w:w="1951" w:type="dxa"/>
            <w:vMerge w:val="restart"/>
            <w:vAlign w:val="center"/>
          </w:tcPr>
          <w:p w14:paraId="0CED4932" w14:textId="77777777" w:rsidR="001D6AC6" w:rsidRPr="00F9037E" w:rsidRDefault="001D6AC6" w:rsidP="0082102E">
            <w:pPr>
              <w:keepNext/>
              <w:keepLines/>
              <w:spacing w:after="0"/>
              <w:jc w:val="center"/>
              <w:rPr>
                <w:sz w:val="20"/>
              </w:rPr>
            </w:pPr>
            <w:r w:rsidRPr="00220275">
              <w:rPr>
                <w:b/>
                <w:bCs/>
                <w:sz w:val="20"/>
                <w:lang w:eastAsia="es-ES"/>
              </w:rPr>
              <w:t>Country and Sector</w:t>
            </w:r>
          </w:p>
        </w:tc>
        <w:tc>
          <w:tcPr>
            <w:tcW w:w="2835" w:type="dxa"/>
            <w:gridSpan w:val="2"/>
            <w:vAlign w:val="center"/>
          </w:tcPr>
          <w:p w14:paraId="061DA88F" w14:textId="77777777" w:rsidR="001D6AC6" w:rsidRPr="00082015" w:rsidRDefault="001D6AC6" w:rsidP="0082102E">
            <w:pPr>
              <w:keepNext/>
              <w:keepLines/>
              <w:spacing w:after="0"/>
              <w:jc w:val="center"/>
              <w:rPr>
                <w:b/>
                <w:bCs/>
                <w:sz w:val="20"/>
                <w:lang w:eastAsia="es-ES"/>
              </w:rPr>
            </w:pPr>
            <w:r w:rsidRPr="00082015">
              <w:rPr>
                <w:b/>
                <w:bCs/>
                <w:sz w:val="20"/>
                <w:lang w:eastAsia="es-ES"/>
              </w:rPr>
              <w:t>Article 5 Parties</w:t>
            </w:r>
          </w:p>
        </w:tc>
        <w:tc>
          <w:tcPr>
            <w:tcW w:w="2977" w:type="dxa"/>
            <w:gridSpan w:val="2"/>
            <w:vAlign w:val="center"/>
          </w:tcPr>
          <w:p w14:paraId="3AD81B90" w14:textId="77777777" w:rsidR="001D6AC6" w:rsidRPr="00F5313E" w:rsidRDefault="001D6AC6" w:rsidP="0082102E">
            <w:pPr>
              <w:keepNext/>
              <w:keepLines/>
              <w:spacing w:after="0"/>
              <w:jc w:val="center"/>
              <w:rPr>
                <w:b/>
                <w:bCs/>
                <w:sz w:val="20"/>
                <w:lang w:eastAsia="es-ES"/>
              </w:rPr>
            </w:pPr>
            <w:r w:rsidRPr="00F5313E">
              <w:rPr>
                <w:b/>
                <w:bCs/>
                <w:sz w:val="20"/>
                <w:lang w:eastAsia="es-ES"/>
              </w:rPr>
              <w:t>Non A5 Parties</w:t>
            </w:r>
          </w:p>
        </w:tc>
        <w:tc>
          <w:tcPr>
            <w:tcW w:w="1276" w:type="dxa"/>
          </w:tcPr>
          <w:p w14:paraId="0FA64433" w14:textId="77777777" w:rsidR="001D6AC6" w:rsidRPr="00220275" w:rsidRDefault="001D6AC6" w:rsidP="0082102E">
            <w:pPr>
              <w:keepNext/>
              <w:keepLines/>
              <w:spacing w:after="0"/>
              <w:jc w:val="center"/>
              <w:rPr>
                <w:b/>
                <w:bCs/>
                <w:sz w:val="20"/>
                <w:lang w:eastAsia="es-ES"/>
              </w:rPr>
            </w:pPr>
            <w:r w:rsidRPr="00220275">
              <w:rPr>
                <w:b/>
                <w:bCs/>
                <w:sz w:val="20"/>
                <w:lang w:eastAsia="es-ES"/>
              </w:rPr>
              <w:t>Final Recommendation</w:t>
            </w:r>
          </w:p>
        </w:tc>
      </w:tr>
      <w:tr w:rsidR="001D6AC6" w:rsidRPr="00F9037E" w14:paraId="45DA6642" w14:textId="77777777" w:rsidTr="0082102E">
        <w:trPr>
          <w:cantSplit/>
          <w:trHeight w:val="160"/>
        </w:trPr>
        <w:tc>
          <w:tcPr>
            <w:tcW w:w="1951" w:type="dxa"/>
            <w:vMerge/>
            <w:vAlign w:val="center"/>
          </w:tcPr>
          <w:p w14:paraId="3B743D38" w14:textId="77777777" w:rsidR="001D6AC6" w:rsidRPr="00F9037E" w:rsidRDefault="001D6AC6" w:rsidP="0082102E">
            <w:pPr>
              <w:keepNext/>
              <w:keepLines/>
              <w:spacing w:after="0"/>
              <w:jc w:val="center"/>
              <w:rPr>
                <w:b/>
                <w:bCs/>
                <w:sz w:val="20"/>
                <w:lang w:eastAsia="es-ES"/>
              </w:rPr>
            </w:pPr>
          </w:p>
        </w:tc>
        <w:tc>
          <w:tcPr>
            <w:tcW w:w="1276" w:type="dxa"/>
            <w:vAlign w:val="center"/>
          </w:tcPr>
          <w:p w14:paraId="755D587E" w14:textId="77777777" w:rsidR="001D6AC6" w:rsidRPr="00220275" w:rsidRDefault="001D6AC6" w:rsidP="0082102E">
            <w:pPr>
              <w:keepNext/>
              <w:keepLines/>
              <w:spacing w:after="0"/>
              <w:jc w:val="center"/>
              <w:rPr>
                <w:b/>
                <w:bCs/>
                <w:sz w:val="20"/>
                <w:lang w:eastAsia="es-ES"/>
              </w:rPr>
            </w:pPr>
            <w:r w:rsidRPr="000F08B5">
              <w:rPr>
                <w:b/>
                <w:bCs/>
                <w:sz w:val="20"/>
                <w:lang w:eastAsia="es-ES"/>
              </w:rPr>
              <w:t xml:space="preserve">Nomination by Party for </w:t>
            </w:r>
            <w:r w:rsidRPr="00220275">
              <w:rPr>
                <w:b/>
                <w:bCs/>
                <w:sz w:val="20"/>
                <w:lang w:eastAsia="es-ES"/>
              </w:rPr>
              <w:t>2017</w:t>
            </w:r>
          </w:p>
        </w:tc>
        <w:tc>
          <w:tcPr>
            <w:tcW w:w="1559" w:type="dxa"/>
            <w:vAlign w:val="center"/>
          </w:tcPr>
          <w:p w14:paraId="1918E119" w14:textId="77777777" w:rsidR="001D6AC6" w:rsidRPr="00B87B95" w:rsidRDefault="001D6AC6" w:rsidP="0082102E">
            <w:pPr>
              <w:keepNext/>
              <w:keepLines/>
              <w:spacing w:after="0"/>
              <w:jc w:val="center"/>
              <w:rPr>
                <w:b/>
                <w:bCs/>
                <w:sz w:val="20"/>
                <w:lang w:eastAsia="es-ES"/>
              </w:rPr>
            </w:pPr>
            <w:r w:rsidRPr="00220275">
              <w:rPr>
                <w:b/>
                <w:bCs/>
                <w:sz w:val="20"/>
                <w:lang w:eastAsia="es-ES"/>
              </w:rPr>
              <w:t>Interim Rec.</w:t>
            </w:r>
            <w:r w:rsidR="004B1379" w:rsidRPr="00220275">
              <w:rPr>
                <w:b/>
                <w:bCs/>
                <w:sz w:val="20"/>
                <w:lang w:eastAsia="es-ES"/>
              </w:rPr>
              <w:t xml:space="preserve"> </w:t>
            </w:r>
            <w:r w:rsidRPr="00220275">
              <w:rPr>
                <w:b/>
                <w:bCs/>
                <w:sz w:val="20"/>
                <w:lang w:eastAsia="es-ES"/>
              </w:rPr>
              <w:t>for 2017</w:t>
            </w:r>
            <w:r w:rsidR="00A23E4B" w:rsidRPr="00220275">
              <w:rPr>
                <w:b/>
                <w:bCs/>
                <w:sz w:val="20"/>
                <w:lang w:eastAsia="es-ES"/>
              </w:rPr>
              <w:t xml:space="preserve"> use</w:t>
            </w:r>
          </w:p>
        </w:tc>
        <w:tc>
          <w:tcPr>
            <w:tcW w:w="1418" w:type="dxa"/>
            <w:vAlign w:val="center"/>
          </w:tcPr>
          <w:p w14:paraId="6A80315B" w14:textId="77777777" w:rsidR="001D6AC6" w:rsidRPr="00B87B95" w:rsidRDefault="001D6AC6" w:rsidP="0082102E">
            <w:pPr>
              <w:keepNext/>
              <w:keepLines/>
              <w:spacing w:after="0"/>
              <w:jc w:val="center"/>
              <w:rPr>
                <w:b/>
                <w:bCs/>
                <w:sz w:val="20"/>
                <w:lang w:eastAsia="es-ES"/>
              </w:rPr>
            </w:pPr>
            <w:r w:rsidRPr="00B87B95">
              <w:rPr>
                <w:b/>
                <w:bCs/>
                <w:sz w:val="20"/>
                <w:lang w:eastAsia="es-ES"/>
              </w:rPr>
              <w:t>Nomination by the Party for 2018</w:t>
            </w:r>
          </w:p>
        </w:tc>
        <w:tc>
          <w:tcPr>
            <w:tcW w:w="1559" w:type="dxa"/>
            <w:vAlign w:val="center"/>
          </w:tcPr>
          <w:p w14:paraId="52F24F84" w14:textId="77777777" w:rsidR="001D6AC6" w:rsidRPr="00563BC0" w:rsidRDefault="001D6AC6" w:rsidP="0082102E">
            <w:pPr>
              <w:keepNext/>
              <w:keepLines/>
              <w:spacing w:after="0"/>
              <w:jc w:val="center"/>
              <w:rPr>
                <w:b/>
                <w:bCs/>
                <w:sz w:val="20"/>
                <w:lang w:eastAsia="es-ES"/>
              </w:rPr>
            </w:pPr>
            <w:r w:rsidRPr="00563BC0">
              <w:rPr>
                <w:b/>
                <w:bCs/>
                <w:sz w:val="20"/>
                <w:lang w:eastAsia="es-ES"/>
              </w:rPr>
              <w:t>Interim Rec. for 2018</w:t>
            </w:r>
            <w:r w:rsidR="00A23E4B" w:rsidRPr="00563BC0">
              <w:rPr>
                <w:b/>
                <w:bCs/>
                <w:sz w:val="20"/>
                <w:lang w:eastAsia="es-ES"/>
              </w:rPr>
              <w:t xml:space="preserve"> use</w:t>
            </w:r>
          </w:p>
        </w:tc>
        <w:tc>
          <w:tcPr>
            <w:tcW w:w="1276" w:type="dxa"/>
          </w:tcPr>
          <w:p w14:paraId="34E16487" w14:textId="77777777" w:rsidR="001D6AC6" w:rsidRPr="00563BC0" w:rsidRDefault="001D6AC6" w:rsidP="0082102E">
            <w:pPr>
              <w:keepNext/>
              <w:keepLines/>
              <w:spacing w:after="0"/>
              <w:jc w:val="center"/>
              <w:rPr>
                <w:b/>
                <w:bCs/>
                <w:sz w:val="20"/>
                <w:lang w:eastAsia="es-ES"/>
              </w:rPr>
            </w:pPr>
          </w:p>
        </w:tc>
      </w:tr>
      <w:tr w:rsidR="001D6AC6" w:rsidRPr="00F9037E" w14:paraId="6E1FC3E8" w14:textId="77777777" w:rsidTr="0082102E">
        <w:trPr>
          <w:cantSplit/>
          <w:trHeight w:val="585"/>
        </w:trPr>
        <w:tc>
          <w:tcPr>
            <w:tcW w:w="1951" w:type="dxa"/>
          </w:tcPr>
          <w:p w14:paraId="6691DC4C" w14:textId="77777777" w:rsidR="001D6AC6" w:rsidRPr="00F9037E" w:rsidRDefault="001D6AC6" w:rsidP="0082102E">
            <w:pPr>
              <w:keepNext/>
              <w:keepLines/>
              <w:spacing w:after="60"/>
              <w:rPr>
                <w:b/>
                <w:bCs/>
                <w:sz w:val="20"/>
                <w:lang w:eastAsia="es-ES"/>
              </w:rPr>
            </w:pPr>
            <w:r w:rsidRPr="00F9037E">
              <w:rPr>
                <w:sz w:val="20"/>
                <w:lang w:eastAsia="es-ES"/>
              </w:rPr>
              <w:t xml:space="preserve">1. </w:t>
            </w:r>
            <w:r w:rsidRPr="00F9037E">
              <w:rPr>
                <w:b/>
                <w:bCs/>
                <w:sz w:val="20"/>
                <w:lang w:eastAsia="es-ES"/>
              </w:rPr>
              <w:t>Australia</w:t>
            </w:r>
          </w:p>
          <w:p w14:paraId="04BD4626" w14:textId="77777777" w:rsidR="001D6AC6" w:rsidRPr="00F9037E" w:rsidRDefault="001D6AC6" w:rsidP="0082102E">
            <w:pPr>
              <w:keepNext/>
              <w:keepLines/>
              <w:spacing w:after="60"/>
              <w:ind w:left="180"/>
              <w:rPr>
                <w:sz w:val="20"/>
                <w:lang w:eastAsia="es-ES"/>
              </w:rPr>
            </w:pPr>
            <w:r w:rsidRPr="00F9037E">
              <w:rPr>
                <w:sz w:val="20"/>
                <w:lang w:eastAsia="es-ES"/>
              </w:rPr>
              <w:t>Strawberry runners</w:t>
            </w:r>
          </w:p>
        </w:tc>
        <w:tc>
          <w:tcPr>
            <w:tcW w:w="1276" w:type="dxa"/>
            <w:vAlign w:val="center"/>
          </w:tcPr>
          <w:p w14:paraId="6C38E0EA" w14:textId="77777777" w:rsidR="001D6AC6" w:rsidRPr="00F9037E" w:rsidRDefault="001D6AC6" w:rsidP="0082102E">
            <w:pPr>
              <w:keepNext/>
              <w:keepLines/>
              <w:spacing w:after="60"/>
              <w:jc w:val="center"/>
              <w:rPr>
                <w:b/>
                <w:bCs/>
                <w:sz w:val="20"/>
                <w:lang w:eastAsia="es-ES"/>
              </w:rPr>
            </w:pPr>
          </w:p>
        </w:tc>
        <w:tc>
          <w:tcPr>
            <w:tcW w:w="1559" w:type="dxa"/>
            <w:vAlign w:val="center"/>
          </w:tcPr>
          <w:p w14:paraId="5D196B4A" w14:textId="77777777" w:rsidR="001D6AC6" w:rsidRPr="00F9037E" w:rsidRDefault="001D6AC6" w:rsidP="0082102E">
            <w:pPr>
              <w:keepNext/>
              <w:keepLines/>
              <w:spacing w:after="60"/>
              <w:jc w:val="center"/>
              <w:rPr>
                <w:b/>
                <w:bCs/>
                <w:sz w:val="20"/>
                <w:lang w:eastAsia="es-ES"/>
              </w:rPr>
            </w:pPr>
          </w:p>
        </w:tc>
        <w:tc>
          <w:tcPr>
            <w:tcW w:w="1418" w:type="dxa"/>
            <w:vAlign w:val="center"/>
          </w:tcPr>
          <w:p w14:paraId="3335E082" w14:textId="77777777" w:rsidR="001D6AC6" w:rsidRPr="00F9037E" w:rsidRDefault="001D6AC6" w:rsidP="0082102E">
            <w:pPr>
              <w:keepNext/>
              <w:keepLines/>
              <w:spacing w:after="60"/>
              <w:jc w:val="center"/>
              <w:rPr>
                <w:b/>
                <w:bCs/>
                <w:sz w:val="20"/>
                <w:lang w:eastAsia="es-ES"/>
              </w:rPr>
            </w:pPr>
          </w:p>
          <w:p w14:paraId="34F2A0E9" w14:textId="77777777" w:rsidR="001D6AC6" w:rsidRPr="00F9037E" w:rsidRDefault="001D6AC6" w:rsidP="0082102E">
            <w:pPr>
              <w:keepNext/>
              <w:keepLines/>
              <w:spacing w:after="60"/>
              <w:jc w:val="center"/>
              <w:rPr>
                <w:b/>
                <w:bCs/>
                <w:sz w:val="20"/>
                <w:lang w:eastAsia="es-ES"/>
              </w:rPr>
            </w:pPr>
            <w:r w:rsidRPr="00F9037E">
              <w:rPr>
                <w:b/>
                <w:bCs/>
                <w:sz w:val="20"/>
                <w:lang w:eastAsia="es-ES"/>
              </w:rPr>
              <w:t>29.76</w:t>
            </w:r>
          </w:p>
        </w:tc>
        <w:tc>
          <w:tcPr>
            <w:tcW w:w="1559" w:type="dxa"/>
            <w:vAlign w:val="center"/>
          </w:tcPr>
          <w:p w14:paraId="5B13E1A3" w14:textId="77777777" w:rsidR="001D6AC6" w:rsidRPr="00F9037E" w:rsidRDefault="001D6AC6" w:rsidP="0082102E">
            <w:pPr>
              <w:keepNext/>
              <w:keepLines/>
              <w:spacing w:after="60"/>
              <w:jc w:val="center"/>
              <w:rPr>
                <w:b/>
                <w:bCs/>
                <w:sz w:val="20"/>
                <w:lang w:eastAsia="es-ES"/>
              </w:rPr>
            </w:pPr>
          </w:p>
          <w:p w14:paraId="24C3FFA3" w14:textId="77777777" w:rsidR="001D6AC6" w:rsidRPr="00F9037E" w:rsidRDefault="001D6AC6" w:rsidP="0082102E">
            <w:pPr>
              <w:keepNext/>
              <w:keepLines/>
              <w:spacing w:after="60"/>
              <w:jc w:val="center"/>
              <w:rPr>
                <w:b/>
                <w:bCs/>
                <w:sz w:val="20"/>
                <w:lang w:eastAsia="es-ES"/>
              </w:rPr>
            </w:pPr>
            <w:r w:rsidRPr="00F9037E">
              <w:rPr>
                <w:b/>
                <w:bCs/>
                <w:sz w:val="20"/>
                <w:lang w:eastAsia="es-ES"/>
              </w:rPr>
              <w:t>[25.266]</w:t>
            </w:r>
          </w:p>
        </w:tc>
        <w:tc>
          <w:tcPr>
            <w:tcW w:w="1276" w:type="dxa"/>
          </w:tcPr>
          <w:p w14:paraId="0E32C664" w14:textId="77777777" w:rsidR="001D6AC6" w:rsidRPr="00F9037E" w:rsidRDefault="001D6AC6" w:rsidP="0082102E">
            <w:pPr>
              <w:keepNext/>
              <w:keepLines/>
              <w:spacing w:after="60"/>
              <w:jc w:val="center"/>
              <w:rPr>
                <w:b/>
                <w:bCs/>
                <w:sz w:val="20"/>
                <w:lang w:eastAsia="es-ES"/>
              </w:rPr>
            </w:pPr>
          </w:p>
          <w:p w14:paraId="4CF1AA51" w14:textId="77777777" w:rsidR="001D6AC6" w:rsidRPr="00F9037E" w:rsidRDefault="001D6AC6" w:rsidP="0082102E">
            <w:pPr>
              <w:keepNext/>
              <w:keepLines/>
              <w:spacing w:after="60"/>
              <w:jc w:val="center"/>
              <w:rPr>
                <w:b/>
                <w:bCs/>
                <w:sz w:val="20"/>
                <w:lang w:eastAsia="es-ES"/>
              </w:rPr>
            </w:pPr>
            <w:r w:rsidRPr="00F9037E">
              <w:rPr>
                <w:b/>
                <w:bCs/>
                <w:sz w:val="20"/>
                <w:lang w:eastAsia="es-ES"/>
              </w:rPr>
              <w:t>[29.73]</w:t>
            </w:r>
          </w:p>
        </w:tc>
      </w:tr>
      <w:tr w:rsidR="001D6AC6" w:rsidRPr="00F9037E" w14:paraId="7E028ECA" w14:textId="77777777" w:rsidTr="0082102E">
        <w:trPr>
          <w:cantSplit/>
          <w:trHeight w:val="506"/>
        </w:trPr>
        <w:tc>
          <w:tcPr>
            <w:tcW w:w="1951" w:type="dxa"/>
          </w:tcPr>
          <w:p w14:paraId="53AB9D5B" w14:textId="77777777" w:rsidR="001D6AC6" w:rsidRPr="00F9037E" w:rsidRDefault="001D6AC6" w:rsidP="0082102E">
            <w:pPr>
              <w:keepNext/>
              <w:keepLines/>
              <w:spacing w:after="60"/>
              <w:rPr>
                <w:b/>
                <w:bCs/>
                <w:sz w:val="20"/>
                <w:lang w:eastAsia="es-ES"/>
              </w:rPr>
            </w:pPr>
            <w:r w:rsidRPr="00F9037E">
              <w:rPr>
                <w:sz w:val="20"/>
                <w:lang w:eastAsia="es-ES"/>
              </w:rPr>
              <w:t xml:space="preserve">2. </w:t>
            </w:r>
            <w:r w:rsidRPr="00F9037E">
              <w:rPr>
                <w:b/>
                <w:bCs/>
                <w:sz w:val="20"/>
                <w:lang w:eastAsia="es-ES"/>
              </w:rPr>
              <w:t>Canada</w:t>
            </w:r>
          </w:p>
          <w:p w14:paraId="79C0927B" w14:textId="77777777" w:rsidR="001D6AC6" w:rsidRPr="00F9037E" w:rsidRDefault="001D6AC6" w:rsidP="0082102E">
            <w:pPr>
              <w:keepNext/>
              <w:keepLines/>
              <w:spacing w:after="60"/>
              <w:ind w:left="180"/>
              <w:rPr>
                <w:sz w:val="20"/>
                <w:lang w:eastAsia="es-ES"/>
              </w:rPr>
            </w:pPr>
            <w:r w:rsidRPr="00F9037E">
              <w:rPr>
                <w:sz w:val="20"/>
                <w:lang w:eastAsia="es-ES"/>
              </w:rPr>
              <w:t>Strawberry runners</w:t>
            </w:r>
          </w:p>
        </w:tc>
        <w:tc>
          <w:tcPr>
            <w:tcW w:w="1276" w:type="dxa"/>
            <w:vAlign w:val="center"/>
          </w:tcPr>
          <w:p w14:paraId="6BC0847F" w14:textId="77777777" w:rsidR="001D6AC6" w:rsidRPr="00F9037E" w:rsidRDefault="001D6AC6" w:rsidP="0082102E">
            <w:pPr>
              <w:keepNext/>
              <w:keepLines/>
              <w:spacing w:after="60"/>
              <w:jc w:val="center"/>
              <w:rPr>
                <w:b/>
                <w:bCs/>
                <w:sz w:val="20"/>
                <w:lang w:eastAsia="es-ES"/>
              </w:rPr>
            </w:pPr>
          </w:p>
          <w:p w14:paraId="53A7FA3D" w14:textId="77777777" w:rsidR="001D6AC6" w:rsidRPr="00F9037E" w:rsidRDefault="001D6AC6" w:rsidP="0082102E">
            <w:pPr>
              <w:keepNext/>
              <w:keepLines/>
              <w:spacing w:after="60"/>
              <w:jc w:val="center"/>
              <w:rPr>
                <w:b/>
                <w:bCs/>
                <w:sz w:val="20"/>
                <w:lang w:eastAsia="es-ES"/>
              </w:rPr>
            </w:pPr>
            <w:r w:rsidRPr="00F9037E">
              <w:rPr>
                <w:b/>
                <w:bCs/>
                <w:sz w:val="20"/>
                <w:lang w:eastAsia="es-ES"/>
              </w:rPr>
              <w:t>5.261</w:t>
            </w:r>
          </w:p>
        </w:tc>
        <w:tc>
          <w:tcPr>
            <w:tcW w:w="1559" w:type="dxa"/>
            <w:vAlign w:val="center"/>
          </w:tcPr>
          <w:p w14:paraId="6E37EAF9" w14:textId="77777777" w:rsidR="001D6AC6" w:rsidRPr="00F9037E" w:rsidRDefault="001D6AC6" w:rsidP="0082102E">
            <w:pPr>
              <w:keepNext/>
              <w:keepLines/>
              <w:spacing w:after="60"/>
              <w:jc w:val="center"/>
              <w:rPr>
                <w:b/>
                <w:bCs/>
                <w:sz w:val="20"/>
                <w:lang w:eastAsia="es-ES"/>
              </w:rPr>
            </w:pPr>
          </w:p>
          <w:p w14:paraId="723E331D" w14:textId="77777777" w:rsidR="001D6AC6" w:rsidRPr="00F9037E" w:rsidRDefault="001D6AC6" w:rsidP="0082102E">
            <w:pPr>
              <w:keepNext/>
              <w:keepLines/>
              <w:spacing w:after="60"/>
              <w:jc w:val="center"/>
              <w:rPr>
                <w:b/>
                <w:bCs/>
                <w:sz w:val="20"/>
                <w:lang w:eastAsia="es-ES"/>
              </w:rPr>
            </w:pPr>
            <w:r w:rsidRPr="00F9037E">
              <w:rPr>
                <w:b/>
                <w:bCs/>
                <w:sz w:val="20"/>
                <w:lang w:eastAsia="es-ES"/>
              </w:rPr>
              <w:t>[Unable]</w:t>
            </w:r>
          </w:p>
        </w:tc>
        <w:tc>
          <w:tcPr>
            <w:tcW w:w="1418" w:type="dxa"/>
            <w:vAlign w:val="center"/>
          </w:tcPr>
          <w:p w14:paraId="573BC5A9" w14:textId="77777777" w:rsidR="001D6AC6" w:rsidRPr="00F9037E" w:rsidRDefault="001D6AC6" w:rsidP="0082102E">
            <w:pPr>
              <w:keepNext/>
              <w:keepLines/>
              <w:spacing w:after="60"/>
              <w:jc w:val="center"/>
              <w:rPr>
                <w:b/>
                <w:bCs/>
                <w:sz w:val="20"/>
                <w:lang w:eastAsia="es-ES"/>
              </w:rPr>
            </w:pPr>
          </w:p>
        </w:tc>
        <w:tc>
          <w:tcPr>
            <w:tcW w:w="1559" w:type="dxa"/>
            <w:vAlign w:val="center"/>
          </w:tcPr>
          <w:p w14:paraId="2B1AD46A" w14:textId="77777777" w:rsidR="001D6AC6" w:rsidRPr="00F9037E" w:rsidRDefault="001D6AC6" w:rsidP="0082102E">
            <w:pPr>
              <w:keepNext/>
              <w:keepLines/>
              <w:spacing w:after="60"/>
              <w:jc w:val="center"/>
              <w:rPr>
                <w:b/>
                <w:bCs/>
                <w:sz w:val="20"/>
                <w:lang w:eastAsia="es-ES"/>
              </w:rPr>
            </w:pPr>
          </w:p>
        </w:tc>
        <w:tc>
          <w:tcPr>
            <w:tcW w:w="1276" w:type="dxa"/>
          </w:tcPr>
          <w:p w14:paraId="3F53AF30" w14:textId="77777777" w:rsidR="001D6AC6" w:rsidRPr="00F9037E" w:rsidRDefault="001D6AC6" w:rsidP="0082102E">
            <w:pPr>
              <w:keepNext/>
              <w:keepLines/>
              <w:spacing w:after="60"/>
              <w:jc w:val="center"/>
              <w:rPr>
                <w:b/>
                <w:bCs/>
                <w:sz w:val="20"/>
                <w:lang w:eastAsia="es-ES"/>
              </w:rPr>
            </w:pPr>
          </w:p>
          <w:p w14:paraId="0874A5A0" w14:textId="77777777" w:rsidR="001D6AC6" w:rsidRPr="00F9037E" w:rsidRDefault="001D6AC6" w:rsidP="0082102E">
            <w:pPr>
              <w:keepNext/>
              <w:keepLines/>
              <w:spacing w:after="60"/>
              <w:jc w:val="center"/>
              <w:rPr>
                <w:b/>
                <w:bCs/>
                <w:sz w:val="20"/>
                <w:lang w:eastAsia="es-ES"/>
              </w:rPr>
            </w:pPr>
            <w:r w:rsidRPr="00F9037E">
              <w:rPr>
                <w:b/>
                <w:bCs/>
                <w:sz w:val="20"/>
                <w:lang w:eastAsia="es-ES"/>
              </w:rPr>
              <w:t>[5.261]</w:t>
            </w:r>
          </w:p>
        </w:tc>
      </w:tr>
      <w:tr w:rsidR="001D6AC6" w:rsidRPr="00F9037E" w14:paraId="697DE2C0" w14:textId="77777777" w:rsidTr="0082102E">
        <w:trPr>
          <w:cantSplit/>
          <w:trHeight w:val="680"/>
        </w:trPr>
        <w:tc>
          <w:tcPr>
            <w:tcW w:w="1951" w:type="dxa"/>
          </w:tcPr>
          <w:p w14:paraId="432CC6E8" w14:textId="77777777" w:rsidR="001D6AC6" w:rsidRPr="00F9037E" w:rsidRDefault="001D6AC6" w:rsidP="0082102E">
            <w:pPr>
              <w:keepNext/>
              <w:keepLines/>
              <w:spacing w:after="60"/>
              <w:rPr>
                <w:b/>
                <w:sz w:val="20"/>
                <w:lang w:eastAsia="es-ES"/>
              </w:rPr>
            </w:pPr>
            <w:r w:rsidRPr="00F9037E">
              <w:rPr>
                <w:b/>
                <w:sz w:val="20"/>
                <w:lang w:eastAsia="es-ES"/>
              </w:rPr>
              <w:t>3. Argentina</w:t>
            </w:r>
          </w:p>
          <w:p w14:paraId="27D77EEF" w14:textId="77777777" w:rsidR="001D6AC6" w:rsidRPr="00F9037E" w:rsidRDefault="001D6AC6" w:rsidP="0082102E">
            <w:pPr>
              <w:keepNext/>
              <w:keepLines/>
              <w:spacing w:after="60"/>
              <w:rPr>
                <w:sz w:val="20"/>
                <w:lang w:eastAsia="es-ES"/>
              </w:rPr>
            </w:pPr>
            <w:r w:rsidRPr="00F9037E">
              <w:rPr>
                <w:sz w:val="20"/>
                <w:lang w:eastAsia="es-ES"/>
              </w:rPr>
              <w:t xml:space="preserve">   Tomato </w:t>
            </w:r>
          </w:p>
          <w:p w14:paraId="112D69B3" w14:textId="77777777" w:rsidR="001D6AC6" w:rsidRPr="00F9037E" w:rsidRDefault="001D6AC6" w:rsidP="0082102E">
            <w:pPr>
              <w:keepNext/>
              <w:keepLines/>
              <w:spacing w:after="60"/>
              <w:rPr>
                <w:sz w:val="20"/>
                <w:lang w:eastAsia="es-ES"/>
              </w:rPr>
            </w:pPr>
            <w:r w:rsidRPr="00F9037E">
              <w:rPr>
                <w:sz w:val="20"/>
                <w:lang w:eastAsia="es-ES"/>
              </w:rPr>
              <w:t xml:space="preserve">   Strawberry fruit</w:t>
            </w:r>
          </w:p>
        </w:tc>
        <w:tc>
          <w:tcPr>
            <w:tcW w:w="1276" w:type="dxa"/>
            <w:vAlign w:val="center"/>
          </w:tcPr>
          <w:p w14:paraId="163CA776" w14:textId="77777777" w:rsidR="001D6AC6" w:rsidRPr="00F9037E" w:rsidRDefault="001D6AC6" w:rsidP="0082102E">
            <w:pPr>
              <w:keepNext/>
              <w:keepLines/>
              <w:spacing w:after="60"/>
              <w:jc w:val="center"/>
              <w:rPr>
                <w:sz w:val="20"/>
                <w:lang w:eastAsia="es-ES"/>
              </w:rPr>
            </w:pPr>
          </w:p>
          <w:p w14:paraId="2FF10C85" w14:textId="77777777" w:rsidR="001D6AC6" w:rsidRPr="00F9037E" w:rsidRDefault="001D6AC6" w:rsidP="0082102E">
            <w:pPr>
              <w:keepNext/>
              <w:keepLines/>
              <w:spacing w:after="60"/>
              <w:jc w:val="center"/>
              <w:rPr>
                <w:b/>
                <w:sz w:val="20"/>
                <w:lang w:eastAsia="es-ES"/>
              </w:rPr>
            </w:pPr>
            <w:r w:rsidRPr="00F9037E">
              <w:rPr>
                <w:b/>
                <w:sz w:val="20"/>
                <w:lang w:eastAsia="es-ES"/>
              </w:rPr>
              <w:t>75.0</w:t>
            </w:r>
          </w:p>
          <w:p w14:paraId="4D7A1C10" w14:textId="77777777" w:rsidR="001D6AC6" w:rsidRPr="00F9037E" w:rsidRDefault="001D6AC6" w:rsidP="0082102E">
            <w:pPr>
              <w:keepNext/>
              <w:keepLines/>
              <w:spacing w:after="60"/>
              <w:jc w:val="center"/>
              <w:rPr>
                <w:sz w:val="20"/>
                <w:lang w:eastAsia="es-ES"/>
              </w:rPr>
            </w:pPr>
            <w:r w:rsidRPr="00F9037E">
              <w:rPr>
                <w:b/>
                <w:sz w:val="20"/>
                <w:lang w:eastAsia="es-ES"/>
              </w:rPr>
              <w:t>45.3</w:t>
            </w:r>
          </w:p>
        </w:tc>
        <w:tc>
          <w:tcPr>
            <w:tcW w:w="1559" w:type="dxa"/>
            <w:vAlign w:val="center"/>
          </w:tcPr>
          <w:p w14:paraId="6093722B" w14:textId="77777777" w:rsidR="001D6AC6" w:rsidRPr="00F9037E" w:rsidRDefault="001D6AC6" w:rsidP="0082102E">
            <w:pPr>
              <w:keepNext/>
              <w:keepLines/>
              <w:spacing w:after="60"/>
              <w:jc w:val="center"/>
              <w:rPr>
                <w:sz w:val="20"/>
                <w:lang w:eastAsia="es-ES"/>
              </w:rPr>
            </w:pPr>
          </w:p>
          <w:p w14:paraId="138FCC17" w14:textId="77777777" w:rsidR="001D6AC6" w:rsidRPr="00F9037E" w:rsidRDefault="001D6AC6" w:rsidP="0082102E">
            <w:pPr>
              <w:keepNext/>
              <w:keepLines/>
              <w:spacing w:after="60"/>
              <w:jc w:val="center"/>
              <w:rPr>
                <w:b/>
                <w:sz w:val="20"/>
                <w:lang w:eastAsia="es-ES"/>
              </w:rPr>
            </w:pPr>
            <w:r w:rsidRPr="00F9037E">
              <w:rPr>
                <w:b/>
                <w:sz w:val="20"/>
                <w:lang w:eastAsia="es-ES"/>
              </w:rPr>
              <w:t>[59.45]</w:t>
            </w:r>
          </w:p>
          <w:p w14:paraId="0E955A7C" w14:textId="77777777" w:rsidR="001D6AC6" w:rsidRPr="00F9037E" w:rsidRDefault="001D6AC6" w:rsidP="0082102E">
            <w:pPr>
              <w:keepNext/>
              <w:keepLines/>
              <w:spacing w:after="60"/>
              <w:jc w:val="center"/>
              <w:rPr>
                <w:sz w:val="20"/>
                <w:lang w:eastAsia="es-ES"/>
              </w:rPr>
            </w:pPr>
            <w:r w:rsidRPr="00F9037E">
              <w:rPr>
                <w:b/>
                <w:sz w:val="20"/>
                <w:lang w:eastAsia="es-ES"/>
              </w:rPr>
              <w:t>[35.71]</w:t>
            </w:r>
          </w:p>
        </w:tc>
        <w:tc>
          <w:tcPr>
            <w:tcW w:w="1418" w:type="dxa"/>
            <w:vAlign w:val="center"/>
          </w:tcPr>
          <w:p w14:paraId="12BD0F81" w14:textId="77777777" w:rsidR="001D6AC6" w:rsidRPr="00F9037E" w:rsidRDefault="001D6AC6" w:rsidP="0082102E">
            <w:pPr>
              <w:keepNext/>
              <w:keepLines/>
              <w:spacing w:after="60"/>
              <w:jc w:val="center"/>
              <w:rPr>
                <w:sz w:val="20"/>
                <w:lang w:eastAsia="es-ES"/>
              </w:rPr>
            </w:pPr>
          </w:p>
        </w:tc>
        <w:tc>
          <w:tcPr>
            <w:tcW w:w="1559" w:type="dxa"/>
            <w:vAlign w:val="center"/>
          </w:tcPr>
          <w:p w14:paraId="7A089423" w14:textId="77777777" w:rsidR="001D6AC6" w:rsidRPr="00F9037E" w:rsidRDefault="001D6AC6" w:rsidP="0082102E">
            <w:pPr>
              <w:keepNext/>
              <w:keepLines/>
              <w:spacing w:after="60"/>
              <w:jc w:val="center"/>
              <w:rPr>
                <w:b/>
                <w:sz w:val="20"/>
                <w:lang w:eastAsia="es-ES"/>
              </w:rPr>
            </w:pPr>
          </w:p>
        </w:tc>
        <w:tc>
          <w:tcPr>
            <w:tcW w:w="1276" w:type="dxa"/>
          </w:tcPr>
          <w:p w14:paraId="3627FF79" w14:textId="77777777" w:rsidR="006837ED" w:rsidRPr="00F9037E" w:rsidRDefault="006837ED" w:rsidP="0082102E">
            <w:pPr>
              <w:keepNext/>
              <w:keepLines/>
              <w:spacing w:after="0"/>
              <w:jc w:val="center"/>
              <w:rPr>
                <w:b/>
                <w:sz w:val="20"/>
                <w:szCs w:val="24"/>
                <w:lang w:eastAsia="es-ES"/>
              </w:rPr>
            </w:pPr>
          </w:p>
          <w:p w14:paraId="37808911" w14:textId="77777777" w:rsidR="006837ED" w:rsidRPr="00F9037E" w:rsidRDefault="001D6AC6" w:rsidP="0082102E">
            <w:pPr>
              <w:keepNext/>
              <w:keepLines/>
              <w:spacing w:after="0"/>
              <w:jc w:val="center"/>
              <w:rPr>
                <w:sz w:val="20"/>
                <w:lang w:eastAsia="es-ES"/>
              </w:rPr>
            </w:pPr>
            <w:r w:rsidRPr="00F9037E">
              <w:rPr>
                <w:sz w:val="20"/>
                <w:lang w:eastAsia="es-ES"/>
              </w:rPr>
              <w:t>[64.10]</w:t>
            </w:r>
          </w:p>
          <w:p w14:paraId="59172F49" w14:textId="77777777" w:rsidR="006837ED" w:rsidRPr="00F9037E" w:rsidRDefault="001D6AC6" w:rsidP="0082102E">
            <w:pPr>
              <w:keepNext/>
              <w:keepLines/>
              <w:spacing w:after="0"/>
              <w:jc w:val="center"/>
              <w:rPr>
                <w:sz w:val="20"/>
                <w:lang w:eastAsia="es-ES"/>
              </w:rPr>
            </w:pPr>
            <w:r w:rsidRPr="00F9037E">
              <w:rPr>
                <w:sz w:val="20"/>
                <w:lang w:eastAsia="es-ES"/>
              </w:rPr>
              <w:t>[</w:t>
            </w:r>
            <w:r w:rsidR="000D114C" w:rsidRPr="00F9037E">
              <w:rPr>
                <w:b/>
                <w:bCs/>
                <w:sz w:val="20"/>
                <w:lang w:eastAsia="es-ES"/>
              </w:rPr>
              <w:t>38.84]</w:t>
            </w:r>
          </w:p>
        </w:tc>
      </w:tr>
      <w:tr w:rsidR="001D6AC6" w:rsidRPr="00F9037E" w14:paraId="5CE14AB4" w14:textId="77777777" w:rsidTr="0082102E">
        <w:trPr>
          <w:cantSplit/>
          <w:trHeight w:val="680"/>
        </w:trPr>
        <w:tc>
          <w:tcPr>
            <w:tcW w:w="1951" w:type="dxa"/>
          </w:tcPr>
          <w:p w14:paraId="1D70DAC9" w14:textId="77777777" w:rsidR="001D6AC6" w:rsidRPr="00F9037E" w:rsidRDefault="001D6AC6" w:rsidP="0082102E">
            <w:pPr>
              <w:keepNext/>
              <w:keepLines/>
              <w:spacing w:after="60"/>
              <w:rPr>
                <w:b/>
                <w:sz w:val="20"/>
                <w:lang w:eastAsia="es-ES"/>
              </w:rPr>
            </w:pPr>
            <w:r w:rsidRPr="00F9037E">
              <w:rPr>
                <w:b/>
                <w:sz w:val="20"/>
                <w:lang w:eastAsia="es-ES"/>
              </w:rPr>
              <w:t>4. China</w:t>
            </w:r>
          </w:p>
          <w:p w14:paraId="0D860E3D" w14:textId="77777777" w:rsidR="001D6AC6" w:rsidRPr="00F9037E" w:rsidRDefault="001D6AC6" w:rsidP="0082102E">
            <w:pPr>
              <w:keepNext/>
              <w:keepLines/>
              <w:spacing w:after="60"/>
              <w:rPr>
                <w:sz w:val="20"/>
                <w:lang w:eastAsia="es-ES"/>
              </w:rPr>
            </w:pPr>
            <w:r w:rsidRPr="00F9037E">
              <w:rPr>
                <w:sz w:val="20"/>
                <w:lang w:eastAsia="es-ES"/>
              </w:rPr>
              <w:t xml:space="preserve">   Ginger, open field</w:t>
            </w:r>
          </w:p>
          <w:p w14:paraId="6ADCFCFE" w14:textId="77777777" w:rsidR="001D6AC6" w:rsidRPr="00F9037E" w:rsidRDefault="001D6AC6" w:rsidP="0082102E">
            <w:pPr>
              <w:keepNext/>
              <w:keepLines/>
              <w:spacing w:after="60"/>
              <w:rPr>
                <w:sz w:val="20"/>
                <w:lang w:eastAsia="es-ES"/>
              </w:rPr>
            </w:pPr>
            <w:r w:rsidRPr="00F9037E">
              <w:rPr>
                <w:sz w:val="20"/>
                <w:lang w:eastAsia="es-ES"/>
              </w:rPr>
              <w:t xml:space="preserve">   Ginger, protected</w:t>
            </w:r>
          </w:p>
        </w:tc>
        <w:tc>
          <w:tcPr>
            <w:tcW w:w="1276" w:type="dxa"/>
            <w:vAlign w:val="center"/>
          </w:tcPr>
          <w:p w14:paraId="3AE29D60" w14:textId="77777777" w:rsidR="001D6AC6" w:rsidRPr="00F9037E" w:rsidRDefault="001D6AC6" w:rsidP="0082102E">
            <w:pPr>
              <w:keepNext/>
              <w:keepLines/>
              <w:spacing w:after="60"/>
              <w:jc w:val="center"/>
              <w:rPr>
                <w:sz w:val="20"/>
                <w:lang w:eastAsia="es-ES"/>
              </w:rPr>
            </w:pPr>
          </w:p>
          <w:p w14:paraId="22BC4484" w14:textId="77777777" w:rsidR="001D6AC6" w:rsidRPr="00F9037E" w:rsidRDefault="001D6AC6" w:rsidP="0082102E">
            <w:pPr>
              <w:keepNext/>
              <w:keepLines/>
              <w:spacing w:after="60"/>
              <w:jc w:val="center"/>
              <w:rPr>
                <w:b/>
                <w:sz w:val="20"/>
                <w:lang w:eastAsia="es-ES"/>
              </w:rPr>
            </w:pPr>
            <w:r w:rsidRPr="00F9037E">
              <w:rPr>
                <w:b/>
                <w:sz w:val="20"/>
                <w:lang w:eastAsia="es-ES"/>
              </w:rPr>
              <w:t>78.5</w:t>
            </w:r>
          </w:p>
          <w:p w14:paraId="2B9D5139" w14:textId="77777777" w:rsidR="001D6AC6" w:rsidRPr="00F9037E" w:rsidRDefault="001D6AC6" w:rsidP="0082102E">
            <w:pPr>
              <w:keepNext/>
              <w:keepLines/>
              <w:spacing w:after="60"/>
              <w:jc w:val="center"/>
              <w:rPr>
                <w:sz w:val="20"/>
                <w:lang w:eastAsia="es-ES"/>
              </w:rPr>
            </w:pPr>
            <w:r w:rsidRPr="00F9037E">
              <w:rPr>
                <w:b/>
                <w:sz w:val="20"/>
                <w:lang w:eastAsia="es-ES"/>
              </w:rPr>
              <w:t>21.0</w:t>
            </w:r>
          </w:p>
        </w:tc>
        <w:tc>
          <w:tcPr>
            <w:tcW w:w="1559" w:type="dxa"/>
            <w:vAlign w:val="center"/>
          </w:tcPr>
          <w:p w14:paraId="4D41C64E" w14:textId="77777777" w:rsidR="001D6AC6" w:rsidRPr="00F9037E" w:rsidRDefault="001D6AC6" w:rsidP="0082102E">
            <w:pPr>
              <w:keepNext/>
              <w:keepLines/>
              <w:spacing w:after="60"/>
              <w:jc w:val="center"/>
              <w:rPr>
                <w:sz w:val="20"/>
                <w:lang w:eastAsia="es-ES"/>
              </w:rPr>
            </w:pPr>
          </w:p>
          <w:p w14:paraId="6F618CED" w14:textId="77777777" w:rsidR="001D6AC6" w:rsidRPr="00F9037E" w:rsidRDefault="001D6AC6" w:rsidP="0082102E">
            <w:pPr>
              <w:keepNext/>
              <w:keepLines/>
              <w:spacing w:after="60"/>
              <w:jc w:val="center"/>
              <w:rPr>
                <w:b/>
                <w:sz w:val="20"/>
                <w:lang w:eastAsia="es-ES"/>
              </w:rPr>
            </w:pPr>
            <w:r w:rsidRPr="00F9037E">
              <w:rPr>
                <w:b/>
                <w:sz w:val="20"/>
                <w:lang w:eastAsia="es-ES"/>
              </w:rPr>
              <w:t>[74.617]</w:t>
            </w:r>
          </w:p>
          <w:p w14:paraId="0C686433" w14:textId="77777777" w:rsidR="001D6AC6" w:rsidRPr="00F9037E" w:rsidRDefault="001D6AC6" w:rsidP="0082102E">
            <w:pPr>
              <w:keepNext/>
              <w:keepLines/>
              <w:spacing w:after="60"/>
              <w:jc w:val="center"/>
              <w:rPr>
                <w:sz w:val="20"/>
                <w:lang w:eastAsia="es-ES"/>
              </w:rPr>
            </w:pPr>
            <w:r w:rsidRPr="00F9037E">
              <w:rPr>
                <w:b/>
                <w:sz w:val="20"/>
                <w:lang w:eastAsia="es-ES"/>
              </w:rPr>
              <w:t>[18.360]</w:t>
            </w:r>
          </w:p>
        </w:tc>
        <w:tc>
          <w:tcPr>
            <w:tcW w:w="1418" w:type="dxa"/>
            <w:vAlign w:val="center"/>
          </w:tcPr>
          <w:p w14:paraId="1BD8B4FF" w14:textId="77777777" w:rsidR="001D6AC6" w:rsidRPr="00F9037E" w:rsidRDefault="001D6AC6" w:rsidP="0082102E">
            <w:pPr>
              <w:keepNext/>
              <w:keepLines/>
              <w:spacing w:after="60"/>
              <w:jc w:val="center"/>
              <w:rPr>
                <w:sz w:val="20"/>
                <w:lang w:eastAsia="es-ES"/>
              </w:rPr>
            </w:pPr>
          </w:p>
        </w:tc>
        <w:tc>
          <w:tcPr>
            <w:tcW w:w="1559" w:type="dxa"/>
            <w:vAlign w:val="center"/>
          </w:tcPr>
          <w:p w14:paraId="63A46484" w14:textId="77777777" w:rsidR="001D6AC6" w:rsidRPr="00F9037E" w:rsidRDefault="001D6AC6" w:rsidP="0082102E">
            <w:pPr>
              <w:keepNext/>
              <w:keepLines/>
              <w:spacing w:after="60"/>
              <w:jc w:val="center"/>
              <w:rPr>
                <w:b/>
                <w:sz w:val="20"/>
                <w:lang w:eastAsia="es-ES"/>
              </w:rPr>
            </w:pPr>
          </w:p>
        </w:tc>
        <w:tc>
          <w:tcPr>
            <w:tcW w:w="1276" w:type="dxa"/>
          </w:tcPr>
          <w:p w14:paraId="34B0F98A" w14:textId="77777777" w:rsidR="001D6AC6" w:rsidRPr="00F9037E" w:rsidRDefault="001D6AC6" w:rsidP="0082102E">
            <w:pPr>
              <w:keepNext/>
              <w:keepLines/>
              <w:spacing w:after="60"/>
              <w:jc w:val="center"/>
              <w:rPr>
                <w:b/>
                <w:sz w:val="20"/>
                <w:lang w:eastAsia="es-ES"/>
              </w:rPr>
            </w:pPr>
          </w:p>
          <w:p w14:paraId="0461F7F5" w14:textId="77777777" w:rsidR="001D6AC6" w:rsidRPr="00F9037E" w:rsidRDefault="001D6AC6" w:rsidP="0082102E">
            <w:pPr>
              <w:keepNext/>
              <w:keepLines/>
              <w:spacing w:after="60"/>
              <w:jc w:val="center"/>
              <w:rPr>
                <w:b/>
                <w:sz w:val="20"/>
                <w:lang w:eastAsia="es-ES"/>
              </w:rPr>
            </w:pPr>
            <w:r w:rsidRPr="00F9037E">
              <w:rPr>
                <w:b/>
                <w:sz w:val="20"/>
                <w:lang w:eastAsia="es-ES"/>
              </w:rPr>
              <w:t>[74.617]</w:t>
            </w:r>
          </w:p>
          <w:p w14:paraId="3D7216CB" w14:textId="77777777" w:rsidR="001D6AC6" w:rsidRPr="00F9037E" w:rsidRDefault="001D6AC6" w:rsidP="0082102E">
            <w:pPr>
              <w:keepNext/>
              <w:keepLines/>
              <w:spacing w:after="60"/>
              <w:jc w:val="center"/>
              <w:rPr>
                <w:b/>
                <w:sz w:val="20"/>
                <w:lang w:eastAsia="es-ES"/>
              </w:rPr>
            </w:pPr>
            <w:r w:rsidRPr="00F9037E">
              <w:rPr>
                <w:b/>
                <w:sz w:val="20"/>
                <w:lang w:eastAsia="es-ES"/>
              </w:rPr>
              <w:t>[18.360]</w:t>
            </w:r>
          </w:p>
        </w:tc>
      </w:tr>
      <w:tr w:rsidR="001D6AC6" w:rsidRPr="00F9037E" w14:paraId="28172E68" w14:textId="77777777" w:rsidTr="0082102E">
        <w:trPr>
          <w:cantSplit/>
          <w:trHeight w:val="359"/>
        </w:trPr>
        <w:tc>
          <w:tcPr>
            <w:tcW w:w="1951" w:type="dxa"/>
          </w:tcPr>
          <w:p w14:paraId="49FBB6E1" w14:textId="77777777" w:rsidR="001D6AC6" w:rsidRPr="00F9037E" w:rsidRDefault="001D6AC6" w:rsidP="0082102E">
            <w:pPr>
              <w:keepNext/>
              <w:keepLines/>
              <w:spacing w:after="60"/>
              <w:rPr>
                <w:sz w:val="20"/>
                <w:lang w:eastAsia="es-ES"/>
              </w:rPr>
            </w:pPr>
            <w:r w:rsidRPr="00F9037E">
              <w:rPr>
                <w:b/>
                <w:sz w:val="20"/>
                <w:lang w:eastAsia="es-ES"/>
              </w:rPr>
              <w:t>TOTAL</w:t>
            </w:r>
          </w:p>
        </w:tc>
        <w:tc>
          <w:tcPr>
            <w:tcW w:w="1276" w:type="dxa"/>
            <w:vAlign w:val="center"/>
          </w:tcPr>
          <w:p w14:paraId="58A3A742" w14:textId="77777777" w:rsidR="001D6AC6" w:rsidRPr="00F9037E" w:rsidRDefault="001D6AC6" w:rsidP="0082102E">
            <w:pPr>
              <w:keepNext/>
              <w:keepLines/>
              <w:spacing w:after="60"/>
              <w:jc w:val="center"/>
              <w:rPr>
                <w:b/>
                <w:bCs/>
                <w:sz w:val="20"/>
                <w:lang w:eastAsia="es-ES"/>
              </w:rPr>
            </w:pPr>
            <w:r w:rsidRPr="00F9037E">
              <w:rPr>
                <w:b/>
                <w:bCs/>
                <w:sz w:val="20"/>
                <w:lang w:eastAsia="es-ES"/>
              </w:rPr>
              <w:t>225.061</w:t>
            </w:r>
          </w:p>
        </w:tc>
        <w:tc>
          <w:tcPr>
            <w:tcW w:w="1559" w:type="dxa"/>
            <w:vAlign w:val="center"/>
          </w:tcPr>
          <w:p w14:paraId="195480CC" w14:textId="77777777" w:rsidR="001D6AC6" w:rsidRPr="00F9037E" w:rsidRDefault="001D6AC6" w:rsidP="0082102E">
            <w:pPr>
              <w:keepNext/>
              <w:keepLines/>
              <w:spacing w:after="60"/>
              <w:jc w:val="center"/>
              <w:rPr>
                <w:b/>
                <w:bCs/>
                <w:sz w:val="20"/>
                <w:lang w:eastAsia="es-ES"/>
              </w:rPr>
            </w:pPr>
            <w:r w:rsidRPr="00F9037E">
              <w:rPr>
                <w:b/>
                <w:sz w:val="20"/>
                <w:lang w:eastAsia="es-ES"/>
              </w:rPr>
              <w:t>[188.137]</w:t>
            </w:r>
          </w:p>
        </w:tc>
        <w:tc>
          <w:tcPr>
            <w:tcW w:w="1418" w:type="dxa"/>
            <w:vAlign w:val="center"/>
          </w:tcPr>
          <w:p w14:paraId="59DDC236" w14:textId="77777777" w:rsidR="001D6AC6" w:rsidRPr="00F9037E" w:rsidRDefault="001D6AC6" w:rsidP="0082102E">
            <w:pPr>
              <w:keepNext/>
              <w:keepLines/>
              <w:spacing w:after="60"/>
              <w:jc w:val="center"/>
              <w:rPr>
                <w:b/>
                <w:bCs/>
                <w:sz w:val="20"/>
                <w:lang w:eastAsia="es-ES"/>
              </w:rPr>
            </w:pPr>
            <w:r w:rsidRPr="00F9037E">
              <w:rPr>
                <w:b/>
                <w:bCs/>
                <w:sz w:val="20"/>
                <w:lang w:eastAsia="es-ES"/>
              </w:rPr>
              <w:t>29.76</w:t>
            </w:r>
          </w:p>
        </w:tc>
        <w:tc>
          <w:tcPr>
            <w:tcW w:w="1559" w:type="dxa"/>
            <w:vAlign w:val="center"/>
          </w:tcPr>
          <w:p w14:paraId="2B7082FC" w14:textId="77777777" w:rsidR="001D6AC6" w:rsidRPr="00F9037E" w:rsidRDefault="001D6AC6" w:rsidP="0082102E">
            <w:pPr>
              <w:keepNext/>
              <w:keepLines/>
              <w:spacing w:after="60"/>
              <w:jc w:val="center"/>
              <w:rPr>
                <w:sz w:val="20"/>
                <w:lang w:eastAsia="es-ES"/>
              </w:rPr>
            </w:pPr>
            <w:r w:rsidRPr="00F9037E">
              <w:rPr>
                <w:b/>
                <w:bCs/>
                <w:sz w:val="20"/>
                <w:lang w:eastAsia="es-ES"/>
              </w:rPr>
              <w:t>[25.266]</w:t>
            </w:r>
          </w:p>
        </w:tc>
        <w:tc>
          <w:tcPr>
            <w:tcW w:w="1276" w:type="dxa"/>
            <w:vAlign w:val="center"/>
          </w:tcPr>
          <w:p w14:paraId="165DD092" w14:textId="77777777" w:rsidR="001D6AC6" w:rsidRPr="00F9037E" w:rsidRDefault="001D6AC6" w:rsidP="0082102E">
            <w:pPr>
              <w:keepNext/>
              <w:keepLines/>
              <w:spacing w:after="60"/>
              <w:jc w:val="center"/>
              <w:rPr>
                <w:b/>
                <w:bCs/>
                <w:sz w:val="20"/>
                <w:lang w:eastAsia="es-ES"/>
              </w:rPr>
            </w:pPr>
            <w:r w:rsidRPr="00F9037E">
              <w:rPr>
                <w:b/>
                <w:bCs/>
                <w:sz w:val="20"/>
                <w:lang w:eastAsia="es-ES"/>
              </w:rPr>
              <w:t>[230.908]</w:t>
            </w:r>
          </w:p>
        </w:tc>
      </w:tr>
    </w:tbl>
    <w:p w14:paraId="1C5C1C8E" w14:textId="77777777" w:rsidR="004C3B46" w:rsidRPr="000F08B5" w:rsidRDefault="004C3B46" w:rsidP="0082736F">
      <w:bookmarkStart w:id="76" w:name="_Toc324255710"/>
      <w:bookmarkStart w:id="77" w:name="_Toc293054745"/>
    </w:p>
    <w:p w14:paraId="14C04616" w14:textId="106667A0" w:rsidR="008D5F24" w:rsidRPr="00F9037E" w:rsidRDefault="000F08B5" w:rsidP="006A54A1">
      <w:pPr>
        <w:pStyle w:val="Heading2"/>
        <w:rPr>
          <w:rStyle w:val="Heading311ptBoldChar"/>
        </w:rPr>
      </w:pPr>
      <w:bookmarkStart w:id="78" w:name="_Toc461183770"/>
      <w:r>
        <w:rPr>
          <w:rStyle w:val="Heading311ptBoldChar"/>
        </w:rPr>
        <w:t>3.9</w:t>
      </w:r>
      <w:r w:rsidR="008D5F24" w:rsidRPr="00F9037E">
        <w:rPr>
          <w:rStyle w:val="Heading311ptBoldChar"/>
        </w:rPr>
        <w:t>.</w:t>
      </w:r>
      <w:r w:rsidR="000F72B1" w:rsidRPr="00F9037E">
        <w:rPr>
          <w:rStyle w:val="Heading311ptBoldChar"/>
        </w:rPr>
        <w:t>2</w:t>
      </w:r>
      <w:r w:rsidR="008D5F24" w:rsidRPr="00F9037E">
        <w:rPr>
          <w:rStyle w:val="Heading311ptBoldChar"/>
        </w:rPr>
        <w:tab/>
        <w:t xml:space="preserve">Issues Related to CUN Assessment for </w:t>
      </w:r>
      <w:proofErr w:type="spellStart"/>
      <w:r w:rsidR="008D5F24" w:rsidRPr="00F9037E">
        <w:rPr>
          <w:rStyle w:val="Heading311ptBoldChar"/>
        </w:rPr>
        <w:t>Preplant</w:t>
      </w:r>
      <w:proofErr w:type="spellEnd"/>
      <w:r w:rsidR="008D5F24" w:rsidRPr="00F9037E">
        <w:rPr>
          <w:rStyle w:val="Heading311ptBoldChar"/>
        </w:rPr>
        <w:t xml:space="preserve"> Soil Use</w:t>
      </w:r>
      <w:bookmarkEnd w:id="76"/>
      <w:bookmarkEnd w:id="77"/>
      <w:bookmarkEnd w:id="78"/>
    </w:p>
    <w:p w14:paraId="2F4D6CF2" w14:textId="77777777" w:rsidR="008D5F24" w:rsidRPr="00501812" w:rsidRDefault="008D5F24" w:rsidP="009446BE">
      <w:pPr>
        <w:spacing w:before="120" w:after="120"/>
        <w:jc w:val="both"/>
      </w:pPr>
      <w:r w:rsidRPr="00CD3CBD">
        <w:t xml:space="preserve">Key issues which influenced assessment and the need for MB for </w:t>
      </w:r>
      <w:proofErr w:type="spellStart"/>
      <w:r w:rsidRPr="00CD3CBD">
        <w:t>preplant</w:t>
      </w:r>
      <w:proofErr w:type="spellEnd"/>
      <w:r w:rsidRPr="00CD3CBD">
        <w:t xml:space="preserve"> soil use of MB in the </w:t>
      </w:r>
      <w:r w:rsidR="002F144A" w:rsidRPr="00CD3CBD">
        <w:t>2016</w:t>
      </w:r>
      <w:r w:rsidR="00A23E4B" w:rsidRPr="00CD3CBD">
        <w:t xml:space="preserve"> </w:t>
      </w:r>
      <w:r w:rsidRPr="00501812">
        <w:t>round were:</w:t>
      </w:r>
    </w:p>
    <w:p w14:paraId="4859472C" w14:textId="77777777" w:rsidR="002F144A" w:rsidRPr="00B87B95" w:rsidRDefault="002F144A" w:rsidP="009446BE">
      <w:pPr>
        <w:numPr>
          <w:ilvl w:val="0"/>
          <w:numId w:val="2"/>
        </w:numPr>
        <w:spacing w:after="120"/>
        <w:jc w:val="both"/>
      </w:pPr>
      <w:r w:rsidRPr="003A30C7">
        <w:t xml:space="preserve">For all nominations, except Australia, barrier films were considered as a technology to reduce </w:t>
      </w:r>
      <w:r w:rsidR="00104BE4" w:rsidRPr="00082015">
        <w:t xml:space="preserve">rates and </w:t>
      </w:r>
      <w:r w:rsidRPr="00082015">
        <w:t>emissions of methyl bromide</w:t>
      </w:r>
      <w:r w:rsidR="00104BE4" w:rsidRPr="00082015">
        <w:t xml:space="preserve">. </w:t>
      </w:r>
      <w:r w:rsidRPr="00082015">
        <w:t xml:space="preserve"> For Australia</w:t>
      </w:r>
      <w:r w:rsidR="00104BE4" w:rsidRPr="00F5313E">
        <w:t>,</w:t>
      </w:r>
      <w:r w:rsidRPr="00220275">
        <w:t xml:space="preserve"> the</w:t>
      </w:r>
      <w:r w:rsidR="00104BE4" w:rsidRPr="00220275">
        <w:t xml:space="preserve"> Party</w:t>
      </w:r>
      <w:r w:rsidR="001C1142" w:rsidRPr="00220275">
        <w:t xml:space="preserve"> </w:t>
      </w:r>
      <w:r w:rsidR="00104BE4" w:rsidRPr="00220275">
        <w:t xml:space="preserve">presented data illustrating that </w:t>
      </w:r>
      <w:r w:rsidRPr="00220275">
        <w:t xml:space="preserve">heavy soil </w:t>
      </w:r>
      <w:proofErr w:type="gramStart"/>
      <w:r w:rsidRPr="00220275">
        <w:t>types</w:t>
      </w:r>
      <w:proofErr w:type="gramEnd"/>
      <w:r w:rsidRPr="00220275">
        <w:t xml:space="preserve"> trap methyl bromide as effectively </w:t>
      </w:r>
      <w:r w:rsidR="00104BE4" w:rsidRPr="00220275">
        <w:t>with LDPE films as barrier films under the circumstances of the nomination.</w:t>
      </w:r>
    </w:p>
    <w:p w14:paraId="240C32DC" w14:textId="77777777" w:rsidR="00CE3FA6" w:rsidRPr="00365366" w:rsidRDefault="00CE3FA6" w:rsidP="009446BE">
      <w:pPr>
        <w:numPr>
          <w:ilvl w:val="0"/>
          <w:numId w:val="2"/>
        </w:numPr>
        <w:spacing w:after="120"/>
        <w:jc w:val="both"/>
      </w:pPr>
      <w:r w:rsidRPr="00B87B95">
        <w:t xml:space="preserve">The Australian research program is trialling many options for replacement of MB </w:t>
      </w:r>
      <w:r w:rsidR="002F144A" w:rsidRPr="00B87B95">
        <w:t xml:space="preserve">in strawberry runners </w:t>
      </w:r>
      <w:r w:rsidR="00F044A6" w:rsidRPr="00563BC0">
        <w:t xml:space="preserve">and the Party </w:t>
      </w:r>
      <w:r w:rsidRPr="00563BC0">
        <w:t>provide</w:t>
      </w:r>
      <w:r w:rsidR="000D74CF" w:rsidRPr="00563BC0">
        <w:t>d</w:t>
      </w:r>
      <w:r w:rsidRPr="00563BC0">
        <w:t xml:space="preserve"> a full overview </w:t>
      </w:r>
      <w:r w:rsidR="000D74CF" w:rsidRPr="00563BC0">
        <w:t>of their research program</w:t>
      </w:r>
      <w:r w:rsidR="006B25F0" w:rsidRPr="00563BC0">
        <w:t xml:space="preserve"> to MBTOC at</w:t>
      </w:r>
      <w:r w:rsidR="001C1142" w:rsidRPr="00563BC0">
        <w:t xml:space="preserve"> </w:t>
      </w:r>
      <w:r w:rsidRPr="000F08B5">
        <w:t xml:space="preserve">the </w:t>
      </w:r>
      <w:r w:rsidR="002F144A" w:rsidRPr="000F08B5">
        <w:t>38</w:t>
      </w:r>
      <w:r w:rsidR="002F144A" w:rsidRPr="000F08B5">
        <w:rPr>
          <w:vertAlign w:val="superscript"/>
        </w:rPr>
        <w:t>th</w:t>
      </w:r>
      <w:r w:rsidRPr="000F08B5">
        <w:t>OEWG in</w:t>
      </w:r>
      <w:r w:rsidR="006B25F0" w:rsidRPr="000F08B5">
        <w:t xml:space="preserve"> July</w:t>
      </w:r>
      <w:r w:rsidRPr="000F08B5">
        <w:t xml:space="preserve"> 2016</w:t>
      </w:r>
      <w:r w:rsidR="00822AED" w:rsidRPr="000F08B5">
        <w:t xml:space="preserve">, </w:t>
      </w:r>
      <w:r w:rsidR="006B25F0" w:rsidRPr="000F08B5">
        <w:t xml:space="preserve">followed by written materials, which </w:t>
      </w:r>
      <w:r w:rsidR="00822AED" w:rsidRPr="000F08B5">
        <w:t xml:space="preserve">MBTOC received in time for the </w:t>
      </w:r>
      <w:r w:rsidR="006B25F0" w:rsidRPr="000F08B5">
        <w:t xml:space="preserve">final </w:t>
      </w:r>
      <w:r w:rsidR="00822AED" w:rsidRPr="000F08B5">
        <w:t>assessment.</w:t>
      </w:r>
    </w:p>
    <w:p w14:paraId="0307ED87" w14:textId="4F95A239" w:rsidR="009D0C3D" w:rsidRPr="00F9037E" w:rsidRDefault="00CE3FA6" w:rsidP="009446BE">
      <w:pPr>
        <w:numPr>
          <w:ilvl w:val="0"/>
          <w:numId w:val="2"/>
        </w:numPr>
        <w:spacing w:after="120"/>
        <w:jc w:val="both"/>
      </w:pPr>
      <w:r w:rsidRPr="00F9037E">
        <w:t xml:space="preserve">The Canadian nomination has been relying on a groundwater study to determine whether Pic </w:t>
      </w:r>
      <w:r w:rsidR="002F144A" w:rsidRPr="00F9037E">
        <w:t xml:space="preserve">(a key alternative) </w:t>
      </w:r>
      <w:r w:rsidRPr="00F9037E">
        <w:t xml:space="preserve">can be </w:t>
      </w:r>
      <w:r w:rsidR="002F144A" w:rsidRPr="00F9037E">
        <w:t xml:space="preserve">granted a permit for use </w:t>
      </w:r>
      <w:r w:rsidRPr="00F9037E">
        <w:t>on Prince Edward Island</w:t>
      </w:r>
      <w:r w:rsidR="009828CB" w:rsidRPr="00F9037E">
        <w:t xml:space="preserve">, but this study has </w:t>
      </w:r>
      <w:r w:rsidR="00DA3F68" w:rsidRPr="00F9037E">
        <w:t xml:space="preserve">been abandoned and </w:t>
      </w:r>
      <w:r w:rsidR="00CD3CBD" w:rsidRPr="00F9037E">
        <w:t>potential groundwater issues in PEI also affect other fumigant alternatives</w:t>
      </w:r>
      <w:r w:rsidR="009828CB" w:rsidRPr="00F9037E">
        <w:t>.</w:t>
      </w:r>
    </w:p>
    <w:p w14:paraId="62301215" w14:textId="77777777" w:rsidR="009828CB" w:rsidRPr="00F9037E" w:rsidRDefault="009828CB" w:rsidP="009446BE">
      <w:pPr>
        <w:numPr>
          <w:ilvl w:val="0"/>
          <w:numId w:val="2"/>
        </w:numPr>
        <w:spacing w:after="120"/>
        <w:jc w:val="both"/>
      </w:pPr>
      <w:r w:rsidRPr="00F9037E">
        <w:t xml:space="preserve">The </w:t>
      </w:r>
      <w:r w:rsidR="001C1142" w:rsidRPr="00F9037E">
        <w:t>Argentinean</w:t>
      </w:r>
      <w:r w:rsidRPr="00F9037E">
        <w:t xml:space="preserve"> nominations are for sectors where a number of alternatives have been adopted in </w:t>
      </w:r>
      <w:r w:rsidR="00CE3A84" w:rsidRPr="00F9037E">
        <w:t>all A5 and</w:t>
      </w:r>
      <w:r w:rsidRPr="00F9037E">
        <w:t xml:space="preserve"> non </w:t>
      </w:r>
      <w:r w:rsidR="00953EFC" w:rsidRPr="00F9037E">
        <w:t>A-</w:t>
      </w:r>
      <w:r w:rsidRPr="00F9037E">
        <w:t>5 Parties</w:t>
      </w:r>
      <w:r w:rsidR="006B25F0" w:rsidRPr="00F9037E">
        <w:t xml:space="preserve"> previously using methyl bromide for these same sectors</w:t>
      </w:r>
      <w:r w:rsidRPr="00F9037E">
        <w:t>, however specific issues with cold soils and market windows are of concern for uptake of the major alternatives.</w:t>
      </w:r>
      <w:r w:rsidR="002F144A" w:rsidRPr="00F9037E">
        <w:t xml:space="preserve"> A key pest</w:t>
      </w:r>
      <w:r w:rsidR="00822AED" w:rsidRPr="00F9037E">
        <w:t xml:space="preserve"> of tomato</w:t>
      </w:r>
      <w:r w:rsidR="002F144A" w:rsidRPr="00F9037E">
        <w:t xml:space="preserve">, the </w:t>
      </w:r>
      <w:proofErr w:type="spellStart"/>
      <w:r w:rsidR="002F144A" w:rsidRPr="00F9037E">
        <w:rPr>
          <w:i/>
        </w:rPr>
        <w:t>Nacobbus</w:t>
      </w:r>
      <w:proofErr w:type="spellEnd"/>
      <w:r w:rsidR="001C1142" w:rsidRPr="00F9037E">
        <w:rPr>
          <w:i/>
        </w:rPr>
        <w:t xml:space="preserve"> </w:t>
      </w:r>
      <w:r w:rsidR="009D0C3D" w:rsidRPr="00F9037E">
        <w:t xml:space="preserve">(false root-knot) </w:t>
      </w:r>
      <w:r w:rsidR="002F144A" w:rsidRPr="00F9037E">
        <w:t>nematode is requiring specific consideration as no resistant rootstock</w:t>
      </w:r>
      <w:r w:rsidR="00807F4D" w:rsidRPr="00F9037E">
        <w:t>s with good commercial potential have been identified</w:t>
      </w:r>
      <w:r w:rsidR="002F144A" w:rsidRPr="00F9037E">
        <w:t xml:space="preserve"> for this pest.  </w:t>
      </w:r>
    </w:p>
    <w:p w14:paraId="693298C1" w14:textId="77777777" w:rsidR="00367460" w:rsidRPr="00F9037E" w:rsidRDefault="00427C03" w:rsidP="009446BE">
      <w:pPr>
        <w:numPr>
          <w:ilvl w:val="0"/>
          <w:numId w:val="2"/>
        </w:numPr>
        <w:spacing w:after="120"/>
        <w:jc w:val="both"/>
      </w:pPr>
      <w:r w:rsidRPr="00F9037E">
        <w:t xml:space="preserve">The only chemical alternative available in China for ginger is chloropicrin. </w:t>
      </w:r>
      <w:r w:rsidR="00822AED" w:rsidRPr="00F9037E">
        <w:t xml:space="preserve">The results are encouraging </w:t>
      </w:r>
      <w:r w:rsidRPr="00F9037E">
        <w:t xml:space="preserve">but </w:t>
      </w:r>
      <w:r w:rsidR="00822AED" w:rsidRPr="00F9037E">
        <w:t xml:space="preserve">further controls are required to address nematodes and weed issues. </w:t>
      </w:r>
      <w:r w:rsidR="00CE3FA6" w:rsidRPr="00F9037E">
        <w:t>Research shows good results with 1,3-D/Pic</w:t>
      </w:r>
      <w:r w:rsidR="00822AED" w:rsidRPr="00F9037E">
        <w:t xml:space="preserve"> and DMDS/Pic</w:t>
      </w:r>
      <w:r w:rsidR="00CE3FA6" w:rsidRPr="00F9037E">
        <w:t>, but th</w:t>
      </w:r>
      <w:r w:rsidR="00822AED" w:rsidRPr="00F9037E">
        <w:t xml:space="preserve">ese fumigants are currently not </w:t>
      </w:r>
      <w:r w:rsidR="00CE3FA6" w:rsidRPr="00F9037E">
        <w:t>registered in China</w:t>
      </w:r>
    </w:p>
    <w:p w14:paraId="551B0EE3" w14:textId="77777777" w:rsidR="008D5F24" w:rsidRPr="00F9037E" w:rsidRDefault="008D5F24" w:rsidP="009446BE">
      <w:pPr>
        <w:spacing w:after="120"/>
        <w:ind w:left="60"/>
        <w:jc w:val="both"/>
      </w:pPr>
      <w:r w:rsidRPr="00F9037E">
        <w:t xml:space="preserve">MBTOC has noted more specific issues related to requests for CUNs below and also in the CUN text boxes (Table </w:t>
      </w:r>
      <w:r w:rsidR="00655D62" w:rsidRPr="00F9037E">
        <w:t>1</w:t>
      </w:r>
      <w:r w:rsidRPr="00F9037E">
        <w:t>.9).</w:t>
      </w:r>
    </w:p>
    <w:p w14:paraId="0A16EE17" w14:textId="39212B29" w:rsidR="008D5F24" w:rsidRPr="00F9037E" w:rsidRDefault="000F08B5" w:rsidP="006A54A1">
      <w:pPr>
        <w:pStyle w:val="Heading2"/>
        <w:rPr>
          <w:rStyle w:val="Heading311ptBoldChar"/>
        </w:rPr>
      </w:pPr>
      <w:bookmarkStart w:id="79" w:name="_Toc210294165"/>
      <w:bookmarkStart w:id="80" w:name="_Toc293054746"/>
      <w:bookmarkStart w:id="81" w:name="_Toc461183771"/>
      <w:r>
        <w:rPr>
          <w:rStyle w:val="Heading311ptBoldChar"/>
        </w:rPr>
        <w:lastRenderedPageBreak/>
        <w:t>3.9</w:t>
      </w:r>
      <w:r w:rsidR="008D5F24" w:rsidRPr="00F9037E">
        <w:rPr>
          <w:rStyle w:val="Heading311ptBoldChar"/>
        </w:rPr>
        <w:t>.</w:t>
      </w:r>
      <w:r w:rsidR="009F11A0" w:rsidRPr="00F9037E">
        <w:rPr>
          <w:rStyle w:val="Heading311ptBoldChar"/>
        </w:rPr>
        <w:t>3</w:t>
      </w:r>
      <w:r w:rsidR="008D5F24" w:rsidRPr="00F9037E">
        <w:rPr>
          <w:rStyle w:val="Heading311ptBoldChar"/>
        </w:rPr>
        <w:tab/>
        <w:t xml:space="preserve">General </w:t>
      </w:r>
      <w:r w:rsidR="009F11A0" w:rsidRPr="00F9037E">
        <w:rPr>
          <w:rStyle w:val="Heading311ptBoldChar"/>
        </w:rPr>
        <w:t>C</w:t>
      </w:r>
      <w:r w:rsidR="008D5F24" w:rsidRPr="00F9037E">
        <w:rPr>
          <w:rStyle w:val="Heading311ptBoldChar"/>
        </w:rPr>
        <w:t xml:space="preserve">omments on </w:t>
      </w:r>
      <w:r w:rsidR="009F11A0" w:rsidRPr="00F9037E">
        <w:rPr>
          <w:rStyle w:val="Heading311ptBoldChar"/>
        </w:rPr>
        <w:t>the A</w:t>
      </w:r>
      <w:r w:rsidR="008D5F24" w:rsidRPr="00F9037E">
        <w:rPr>
          <w:rStyle w:val="Heading311ptBoldChar"/>
        </w:rPr>
        <w:t>ssessment</w:t>
      </w:r>
      <w:bookmarkEnd w:id="79"/>
      <w:r w:rsidR="009F11A0" w:rsidRPr="00F9037E">
        <w:rPr>
          <w:rStyle w:val="Heading311ptBoldChar"/>
        </w:rPr>
        <w:t xml:space="preserve"> for </w:t>
      </w:r>
      <w:proofErr w:type="spellStart"/>
      <w:r w:rsidR="009F11A0" w:rsidRPr="00F9037E">
        <w:rPr>
          <w:rStyle w:val="Heading311ptBoldChar"/>
        </w:rPr>
        <w:t>Preplant</w:t>
      </w:r>
      <w:proofErr w:type="spellEnd"/>
      <w:r w:rsidR="009F11A0" w:rsidRPr="00F9037E">
        <w:rPr>
          <w:rStyle w:val="Heading311ptBoldChar"/>
        </w:rPr>
        <w:t xml:space="preserve"> Soil Use</w:t>
      </w:r>
      <w:bookmarkEnd w:id="80"/>
      <w:bookmarkEnd w:id="81"/>
    </w:p>
    <w:p w14:paraId="2CB890BE" w14:textId="77777777" w:rsidR="008D5F24" w:rsidRPr="00220275" w:rsidRDefault="008D5F24" w:rsidP="009446BE">
      <w:pPr>
        <w:jc w:val="both"/>
      </w:pPr>
      <w:r w:rsidRPr="00CD3CBD">
        <w:t xml:space="preserve">MBTOC continues to encourage Parties to consider a review of regulations covering the registration, use and adoption of alternatives, </w:t>
      </w:r>
      <w:r w:rsidR="005170E3" w:rsidRPr="00501812">
        <w:t>including</w:t>
      </w:r>
      <w:r w:rsidR="001C1142" w:rsidRPr="00501812">
        <w:t xml:space="preserve"> </w:t>
      </w:r>
      <w:r w:rsidR="00982021" w:rsidRPr="003A30C7">
        <w:t>those regarding</w:t>
      </w:r>
      <w:r w:rsidRPr="00082015">
        <w:t xml:space="preserve"> barrier films to reduce dosage rates of MB and its alternatives, and associated emissions. MBTOC also notes that a proportion of MB has been nominated for uses where regulations or legislation prevent reductions of MB dosage. For several </w:t>
      </w:r>
      <w:r w:rsidR="00982021" w:rsidRPr="00082015">
        <w:t>cases</w:t>
      </w:r>
      <w:r w:rsidRPr="00082015">
        <w:t>, the mandatory use of MB is specified at a high dosage</w:t>
      </w:r>
      <w:r w:rsidR="00427C03" w:rsidRPr="00F5313E">
        <w:t>, in some cases</w:t>
      </w:r>
      <w:r w:rsidRPr="00220275">
        <w:t xml:space="preserve"> for treatment of certified propagation material</w:t>
      </w:r>
      <w:r w:rsidR="00427C03" w:rsidRPr="00220275">
        <w:t>.</w:t>
      </w:r>
      <w:r w:rsidRPr="00220275">
        <w:t xml:space="preserve"> Also regulations on the use of alternatives</w:t>
      </w:r>
      <w:r w:rsidR="00427C03" w:rsidRPr="00220275">
        <w:t xml:space="preserve"> or </w:t>
      </w:r>
      <w:r w:rsidR="00953EFC" w:rsidRPr="00220275">
        <w:t xml:space="preserve">their </w:t>
      </w:r>
      <w:r w:rsidR="00427C03" w:rsidRPr="00220275">
        <w:t>lack of registration</w:t>
      </w:r>
      <w:r w:rsidR="001C1142" w:rsidRPr="00220275">
        <w:t xml:space="preserve"> </w:t>
      </w:r>
      <w:r w:rsidRPr="00220275">
        <w:t xml:space="preserve">are preventing their uptake for a substantial proportion of the remaining CUNs for </w:t>
      </w:r>
      <w:proofErr w:type="spellStart"/>
      <w:r w:rsidRPr="00220275">
        <w:t>preplant</w:t>
      </w:r>
      <w:proofErr w:type="spellEnd"/>
      <w:r w:rsidRPr="00220275">
        <w:t xml:space="preserve"> soil use.  </w:t>
      </w:r>
    </w:p>
    <w:p w14:paraId="3F959F31" w14:textId="56CE3B84" w:rsidR="008D5F24" w:rsidRPr="00F9037E" w:rsidRDefault="000F08B5" w:rsidP="006A54A1">
      <w:pPr>
        <w:pStyle w:val="Heading2"/>
        <w:rPr>
          <w:rStyle w:val="Heading311ptBoldChar"/>
        </w:rPr>
      </w:pPr>
      <w:bookmarkStart w:id="82" w:name="_Toc324255711"/>
      <w:bookmarkStart w:id="83" w:name="_Toc293054747"/>
      <w:bookmarkStart w:id="84" w:name="_Toc461183772"/>
      <w:r>
        <w:rPr>
          <w:rStyle w:val="Heading311ptBoldChar"/>
        </w:rPr>
        <w:t>3.9</w:t>
      </w:r>
      <w:r w:rsidR="008D5F24" w:rsidRPr="00F9037E">
        <w:rPr>
          <w:rStyle w:val="Heading311ptBoldChar"/>
        </w:rPr>
        <w:t>.</w:t>
      </w:r>
      <w:r w:rsidR="009F11A0" w:rsidRPr="00F9037E">
        <w:rPr>
          <w:rStyle w:val="Heading311ptBoldChar"/>
        </w:rPr>
        <w:t>4</w:t>
      </w:r>
      <w:r w:rsidR="008D5F24" w:rsidRPr="00F9037E">
        <w:rPr>
          <w:rStyle w:val="Heading311ptBoldChar"/>
        </w:rPr>
        <w:tab/>
        <w:t xml:space="preserve">Registration of </w:t>
      </w:r>
      <w:r w:rsidR="009F11A0" w:rsidRPr="00F9037E">
        <w:rPr>
          <w:rStyle w:val="Heading311ptBoldChar"/>
        </w:rPr>
        <w:t>A</w:t>
      </w:r>
      <w:r w:rsidR="008D5F24" w:rsidRPr="00F9037E">
        <w:rPr>
          <w:rStyle w:val="Heading311ptBoldChar"/>
        </w:rPr>
        <w:t xml:space="preserve">lternatives for </w:t>
      </w:r>
      <w:proofErr w:type="spellStart"/>
      <w:r w:rsidR="009F11A0" w:rsidRPr="00F9037E">
        <w:rPr>
          <w:rStyle w:val="Heading311ptBoldChar"/>
        </w:rPr>
        <w:t>P</w:t>
      </w:r>
      <w:r w:rsidR="008D5F24" w:rsidRPr="00F9037E">
        <w:rPr>
          <w:rStyle w:val="Heading311ptBoldChar"/>
        </w:rPr>
        <w:t>replant</w:t>
      </w:r>
      <w:proofErr w:type="spellEnd"/>
      <w:r w:rsidR="008D5F24" w:rsidRPr="00F9037E">
        <w:rPr>
          <w:rStyle w:val="Heading311ptBoldChar"/>
        </w:rPr>
        <w:t xml:space="preserve"> </w:t>
      </w:r>
      <w:r w:rsidR="009F11A0" w:rsidRPr="00F9037E">
        <w:rPr>
          <w:rStyle w:val="Heading311ptBoldChar"/>
        </w:rPr>
        <w:t>U</w:t>
      </w:r>
      <w:r w:rsidR="008D5F24" w:rsidRPr="00F9037E">
        <w:rPr>
          <w:rStyle w:val="Heading311ptBoldChar"/>
        </w:rPr>
        <w:t xml:space="preserve">ses - Decision </w:t>
      </w:r>
      <w:proofErr w:type="gramStart"/>
      <w:r w:rsidR="008D5F24" w:rsidRPr="00F9037E">
        <w:rPr>
          <w:rStyle w:val="Heading311ptBoldChar"/>
        </w:rPr>
        <w:t>Ex</w:t>
      </w:r>
      <w:proofErr w:type="gramEnd"/>
      <w:r w:rsidR="008D5F24" w:rsidRPr="00F9037E">
        <w:rPr>
          <w:rStyle w:val="Heading311ptBoldChar"/>
        </w:rPr>
        <w:t xml:space="preserve"> I/4 (9i) and (9j)</w:t>
      </w:r>
      <w:bookmarkEnd w:id="82"/>
      <w:bookmarkEnd w:id="83"/>
      <w:bookmarkEnd w:id="84"/>
    </w:p>
    <w:p w14:paraId="6A08F04B" w14:textId="3EE697B6" w:rsidR="008D5F24" w:rsidRPr="00082015" w:rsidRDefault="008D5F24" w:rsidP="009446BE">
      <w:pPr>
        <w:widowControl w:val="0"/>
        <w:jc w:val="both"/>
        <w:rPr>
          <w:i/>
        </w:rPr>
      </w:pPr>
      <w:r w:rsidRPr="00CD3CBD">
        <w:t>Decision Ex. I/4 (9i) requires MBTOC,</w:t>
      </w:r>
      <w:r w:rsidR="0079319F">
        <w:t xml:space="preserve"> </w:t>
      </w:r>
      <w:r w:rsidRPr="00CD3CBD">
        <w:t>“</w:t>
      </w:r>
      <w:r w:rsidRPr="00CD3CBD">
        <w:rPr>
          <w:i/>
        </w:rPr>
        <w:t>To report annually on the status of re-registration and review of methyl bromide uses for the applications reflected in the critical-use exemptions, including any information on health effects and environmental acceptability”</w:t>
      </w:r>
      <w:r w:rsidRPr="00501812">
        <w:t>. Further, Decision Ex I/4 (9j) requires MBTOC “</w:t>
      </w:r>
      <w:r w:rsidRPr="003A30C7">
        <w:rPr>
          <w:i/>
        </w:rPr>
        <w:t>To report annually on the status of registration of alternatives and substitutes for methyl bromide, with particular emphasis on possible regulatory actions that will increase or decrease dependenc</w:t>
      </w:r>
      <w:r w:rsidRPr="00082015">
        <w:rPr>
          <w:i/>
        </w:rPr>
        <w:t>e on methyl bromide”.</w:t>
      </w:r>
    </w:p>
    <w:p w14:paraId="73F750BF" w14:textId="54D0A925" w:rsidR="00B11EFB" w:rsidRPr="00220275" w:rsidRDefault="00B11EFB" w:rsidP="009446BE">
      <w:pPr>
        <w:widowControl w:val="0"/>
        <w:jc w:val="both"/>
      </w:pPr>
      <w:r w:rsidRPr="00082015">
        <w:t xml:space="preserve">Where these have impacted a nomination, the </w:t>
      </w:r>
      <w:r w:rsidR="009828CB" w:rsidRPr="00082015">
        <w:t>P</w:t>
      </w:r>
      <w:r w:rsidRPr="00F5313E">
        <w:t>arty or MBTOC may have adjusted quantities to allow for effective use of the alternative.  A description of any changes has been made available in the CUN text b</w:t>
      </w:r>
      <w:r w:rsidRPr="00220275">
        <w:t>oxes (Tables</w:t>
      </w:r>
      <w:r w:rsidR="00655D62" w:rsidRPr="00220275">
        <w:t>1</w:t>
      </w:r>
      <w:r w:rsidR="00D90C05" w:rsidRPr="00220275">
        <w:t>.9</w:t>
      </w:r>
      <w:r w:rsidR="00220275">
        <w:t xml:space="preserve"> </w:t>
      </w:r>
      <w:r w:rsidR="00D90C05" w:rsidRPr="00220275">
        <w:t xml:space="preserve">and </w:t>
      </w:r>
      <w:r w:rsidR="00655D62" w:rsidRPr="00220275">
        <w:t>1</w:t>
      </w:r>
      <w:r w:rsidR="00D90C05" w:rsidRPr="00220275">
        <w:t>.11</w:t>
      </w:r>
      <w:r w:rsidRPr="00220275">
        <w:t>).</w:t>
      </w:r>
    </w:p>
    <w:p w14:paraId="71E1B7FA" w14:textId="77777777" w:rsidR="008D5F24" w:rsidRPr="00B87B95" w:rsidRDefault="00244B6A" w:rsidP="009446BE">
      <w:pPr>
        <w:jc w:val="both"/>
        <w:rPr>
          <w:lang w:eastAsia="en-GB"/>
        </w:rPr>
      </w:pPr>
      <w:r w:rsidRPr="00220275">
        <w:rPr>
          <w:lang w:eastAsia="en-GB"/>
        </w:rPr>
        <w:t>A</w:t>
      </w:r>
      <w:r w:rsidR="008D5F24" w:rsidRPr="00220275">
        <w:rPr>
          <w:lang w:eastAsia="en-GB"/>
        </w:rPr>
        <w:t xml:space="preserve">ny future nominations submitted by </w:t>
      </w:r>
      <w:r w:rsidR="009828CB" w:rsidRPr="00220275">
        <w:rPr>
          <w:lang w:eastAsia="en-GB"/>
        </w:rPr>
        <w:t>any Party</w:t>
      </w:r>
      <w:r w:rsidR="008D5F24" w:rsidRPr="00220275">
        <w:rPr>
          <w:lang w:eastAsia="en-GB"/>
        </w:rPr>
        <w:t xml:space="preserve"> should include information on expected rates of adoption of alternatives following registration, in accordance with paragraphs 34-35 of Annex 1 of the </w:t>
      </w:r>
      <w:r w:rsidR="00953EFC" w:rsidRPr="00B87B95">
        <w:rPr>
          <w:lang w:eastAsia="en-GB"/>
        </w:rPr>
        <w:t>16</w:t>
      </w:r>
      <w:r w:rsidR="00953EFC" w:rsidRPr="00B87B95">
        <w:rPr>
          <w:vertAlign w:val="superscript"/>
          <w:lang w:eastAsia="en-GB"/>
        </w:rPr>
        <w:t>th</w:t>
      </w:r>
      <w:r w:rsidR="008D5F24" w:rsidRPr="00B87B95">
        <w:rPr>
          <w:lang w:eastAsia="en-GB"/>
        </w:rPr>
        <w:t xml:space="preserve">MOP, as this information would assist MBTOC in its evaluation of these CUNs.   </w:t>
      </w:r>
    </w:p>
    <w:p w14:paraId="7B5BF71D" w14:textId="17EC299F" w:rsidR="002B749B" w:rsidRPr="00F9037E" w:rsidRDefault="000F08B5" w:rsidP="006A54A1">
      <w:pPr>
        <w:pStyle w:val="Heading2"/>
        <w:rPr>
          <w:rStyle w:val="Heading311ptBoldChar"/>
        </w:rPr>
      </w:pPr>
      <w:bookmarkStart w:id="85" w:name="_Toc293054748"/>
      <w:bookmarkStart w:id="86" w:name="_Toc461183773"/>
      <w:r>
        <w:rPr>
          <w:rStyle w:val="Heading311ptBoldChar"/>
        </w:rPr>
        <w:t>3.9</w:t>
      </w:r>
      <w:r w:rsidR="002B749B" w:rsidRPr="00F9037E">
        <w:rPr>
          <w:rStyle w:val="Heading311ptBoldChar"/>
        </w:rPr>
        <w:t>.5</w:t>
      </w:r>
      <w:r w:rsidR="002B749B" w:rsidRPr="00F9037E">
        <w:rPr>
          <w:rStyle w:val="Heading311ptBoldChar"/>
        </w:rPr>
        <w:tab/>
        <w:t>Decision XXV/4</w:t>
      </w:r>
      <w:bookmarkEnd w:id="85"/>
      <w:bookmarkEnd w:id="86"/>
    </w:p>
    <w:p w14:paraId="12241923" w14:textId="77777777" w:rsidR="006D0623" w:rsidRPr="00082015" w:rsidRDefault="006D0623" w:rsidP="00F01FB5">
      <w:pPr>
        <w:pStyle w:val="MediumGrid1-Accent23"/>
        <w:ind w:left="0"/>
        <w:jc w:val="both"/>
        <w:rPr>
          <w:rFonts w:ascii="Times New Roman" w:hAnsi="Times New Roman" w:cs="Times New Roman"/>
          <w:color w:val="000000"/>
          <w:sz w:val="22"/>
          <w:szCs w:val="20"/>
          <w:lang w:val="en-GB" w:eastAsia="en-GB"/>
        </w:rPr>
      </w:pPr>
      <w:r w:rsidRPr="00CD3CBD">
        <w:rPr>
          <w:rFonts w:ascii="Times New Roman" w:hAnsi="Times New Roman" w:cs="Times New Roman"/>
          <w:color w:val="000000"/>
          <w:sz w:val="22"/>
          <w:szCs w:val="20"/>
          <w:lang w:val="en-GB" w:eastAsia="en-GB"/>
        </w:rPr>
        <w:t xml:space="preserve">In response to </w:t>
      </w:r>
      <w:r w:rsidR="00C23EBA" w:rsidRPr="00CD3CBD">
        <w:rPr>
          <w:rFonts w:ascii="Times New Roman" w:hAnsi="Times New Roman" w:cs="Times New Roman"/>
          <w:color w:val="000000"/>
          <w:sz w:val="22"/>
          <w:szCs w:val="20"/>
          <w:lang w:val="en-GB" w:eastAsia="en-GB"/>
        </w:rPr>
        <w:t xml:space="preserve">Decision XXV/4 </w:t>
      </w:r>
      <w:r w:rsidR="002B749B" w:rsidRPr="00CD3CBD">
        <w:rPr>
          <w:rFonts w:ascii="Times New Roman" w:hAnsi="Times New Roman" w:cs="Times New Roman"/>
          <w:color w:val="000000"/>
          <w:sz w:val="22"/>
          <w:szCs w:val="20"/>
          <w:lang w:val="en-GB" w:eastAsia="en-GB"/>
        </w:rPr>
        <w:t>from the 25th MOP</w:t>
      </w:r>
      <w:r w:rsidR="00AC156D" w:rsidRPr="00501812">
        <w:rPr>
          <w:rFonts w:ascii="Times New Roman" w:hAnsi="Times New Roman" w:cs="Times New Roman"/>
          <w:color w:val="000000"/>
          <w:sz w:val="22"/>
          <w:szCs w:val="20"/>
          <w:lang w:val="en-GB" w:eastAsia="en-GB"/>
        </w:rPr>
        <w:t>,</w:t>
      </w:r>
      <w:r w:rsidR="001C1142" w:rsidRPr="00501812">
        <w:rPr>
          <w:rFonts w:ascii="Times New Roman" w:hAnsi="Times New Roman" w:cs="Times New Roman"/>
          <w:color w:val="000000"/>
          <w:sz w:val="22"/>
          <w:szCs w:val="20"/>
          <w:lang w:val="en-GB" w:eastAsia="en-GB"/>
        </w:rPr>
        <w:t xml:space="preserve"> </w:t>
      </w:r>
      <w:r w:rsidRPr="003A30C7">
        <w:rPr>
          <w:rFonts w:ascii="Times New Roman" w:hAnsi="Times New Roman" w:cs="Times New Roman"/>
          <w:color w:val="000000"/>
          <w:sz w:val="22"/>
          <w:szCs w:val="20"/>
          <w:lang w:val="en-GB" w:eastAsia="en-GB"/>
        </w:rPr>
        <w:t xml:space="preserve">MBTOC notes that all of the non-A5 nominations contained a discussion of national, subnational or local regulations impacting the potential use of alternatives to </w:t>
      </w:r>
      <w:r w:rsidRPr="00082015">
        <w:rPr>
          <w:rFonts w:ascii="Times New Roman" w:hAnsi="Times New Roman" w:cs="Times New Roman"/>
          <w:color w:val="000000"/>
          <w:sz w:val="22"/>
          <w:szCs w:val="20"/>
          <w:lang w:val="en-GB" w:eastAsia="en-GB"/>
        </w:rPr>
        <w:t xml:space="preserve">MB.  In addition, both Non-A5 and A5 nominations contained information on the status of the registration of alternatives and substitutes for MB. These comments are summarized below for each Party.  </w:t>
      </w:r>
    </w:p>
    <w:p w14:paraId="73AC97D2" w14:textId="77777777" w:rsidR="00220275" w:rsidRDefault="00C77A7F" w:rsidP="006A54A1">
      <w:pPr>
        <w:pStyle w:val="Heading5"/>
      </w:pPr>
      <w:r w:rsidRPr="00082015">
        <w:tab/>
      </w:r>
      <w:bookmarkStart w:id="87" w:name="_Toc293054749"/>
    </w:p>
    <w:p w14:paraId="0DE50219" w14:textId="12DDB94F" w:rsidR="00C77A7F" w:rsidRPr="003159A8" w:rsidRDefault="00220275" w:rsidP="006A54A1">
      <w:pPr>
        <w:pStyle w:val="Heading5"/>
        <w:rPr>
          <w:rStyle w:val="Heading4Char1"/>
          <w:i/>
        </w:rPr>
      </w:pPr>
      <w:r>
        <w:rPr>
          <w:rStyle w:val="Heading4Char1"/>
          <w:b/>
        </w:rPr>
        <w:tab/>
      </w:r>
      <w:r w:rsidR="000F08B5" w:rsidRPr="003159A8">
        <w:rPr>
          <w:rStyle w:val="Heading4Char1"/>
          <w:i/>
        </w:rPr>
        <w:t>3.9</w:t>
      </w:r>
      <w:r w:rsidR="00C77A7F" w:rsidRPr="003159A8">
        <w:rPr>
          <w:rStyle w:val="Heading4Char1"/>
          <w:i/>
        </w:rPr>
        <w:t>.5.1</w:t>
      </w:r>
      <w:r w:rsidR="009D0C3D" w:rsidRPr="003159A8">
        <w:rPr>
          <w:rStyle w:val="Heading4Char1"/>
          <w:i/>
        </w:rPr>
        <w:t>.</w:t>
      </w:r>
      <w:r w:rsidR="00C77A7F" w:rsidRPr="003159A8">
        <w:rPr>
          <w:rStyle w:val="Heading4Char1"/>
          <w:i/>
        </w:rPr>
        <w:tab/>
        <w:t>Regulations impacting use of alternatives</w:t>
      </w:r>
      <w:r w:rsidR="007A6453" w:rsidRPr="003159A8">
        <w:rPr>
          <w:rStyle w:val="Heading4Char1"/>
          <w:i/>
        </w:rPr>
        <w:t xml:space="preserve"> by country</w:t>
      </w:r>
      <w:bookmarkEnd w:id="87"/>
    </w:p>
    <w:p w14:paraId="258E3D45" w14:textId="77777777" w:rsidR="00D33C12" w:rsidRPr="00501812" w:rsidRDefault="002B749B" w:rsidP="00E417DF">
      <w:pPr>
        <w:pStyle w:val="MediumGrid1-Accent23"/>
        <w:numPr>
          <w:ilvl w:val="0"/>
          <w:numId w:val="6"/>
        </w:numPr>
        <w:jc w:val="both"/>
        <w:rPr>
          <w:rFonts w:ascii="Times New Roman" w:hAnsi="Times New Roman" w:cs="Times New Roman"/>
          <w:color w:val="000000"/>
          <w:sz w:val="22"/>
          <w:szCs w:val="20"/>
          <w:lang w:val="en-GB" w:eastAsia="en-GB"/>
        </w:rPr>
      </w:pPr>
      <w:r w:rsidRPr="00CD3CBD">
        <w:rPr>
          <w:rFonts w:ascii="Times New Roman" w:hAnsi="Times New Roman" w:cs="Times New Roman"/>
          <w:b/>
          <w:bCs/>
          <w:sz w:val="22"/>
          <w:szCs w:val="22"/>
          <w:lang w:val="en-GB"/>
        </w:rPr>
        <w:t xml:space="preserve">Australia: </w:t>
      </w:r>
      <w:r w:rsidR="00850F1E" w:rsidRPr="00CD3CBD">
        <w:rPr>
          <w:rFonts w:ascii="Times New Roman" w:hAnsi="Times New Roman" w:cs="Times New Roman"/>
          <w:color w:val="000000"/>
          <w:sz w:val="22"/>
          <w:szCs w:val="20"/>
          <w:lang w:val="en-GB" w:eastAsia="en-GB"/>
        </w:rPr>
        <w:t>No new chemicals have been registered but several promising alternatives have been identified</w:t>
      </w:r>
      <w:r w:rsidR="00850F1E" w:rsidRPr="00501812">
        <w:rPr>
          <w:rFonts w:ascii="Times New Roman" w:hAnsi="Times New Roman" w:cs="Times New Roman"/>
          <w:color w:val="000000"/>
          <w:sz w:val="22"/>
          <w:szCs w:val="20"/>
          <w:lang w:val="en-GB" w:eastAsia="en-GB"/>
        </w:rPr>
        <w:t xml:space="preserve">. </w:t>
      </w:r>
    </w:p>
    <w:p w14:paraId="5CD13EC8" w14:textId="77777777" w:rsidR="00BF396C" w:rsidRPr="003A30C7" w:rsidRDefault="00BF396C" w:rsidP="00651F65">
      <w:pPr>
        <w:pStyle w:val="MediumGrid1-Accent23"/>
        <w:jc w:val="both"/>
        <w:rPr>
          <w:rFonts w:ascii="Times New Roman" w:hAnsi="Times New Roman" w:cs="Times New Roman"/>
          <w:color w:val="000000"/>
          <w:sz w:val="22"/>
          <w:szCs w:val="20"/>
          <w:lang w:val="en-GB" w:eastAsia="en-GB"/>
        </w:rPr>
      </w:pPr>
    </w:p>
    <w:p w14:paraId="626259C4" w14:textId="77777777" w:rsidR="002B749B" w:rsidRPr="00220275" w:rsidRDefault="002B749B" w:rsidP="00E417DF">
      <w:pPr>
        <w:pStyle w:val="MediumGrid1-Accent23"/>
        <w:numPr>
          <w:ilvl w:val="0"/>
          <w:numId w:val="5"/>
        </w:numPr>
        <w:jc w:val="both"/>
        <w:rPr>
          <w:rFonts w:ascii="Times New Roman" w:hAnsi="Times New Roman" w:cs="Times New Roman"/>
          <w:color w:val="000000"/>
          <w:sz w:val="22"/>
          <w:szCs w:val="20"/>
          <w:lang w:val="en-GB" w:eastAsia="en-GB"/>
        </w:rPr>
      </w:pPr>
      <w:r w:rsidRPr="00082015">
        <w:rPr>
          <w:rFonts w:ascii="Times New Roman" w:hAnsi="Times New Roman" w:cs="Times New Roman"/>
          <w:b/>
          <w:color w:val="000000"/>
          <w:sz w:val="22"/>
          <w:szCs w:val="20"/>
          <w:lang w:val="en-GB" w:eastAsia="en-GB"/>
        </w:rPr>
        <w:t>Canada</w:t>
      </w:r>
      <w:r w:rsidRPr="00082015">
        <w:rPr>
          <w:rFonts w:ascii="Times New Roman" w:hAnsi="Times New Roman" w:cs="Times New Roman"/>
          <w:color w:val="000000"/>
          <w:sz w:val="22"/>
          <w:szCs w:val="20"/>
          <w:lang w:val="en-GB" w:eastAsia="en-GB"/>
        </w:rPr>
        <w:t>: A groundwater warning statement is currently on Canadian labels</w:t>
      </w:r>
      <w:r w:rsidR="00CD0937" w:rsidRPr="00082015">
        <w:rPr>
          <w:rFonts w:ascii="Times New Roman" w:hAnsi="Times New Roman" w:cs="Times New Roman"/>
          <w:color w:val="000000"/>
          <w:sz w:val="22"/>
          <w:szCs w:val="20"/>
          <w:lang w:val="en-GB" w:eastAsia="en-GB"/>
        </w:rPr>
        <w:t>,</w:t>
      </w:r>
      <w:r w:rsidRPr="00082015">
        <w:rPr>
          <w:rFonts w:ascii="Times New Roman" w:hAnsi="Times New Roman" w:cs="Times New Roman"/>
          <w:color w:val="000000"/>
          <w:sz w:val="22"/>
          <w:szCs w:val="20"/>
          <w:lang w:val="en-GB" w:eastAsia="en-GB"/>
        </w:rPr>
        <w:t xml:space="preserve"> which prevents the use of </w:t>
      </w:r>
      <w:r w:rsidR="00850F1E" w:rsidRPr="00F5313E">
        <w:rPr>
          <w:rFonts w:ascii="Times New Roman" w:hAnsi="Times New Roman" w:cs="Times New Roman"/>
          <w:color w:val="000000"/>
          <w:sz w:val="22"/>
          <w:szCs w:val="20"/>
          <w:lang w:val="en-GB" w:eastAsia="en-GB"/>
        </w:rPr>
        <w:t>all fumigant al</w:t>
      </w:r>
      <w:r w:rsidR="00850F1E" w:rsidRPr="00220275">
        <w:rPr>
          <w:rFonts w:ascii="Times New Roman" w:hAnsi="Times New Roman" w:cs="Times New Roman"/>
          <w:color w:val="000000"/>
          <w:sz w:val="22"/>
          <w:szCs w:val="20"/>
          <w:lang w:val="en-GB" w:eastAsia="en-GB"/>
        </w:rPr>
        <w:t>ternatives i</w:t>
      </w:r>
      <w:r w:rsidRPr="00220275">
        <w:rPr>
          <w:rFonts w:ascii="Times New Roman" w:hAnsi="Times New Roman" w:cs="Times New Roman"/>
          <w:color w:val="000000"/>
          <w:sz w:val="22"/>
          <w:szCs w:val="20"/>
          <w:lang w:val="en-GB" w:eastAsia="en-GB"/>
        </w:rPr>
        <w:t>n PEI.</w:t>
      </w:r>
    </w:p>
    <w:p w14:paraId="721AAF9B" w14:textId="77777777" w:rsidR="00D33C12" w:rsidRPr="00220275" w:rsidRDefault="00D33C12" w:rsidP="00651F65">
      <w:pPr>
        <w:pStyle w:val="MediumGrid1-Accent23"/>
        <w:jc w:val="both"/>
        <w:rPr>
          <w:rFonts w:ascii="Times New Roman" w:hAnsi="Times New Roman" w:cs="Times New Roman"/>
          <w:color w:val="000000"/>
          <w:sz w:val="22"/>
          <w:szCs w:val="20"/>
          <w:lang w:val="en-GB" w:eastAsia="en-GB"/>
        </w:rPr>
      </w:pPr>
    </w:p>
    <w:p w14:paraId="04CFD3BC" w14:textId="77777777" w:rsidR="002B749B" w:rsidRPr="00B87B95" w:rsidRDefault="002B749B" w:rsidP="00E417DF">
      <w:pPr>
        <w:pStyle w:val="MediumGrid1-Accent23"/>
        <w:numPr>
          <w:ilvl w:val="0"/>
          <w:numId w:val="5"/>
        </w:numPr>
        <w:jc w:val="both"/>
        <w:rPr>
          <w:rFonts w:ascii="Times New Roman" w:hAnsi="Times New Roman" w:cs="Times New Roman"/>
          <w:color w:val="000000"/>
          <w:sz w:val="22"/>
          <w:szCs w:val="20"/>
          <w:lang w:val="en-GB" w:eastAsia="en-GB"/>
        </w:rPr>
      </w:pPr>
      <w:r w:rsidRPr="00220275">
        <w:rPr>
          <w:rFonts w:ascii="Times New Roman" w:hAnsi="Times New Roman"/>
          <w:b/>
          <w:color w:val="000000"/>
          <w:sz w:val="22"/>
          <w:lang w:val="en-GB"/>
        </w:rPr>
        <w:t>China</w:t>
      </w:r>
      <w:r w:rsidRPr="00220275">
        <w:rPr>
          <w:rFonts w:ascii="Times New Roman" w:hAnsi="Times New Roman" w:cs="Times New Roman"/>
          <w:color w:val="000000"/>
          <w:sz w:val="22"/>
          <w:szCs w:val="20"/>
          <w:lang w:val="en-GB" w:eastAsia="en-GB"/>
        </w:rPr>
        <w:t>: The only registered alternative to MB for ginger in China is chloropicrin</w:t>
      </w:r>
      <w:r w:rsidR="00850F1E" w:rsidRPr="00220275">
        <w:rPr>
          <w:rFonts w:ascii="Times New Roman" w:hAnsi="Times New Roman" w:cs="Times New Roman"/>
          <w:color w:val="000000"/>
          <w:sz w:val="22"/>
          <w:szCs w:val="20"/>
          <w:lang w:val="en-GB" w:eastAsia="en-GB"/>
        </w:rPr>
        <w:t>, but this does not control nematodes and weeds</w:t>
      </w:r>
      <w:r w:rsidRPr="00B87B95">
        <w:rPr>
          <w:rFonts w:ascii="Times New Roman" w:hAnsi="Times New Roman" w:cs="Times New Roman"/>
          <w:color w:val="000000"/>
          <w:sz w:val="22"/>
          <w:szCs w:val="20"/>
          <w:lang w:val="en-GB" w:eastAsia="en-GB"/>
        </w:rPr>
        <w:t>.</w:t>
      </w:r>
    </w:p>
    <w:p w14:paraId="33FA81AE" w14:textId="77777777" w:rsidR="00D33C12" w:rsidRPr="00B87B95" w:rsidRDefault="00D33C12">
      <w:pPr>
        <w:pStyle w:val="MediumGrid1-Accent23"/>
        <w:ind w:left="0"/>
        <w:jc w:val="both"/>
        <w:rPr>
          <w:rFonts w:ascii="Times New Roman" w:hAnsi="Times New Roman" w:cs="Times New Roman"/>
          <w:color w:val="000000"/>
          <w:sz w:val="22"/>
          <w:szCs w:val="20"/>
          <w:lang w:val="en-GB" w:eastAsia="en-GB"/>
        </w:rPr>
      </w:pPr>
    </w:p>
    <w:p w14:paraId="2C4DB466" w14:textId="77777777" w:rsidR="002B749B" w:rsidRPr="00563BC0" w:rsidRDefault="002B749B" w:rsidP="00E417DF">
      <w:pPr>
        <w:pStyle w:val="MediumGrid1-Accent23"/>
        <w:numPr>
          <w:ilvl w:val="0"/>
          <w:numId w:val="5"/>
        </w:numPr>
        <w:jc w:val="both"/>
        <w:rPr>
          <w:rFonts w:ascii="Times New Roman" w:hAnsi="Times New Roman" w:cs="Times New Roman"/>
          <w:color w:val="000000"/>
          <w:sz w:val="22"/>
          <w:szCs w:val="20"/>
          <w:lang w:val="en-GB" w:eastAsia="en-GB"/>
        </w:rPr>
      </w:pPr>
      <w:r w:rsidRPr="00B87B95">
        <w:rPr>
          <w:rFonts w:ascii="Times New Roman" w:hAnsi="Times New Roman"/>
          <w:b/>
          <w:color w:val="000000"/>
          <w:sz w:val="22"/>
          <w:lang w:val="en-GB"/>
        </w:rPr>
        <w:t>Argentina</w:t>
      </w:r>
      <w:r w:rsidRPr="00563BC0">
        <w:rPr>
          <w:rFonts w:ascii="Times New Roman" w:hAnsi="Times New Roman" w:cs="Times New Roman"/>
          <w:color w:val="000000"/>
          <w:sz w:val="22"/>
          <w:szCs w:val="20"/>
          <w:lang w:val="en-GB" w:eastAsia="en-GB"/>
        </w:rPr>
        <w:t>: Chloropicrin is not registered as a stand-alone product in Argentina, but combinations of 1</w:t>
      </w:r>
      <w:proofErr w:type="gramStart"/>
      <w:r w:rsidRPr="00563BC0">
        <w:rPr>
          <w:rFonts w:ascii="Times New Roman" w:hAnsi="Times New Roman" w:cs="Times New Roman"/>
          <w:color w:val="000000"/>
          <w:sz w:val="22"/>
          <w:szCs w:val="20"/>
          <w:lang w:val="en-GB" w:eastAsia="en-GB"/>
        </w:rPr>
        <w:t>,3</w:t>
      </w:r>
      <w:proofErr w:type="gramEnd"/>
      <w:r w:rsidRPr="00563BC0">
        <w:rPr>
          <w:rFonts w:ascii="Times New Roman" w:hAnsi="Times New Roman" w:cs="Times New Roman"/>
          <w:color w:val="000000"/>
          <w:sz w:val="22"/>
          <w:szCs w:val="20"/>
          <w:lang w:val="en-GB" w:eastAsia="en-GB"/>
        </w:rPr>
        <w:t xml:space="preserve">-D/pic products are registered.  </w:t>
      </w:r>
      <w:proofErr w:type="spellStart"/>
      <w:r w:rsidRPr="00563BC0">
        <w:rPr>
          <w:rFonts w:ascii="Times New Roman" w:hAnsi="Times New Roman" w:cs="Times New Roman"/>
          <w:color w:val="000000"/>
          <w:sz w:val="22"/>
          <w:szCs w:val="20"/>
          <w:lang w:val="en-GB" w:eastAsia="en-GB"/>
        </w:rPr>
        <w:t>Dazomet</w:t>
      </w:r>
      <w:proofErr w:type="spellEnd"/>
      <w:r w:rsidRPr="00563BC0">
        <w:rPr>
          <w:rFonts w:ascii="Times New Roman" w:hAnsi="Times New Roman" w:cs="Times New Roman"/>
          <w:color w:val="000000"/>
          <w:sz w:val="22"/>
          <w:szCs w:val="20"/>
          <w:lang w:val="en-GB" w:eastAsia="en-GB"/>
        </w:rPr>
        <w:t xml:space="preserve"> is not registered for edible crops.</w:t>
      </w:r>
    </w:p>
    <w:p w14:paraId="3C0E6BC5" w14:textId="77777777" w:rsidR="00DF39B8" w:rsidRPr="00563BC0" w:rsidRDefault="00DF39B8">
      <w:pPr>
        <w:pStyle w:val="MediumGrid1-Accent23"/>
        <w:ind w:left="0"/>
        <w:jc w:val="both"/>
        <w:rPr>
          <w:rFonts w:ascii="Times New Roman" w:hAnsi="Times New Roman" w:cs="Times New Roman"/>
          <w:color w:val="000000"/>
          <w:sz w:val="22"/>
          <w:szCs w:val="20"/>
          <w:lang w:val="en-GB" w:eastAsia="en-GB"/>
        </w:rPr>
      </w:pPr>
    </w:p>
    <w:p w14:paraId="10493FAF" w14:textId="77777777" w:rsidR="00A37733" w:rsidRPr="00F9037E" w:rsidRDefault="00DF39B8" w:rsidP="00E417DF">
      <w:pPr>
        <w:pStyle w:val="MediumGrid1-Accent23"/>
        <w:numPr>
          <w:ilvl w:val="0"/>
          <w:numId w:val="5"/>
        </w:numPr>
        <w:jc w:val="both"/>
        <w:rPr>
          <w:rFonts w:ascii="Times New Roman" w:hAnsi="Times New Roman" w:cs="Times New Roman"/>
          <w:color w:val="000000"/>
          <w:sz w:val="22"/>
          <w:szCs w:val="20"/>
          <w:lang w:val="en-GB" w:eastAsia="en-GB"/>
        </w:rPr>
      </w:pPr>
      <w:r w:rsidRPr="00563BC0">
        <w:rPr>
          <w:rFonts w:ascii="Times New Roman" w:hAnsi="Times New Roman"/>
          <w:b/>
          <w:color w:val="000000"/>
          <w:sz w:val="22"/>
          <w:lang w:val="en-GB"/>
        </w:rPr>
        <w:t>South Africa</w:t>
      </w:r>
      <w:r w:rsidRPr="00563BC0">
        <w:rPr>
          <w:rFonts w:ascii="Times New Roman" w:hAnsi="Times New Roman" w:cs="Times New Roman"/>
          <w:color w:val="000000"/>
          <w:sz w:val="22"/>
          <w:szCs w:val="20"/>
          <w:lang w:val="en-GB" w:eastAsia="en-GB"/>
        </w:rPr>
        <w:t xml:space="preserve">: </w:t>
      </w:r>
      <w:r w:rsidR="006B25F0" w:rsidRPr="00563BC0">
        <w:rPr>
          <w:rFonts w:ascii="Times New Roman" w:hAnsi="Times New Roman" w:cs="Times New Roman"/>
          <w:color w:val="000000"/>
          <w:sz w:val="22"/>
          <w:szCs w:val="20"/>
          <w:lang w:val="en-GB" w:eastAsia="en-GB"/>
        </w:rPr>
        <w:t>A key</w:t>
      </w:r>
      <w:r w:rsidR="001C1142" w:rsidRPr="00563BC0">
        <w:rPr>
          <w:rFonts w:ascii="Times New Roman" w:hAnsi="Times New Roman" w:cs="Times New Roman"/>
          <w:color w:val="000000"/>
          <w:sz w:val="22"/>
          <w:szCs w:val="20"/>
          <w:lang w:val="en-GB" w:eastAsia="en-GB"/>
        </w:rPr>
        <w:t xml:space="preserve"> </w:t>
      </w:r>
      <w:r w:rsidR="00850F1E" w:rsidRPr="00563BC0">
        <w:rPr>
          <w:rFonts w:ascii="Times New Roman" w:hAnsi="Times New Roman" w:cs="Times New Roman"/>
          <w:color w:val="000000"/>
          <w:sz w:val="22"/>
          <w:szCs w:val="20"/>
          <w:lang w:val="en-GB" w:eastAsia="en-GB"/>
        </w:rPr>
        <w:t>fumigant alternative (</w:t>
      </w:r>
      <w:proofErr w:type="spellStart"/>
      <w:r w:rsidR="00850F1E" w:rsidRPr="00563BC0">
        <w:rPr>
          <w:rFonts w:ascii="Times New Roman" w:hAnsi="Times New Roman" w:cs="Times New Roman"/>
          <w:color w:val="000000"/>
          <w:sz w:val="22"/>
          <w:szCs w:val="20"/>
          <w:lang w:val="en-GB" w:eastAsia="en-GB"/>
        </w:rPr>
        <w:t>sulfuryl</w:t>
      </w:r>
      <w:proofErr w:type="spellEnd"/>
      <w:r w:rsidR="00850F1E" w:rsidRPr="00563BC0">
        <w:rPr>
          <w:rFonts w:ascii="Times New Roman" w:hAnsi="Times New Roman" w:cs="Times New Roman"/>
          <w:color w:val="000000"/>
          <w:sz w:val="22"/>
          <w:szCs w:val="20"/>
          <w:lang w:val="en-GB" w:eastAsia="en-GB"/>
        </w:rPr>
        <w:t xml:space="preserve"> fluoride) to methyl bromide </w:t>
      </w:r>
      <w:r w:rsidR="006B25F0" w:rsidRPr="000F08B5">
        <w:rPr>
          <w:rFonts w:ascii="Times New Roman" w:hAnsi="Times New Roman" w:cs="Times New Roman"/>
          <w:color w:val="000000"/>
          <w:sz w:val="22"/>
          <w:szCs w:val="20"/>
          <w:lang w:val="en-GB" w:eastAsia="en-GB"/>
        </w:rPr>
        <w:t>is not</w:t>
      </w:r>
      <w:r w:rsidR="001C1142" w:rsidRPr="000F08B5">
        <w:rPr>
          <w:rFonts w:ascii="Times New Roman" w:hAnsi="Times New Roman" w:cs="Times New Roman"/>
          <w:color w:val="000000"/>
          <w:sz w:val="22"/>
          <w:szCs w:val="20"/>
          <w:lang w:val="en-GB" w:eastAsia="en-GB"/>
        </w:rPr>
        <w:t xml:space="preserve"> </w:t>
      </w:r>
      <w:r w:rsidR="00850F1E" w:rsidRPr="000F08B5">
        <w:rPr>
          <w:rFonts w:ascii="Times New Roman" w:hAnsi="Times New Roman" w:cs="Times New Roman"/>
          <w:color w:val="000000"/>
          <w:sz w:val="22"/>
          <w:szCs w:val="20"/>
          <w:lang w:val="en-GB" w:eastAsia="en-GB"/>
        </w:rPr>
        <w:t>registered for mills and houses.</w:t>
      </w:r>
      <w:r w:rsidR="00553525" w:rsidRPr="00365366">
        <w:rPr>
          <w:rFonts w:ascii="Times New Roman" w:hAnsi="Times New Roman" w:cs="Times New Roman"/>
          <w:color w:val="000000"/>
          <w:sz w:val="22"/>
          <w:szCs w:val="20"/>
          <w:lang w:val="en-GB" w:eastAsia="en-GB"/>
        </w:rPr>
        <w:tab/>
      </w:r>
      <w:bookmarkStart w:id="88" w:name="_Toc293054750"/>
    </w:p>
    <w:p w14:paraId="651CCB41" w14:textId="77777777" w:rsidR="00A37733" w:rsidRPr="00F9037E" w:rsidRDefault="00A37733" w:rsidP="00A37733">
      <w:pPr>
        <w:pStyle w:val="ListParagraph"/>
        <w:rPr>
          <w:lang w:eastAsia="en-GB"/>
        </w:rPr>
      </w:pPr>
    </w:p>
    <w:p w14:paraId="172049BB" w14:textId="45FC89D5" w:rsidR="00220275" w:rsidRPr="003159A8" w:rsidRDefault="00BF396C" w:rsidP="0082102E">
      <w:pPr>
        <w:keepNext/>
        <w:keepLines/>
        <w:rPr>
          <w:rStyle w:val="Heading4Char1"/>
          <w:i/>
        </w:rPr>
      </w:pPr>
      <w:r w:rsidRPr="00F9037E">
        <w:rPr>
          <w:rStyle w:val="Heading311ptBoldChar"/>
          <w:color w:val="auto"/>
          <w:sz w:val="20"/>
        </w:rPr>
        <w:lastRenderedPageBreak/>
        <w:tab/>
      </w:r>
      <w:r w:rsidR="000F08B5" w:rsidRPr="003159A8">
        <w:rPr>
          <w:rStyle w:val="Heading4Char1"/>
          <w:i/>
        </w:rPr>
        <w:t>3.9</w:t>
      </w:r>
      <w:r w:rsidR="00553525" w:rsidRPr="003159A8">
        <w:rPr>
          <w:rStyle w:val="Heading4Char1"/>
          <w:i/>
        </w:rPr>
        <w:t>.5.2</w:t>
      </w:r>
      <w:r w:rsidR="00553525" w:rsidRPr="003159A8">
        <w:rPr>
          <w:rStyle w:val="Heading4Char1"/>
          <w:i/>
        </w:rPr>
        <w:tab/>
      </w:r>
      <w:r w:rsidR="002B749B" w:rsidRPr="003159A8">
        <w:rPr>
          <w:rStyle w:val="Heading4Char1"/>
          <w:i/>
        </w:rPr>
        <w:t>H</w:t>
      </w:r>
      <w:r w:rsidR="00553525" w:rsidRPr="003159A8">
        <w:rPr>
          <w:rStyle w:val="Heading4Char1"/>
          <w:i/>
        </w:rPr>
        <w:t>ealth effects of MB use and environmental acceptability</w:t>
      </w:r>
      <w:bookmarkEnd w:id="88"/>
    </w:p>
    <w:p w14:paraId="15EA66E1" w14:textId="77777777" w:rsidR="002B749B" w:rsidRPr="00F9037E" w:rsidRDefault="002B749B" w:rsidP="00F9037E">
      <w:pPr>
        <w:rPr>
          <w:color w:val="131413"/>
          <w:szCs w:val="22"/>
          <w:lang w:eastAsia="fr-FR"/>
        </w:rPr>
      </w:pPr>
      <w:r w:rsidRPr="00220275">
        <w:t xml:space="preserve">Over the past two decades numerous studies have characterized the health hazards resulting from exposure to methyl bromide. Its acute and chronic toxicities are very high </w:t>
      </w:r>
      <w:r w:rsidR="003079B9" w:rsidRPr="00220275">
        <w:t xml:space="preserve">and in many countries </w:t>
      </w:r>
      <w:r w:rsidRPr="00220275">
        <w:t>it is classified as</w:t>
      </w:r>
      <w:r w:rsidR="008B74E7" w:rsidRPr="00220275">
        <w:t xml:space="preserve"> </w:t>
      </w:r>
      <w:r w:rsidR="003079B9" w:rsidRPr="00220275">
        <w:t>“</w:t>
      </w:r>
      <w:r w:rsidRPr="00220275">
        <w:t>toxicity class I</w:t>
      </w:r>
      <w:r w:rsidR="003079B9" w:rsidRPr="00220275">
        <w:t>”</w:t>
      </w:r>
      <w:r w:rsidRPr="00220275">
        <w:t>. It is known as a developmental, neurologic and respiratory toxin (</w:t>
      </w:r>
      <w:proofErr w:type="spellStart"/>
      <w:r w:rsidRPr="00220275">
        <w:t>Gemill</w:t>
      </w:r>
      <w:proofErr w:type="spellEnd"/>
      <w:r w:rsidR="001C1142" w:rsidRPr="00F9037E">
        <w:t xml:space="preserve"> </w:t>
      </w:r>
      <w:r w:rsidR="00EF30ED" w:rsidRPr="00F9037E">
        <w:rPr>
          <w:i/>
        </w:rPr>
        <w:t>et al</w:t>
      </w:r>
      <w:r w:rsidR="00EF30ED" w:rsidRPr="00F9037E">
        <w:t>.</w:t>
      </w:r>
      <w:r w:rsidR="00EC1009" w:rsidRPr="00F9037E">
        <w:t>,</w:t>
      </w:r>
      <w:r w:rsidRPr="00F9037E">
        <w:t xml:space="preserve"> 2013, </w:t>
      </w:r>
      <w:r w:rsidR="00D66931" w:rsidRPr="00F9037E">
        <w:t xml:space="preserve">De </w:t>
      </w:r>
      <w:r w:rsidRPr="00F9037E">
        <w:t xml:space="preserve">Souza </w:t>
      </w:r>
      <w:r w:rsidR="00EF30ED" w:rsidRPr="00F9037E">
        <w:rPr>
          <w:i/>
        </w:rPr>
        <w:t>et al</w:t>
      </w:r>
      <w:r w:rsidR="00EF30ED" w:rsidRPr="00F9037E">
        <w:t>.</w:t>
      </w:r>
      <w:r w:rsidRPr="00F9037E">
        <w:t>, 2013</w:t>
      </w:r>
      <w:r w:rsidR="00E25FC2" w:rsidRPr="00F9037E">
        <w:t xml:space="preserve">, </w:t>
      </w:r>
      <w:proofErr w:type="spellStart"/>
      <w:r w:rsidR="00E25FC2" w:rsidRPr="00F9037E">
        <w:t>Bulathsinghala</w:t>
      </w:r>
      <w:proofErr w:type="spellEnd"/>
      <w:r w:rsidR="001C1142" w:rsidRPr="00F9037E">
        <w:t xml:space="preserve"> </w:t>
      </w:r>
      <w:r w:rsidR="00E25FC2" w:rsidRPr="00F9037E">
        <w:rPr>
          <w:i/>
        </w:rPr>
        <w:t>et al</w:t>
      </w:r>
      <w:r w:rsidR="00E47EB5" w:rsidRPr="00F9037E">
        <w:rPr>
          <w:i/>
          <w:color w:val="131413"/>
          <w:szCs w:val="22"/>
          <w:lang w:eastAsia="fr-FR"/>
        </w:rPr>
        <w:t>.</w:t>
      </w:r>
      <w:r w:rsidR="00E25FC2" w:rsidRPr="00F9037E">
        <w:rPr>
          <w:color w:val="131413"/>
          <w:szCs w:val="22"/>
          <w:lang w:eastAsia="fr-FR"/>
        </w:rPr>
        <w:t>, 2014</w:t>
      </w:r>
      <w:r w:rsidRPr="00F9037E">
        <w:rPr>
          <w:color w:val="131413"/>
          <w:szCs w:val="22"/>
          <w:lang w:eastAsia="fr-FR"/>
        </w:rPr>
        <w:t>). Other known target organs are the heart, adrenal glands, liver, kidneys and testis (</w:t>
      </w:r>
      <w:proofErr w:type="spellStart"/>
      <w:r w:rsidRPr="00F9037E">
        <w:rPr>
          <w:color w:val="131413"/>
          <w:szCs w:val="22"/>
          <w:lang w:eastAsia="fr-FR"/>
        </w:rPr>
        <w:t>Gemill</w:t>
      </w:r>
      <w:proofErr w:type="spellEnd"/>
      <w:r w:rsidR="001C1142" w:rsidRPr="00F9037E">
        <w:rPr>
          <w:color w:val="131413"/>
          <w:szCs w:val="22"/>
          <w:lang w:eastAsia="fr-FR"/>
        </w:rPr>
        <w:t xml:space="preserve"> </w:t>
      </w:r>
      <w:r w:rsidR="00EF30ED" w:rsidRPr="00F9037E">
        <w:rPr>
          <w:i/>
          <w:color w:val="131413"/>
          <w:szCs w:val="22"/>
          <w:lang w:eastAsia="fr-FR"/>
        </w:rPr>
        <w:t>et al</w:t>
      </w:r>
      <w:r w:rsidR="00EF30ED" w:rsidRPr="00F9037E">
        <w:rPr>
          <w:color w:val="131413"/>
          <w:szCs w:val="22"/>
          <w:lang w:eastAsia="fr-FR"/>
        </w:rPr>
        <w:t>.</w:t>
      </w:r>
      <w:r w:rsidRPr="00F9037E">
        <w:rPr>
          <w:color w:val="131413"/>
          <w:szCs w:val="22"/>
          <w:lang w:eastAsia="fr-FR"/>
        </w:rPr>
        <w:t>, 2013).</w:t>
      </w:r>
    </w:p>
    <w:p w14:paraId="5C798CB2" w14:textId="77777777" w:rsidR="002B749B" w:rsidRPr="00F9037E" w:rsidRDefault="002B749B" w:rsidP="00553525">
      <w:pPr>
        <w:widowControl w:val="0"/>
        <w:autoSpaceDE w:val="0"/>
        <w:autoSpaceDN w:val="0"/>
        <w:adjustRightInd w:val="0"/>
        <w:jc w:val="both"/>
        <w:rPr>
          <w:szCs w:val="22"/>
          <w:lang w:eastAsia="fr-FR"/>
        </w:rPr>
      </w:pPr>
      <w:r w:rsidRPr="00F9037E">
        <w:rPr>
          <w:szCs w:val="22"/>
          <w:lang w:eastAsia="fr-FR"/>
        </w:rPr>
        <w:t>Accidental exposure to high concentrations of MB has been reported in many instances including fumigation of museums in Japan (</w:t>
      </w:r>
      <w:proofErr w:type="spellStart"/>
      <w:r w:rsidRPr="00F9037E">
        <w:rPr>
          <w:szCs w:val="22"/>
          <w:lang w:eastAsia="fr-FR"/>
        </w:rPr>
        <w:t>Yamano</w:t>
      </w:r>
      <w:proofErr w:type="spellEnd"/>
      <w:r w:rsidRPr="00F9037E">
        <w:rPr>
          <w:szCs w:val="22"/>
          <w:lang w:eastAsia="fr-FR"/>
        </w:rPr>
        <w:t xml:space="preserve"> and </w:t>
      </w:r>
      <w:proofErr w:type="spellStart"/>
      <w:r w:rsidRPr="00F9037E">
        <w:rPr>
          <w:szCs w:val="22"/>
          <w:lang w:eastAsia="fr-FR"/>
        </w:rPr>
        <w:t>Nakadate</w:t>
      </w:r>
      <w:proofErr w:type="spellEnd"/>
      <w:r w:rsidR="00E47EB5" w:rsidRPr="00F9037E">
        <w:rPr>
          <w:szCs w:val="22"/>
          <w:lang w:eastAsia="fr-FR"/>
        </w:rPr>
        <w:t>,</w:t>
      </w:r>
      <w:r w:rsidRPr="00F9037E">
        <w:rPr>
          <w:szCs w:val="22"/>
          <w:lang w:eastAsia="fr-FR"/>
        </w:rPr>
        <w:t xml:space="preserve"> 2006), when handling the fumigant in a manufacturing facility in India (</w:t>
      </w:r>
      <w:r w:rsidR="00D66931" w:rsidRPr="00F9037E">
        <w:rPr>
          <w:szCs w:val="22"/>
          <w:lang w:eastAsia="fr-FR"/>
        </w:rPr>
        <w:t xml:space="preserve">De </w:t>
      </w:r>
      <w:r w:rsidRPr="00F9037E">
        <w:rPr>
          <w:szCs w:val="22"/>
          <w:lang w:eastAsia="fr-FR"/>
        </w:rPr>
        <w:t xml:space="preserve">Souza </w:t>
      </w:r>
      <w:r w:rsidR="00EF30ED" w:rsidRPr="00F9037E">
        <w:rPr>
          <w:i/>
          <w:szCs w:val="22"/>
          <w:lang w:eastAsia="fr-FR"/>
        </w:rPr>
        <w:t>et al</w:t>
      </w:r>
      <w:r w:rsidR="00EF30ED" w:rsidRPr="00F9037E">
        <w:rPr>
          <w:szCs w:val="22"/>
          <w:lang w:eastAsia="fr-FR"/>
        </w:rPr>
        <w:t>.</w:t>
      </w:r>
      <w:r w:rsidRPr="00F9037E">
        <w:rPr>
          <w:szCs w:val="22"/>
          <w:lang w:eastAsia="fr-FR"/>
        </w:rPr>
        <w:t>, 2013)</w:t>
      </w:r>
      <w:r w:rsidR="00F827BD" w:rsidRPr="00F9037E">
        <w:rPr>
          <w:szCs w:val="22"/>
          <w:lang w:eastAsia="fr-FR"/>
        </w:rPr>
        <w:t>,</w:t>
      </w:r>
      <w:r w:rsidRPr="00F9037E">
        <w:rPr>
          <w:szCs w:val="22"/>
          <w:lang w:eastAsia="fr-FR"/>
        </w:rPr>
        <w:t xml:space="preserve"> when opening imported freight containers (</w:t>
      </w:r>
      <w:proofErr w:type="spellStart"/>
      <w:r w:rsidRPr="00F9037E">
        <w:rPr>
          <w:szCs w:val="22"/>
          <w:lang w:eastAsia="fr-FR"/>
        </w:rPr>
        <w:t>Baur</w:t>
      </w:r>
      <w:proofErr w:type="spellEnd"/>
      <w:r w:rsidR="001C1142" w:rsidRPr="00F9037E">
        <w:rPr>
          <w:szCs w:val="22"/>
          <w:lang w:eastAsia="fr-FR"/>
        </w:rPr>
        <w:t xml:space="preserve"> </w:t>
      </w:r>
      <w:r w:rsidR="00EF30ED" w:rsidRPr="00F9037E">
        <w:rPr>
          <w:i/>
          <w:szCs w:val="22"/>
          <w:lang w:eastAsia="fr-FR"/>
        </w:rPr>
        <w:t>et al</w:t>
      </w:r>
      <w:r w:rsidR="00EF30ED" w:rsidRPr="00F9037E">
        <w:rPr>
          <w:szCs w:val="22"/>
          <w:lang w:eastAsia="fr-FR"/>
        </w:rPr>
        <w:t>.</w:t>
      </w:r>
      <w:r w:rsidRPr="00F9037E">
        <w:rPr>
          <w:szCs w:val="22"/>
          <w:lang w:eastAsia="fr-FR"/>
        </w:rPr>
        <w:t>, 2010)</w:t>
      </w:r>
      <w:r w:rsidR="00F827BD" w:rsidRPr="00F9037E">
        <w:rPr>
          <w:szCs w:val="22"/>
          <w:lang w:eastAsia="fr-FR"/>
        </w:rPr>
        <w:t xml:space="preserve"> and even in a home</w:t>
      </w:r>
      <w:r w:rsidR="00F044A6" w:rsidRPr="00F9037E">
        <w:rPr>
          <w:szCs w:val="22"/>
          <w:lang w:eastAsia="fr-FR"/>
        </w:rPr>
        <w:t xml:space="preserve"> used for vacations</w:t>
      </w:r>
      <w:r w:rsidR="00F827BD" w:rsidRPr="00F9037E">
        <w:rPr>
          <w:szCs w:val="22"/>
          <w:lang w:eastAsia="fr-FR"/>
        </w:rPr>
        <w:t xml:space="preserve"> (Sass, 2015)</w:t>
      </w:r>
      <w:r w:rsidRPr="00F9037E">
        <w:rPr>
          <w:szCs w:val="22"/>
          <w:lang w:eastAsia="fr-FR"/>
        </w:rPr>
        <w:t xml:space="preserve">. </w:t>
      </w:r>
    </w:p>
    <w:p w14:paraId="3E176307" w14:textId="77777777" w:rsidR="003D7FE2" w:rsidRPr="00F9037E" w:rsidRDefault="003D7FE2" w:rsidP="00553525">
      <w:pPr>
        <w:widowControl w:val="0"/>
        <w:autoSpaceDE w:val="0"/>
        <w:autoSpaceDN w:val="0"/>
        <w:adjustRightInd w:val="0"/>
        <w:jc w:val="both"/>
        <w:rPr>
          <w:szCs w:val="22"/>
          <w:lang w:eastAsia="fr-FR"/>
        </w:rPr>
      </w:pPr>
      <w:r w:rsidRPr="00F9037E">
        <w:rPr>
          <w:szCs w:val="22"/>
          <w:lang w:eastAsia="fr-FR"/>
        </w:rPr>
        <w:t xml:space="preserve">Recent research </w:t>
      </w:r>
      <w:r w:rsidR="00EC1009" w:rsidRPr="00F9037E">
        <w:rPr>
          <w:szCs w:val="22"/>
          <w:lang w:eastAsia="fr-FR"/>
        </w:rPr>
        <w:t xml:space="preserve">findings </w:t>
      </w:r>
      <w:r w:rsidR="00FC31FD" w:rsidRPr="00F9037E">
        <w:rPr>
          <w:szCs w:val="22"/>
          <w:lang w:eastAsia="fr-FR"/>
        </w:rPr>
        <w:t>reinforce</w:t>
      </w:r>
      <w:r w:rsidR="001C1142" w:rsidRPr="00F9037E">
        <w:rPr>
          <w:szCs w:val="22"/>
          <w:lang w:eastAsia="fr-FR"/>
        </w:rPr>
        <w:t xml:space="preserve"> </w:t>
      </w:r>
      <w:r w:rsidRPr="00F9037E">
        <w:rPr>
          <w:szCs w:val="22"/>
          <w:lang w:eastAsia="fr-FR"/>
        </w:rPr>
        <w:t>suggest</w:t>
      </w:r>
      <w:r w:rsidR="00FC31FD" w:rsidRPr="00F9037E">
        <w:rPr>
          <w:szCs w:val="22"/>
          <w:lang w:eastAsia="fr-FR"/>
        </w:rPr>
        <w:t>ed</w:t>
      </w:r>
      <w:r w:rsidRPr="00F9037E">
        <w:rPr>
          <w:szCs w:val="22"/>
          <w:lang w:eastAsia="fr-FR"/>
        </w:rPr>
        <w:t xml:space="preserve"> link</w:t>
      </w:r>
      <w:r w:rsidR="00EC1009" w:rsidRPr="00F9037E">
        <w:rPr>
          <w:szCs w:val="22"/>
          <w:lang w:eastAsia="fr-FR"/>
        </w:rPr>
        <w:t>s</w:t>
      </w:r>
      <w:r w:rsidRPr="00F9037E">
        <w:rPr>
          <w:szCs w:val="22"/>
          <w:lang w:eastAsia="fr-FR"/>
        </w:rPr>
        <w:t xml:space="preserve"> between exposure to MB and health problems, including increased risk of developing prostate cancer, derived from occupational and community exposure (</w:t>
      </w:r>
      <w:proofErr w:type="spellStart"/>
      <w:r w:rsidRPr="00F9037E">
        <w:rPr>
          <w:szCs w:val="22"/>
          <w:lang w:eastAsia="fr-FR"/>
        </w:rPr>
        <w:t>Budnik</w:t>
      </w:r>
      <w:proofErr w:type="spellEnd"/>
      <w:r w:rsidR="001C1142" w:rsidRPr="00F9037E">
        <w:rPr>
          <w:szCs w:val="22"/>
          <w:lang w:eastAsia="fr-FR"/>
        </w:rPr>
        <w:t xml:space="preserve"> </w:t>
      </w:r>
      <w:r w:rsidRPr="00F9037E">
        <w:rPr>
          <w:i/>
          <w:szCs w:val="22"/>
          <w:lang w:eastAsia="fr-FR"/>
        </w:rPr>
        <w:t>et al</w:t>
      </w:r>
      <w:r w:rsidRPr="00F9037E">
        <w:rPr>
          <w:szCs w:val="22"/>
          <w:lang w:eastAsia="fr-FR"/>
        </w:rPr>
        <w:t xml:space="preserve">., 2012, </w:t>
      </w:r>
      <w:proofErr w:type="spellStart"/>
      <w:r w:rsidRPr="00F9037E">
        <w:rPr>
          <w:szCs w:val="22"/>
          <w:lang w:eastAsia="fr-FR"/>
        </w:rPr>
        <w:t>Alavanja</w:t>
      </w:r>
      <w:proofErr w:type="spellEnd"/>
      <w:r w:rsidR="001C1142" w:rsidRPr="00F9037E">
        <w:rPr>
          <w:szCs w:val="22"/>
          <w:lang w:eastAsia="fr-FR"/>
        </w:rPr>
        <w:t xml:space="preserve"> </w:t>
      </w:r>
      <w:r w:rsidRPr="00F9037E">
        <w:rPr>
          <w:i/>
          <w:szCs w:val="22"/>
          <w:lang w:eastAsia="fr-FR"/>
        </w:rPr>
        <w:t>et al</w:t>
      </w:r>
      <w:r w:rsidRPr="00F9037E">
        <w:rPr>
          <w:szCs w:val="22"/>
          <w:lang w:eastAsia="fr-FR"/>
        </w:rPr>
        <w:t xml:space="preserve">., 2013, Cockburn </w:t>
      </w:r>
      <w:r w:rsidRPr="00F9037E">
        <w:rPr>
          <w:i/>
          <w:szCs w:val="22"/>
          <w:lang w:eastAsia="fr-FR"/>
        </w:rPr>
        <w:t>et al.,</w:t>
      </w:r>
      <w:r w:rsidRPr="00F9037E">
        <w:rPr>
          <w:szCs w:val="22"/>
          <w:lang w:eastAsia="fr-FR"/>
        </w:rPr>
        <w:t xml:space="preserve"> 2011). In another study (</w:t>
      </w:r>
      <w:proofErr w:type="spellStart"/>
      <w:r w:rsidRPr="00F9037E">
        <w:rPr>
          <w:szCs w:val="22"/>
          <w:lang w:eastAsia="fr-FR"/>
        </w:rPr>
        <w:t>Gemill</w:t>
      </w:r>
      <w:proofErr w:type="spellEnd"/>
      <w:r w:rsidR="001C1142" w:rsidRPr="00F9037E">
        <w:rPr>
          <w:szCs w:val="22"/>
          <w:lang w:eastAsia="fr-FR"/>
        </w:rPr>
        <w:t xml:space="preserve"> </w:t>
      </w:r>
      <w:r w:rsidRPr="00F9037E">
        <w:rPr>
          <w:i/>
          <w:szCs w:val="22"/>
          <w:lang w:eastAsia="fr-FR"/>
        </w:rPr>
        <w:t>et al</w:t>
      </w:r>
      <w:r w:rsidRPr="00F9037E">
        <w:rPr>
          <w:szCs w:val="22"/>
          <w:lang w:eastAsia="fr-FR"/>
        </w:rPr>
        <w:t xml:space="preserve">., 2013), a correlation was found between impaired foetal growth during the third trimester and </w:t>
      </w:r>
      <w:r w:rsidRPr="00F9037E">
        <w:rPr>
          <w:rFonts w:ascii="Adobe Garamond Pro" w:hAnsi="Adobe Garamond Pro"/>
          <w:szCs w:val="22"/>
          <w:lang w:eastAsia="fr-FR"/>
        </w:rPr>
        <w:t>exposure to methyl bromide in residential areas</w:t>
      </w:r>
    </w:p>
    <w:p w14:paraId="223EDFA2" w14:textId="77777777" w:rsidR="002B749B" w:rsidRPr="00F9037E" w:rsidRDefault="002B749B" w:rsidP="003D7FE2">
      <w:pPr>
        <w:widowControl w:val="0"/>
        <w:autoSpaceDE w:val="0"/>
        <w:autoSpaceDN w:val="0"/>
        <w:adjustRightInd w:val="0"/>
        <w:jc w:val="both"/>
        <w:rPr>
          <w:rFonts w:ascii="Times" w:hAnsi="Times" w:cs="Times"/>
          <w:szCs w:val="22"/>
          <w:lang w:eastAsia="fr-FR"/>
        </w:rPr>
      </w:pPr>
      <w:r w:rsidRPr="00F9037E">
        <w:rPr>
          <w:rFonts w:ascii="Times" w:hAnsi="Times" w:cs="Times"/>
          <w:szCs w:val="22"/>
          <w:lang w:eastAsia="fr-FR"/>
        </w:rPr>
        <w:t>Risk of exposure is especially high when small disposable canisters (i.e. 500 to 750g) are used for MB fumigation for pre plant soil under plastic sheets (</w:t>
      </w:r>
      <w:proofErr w:type="spellStart"/>
      <w:r w:rsidRPr="00F9037E">
        <w:rPr>
          <w:rFonts w:ascii="Times" w:hAnsi="Times" w:cs="Times"/>
          <w:szCs w:val="22"/>
          <w:lang w:eastAsia="fr-FR"/>
        </w:rPr>
        <w:t>Yamano</w:t>
      </w:r>
      <w:proofErr w:type="spellEnd"/>
      <w:r w:rsidR="001C1142" w:rsidRPr="00F9037E">
        <w:rPr>
          <w:rFonts w:ascii="Times" w:hAnsi="Times" w:cs="Times"/>
          <w:szCs w:val="22"/>
          <w:lang w:eastAsia="fr-FR"/>
        </w:rPr>
        <w:t xml:space="preserve"> </w:t>
      </w:r>
      <w:r w:rsidR="00EF30ED" w:rsidRPr="00F9037E">
        <w:rPr>
          <w:rFonts w:ascii="Times" w:hAnsi="Times" w:cs="Times"/>
          <w:i/>
          <w:szCs w:val="22"/>
          <w:lang w:eastAsia="fr-FR"/>
        </w:rPr>
        <w:t>et al</w:t>
      </w:r>
      <w:r w:rsidR="00EF30ED" w:rsidRPr="00F9037E">
        <w:rPr>
          <w:rFonts w:ascii="Times" w:hAnsi="Times" w:cs="Times"/>
          <w:szCs w:val="22"/>
          <w:lang w:eastAsia="fr-FR"/>
        </w:rPr>
        <w:t>.</w:t>
      </w:r>
      <w:r w:rsidRPr="00F9037E">
        <w:rPr>
          <w:rFonts w:ascii="Times" w:hAnsi="Times" w:cs="Times"/>
          <w:szCs w:val="22"/>
          <w:lang w:eastAsia="fr-FR"/>
        </w:rPr>
        <w:t xml:space="preserve">, 2001). </w:t>
      </w:r>
      <w:r w:rsidR="00553525" w:rsidRPr="00F9037E">
        <w:rPr>
          <w:rFonts w:ascii="Times" w:hAnsi="Times" w:cs="Times"/>
          <w:szCs w:val="22"/>
          <w:lang w:eastAsia="fr-FR"/>
        </w:rPr>
        <w:t>C</w:t>
      </w:r>
      <w:r w:rsidRPr="00F9037E">
        <w:rPr>
          <w:rFonts w:ascii="Times" w:hAnsi="Times" w:cs="Times"/>
          <w:szCs w:val="22"/>
          <w:lang w:eastAsia="fr-FR"/>
        </w:rPr>
        <w:t>anister applications have been eliminated for soil use in all non</w:t>
      </w:r>
      <w:r w:rsidR="00553525" w:rsidRPr="00F9037E">
        <w:rPr>
          <w:rFonts w:ascii="Times" w:hAnsi="Times" w:cs="Times"/>
          <w:szCs w:val="22"/>
          <w:lang w:eastAsia="fr-FR"/>
        </w:rPr>
        <w:t>-</w:t>
      </w:r>
      <w:r w:rsidRPr="00F9037E">
        <w:rPr>
          <w:rFonts w:ascii="Times" w:hAnsi="Times" w:cs="Times"/>
          <w:szCs w:val="22"/>
          <w:lang w:eastAsia="fr-FR"/>
        </w:rPr>
        <w:t xml:space="preserve">Article 5 and in many A5 countries as this application is considered to be less efficient than other methods for the control of soil borne pathogens. Besides, this treatment is considered to be more dangerous to workers than injection methods, because trained contractors are not generally involved in </w:t>
      </w:r>
      <w:r w:rsidR="003D7FE2" w:rsidRPr="00F9037E">
        <w:rPr>
          <w:rFonts w:ascii="Times" w:hAnsi="Times" w:cs="Times"/>
          <w:szCs w:val="22"/>
          <w:lang w:eastAsia="fr-FR"/>
        </w:rPr>
        <w:t xml:space="preserve">MB </w:t>
      </w:r>
      <w:r w:rsidRPr="00F9037E">
        <w:rPr>
          <w:rFonts w:ascii="Times" w:hAnsi="Times" w:cs="Times"/>
          <w:szCs w:val="22"/>
          <w:lang w:eastAsia="fr-FR"/>
        </w:rPr>
        <w:t>application. This practice is not considered as effective for pathogen</w:t>
      </w:r>
      <w:r w:rsidR="003D7FE2" w:rsidRPr="00F9037E">
        <w:rPr>
          <w:rFonts w:ascii="Times" w:hAnsi="Times" w:cs="Times"/>
          <w:szCs w:val="22"/>
          <w:lang w:eastAsia="fr-FR"/>
        </w:rPr>
        <w:t>s’</w:t>
      </w:r>
      <w:r w:rsidRPr="00F9037E">
        <w:rPr>
          <w:rFonts w:ascii="Times" w:hAnsi="Times" w:cs="Times"/>
          <w:szCs w:val="22"/>
          <w:lang w:eastAsia="fr-FR"/>
        </w:rPr>
        <w:t xml:space="preserve"> control as </w:t>
      </w:r>
      <w:r w:rsidR="00444054" w:rsidRPr="00F9037E">
        <w:rPr>
          <w:rFonts w:ascii="Times" w:hAnsi="Times" w:cs="Times"/>
          <w:szCs w:val="22"/>
          <w:lang w:eastAsia="fr-FR"/>
        </w:rPr>
        <w:t>injection</w:t>
      </w:r>
      <w:r w:rsidRPr="00F9037E">
        <w:rPr>
          <w:rFonts w:ascii="Times" w:hAnsi="Times" w:cs="Times"/>
          <w:szCs w:val="22"/>
          <w:lang w:eastAsia="fr-FR"/>
        </w:rPr>
        <w:t xml:space="preserve"> of MB/Pic mixtures and also can lead to high emissions of </w:t>
      </w:r>
      <w:r w:rsidR="009828CB" w:rsidRPr="00F9037E">
        <w:rPr>
          <w:rFonts w:ascii="Times" w:hAnsi="Times" w:cs="Times"/>
          <w:szCs w:val="22"/>
          <w:lang w:eastAsia="fr-FR"/>
        </w:rPr>
        <w:t>MB</w:t>
      </w:r>
      <w:r w:rsidRPr="00F9037E">
        <w:rPr>
          <w:rFonts w:ascii="Times" w:hAnsi="Times" w:cs="Times"/>
          <w:szCs w:val="22"/>
          <w:lang w:eastAsia="fr-FR"/>
        </w:rPr>
        <w:t xml:space="preserve"> as the gas is released immediately beneath the plastic sheets.</w:t>
      </w:r>
      <w:r w:rsidR="001C1142" w:rsidRPr="00F9037E">
        <w:rPr>
          <w:rFonts w:ascii="Times" w:hAnsi="Times" w:cs="Times"/>
          <w:szCs w:val="22"/>
          <w:lang w:eastAsia="fr-FR"/>
        </w:rPr>
        <w:t xml:space="preserve"> </w:t>
      </w:r>
      <w:r w:rsidR="004255C3" w:rsidRPr="00F9037E">
        <w:rPr>
          <w:rFonts w:ascii="Times" w:hAnsi="Times" w:cs="Times"/>
          <w:szCs w:val="22"/>
          <w:lang w:eastAsia="ja-JP"/>
        </w:rPr>
        <w:t>MB also notes that</w:t>
      </w:r>
      <w:r w:rsidR="001C1142" w:rsidRPr="00F9037E">
        <w:rPr>
          <w:rFonts w:ascii="Times" w:hAnsi="Times" w:cs="Times"/>
          <w:szCs w:val="22"/>
          <w:lang w:eastAsia="ja-JP"/>
        </w:rPr>
        <w:t xml:space="preserve"> </w:t>
      </w:r>
      <w:r w:rsidR="005C0B14" w:rsidRPr="00F9037E">
        <w:rPr>
          <w:rFonts w:ascii="Times" w:hAnsi="Times" w:cs="Times"/>
          <w:szCs w:val="22"/>
          <w:lang w:eastAsia="ja-JP"/>
        </w:rPr>
        <w:t xml:space="preserve">in some circumstances, </w:t>
      </w:r>
      <w:r w:rsidR="004255C3" w:rsidRPr="00F9037E">
        <w:rPr>
          <w:rFonts w:ascii="Times" w:hAnsi="Times" w:cs="Times" w:hint="eastAsia"/>
          <w:szCs w:val="22"/>
          <w:lang w:eastAsia="ja-JP"/>
        </w:rPr>
        <w:t>MB c</w:t>
      </w:r>
      <w:r w:rsidR="004255C3" w:rsidRPr="00F9037E">
        <w:rPr>
          <w:rFonts w:ascii="Times" w:hAnsi="Times" w:cs="Times"/>
          <w:szCs w:val="22"/>
          <w:lang w:eastAsia="ja-JP"/>
        </w:rPr>
        <w:t>an</w:t>
      </w:r>
      <w:r w:rsidR="004255C3" w:rsidRPr="00F9037E">
        <w:rPr>
          <w:rFonts w:ascii="Times" w:hAnsi="Times" w:cs="Times" w:hint="eastAsia"/>
          <w:szCs w:val="22"/>
          <w:lang w:eastAsia="ja-JP"/>
        </w:rPr>
        <w:t xml:space="preserve"> sometimes leak out from the canister</w:t>
      </w:r>
      <w:r w:rsidR="004255C3" w:rsidRPr="00F9037E">
        <w:rPr>
          <w:rFonts w:ascii="Times" w:hAnsi="Times" w:cs="Times"/>
          <w:szCs w:val="22"/>
          <w:lang w:eastAsia="ja-JP"/>
        </w:rPr>
        <w:t xml:space="preserve">. </w:t>
      </w:r>
      <w:r w:rsidR="00553525" w:rsidRPr="00F9037E">
        <w:rPr>
          <w:rFonts w:ascii="Times" w:hAnsi="Times" w:cs="Times"/>
          <w:szCs w:val="22"/>
          <w:lang w:eastAsia="fr-FR"/>
        </w:rPr>
        <w:t xml:space="preserve">MBTOC notes with concern that canister use is still allowed </w:t>
      </w:r>
      <w:r w:rsidR="00D5576E" w:rsidRPr="00F9037E">
        <w:rPr>
          <w:rFonts w:ascii="Times" w:hAnsi="Times" w:cs="Times"/>
          <w:szCs w:val="22"/>
          <w:lang w:eastAsia="fr-FR"/>
        </w:rPr>
        <w:t xml:space="preserve">for </w:t>
      </w:r>
      <w:proofErr w:type="spellStart"/>
      <w:r w:rsidR="00D5576E" w:rsidRPr="00F9037E">
        <w:rPr>
          <w:rFonts w:ascii="Times" w:hAnsi="Times" w:cs="Times"/>
          <w:szCs w:val="22"/>
          <w:lang w:eastAsia="fr-FR"/>
        </w:rPr>
        <w:t>preplant</w:t>
      </w:r>
      <w:proofErr w:type="spellEnd"/>
      <w:r w:rsidR="00D5576E" w:rsidRPr="00F9037E">
        <w:rPr>
          <w:rFonts w:ascii="Times" w:hAnsi="Times" w:cs="Times"/>
          <w:szCs w:val="22"/>
          <w:lang w:eastAsia="fr-FR"/>
        </w:rPr>
        <w:t xml:space="preserve"> use and </w:t>
      </w:r>
      <w:r w:rsidR="00FA35D7" w:rsidRPr="00F9037E">
        <w:rPr>
          <w:rFonts w:ascii="Times" w:hAnsi="Times" w:cs="Times"/>
          <w:szCs w:val="22"/>
          <w:lang w:eastAsia="fr-FR"/>
        </w:rPr>
        <w:t>/or</w:t>
      </w:r>
      <w:r w:rsidR="00D5576E" w:rsidRPr="00F9037E">
        <w:rPr>
          <w:rFonts w:ascii="Times" w:hAnsi="Times" w:cs="Times"/>
          <w:szCs w:val="22"/>
          <w:lang w:eastAsia="fr-FR"/>
        </w:rPr>
        <w:t xml:space="preserve"> quarantine uses in a number of </w:t>
      </w:r>
      <w:r w:rsidR="003D7FE2" w:rsidRPr="00F9037E">
        <w:rPr>
          <w:rFonts w:ascii="Times" w:hAnsi="Times" w:cs="Times"/>
          <w:szCs w:val="22"/>
          <w:lang w:eastAsia="fr-FR"/>
        </w:rPr>
        <w:t xml:space="preserve">A5 countries e.g. </w:t>
      </w:r>
      <w:r w:rsidR="00D5576E" w:rsidRPr="00F9037E">
        <w:rPr>
          <w:rFonts w:ascii="Times" w:hAnsi="Times" w:cs="Times"/>
          <w:szCs w:val="22"/>
          <w:lang w:eastAsia="fr-FR"/>
        </w:rPr>
        <w:t xml:space="preserve">China, </w:t>
      </w:r>
      <w:r w:rsidR="003D7FE2" w:rsidRPr="00F9037E">
        <w:rPr>
          <w:rFonts w:ascii="Times" w:hAnsi="Times" w:cs="Times"/>
          <w:szCs w:val="22"/>
          <w:lang w:eastAsia="fr-FR"/>
        </w:rPr>
        <w:t>Egypt Jordan</w:t>
      </w:r>
      <w:r w:rsidR="00D97A68" w:rsidRPr="00F9037E">
        <w:rPr>
          <w:rFonts w:ascii="Times" w:hAnsi="Times" w:cs="Times"/>
          <w:szCs w:val="22"/>
          <w:lang w:eastAsia="fr-FR"/>
        </w:rPr>
        <w:t xml:space="preserve"> and</w:t>
      </w:r>
      <w:r w:rsidR="00D5576E" w:rsidRPr="00F9037E">
        <w:rPr>
          <w:rFonts w:ascii="Times" w:hAnsi="Times" w:cs="Times"/>
          <w:szCs w:val="22"/>
          <w:lang w:eastAsia="fr-FR"/>
        </w:rPr>
        <w:t xml:space="preserve"> Mexico.</w:t>
      </w:r>
    </w:p>
    <w:p w14:paraId="61160664" w14:textId="4061ED8E" w:rsidR="00553525" w:rsidRPr="00F9037E" w:rsidRDefault="00CD3CBD" w:rsidP="00553525">
      <w:pPr>
        <w:widowControl w:val="0"/>
        <w:autoSpaceDE w:val="0"/>
        <w:autoSpaceDN w:val="0"/>
        <w:adjustRightInd w:val="0"/>
        <w:jc w:val="both"/>
        <w:rPr>
          <w:szCs w:val="22"/>
          <w:lang w:eastAsia="fr-FR"/>
        </w:rPr>
      </w:pPr>
      <w:r w:rsidRPr="00F9037E">
        <w:rPr>
          <w:szCs w:val="22"/>
          <w:lang w:eastAsia="fr-FR"/>
        </w:rPr>
        <w:t>National regulatory authorities in each country handle the environmental acceptability of MB</w:t>
      </w:r>
      <w:r w:rsidR="007A6453" w:rsidRPr="00F9037E">
        <w:rPr>
          <w:rFonts w:ascii="Adobe Garamond Pro" w:hAnsi="Adobe Garamond Pro" w:cs="Adobe Garamond Pro"/>
          <w:b/>
          <w:bCs/>
          <w:szCs w:val="22"/>
          <w:lang w:eastAsia="fr-FR"/>
        </w:rPr>
        <w:t>.</w:t>
      </w:r>
    </w:p>
    <w:p w14:paraId="2500218A" w14:textId="7775C27E" w:rsidR="008D5F24" w:rsidRPr="00B87B95" w:rsidRDefault="000F08B5" w:rsidP="006A54A1">
      <w:pPr>
        <w:pStyle w:val="Heading2"/>
      </w:pPr>
      <w:bookmarkStart w:id="89" w:name="_Toc324255713"/>
      <w:bookmarkStart w:id="90" w:name="_Toc293054751"/>
      <w:bookmarkStart w:id="91" w:name="_Toc461183774"/>
      <w:r>
        <w:t>3.9</w:t>
      </w:r>
      <w:r w:rsidR="008D5F24" w:rsidRPr="00F9037E">
        <w:rPr>
          <w:rStyle w:val="Heading311ptBoldChar"/>
        </w:rPr>
        <w:t>.</w:t>
      </w:r>
      <w:r w:rsidR="00553525" w:rsidRPr="00F9037E">
        <w:rPr>
          <w:rStyle w:val="Heading311ptBoldChar"/>
        </w:rPr>
        <w:t>6</w:t>
      </w:r>
      <w:r w:rsidR="008D5F24" w:rsidRPr="00F9037E">
        <w:rPr>
          <w:rStyle w:val="Heading311ptBoldChar"/>
        </w:rPr>
        <w:tab/>
        <w:t xml:space="preserve">Sustainable </w:t>
      </w:r>
      <w:r w:rsidR="007E22DE" w:rsidRPr="00F9037E">
        <w:rPr>
          <w:rStyle w:val="Heading311ptBoldChar"/>
        </w:rPr>
        <w:t>A</w:t>
      </w:r>
      <w:r w:rsidR="008D5F24" w:rsidRPr="00F9037E">
        <w:rPr>
          <w:rStyle w:val="Heading311ptBoldChar"/>
        </w:rPr>
        <w:t xml:space="preserve">lternatives for </w:t>
      </w:r>
      <w:proofErr w:type="spellStart"/>
      <w:r w:rsidR="007E22DE" w:rsidRPr="00F9037E">
        <w:rPr>
          <w:rStyle w:val="Heading311ptBoldChar"/>
        </w:rPr>
        <w:t>P</w:t>
      </w:r>
      <w:r w:rsidR="008D5F24" w:rsidRPr="00F9037E">
        <w:rPr>
          <w:rStyle w:val="Heading311ptBoldChar"/>
        </w:rPr>
        <w:t>replant</w:t>
      </w:r>
      <w:proofErr w:type="spellEnd"/>
      <w:r w:rsidR="008D5F24" w:rsidRPr="00F9037E">
        <w:rPr>
          <w:rStyle w:val="Heading311ptBoldChar"/>
        </w:rPr>
        <w:t xml:space="preserve"> </w:t>
      </w:r>
      <w:r w:rsidR="007E22DE" w:rsidRPr="00F9037E">
        <w:rPr>
          <w:rStyle w:val="Heading311ptBoldChar"/>
        </w:rPr>
        <w:t>U</w:t>
      </w:r>
      <w:r w:rsidR="008D5F24" w:rsidRPr="00F9037E">
        <w:rPr>
          <w:rStyle w:val="Heading311ptBoldChar"/>
        </w:rPr>
        <w:t>ses</w:t>
      </w:r>
      <w:bookmarkEnd w:id="89"/>
      <w:bookmarkEnd w:id="90"/>
      <w:bookmarkEnd w:id="91"/>
    </w:p>
    <w:p w14:paraId="1113849A" w14:textId="77777777" w:rsidR="008D5F24" w:rsidRPr="00B87B95" w:rsidRDefault="008D5F24" w:rsidP="009446BE">
      <w:pPr>
        <w:jc w:val="both"/>
      </w:pPr>
      <w:r w:rsidRPr="00CD3CBD">
        <w:t xml:space="preserve">MBTOC urges Parties to consider the </w:t>
      </w:r>
      <w:r w:rsidR="002B573B" w:rsidRPr="00CD3CBD">
        <w:t>long-</w:t>
      </w:r>
      <w:r w:rsidRPr="00501812">
        <w:t>term sustainability of treatments adopted as alternatives to MB</w:t>
      </w:r>
      <w:r w:rsidR="003D7FE2" w:rsidRPr="003A30C7">
        <w:t xml:space="preserve">. </w:t>
      </w:r>
      <w:r w:rsidR="00570F3B" w:rsidRPr="00082015">
        <w:t>The c</w:t>
      </w:r>
      <w:r w:rsidR="00EF449F" w:rsidRPr="00082015">
        <w:t>ombination of c</w:t>
      </w:r>
      <w:r w:rsidRPr="00082015">
        <w:t xml:space="preserve">hemical </w:t>
      </w:r>
      <w:r w:rsidR="00EF449F" w:rsidRPr="00082015">
        <w:t>and non</w:t>
      </w:r>
      <w:r w:rsidR="008C4885" w:rsidRPr="00F5313E">
        <w:t>-</w:t>
      </w:r>
      <w:r w:rsidR="00EF449F" w:rsidRPr="00220275">
        <w:t xml:space="preserve">chemical alternatives in an IPM program </w:t>
      </w:r>
      <w:r w:rsidRPr="00220275">
        <w:t>provide</w:t>
      </w:r>
      <w:r w:rsidR="00EF449F" w:rsidRPr="00220275">
        <w:t>s</w:t>
      </w:r>
      <w:r w:rsidR="001C1142" w:rsidRPr="00220275">
        <w:t xml:space="preserve"> </w:t>
      </w:r>
      <w:r w:rsidR="00EF449F" w:rsidRPr="00220275">
        <w:t xml:space="preserve">excellent </w:t>
      </w:r>
      <w:r w:rsidRPr="00220275">
        <w:t>results in the longer term.  Decision IX/6 1(a</w:t>
      </w:r>
      <w:proofErr w:type="gramStart"/>
      <w:r w:rsidRPr="00220275">
        <w:t>)(</w:t>
      </w:r>
      <w:proofErr w:type="gramEnd"/>
      <w:r w:rsidRPr="00220275">
        <w:t>ii) refers to alternatives that are ‘</w:t>
      </w:r>
      <w:r w:rsidRPr="00220275">
        <w:rPr>
          <w:i/>
          <w:iCs/>
        </w:rPr>
        <w:t>acceptable from the standpoint of environment and health’</w:t>
      </w:r>
      <w:r w:rsidRPr="00B87B95">
        <w:t xml:space="preserve">. MBTOC has visited various regions where successful non-chemical alternatives e.g. soil less culture, </w:t>
      </w:r>
      <w:r w:rsidR="00EF449F" w:rsidRPr="00B87B95">
        <w:t xml:space="preserve">grafting, </w:t>
      </w:r>
      <w:r w:rsidRPr="00B87B95">
        <w:t>solarisation, steam, bio</w:t>
      </w:r>
      <w:r w:rsidR="0038722C" w:rsidRPr="00B87B95">
        <w:t>-</w:t>
      </w:r>
      <w:r w:rsidRPr="00B87B95">
        <w:t>disinfestation</w:t>
      </w:r>
      <w:r w:rsidR="002B573B" w:rsidRPr="00B87B95">
        <w:t xml:space="preserve"> (</w:t>
      </w:r>
      <w:proofErr w:type="spellStart"/>
      <w:r w:rsidR="002B573B" w:rsidRPr="00B87B95">
        <w:t>biofumigation</w:t>
      </w:r>
      <w:proofErr w:type="spellEnd"/>
      <w:r w:rsidR="002B573B" w:rsidRPr="00B87B95">
        <w:t>)</w:t>
      </w:r>
      <w:r w:rsidRPr="00B87B95">
        <w:t xml:space="preserve"> and anaerobic soil disinfestation, are used as sustainable alternatives to MB. Several Parties consider these techniques as viable alternatives, particularly when an integrated approach that combines different options is adopted. </w:t>
      </w:r>
    </w:p>
    <w:p w14:paraId="34D2B6C7" w14:textId="0DECACEB" w:rsidR="008D5F24" w:rsidRPr="00F9037E" w:rsidRDefault="000F08B5" w:rsidP="006A54A1">
      <w:pPr>
        <w:pStyle w:val="Heading2"/>
        <w:rPr>
          <w:rStyle w:val="Heading311ptBoldChar"/>
        </w:rPr>
      </w:pPr>
      <w:bookmarkStart w:id="92" w:name="_Toc324255714"/>
      <w:bookmarkStart w:id="93" w:name="_Toc293054752"/>
      <w:bookmarkStart w:id="94" w:name="_Toc461183775"/>
      <w:r>
        <w:rPr>
          <w:rStyle w:val="Heading311ptBoldChar"/>
        </w:rPr>
        <w:t>3.9</w:t>
      </w:r>
      <w:r w:rsidR="008D5F24" w:rsidRPr="00F9037E">
        <w:rPr>
          <w:rStyle w:val="Heading311ptBoldChar"/>
        </w:rPr>
        <w:t>.</w:t>
      </w:r>
      <w:r w:rsidR="009828CB" w:rsidRPr="00F9037E">
        <w:rPr>
          <w:rStyle w:val="Heading311ptBoldChar"/>
        </w:rPr>
        <w:t>7</w:t>
      </w:r>
      <w:r w:rsidR="008D5F24" w:rsidRPr="00F9037E">
        <w:rPr>
          <w:rStyle w:val="Heading311ptBoldChar"/>
        </w:rPr>
        <w:tab/>
        <w:t xml:space="preserve">Standard </w:t>
      </w:r>
      <w:r w:rsidR="007E22DE" w:rsidRPr="00F9037E">
        <w:rPr>
          <w:rStyle w:val="Heading311ptBoldChar"/>
        </w:rPr>
        <w:t>P</w:t>
      </w:r>
      <w:r w:rsidR="008D5F24" w:rsidRPr="00F9037E">
        <w:rPr>
          <w:rStyle w:val="Heading311ptBoldChar"/>
        </w:rPr>
        <w:t xml:space="preserve">resumptions </w:t>
      </w:r>
      <w:r w:rsidR="007E22DE" w:rsidRPr="00F9037E">
        <w:rPr>
          <w:rStyle w:val="Heading311ptBoldChar"/>
        </w:rPr>
        <w:t>U</w:t>
      </w:r>
      <w:r w:rsidR="008D5F24" w:rsidRPr="00F9037E">
        <w:rPr>
          <w:rStyle w:val="Heading311ptBoldChar"/>
        </w:rPr>
        <w:t xml:space="preserve">sed in </w:t>
      </w:r>
      <w:r w:rsidR="007E22DE" w:rsidRPr="00F9037E">
        <w:rPr>
          <w:rStyle w:val="Heading311ptBoldChar"/>
        </w:rPr>
        <w:t>A</w:t>
      </w:r>
      <w:r w:rsidR="008D5F24" w:rsidRPr="00F9037E">
        <w:rPr>
          <w:rStyle w:val="Heading311ptBoldChar"/>
        </w:rPr>
        <w:t xml:space="preserve">ssessment of </w:t>
      </w:r>
      <w:r w:rsidR="007E22DE" w:rsidRPr="00F9037E">
        <w:rPr>
          <w:rStyle w:val="Heading311ptBoldChar"/>
        </w:rPr>
        <w:t>N</w:t>
      </w:r>
      <w:r w:rsidR="008D5F24" w:rsidRPr="00F9037E">
        <w:rPr>
          <w:rStyle w:val="Heading311ptBoldChar"/>
        </w:rPr>
        <w:t xml:space="preserve">ominated </w:t>
      </w:r>
      <w:r w:rsidR="007E22DE" w:rsidRPr="00F9037E">
        <w:rPr>
          <w:rStyle w:val="Heading311ptBoldChar"/>
        </w:rPr>
        <w:t>Q</w:t>
      </w:r>
      <w:r w:rsidR="008D5F24" w:rsidRPr="00F9037E">
        <w:rPr>
          <w:rStyle w:val="Heading311ptBoldChar"/>
        </w:rPr>
        <w:t>uantities</w:t>
      </w:r>
      <w:bookmarkEnd w:id="92"/>
      <w:bookmarkEnd w:id="93"/>
      <w:bookmarkEnd w:id="94"/>
    </w:p>
    <w:p w14:paraId="12BAB7ED" w14:textId="77777777" w:rsidR="008D5F24" w:rsidRPr="00220275" w:rsidRDefault="008D5F24" w:rsidP="009446BE">
      <w:pPr>
        <w:jc w:val="both"/>
      </w:pPr>
      <w:r w:rsidRPr="00CD3CBD">
        <w:t xml:space="preserve">The tables below (Tables </w:t>
      </w:r>
      <w:r w:rsidR="00655D62" w:rsidRPr="00CD3CBD">
        <w:t>1</w:t>
      </w:r>
      <w:r w:rsidRPr="00CD3CBD">
        <w:t xml:space="preserve">-6 and </w:t>
      </w:r>
      <w:r w:rsidR="00655D62" w:rsidRPr="00501812">
        <w:t>1</w:t>
      </w:r>
      <w:r w:rsidRPr="00501812">
        <w:t xml:space="preserve">-7) provide the standard presumptions applied by MBTOC for this round of CUNs for </w:t>
      </w:r>
      <w:proofErr w:type="spellStart"/>
      <w:r w:rsidRPr="00501812">
        <w:t>preplant</w:t>
      </w:r>
      <w:proofErr w:type="spellEnd"/>
      <w:r w:rsidRPr="00501812">
        <w:t xml:space="preserve"> soil uses. These standard presumptions were first proposed in the MBTOC report of October 2005 and were presented to the Pa</w:t>
      </w:r>
      <w:r w:rsidRPr="003A30C7">
        <w:t>rties at</w:t>
      </w:r>
      <w:r w:rsidR="002B573B" w:rsidRPr="00082015">
        <w:t xml:space="preserve"> the</w:t>
      </w:r>
      <w:r w:rsidRPr="00082015">
        <w:t xml:space="preserve"> 17</w:t>
      </w:r>
      <w:r w:rsidRPr="00082015">
        <w:rPr>
          <w:vertAlign w:val="superscript"/>
        </w:rPr>
        <w:t>th</w:t>
      </w:r>
      <w:r w:rsidRPr="00082015">
        <w:t xml:space="preserve"> MOP.  Studies and reports to support them have been provided in previous reports and were revised for some sectors after consideration by the Parties at the 19</w:t>
      </w:r>
      <w:r w:rsidRPr="00F5313E">
        <w:rPr>
          <w:vertAlign w:val="superscript"/>
        </w:rPr>
        <w:t>th</w:t>
      </w:r>
      <w:r w:rsidRPr="00220275">
        <w:t xml:space="preserve"> MOP. The rates and practices adopted by MBTOC as standard presumptions are based on maximum rates considered acceptable by published literature and actual commercial practice. </w:t>
      </w:r>
    </w:p>
    <w:p w14:paraId="202ECB74" w14:textId="77777777" w:rsidR="008D5F24" w:rsidRPr="00B87B95" w:rsidRDefault="008D5F24" w:rsidP="009446BE">
      <w:pPr>
        <w:jc w:val="both"/>
      </w:pPr>
      <w:r w:rsidRPr="00220275">
        <w:t>As in the evaluations in previous years, MBTOC considered reductions to quantities of MB in particular nominations to a standard rate per treated area where technical evidence supported its use.  As a special case, MBTOC continues to accept a maximum rate of 200 kg/ ha (20 g/m</w:t>
      </w:r>
      <w:r w:rsidRPr="00220275">
        <w:rPr>
          <w:vertAlign w:val="superscript"/>
        </w:rPr>
        <w:t>2</w:t>
      </w:r>
      <w:r w:rsidRPr="00220275">
        <w:t>) in MB/Pic formulations with high Pic-containing mixtures with or without barrier films for certified nursery production, unless regulations prescribe lower or higher rates.  However, MBTOC notes that studies</w:t>
      </w:r>
      <w:r w:rsidR="000E64F3" w:rsidRPr="00220275">
        <w:t xml:space="preserve"> </w:t>
      </w:r>
      <w:r w:rsidRPr="00220275">
        <w:t xml:space="preserve">have shown that rates </w:t>
      </w:r>
      <w:r w:rsidRPr="00220275">
        <w:lastRenderedPageBreak/>
        <w:t>of 200 kg/ha (20g/m</w:t>
      </w:r>
      <w:r w:rsidRPr="00B87B95">
        <w:rPr>
          <w:vertAlign w:val="superscript"/>
        </w:rPr>
        <w:t>2</w:t>
      </w:r>
      <w:r w:rsidRPr="00B87B95">
        <w:t>) or less of MB: Pic 50:50 are effective with barrier films for production of ‘certified’ nursery material and urge Parties to consider regulations which permit these lower rates. MBTOC also notes that certified runner production may involve regulations which specify the mandatory use of a fumigant such as MB or an alternative, in order for the runners to be “certified runners”.</w:t>
      </w:r>
    </w:p>
    <w:p w14:paraId="3E3FD823" w14:textId="77777777" w:rsidR="00F713B4" w:rsidRPr="00563BC0" w:rsidRDefault="008D5F24" w:rsidP="009446BE">
      <w:pPr>
        <w:jc w:val="both"/>
      </w:pPr>
      <w:r w:rsidRPr="00563BC0">
        <w:t>The indicative rates used by MBTOC were maximum guideline rates, for the purpose of calculation only. MBTOC recognises that the actual rate appropriate for a specific use may vary with local circumstances, soil conditions and the target pest situation. Some nominations were based on rates lower than these indicative rate</w:t>
      </w:r>
      <w:r w:rsidR="00F713B4" w:rsidRPr="00563BC0">
        <w:t>s.</w:t>
      </w:r>
    </w:p>
    <w:p w14:paraId="32539CFE" w14:textId="77777777" w:rsidR="0062421F" w:rsidRPr="00563BC0" w:rsidRDefault="0062421F" w:rsidP="002A0BDB">
      <w:pPr>
        <w:spacing w:after="0"/>
        <w:rPr>
          <w:b/>
          <w:i/>
        </w:rPr>
      </w:pPr>
    </w:p>
    <w:p w14:paraId="4CBA93CA" w14:textId="76BDA651" w:rsidR="00F713B4" w:rsidRDefault="00F713B4" w:rsidP="003159A8">
      <w:pPr>
        <w:pStyle w:val="Tableandfigureheadings"/>
        <w:jc w:val="both"/>
      </w:pPr>
      <w:r w:rsidRPr="00563BC0">
        <w:t xml:space="preserve">Table </w:t>
      </w:r>
      <w:r w:rsidR="00655D62" w:rsidRPr="00563BC0">
        <w:t>1</w:t>
      </w:r>
      <w:r w:rsidR="00F01FB5" w:rsidRPr="00563BC0">
        <w:t>.</w:t>
      </w:r>
      <w:r w:rsidRPr="00563BC0">
        <w:t>6</w:t>
      </w:r>
      <w:r w:rsidR="00A639C6" w:rsidRPr="000F08B5">
        <w:t>.</w:t>
      </w:r>
      <w:r w:rsidR="00F033A6">
        <w:tab/>
      </w:r>
      <w:r w:rsidRPr="000F08B5">
        <w:t xml:space="preserve">Standard </w:t>
      </w:r>
      <w:r w:rsidR="007E22DE" w:rsidRPr="000F08B5">
        <w:t>P</w:t>
      </w:r>
      <w:r w:rsidRPr="000F08B5">
        <w:t xml:space="preserve">resumptions </w:t>
      </w:r>
      <w:r w:rsidR="007E22DE" w:rsidRPr="000F08B5">
        <w:t>U</w:t>
      </w:r>
      <w:r w:rsidRPr="000F08B5">
        <w:t xml:space="preserve">sed in </w:t>
      </w:r>
      <w:r w:rsidR="007E22DE" w:rsidRPr="00365366">
        <w:t>A</w:t>
      </w:r>
      <w:r w:rsidRPr="00F9037E">
        <w:t xml:space="preserve">ssessment of CUNs for </w:t>
      </w:r>
      <w:proofErr w:type="spellStart"/>
      <w:r w:rsidR="007E22DE" w:rsidRPr="00F9037E">
        <w:t>P</w:t>
      </w:r>
      <w:r w:rsidRPr="00F9037E">
        <w:t>replant</w:t>
      </w:r>
      <w:proofErr w:type="spellEnd"/>
      <w:r w:rsidR="00CD3CBD">
        <w:t xml:space="preserve"> </w:t>
      </w:r>
      <w:r w:rsidR="007E22DE" w:rsidRPr="00CD3CBD">
        <w:t>S</w:t>
      </w:r>
      <w:r w:rsidRPr="00CD3CBD">
        <w:t xml:space="preserve">oil </w:t>
      </w:r>
      <w:r w:rsidR="007E22DE" w:rsidRPr="00CD3CBD">
        <w:t>U</w:t>
      </w:r>
      <w:r w:rsidRPr="00CD3CBD">
        <w:t xml:space="preserve">se of MB </w:t>
      </w: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30"/>
        <w:gridCol w:w="2888"/>
        <w:gridCol w:w="2647"/>
        <w:gridCol w:w="2149"/>
      </w:tblGrid>
      <w:tr w:rsidR="00F713B4" w:rsidRPr="00F9037E" w14:paraId="0CAA1FC2" w14:textId="77777777" w:rsidTr="009446BE">
        <w:trPr>
          <w:trHeight w:val="323"/>
        </w:trPr>
        <w:tc>
          <w:tcPr>
            <w:tcW w:w="1530" w:type="dxa"/>
            <w:vAlign w:val="center"/>
          </w:tcPr>
          <w:p w14:paraId="2CC48C38" w14:textId="77777777" w:rsidR="00F713B4" w:rsidRPr="003A30C7" w:rsidRDefault="00F713B4" w:rsidP="006D0E9A">
            <w:pPr>
              <w:spacing w:before="40" w:after="40"/>
              <w:jc w:val="center"/>
              <w:rPr>
                <w:sz w:val="18"/>
                <w:szCs w:val="18"/>
              </w:rPr>
            </w:pPr>
          </w:p>
        </w:tc>
        <w:tc>
          <w:tcPr>
            <w:tcW w:w="2888" w:type="dxa"/>
            <w:vAlign w:val="center"/>
          </w:tcPr>
          <w:p w14:paraId="0B440009" w14:textId="77777777" w:rsidR="00F713B4" w:rsidRPr="00082015" w:rsidRDefault="00F713B4" w:rsidP="006D0E9A">
            <w:pPr>
              <w:pStyle w:val="Heading7"/>
              <w:tabs>
                <w:tab w:val="clear" w:pos="1296"/>
                <w:tab w:val="left" w:pos="708"/>
              </w:tabs>
              <w:spacing w:before="40" w:after="40"/>
              <w:ind w:left="0" w:firstLine="0"/>
              <w:rPr>
                <w:sz w:val="18"/>
                <w:szCs w:val="18"/>
              </w:rPr>
            </w:pPr>
            <w:r w:rsidRPr="00082015">
              <w:rPr>
                <w:sz w:val="18"/>
                <w:szCs w:val="18"/>
              </w:rPr>
              <w:t>Comment</w:t>
            </w:r>
          </w:p>
        </w:tc>
        <w:tc>
          <w:tcPr>
            <w:tcW w:w="2647" w:type="dxa"/>
            <w:vAlign w:val="center"/>
          </w:tcPr>
          <w:p w14:paraId="4AC21BE1" w14:textId="77777777" w:rsidR="00F713B4" w:rsidRPr="00082015" w:rsidRDefault="00F713B4" w:rsidP="006D0E9A">
            <w:pPr>
              <w:spacing w:before="40" w:after="40"/>
              <w:jc w:val="center"/>
              <w:rPr>
                <w:b/>
                <w:bCs/>
                <w:sz w:val="18"/>
                <w:szCs w:val="18"/>
              </w:rPr>
            </w:pPr>
            <w:r w:rsidRPr="00082015">
              <w:rPr>
                <w:b/>
                <w:bCs/>
                <w:sz w:val="18"/>
                <w:szCs w:val="18"/>
              </w:rPr>
              <w:t>CUN adjustment</w:t>
            </w:r>
          </w:p>
        </w:tc>
        <w:tc>
          <w:tcPr>
            <w:tcW w:w="2149" w:type="dxa"/>
            <w:vAlign w:val="center"/>
          </w:tcPr>
          <w:p w14:paraId="13B472F0" w14:textId="77777777" w:rsidR="00F713B4" w:rsidRPr="00082015" w:rsidRDefault="00F713B4" w:rsidP="006D0E9A">
            <w:pPr>
              <w:spacing w:before="40" w:after="40"/>
              <w:jc w:val="center"/>
              <w:rPr>
                <w:b/>
                <w:bCs/>
                <w:sz w:val="18"/>
                <w:szCs w:val="18"/>
              </w:rPr>
            </w:pPr>
            <w:r w:rsidRPr="00082015">
              <w:rPr>
                <w:b/>
                <w:bCs/>
                <w:sz w:val="18"/>
                <w:szCs w:val="18"/>
              </w:rPr>
              <w:t>Exceptions</w:t>
            </w:r>
          </w:p>
        </w:tc>
      </w:tr>
      <w:tr w:rsidR="00F713B4" w:rsidRPr="00F9037E" w14:paraId="7CEF066E" w14:textId="77777777" w:rsidTr="009446BE">
        <w:trPr>
          <w:trHeight w:val="1610"/>
        </w:trPr>
        <w:tc>
          <w:tcPr>
            <w:tcW w:w="1530" w:type="dxa"/>
          </w:tcPr>
          <w:p w14:paraId="7590FC49" w14:textId="77777777" w:rsidR="00F713B4" w:rsidRPr="00220275" w:rsidRDefault="00F713B4" w:rsidP="00DD2380">
            <w:pPr>
              <w:spacing w:before="40" w:after="40"/>
              <w:rPr>
                <w:b/>
                <w:bCs/>
                <w:sz w:val="18"/>
                <w:szCs w:val="18"/>
              </w:rPr>
            </w:pPr>
            <w:r w:rsidRPr="00220275">
              <w:rPr>
                <w:b/>
                <w:bCs/>
                <w:sz w:val="18"/>
                <w:szCs w:val="18"/>
              </w:rPr>
              <w:t>1. Dosage rates</w:t>
            </w:r>
          </w:p>
        </w:tc>
        <w:tc>
          <w:tcPr>
            <w:tcW w:w="2888" w:type="dxa"/>
          </w:tcPr>
          <w:p w14:paraId="562B802B" w14:textId="4E90F2AE" w:rsidR="00F713B4" w:rsidRPr="00B87B95" w:rsidRDefault="00F713B4" w:rsidP="00DD2380">
            <w:pPr>
              <w:spacing w:before="40" w:after="40"/>
              <w:rPr>
                <w:sz w:val="18"/>
                <w:szCs w:val="18"/>
              </w:rPr>
            </w:pPr>
            <w:r w:rsidRPr="00082015">
              <w:rPr>
                <w:sz w:val="18"/>
                <w:szCs w:val="18"/>
              </w:rPr>
              <w:t>Maximum guideline rates for MB</w:t>
            </w:r>
            <w:r w:rsidR="00CD3CBD" w:rsidRPr="00220275">
              <w:rPr>
                <w:sz w:val="18"/>
                <w:szCs w:val="18"/>
              </w:rPr>
              <w:t>: Pic</w:t>
            </w:r>
            <w:r w:rsidRPr="00220275">
              <w:rPr>
                <w:sz w:val="18"/>
                <w:szCs w:val="18"/>
              </w:rPr>
              <w:t xml:space="preserve"> 98:2 are 25 to 35 g/m</w:t>
            </w:r>
            <w:r w:rsidRPr="00220275">
              <w:rPr>
                <w:sz w:val="18"/>
                <w:szCs w:val="18"/>
                <w:vertAlign w:val="superscript"/>
              </w:rPr>
              <w:t xml:space="preserve">2 </w:t>
            </w:r>
            <w:r w:rsidRPr="00220275">
              <w:rPr>
                <w:sz w:val="18"/>
                <w:szCs w:val="18"/>
              </w:rPr>
              <w:t xml:space="preserve">with barrier films (VIF or equivalent); for mixtures of MB/Pic </w:t>
            </w:r>
            <w:r w:rsidR="00CD3CBD" w:rsidRPr="00220275">
              <w:rPr>
                <w:sz w:val="18"/>
                <w:szCs w:val="18"/>
              </w:rPr>
              <w:t>are 12.5</w:t>
            </w:r>
            <w:r w:rsidRPr="00220275">
              <w:rPr>
                <w:sz w:val="18"/>
                <w:szCs w:val="18"/>
              </w:rPr>
              <w:t xml:space="preserve"> to 17.5 g MB/m</w:t>
            </w:r>
            <w:r w:rsidRPr="00220275">
              <w:rPr>
                <w:sz w:val="18"/>
                <w:szCs w:val="18"/>
                <w:vertAlign w:val="superscript"/>
              </w:rPr>
              <w:t>2</w:t>
            </w:r>
            <w:r w:rsidRPr="00220275">
              <w:rPr>
                <w:sz w:val="18"/>
                <w:szCs w:val="18"/>
              </w:rPr>
              <w:t xml:space="preserve"> for pathogens and </w:t>
            </w:r>
            <w:proofErr w:type="spellStart"/>
            <w:r w:rsidRPr="00220275">
              <w:rPr>
                <w:sz w:val="18"/>
                <w:szCs w:val="18"/>
              </w:rPr>
              <w:t>nutsedge</w:t>
            </w:r>
            <w:proofErr w:type="spellEnd"/>
            <w:r w:rsidRPr="00220275">
              <w:rPr>
                <w:sz w:val="18"/>
                <w:szCs w:val="18"/>
              </w:rPr>
              <w:t xml:space="preserve"> respectively, under barrier films depending on the sector. All rates are on a ‘per treated hecta</w:t>
            </w:r>
            <w:r w:rsidRPr="00B87B95">
              <w:rPr>
                <w:sz w:val="18"/>
                <w:szCs w:val="18"/>
              </w:rPr>
              <w:t>re’ basis.</w:t>
            </w:r>
          </w:p>
        </w:tc>
        <w:tc>
          <w:tcPr>
            <w:tcW w:w="2647" w:type="dxa"/>
          </w:tcPr>
          <w:p w14:paraId="5DE0D101" w14:textId="77777777" w:rsidR="00F713B4" w:rsidRPr="00B87B95" w:rsidRDefault="00F713B4" w:rsidP="00DD2380">
            <w:pPr>
              <w:spacing w:before="40" w:after="40"/>
              <w:rPr>
                <w:sz w:val="18"/>
                <w:szCs w:val="18"/>
              </w:rPr>
            </w:pPr>
            <w:r w:rsidRPr="00B87B95">
              <w:rPr>
                <w:sz w:val="18"/>
                <w:szCs w:val="18"/>
              </w:rPr>
              <w:t xml:space="preserve">Amount adjusted to maximum guideline rates. Maximum rates set dependent on formulation and soil type and film availability.  </w:t>
            </w:r>
          </w:p>
        </w:tc>
        <w:tc>
          <w:tcPr>
            <w:tcW w:w="2149" w:type="dxa"/>
          </w:tcPr>
          <w:p w14:paraId="14BEF5F9" w14:textId="77777777" w:rsidR="00F713B4" w:rsidRPr="00B87B95" w:rsidRDefault="00F713B4" w:rsidP="00DD2380">
            <w:pPr>
              <w:spacing w:before="40" w:after="40"/>
              <w:rPr>
                <w:sz w:val="18"/>
                <w:szCs w:val="18"/>
              </w:rPr>
            </w:pPr>
            <w:r w:rsidRPr="00B87B95">
              <w:rPr>
                <w:sz w:val="18"/>
                <w:szCs w:val="18"/>
              </w:rPr>
              <w:t>Higher rates accepted if specified under national legislation or where the Party had justified otherwise.</w:t>
            </w:r>
          </w:p>
        </w:tc>
      </w:tr>
      <w:tr w:rsidR="00F713B4" w:rsidRPr="00F9037E" w14:paraId="34914EB1" w14:textId="77777777" w:rsidTr="009446BE">
        <w:trPr>
          <w:trHeight w:val="710"/>
        </w:trPr>
        <w:tc>
          <w:tcPr>
            <w:tcW w:w="1530" w:type="dxa"/>
          </w:tcPr>
          <w:p w14:paraId="78D693E8" w14:textId="77777777" w:rsidR="00F713B4" w:rsidRPr="00F9037E" w:rsidRDefault="00F713B4" w:rsidP="00DD2380">
            <w:pPr>
              <w:spacing w:before="40" w:after="40"/>
              <w:rPr>
                <w:sz w:val="18"/>
                <w:szCs w:val="18"/>
              </w:rPr>
            </w:pPr>
            <w:r w:rsidRPr="00F9037E">
              <w:rPr>
                <w:b/>
                <w:bCs/>
                <w:sz w:val="18"/>
                <w:szCs w:val="18"/>
              </w:rPr>
              <w:t xml:space="preserve">2. Barrier films </w:t>
            </w:r>
          </w:p>
        </w:tc>
        <w:tc>
          <w:tcPr>
            <w:tcW w:w="2888" w:type="dxa"/>
          </w:tcPr>
          <w:p w14:paraId="5AF5257D" w14:textId="77777777" w:rsidR="00F713B4" w:rsidRPr="00F9037E" w:rsidRDefault="00F713B4" w:rsidP="00DD2380">
            <w:pPr>
              <w:spacing w:before="40" w:after="40"/>
              <w:rPr>
                <w:sz w:val="18"/>
                <w:szCs w:val="18"/>
              </w:rPr>
            </w:pPr>
            <w:r w:rsidRPr="00F9037E">
              <w:rPr>
                <w:sz w:val="18"/>
                <w:szCs w:val="18"/>
              </w:rPr>
              <w:t>All treatments to be carried out under low permeability barrier film (e.g. VIF, TIF)</w:t>
            </w:r>
          </w:p>
        </w:tc>
        <w:tc>
          <w:tcPr>
            <w:tcW w:w="2647" w:type="dxa"/>
          </w:tcPr>
          <w:p w14:paraId="09AC1025" w14:textId="77777777" w:rsidR="00F713B4" w:rsidRPr="00F9037E" w:rsidRDefault="00F713B4" w:rsidP="00DD2380">
            <w:pPr>
              <w:spacing w:before="40" w:after="40"/>
              <w:rPr>
                <w:sz w:val="18"/>
                <w:szCs w:val="18"/>
              </w:rPr>
            </w:pPr>
            <w:r w:rsidRPr="00F9037E">
              <w:rPr>
                <w:sz w:val="18"/>
                <w:szCs w:val="18"/>
              </w:rPr>
              <w:t xml:space="preserve">Nomination reduced proportionately to conform to barrier film use. </w:t>
            </w:r>
          </w:p>
        </w:tc>
        <w:tc>
          <w:tcPr>
            <w:tcW w:w="2149" w:type="dxa"/>
          </w:tcPr>
          <w:p w14:paraId="28F405DA" w14:textId="77777777" w:rsidR="00F713B4" w:rsidRPr="00F9037E" w:rsidRDefault="00F713B4" w:rsidP="00DD2380">
            <w:pPr>
              <w:spacing w:before="40" w:after="40"/>
              <w:rPr>
                <w:sz w:val="18"/>
                <w:szCs w:val="18"/>
              </w:rPr>
            </w:pPr>
            <w:r w:rsidRPr="00F9037E">
              <w:rPr>
                <w:sz w:val="18"/>
                <w:szCs w:val="18"/>
              </w:rPr>
              <w:t>Where barrier film prohibited or restricted by legislative or regulatory reasons</w:t>
            </w:r>
          </w:p>
        </w:tc>
      </w:tr>
      <w:tr w:rsidR="00F713B4" w:rsidRPr="00F9037E" w14:paraId="4F0F9A94" w14:textId="77777777" w:rsidTr="009446BE">
        <w:tc>
          <w:tcPr>
            <w:tcW w:w="1530" w:type="dxa"/>
          </w:tcPr>
          <w:p w14:paraId="4584B59E" w14:textId="29BAD554" w:rsidR="00F713B4" w:rsidRPr="00B87B95" w:rsidRDefault="00F713B4" w:rsidP="00DD2380">
            <w:pPr>
              <w:spacing w:before="40" w:after="40"/>
              <w:rPr>
                <w:b/>
                <w:bCs/>
                <w:sz w:val="18"/>
                <w:szCs w:val="18"/>
              </w:rPr>
            </w:pPr>
            <w:r w:rsidRPr="00F9037E">
              <w:rPr>
                <w:b/>
                <w:bCs/>
                <w:sz w:val="18"/>
                <w:szCs w:val="18"/>
              </w:rPr>
              <w:t xml:space="preserve">3. MB/Pic </w:t>
            </w:r>
            <w:r w:rsidRPr="00220275">
              <w:rPr>
                <w:b/>
                <w:bCs/>
                <w:sz w:val="18"/>
                <w:szCs w:val="18"/>
              </w:rPr>
              <w:t>Formulation</w:t>
            </w:r>
            <w:r w:rsidR="00CD3CBD" w:rsidRPr="00220275">
              <w:rPr>
                <w:b/>
                <w:bCs/>
                <w:sz w:val="18"/>
                <w:szCs w:val="18"/>
              </w:rPr>
              <w:t>: Pathogens</w:t>
            </w:r>
            <w:r w:rsidRPr="00B87B95">
              <w:rPr>
                <w:b/>
                <w:bCs/>
                <w:sz w:val="18"/>
                <w:szCs w:val="18"/>
              </w:rPr>
              <w:t xml:space="preserve"> control</w:t>
            </w:r>
          </w:p>
        </w:tc>
        <w:tc>
          <w:tcPr>
            <w:tcW w:w="2888" w:type="dxa"/>
          </w:tcPr>
          <w:p w14:paraId="0F3835A9" w14:textId="77777777" w:rsidR="00F713B4" w:rsidRPr="00B87B95" w:rsidRDefault="00F713B4" w:rsidP="00DD2380">
            <w:pPr>
              <w:spacing w:before="40" w:after="40"/>
              <w:rPr>
                <w:sz w:val="18"/>
                <w:szCs w:val="18"/>
              </w:rPr>
            </w:pPr>
            <w:r w:rsidRPr="00B87B95">
              <w:rPr>
                <w:sz w:val="18"/>
                <w:szCs w:val="18"/>
              </w:rPr>
              <w:t xml:space="preserve">Unless otherwise specified, MB/Pic 50:50 (or similar) was considered to be the standard effective formulation for pathogen control, as a transitional strategy to replace MB/Pic 98:2. </w:t>
            </w:r>
          </w:p>
        </w:tc>
        <w:tc>
          <w:tcPr>
            <w:tcW w:w="2647" w:type="dxa"/>
          </w:tcPr>
          <w:p w14:paraId="7A6F3DE7" w14:textId="77777777" w:rsidR="00F713B4" w:rsidRPr="00B87B95" w:rsidRDefault="00F713B4" w:rsidP="00DD2380">
            <w:pPr>
              <w:spacing w:before="40" w:after="40"/>
              <w:rPr>
                <w:sz w:val="18"/>
                <w:szCs w:val="18"/>
              </w:rPr>
            </w:pPr>
            <w:r w:rsidRPr="00B87B95">
              <w:rPr>
                <w:sz w:val="18"/>
                <w:szCs w:val="18"/>
              </w:rPr>
              <w:t>Nominated amount adjusted for use with MB/Pic 50:50 (or similar).</w:t>
            </w:r>
          </w:p>
        </w:tc>
        <w:tc>
          <w:tcPr>
            <w:tcW w:w="2149" w:type="dxa"/>
          </w:tcPr>
          <w:p w14:paraId="18A6B8E3" w14:textId="77777777" w:rsidR="00F713B4" w:rsidRPr="00B87B95" w:rsidRDefault="00F713B4" w:rsidP="00DD2380">
            <w:pPr>
              <w:spacing w:before="40" w:after="40"/>
              <w:rPr>
                <w:sz w:val="18"/>
                <w:szCs w:val="18"/>
              </w:rPr>
            </w:pPr>
            <w:r w:rsidRPr="00B87B95">
              <w:rPr>
                <w:sz w:val="18"/>
                <w:szCs w:val="18"/>
              </w:rPr>
              <w:t>Where MB/Pic 50:50 is not registered, or Pic (Pic) is not registered</w:t>
            </w:r>
          </w:p>
        </w:tc>
      </w:tr>
      <w:tr w:rsidR="00F713B4" w:rsidRPr="00F9037E" w14:paraId="2C004FD6" w14:textId="77777777" w:rsidTr="009446BE">
        <w:tc>
          <w:tcPr>
            <w:tcW w:w="1530" w:type="dxa"/>
          </w:tcPr>
          <w:p w14:paraId="24AA0FDC" w14:textId="77777777" w:rsidR="00F713B4" w:rsidRPr="00F9037E" w:rsidRDefault="00F713B4" w:rsidP="00DD2380">
            <w:pPr>
              <w:spacing w:before="40" w:after="40"/>
              <w:rPr>
                <w:b/>
                <w:bCs/>
                <w:sz w:val="18"/>
                <w:szCs w:val="18"/>
              </w:rPr>
            </w:pPr>
            <w:r w:rsidRPr="00F9037E">
              <w:rPr>
                <w:b/>
                <w:bCs/>
                <w:sz w:val="18"/>
                <w:szCs w:val="18"/>
              </w:rPr>
              <w:t>4. MB/Pic Formulation:  Weeds/</w:t>
            </w:r>
            <w:proofErr w:type="spellStart"/>
            <w:r w:rsidRPr="00F9037E">
              <w:rPr>
                <w:b/>
                <w:bCs/>
                <w:sz w:val="18"/>
                <w:szCs w:val="18"/>
              </w:rPr>
              <w:t>nutsedge</w:t>
            </w:r>
            <w:proofErr w:type="spellEnd"/>
            <w:r w:rsidRPr="00F9037E">
              <w:rPr>
                <w:b/>
                <w:bCs/>
                <w:sz w:val="18"/>
                <w:szCs w:val="18"/>
              </w:rPr>
              <w:t xml:space="preserve"> ass control</w:t>
            </w:r>
          </w:p>
        </w:tc>
        <w:tc>
          <w:tcPr>
            <w:tcW w:w="2888" w:type="dxa"/>
          </w:tcPr>
          <w:p w14:paraId="2B2F3A92" w14:textId="77777777" w:rsidR="00F713B4" w:rsidRPr="00F9037E" w:rsidRDefault="00F713B4" w:rsidP="00DD2380">
            <w:pPr>
              <w:spacing w:before="40" w:after="40"/>
              <w:rPr>
                <w:sz w:val="18"/>
                <w:szCs w:val="18"/>
              </w:rPr>
            </w:pPr>
            <w:r w:rsidRPr="00F9037E">
              <w:rPr>
                <w:sz w:val="18"/>
                <w:szCs w:val="18"/>
              </w:rPr>
              <w:t>Unless otherwise specified, MB/Pic 67:33 (or similar) was used as the standard effective formulation for control of resistant (tolerant) weeds, as a transitional strategy to replace MB/Pic 98:2.</w:t>
            </w:r>
          </w:p>
        </w:tc>
        <w:tc>
          <w:tcPr>
            <w:tcW w:w="2647" w:type="dxa"/>
          </w:tcPr>
          <w:p w14:paraId="4DE6D019" w14:textId="77777777" w:rsidR="00F713B4" w:rsidRPr="00F9037E" w:rsidRDefault="00F713B4" w:rsidP="00DD2380">
            <w:pPr>
              <w:spacing w:before="40" w:after="40"/>
              <w:rPr>
                <w:sz w:val="18"/>
                <w:szCs w:val="18"/>
              </w:rPr>
            </w:pPr>
            <w:r w:rsidRPr="00F9037E">
              <w:rPr>
                <w:sz w:val="18"/>
                <w:szCs w:val="18"/>
              </w:rPr>
              <w:t>Nominated amount adjusted for use with MB/Pic 67:33 (or similar).</w:t>
            </w:r>
          </w:p>
        </w:tc>
        <w:tc>
          <w:tcPr>
            <w:tcW w:w="2149" w:type="dxa"/>
          </w:tcPr>
          <w:p w14:paraId="2ACA3FDA" w14:textId="77777777" w:rsidR="00F713B4" w:rsidRPr="00F9037E" w:rsidRDefault="00F713B4" w:rsidP="00DD2380">
            <w:pPr>
              <w:spacing w:before="40" w:after="40"/>
              <w:rPr>
                <w:sz w:val="18"/>
                <w:szCs w:val="18"/>
              </w:rPr>
            </w:pPr>
            <w:r w:rsidRPr="00F9037E">
              <w:rPr>
                <w:sz w:val="18"/>
                <w:szCs w:val="18"/>
              </w:rPr>
              <w:t>Where Pic or Pic-containing mixtures are not registered</w:t>
            </w:r>
          </w:p>
        </w:tc>
      </w:tr>
      <w:tr w:rsidR="00F713B4" w:rsidRPr="00F9037E" w14:paraId="0C3A768F" w14:textId="77777777" w:rsidTr="009446BE">
        <w:tc>
          <w:tcPr>
            <w:tcW w:w="1530" w:type="dxa"/>
          </w:tcPr>
          <w:p w14:paraId="23037CB7" w14:textId="77777777" w:rsidR="00F713B4" w:rsidRPr="00F9037E" w:rsidRDefault="00F713B4" w:rsidP="00DD2380">
            <w:pPr>
              <w:spacing w:before="40" w:after="40"/>
              <w:rPr>
                <w:b/>
                <w:bCs/>
                <w:sz w:val="18"/>
                <w:szCs w:val="18"/>
              </w:rPr>
            </w:pPr>
            <w:r w:rsidRPr="00F9037E">
              <w:rPr>
                <w:b/>
                <w:bCs/>
                <w:sz w:val="18"/>
                <w:szCs w:val="18"/>
              </w:rPr>
              <w:t xml:space="preserve">5. Strip vs. </w:t>
            </w:r>
            <w:proofErr w:type="spellStart"/>
            <w:r w:rsidRPr="00F9037E">
              <w:rPr>
                <w:b/>
                <w:bCs/>
                <w:sz w:val="18"/>
                <w:szCs w:val="18"/>
              </w:rPr>
              <w:t>Broadacre</w:t>
            </w:r>
            <w:proofErr w:type="spellEnd"/>
          </w:p>
        </w:tc>
        <w:tc>
          <w:tcPr>
            <w:tcW w:w="2888" w:type="dxa"/>
          </w:tcPr>
          <w:p w14:paraId="57D44641" w14:textId="77777777" w:rsidR="00F713B4" w:rsidRPr="00F9037E" w:rsidRDefault="00F713B4" w:rsidP="00DD2380">
            <w:pPr>
              <w:spacing w:before="40" w:after="40"/>
              <w:rPr>
                <w:sz w:val="18"/>
                <w:szCs w:val="18"/>
              </w:rPr>
            </w:pPr>
            <w:r w:rsidRPr="00F9037E">
              <w:rPr>
                <w:sz w:val="18"/>
                <w:szCs w:val="18"/>
              </w:rPr>
              <w:t xml:space="preserve">Fumigation with MB and mixtures to be carried out under strip </w:t>
            </w:r>
          </w:p>
        </w:tc>
        <w:tc>
          <w:tcPr>
            <w:tcW w:w="2647" w:type="dxa"/>
          </w:tcPr>
          <w:p w14:paraId="05981A49" w14:textId="77777777" w:rsidR="00F713B4" w:rsidRPr="00F9037E" w:rsidRDefault="00F713B4" w:rsidP="00DD2380">
            <w:pPr>
              <w:spacing w:before="40" w:after="40"/>
              <w:rPr>
                <w:sz w:val="18"/>
                <w:szCs w:val="18"/>
              </w:rPr>
            </w:pPr>
            <w:r w:rsidRPr="00F9037E">
              <w:rPr>
                <w:sz w:val="18"/>
                <w:szCs w:val="18"/>
              </w:rPr>
              <w:t xml:space="preserve">Where rates were shown in broad acre hectares, the CUN was adjusted to the MB rate relative to strip treatment (i.e. treated area).  If not specified, the area under strip treatment was considered to represent 67% of the total area.  </w:t>
            </w:r>
          </w:p>
        </w:tc>
        <w:tc>
          <w:tcPr>
            <w:tcW w:w="2149" w:type="dxa"/>
          </w:tcPr>
          <w:p w14:paraId="373520DC" w14:textId="77777777" w:rsidR="00F713B4" w:rsidRPr="00F9037E" w:rsidRDefault="00F713B4" w:rsidP="00DD2380">
            <w:pPr>
              <w:spacing w:before="40" w:after="40"/>
              <w:ind w:right="432"/>
              <w:rPr>
                <w:sz w:val="18"/>
                <w:szCs w:val="18"/>
              </w:rPr>
            </w:pPr>
            <w:r w:rsidRPr="00F9037E">
              <w:rPr>
                <w:sz w:val="18"/>
                <w:szCs w:val="18"/>
              </w:rPr>
              <w:t xml:space="preserve">Where strip treatment was not feasible e.g. some protected cultivation, emission regulations on MB, or open field production of high health propagative material </w:t>
            </w:r>
          </w:p>
        </w:tc>
      </w:tr>
    </w:tbl>
    <w:p w14:paraId="39E30F3C" w14:textId="77777777" w:rsidR="008D5F24" w:rsidRDefault="008D5F24" w:rsidP="00F713B4"/>
    <w:p w14:paraId="52837739" w14:textId="77777777" w:rsidR="003159A8" w:rsidRPr="00F9037E" w:rsidRDefault="003159A8" w:rsidP="00F713B4"/>
    <w:p w14:paraId="56CC4EFB" w14:textId="40AA25D5" w:rsidR="008D5F24" w:rsidRPr="00F9037E" w:rsidRDefault="008D5F24" w:rsidP="00BF49B3">
      <w:pPr>
        <w:pStyle w:val="Tableandfigureheadings"/>
        <w:keepLines/>
        <w:jc w:val="both"/>
      </w:pPr>
      <w:r w:rsidRPr="00F9037E">
        <w:lastRenderedPageBreak/>
        <w:t xml:space="preserve">Table </w:t>
      </w:r>
      <w:r w:rsidR="00655D62" w:rsidRPr="00F9037E">
        <w:t>1</w:t>
      </w:r>
      <w:r w:rsidR="00F01FB5" w:rsidRPr="00F9037E">
        <w:t>.</w:t>
      </w:r>
      <w:r w:rsidRPr="00F9037E">
        <w:t>7</w:t>
      </w:r>
      <w:r w:rsidR="00A639C6" w:rsidRPr="00F9037E">
        <w:t>.</w:t>
      </w:r>
      <w:r w:rsidRPr="00F9037E">
        <w:t xml:space="preserve">  Maximum dosage rates for </w:t>
      </w:r>
      <w:proofErr w:type="spellStart"/>
      <w:r w:rsidRPr="00F9037E">
        <w:t>preplant</w:t>
      </w:r>
      <w:proofErr w:type="spellEnd"/>
      <w:r w:rsidRPr="00F9037E">
        <w:t xml:space="preserve"> soil use of MB by sector used </w:t>
      </w:r>
      <w:r w:rsidR="00244B6A" w:rsidRPr="00F9037E">
        <w:t>since</w:t>
      </w:r>
      <w:r w:rsidR="003159A8">
        <w:t xml:space="preserve"> 2009 (standard presumptions)</w:t>
      </w:r>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160"/>
        <w:gridCol w:w="1260"/>
        <w:gridCol w:w="1710"/>
        <w:gridCol w:w="1440"/>
      </w:tblGrid>
      <w:tr w:rsidR="008D5F24" w:rsidRPr="00F9037E" w14:paraId="0A1D349F" w14:textId="77777777" w:rsidTr="006D0E9A">
        <w:trPr>
          <w:cantSplit/>
          <w:trHeight w:val="323"/>
        </w:trPr>
        <w:tc>
          <w:tcPr>
            <w:tcW w:w="1530" w:type="dxa"/>
            <w:vMerge w:val="restart"/>
            <w:vAlign w:val="center"/>
          </w:tcPr>
          <w:p w14:paraId="76FED962" w14:textId="77777777" w:rsidR="008D5F24" w:rsidRPr="00F9037E" w:rsidRDefault="008D5F24" w:rsidP="00BF49B3">
            <w:pPr>
              <w:keepNext/>
              <w:keepLines/>
              <w:spacing w:before="40" w:after="40"/>
              <w:rPr>
                <w:b/>
                <w:sz w:val="18"/>
                <w:szCs w:val="18"/>
              </w:rPr>
            </w:pPr>
            <w:r w:rsidRPr="00F9037E">
              <w:rPr>
                <w:b/>
                <w:szCs w:val="18"/>
              </w:rPr>
              <w:t>Film Type</w:t>
            </w:r>
          </w:p>
        </w:tc>
        <w:tc>
          <w:tcPr>
            <w:tcW w:w="6570" w:type="dxa"/>
            <w:gridSpan w:val="4"/>
            <w:vAlign w:val="center"/>
          </w:tcPr>
          <w:p w14:paraId="29E67B84" w14:textId="77777777" w:rsidR="008D5F24" w:rsidRPr="00F9037E" w:rsidRDefault="008D5F24" w:rsidP="00BF49B3">
            <w:pPr>
              <w:pStyle w:val="Heading7"/>
              <w:keepLines/>
              <w:tabs>
                <w:tab w:val="clear" w:pos="1296"/>
                <w:tab w:val="left" w:pos="708"/>
              </w:tabs>
              <w:spacing w:before="40" w:after="40"/>
              <w:ind w:left="0" w:firstLine="0"/>
              <w:rPr>
                <w:sz w:val="18"/>
                <w:szCs w:val="18"/>
              </w:rPr>
            </w:pPr>
            <w:r w:rsidRPr="00F9037E">
              <w:t>Maximum MB Dosage Rate (g/m</w:t>
            </w:r>
            <w:r w:rsidRPr="00F9037E">
              <w:rPr>
                <w:vertAlign w:val="superscript"/>
              </w:rPr>
              <w:t>2</w:t>
            </w:r>
            <w:r w:rsidRPr="00F9037E">
              <w:t>) in MB/Pic mixtures (67:33, 50:50) considered effective for:</w:t>
            </w:r>
          </w:p>
        </w:tc>
      </w:tr>
      <w:tr w:rsidR="008D5F24" w:rsidRPr="00F9037E" w14:paraId="7151A224" w14:textId="77777777" w:rsidTr="006D0E9A">
        <w:trPr>
          <w:cantSplit/>
          <w:trHeight w:val="350"/>
        </w:trPr>
        <w:tc>
          <w:tcPr>
            <w:tcW w:w="1530" w:type="dxa"/>
            <w:vMerge/>
            <w:vAlign w:val="center"/>
          </w:tcPr>
          <w:p w14:paraId="1D787E0C" w14:textId="77777777" w:rsidR="008D5F24" w:rsidRPr="00F9037E" w:rsidRDefault="008D5F24" w:rsidP="006D0E9A">
            <w:pPr>
              <w:spacing w:before="40" w:after="40"/>
              <w:rPr>
                <w:b/>
                <w:bCs/>
                <w:sz w:val="18"/>
                <w:szCs w:val="18"/>
              </w:rPr>
            </w:pPr>
          </w:p>
        </w:tc>
        <w:tc>
          <w:tcPr>
            <w:tcW w:w="2160" w:type="dxa"/>
            <w:vAlign w:val="center"/>
          </w:tcPr>
          <w:p w14:paraId="3288545F" w14:textId="77777777" w:rsidR="008D5F24" w:rsidRPr="000F08B5" w:rsidRDefault="008D5F24" w:rsidP="006D0E9A">
            <w:pPr>
              <w:spacing w:before="40" w:after="40"/>
              <w:jc w:val="center"/>
              <w:rPr>
                <w:b/>
                <w:sz w:val="20"/>
                <w:szCs w:val="18"/>
              </w:rPr>
            </w:pPr>
            <w:r w:rsidRPr="000F08B5">
              <w:rPr>
                <w:b/>
                <w:sz w:val="20"/>
                <w:szCs w:val="18"/>
              </w:rPr>
              <w:t>Strawberries and Vegetables</w:t>
            </w:r>
          </w:p>
        </w:tc>
        <w:tc>
          <w:tcPr>
            <w:tcW w:w="1260" w:type="dxa"/>
            <w:vAlign w:val="center"/>
          </w:tcPr>
          <w:p w14:paraId="33199B53" w14:textId="77777777" w:rsidR="008D5F24" w:rsidRPr="00365366" w:rsidRDefault="008D5F24" w:rsidP="006D0E9A">
            <w:pPr>
              <w:spacing w:before="40" w:after="40"/>
              <w:jc w:val="center"/>
              <w:rPr>
                <w:b/>
                <w:sz w:val="20"/>
                <w:szCs w:val="18"/>
              </w:rPr>
            </w:pPr>
            <w:r w:rsidRPr="00365366">
              <w:rPr>
                <w:b/>
                <w:sz w:val="20"/>
                <w:szCs w:val="18"/>
              </w:rPr>
              <w:t>Plant Nurseries*</w:t>
            </w:r>
          </w:p>
        </w:tc>
        <w:tc>
          <w:tcPr>
            <w:tcW w:w="1710" w:type="dxa"/>
            <w:vAlign w:val="center"/>
          </w:tcPr>
          <w:p w14:paraId="78689EAF" w14:textId="77777777" w:rsidR="008D5F24" w:rsidRPr="00F9037E" w:rsidRDefault="008D5F24" w:rsidP="006D0E9A">
            <w:pPr>
              <w:spacing w:before="40" w:after="40"/>
              <w:jc w:val="center"/>
              <w:rPr>
                <w:b/>
                <w:sz w:val="20"/>
                <w:szCs w:val="18"/>
              </w:rPr>
            </w:pPr>
            <w:r w:rsidRPr="00F9037E">
              <w:rPr>
                <w:b/>
                <w:sz w:val="20"/>
                <w:szCs w:val="18"/>
              </w:rPr>
              <w:t>Orchard Replant</w:t>
            </w:r>
          </w:p>
        </w:tc>
        <w:tc>
          <w:tcPr>
            <w:tcW w:w="1440" w:type="dxa"/>
            <w:vAlign w:val="center"/>
          </w:tcPr>
          <w:p w14:paraId="609C901D" w14:textId="77777777" w:rsidR="008D5F24" w:rsidRPr="00F9037E" w:rsidRDefault="008D5F24" w:rsidP="006D0E9A">
            <w:pPr>
              <w:spacing w:before="40" w:after="40"/>
              <w:jc w:val="center"/>
              <w:rPr>
                <w:b/>
                <w:sz w:val="20"/>
                <w:szCs w:val="18"/>
              </w:rPr>
            </w:pPr>
            <w:r w:rsidRPr="00F9037E">
              <w:rPr>
                <w:b/>
                <w:sz w:val="20"/>
                <w:szCs w:val="18"/>
              </w:rPr>
              <w:t>Ornamentals</w:t>
            </w:r>
          </w:p>
        </w:tc>
      </w:tr>
      <w:tr w:rsidR="008D5F24" w:rsidRPr="00F9037E" w14:paraId="1A36B3DA" w14:textId="77777777" w:rsidTr="006D0E9A">
        <w:trPr>
          <w:trHeight w:val="534"/>
        </w:trPr>
        <w:tc>
          <w:tcPr>
            <w:tcW w:w="1530" w:type="dxa"/>
            <w:vAlign w:val="center"/>
          </w:tcPr>
          <w:p w14:paraId="63C637B6" w14:textId="77777777" w:rsidR="008D5F24" w:rsidRPr="00220275" w:rsidRDefault="008D5F24" w:rsidP="006D0E9A">
            <w:pPr>
              <w:spacing w:before="40" w:after="40"/>
              <w:rPr>
                <w:b/>
                <w:bCs/>
                <w:sz w:val="18"/>
                <w:szCs w:val="18"/>
              </w:rPr>
            </w:pPr>
            <w:r w:rsidRPr="00220275">
              <w:rPr>
                <w:b/>
                <w:bCs/>
                <w:sz w:val="18"/>
                <w:szCs w:val="18"/>
              </w:rPr>
              <w:t>Barrier films - Pathogens</w:t>
            </w:r>
          </w:p>
        </w:tc>
        <w:tc>
          <w:tcPr>
            <w:tcW w:w="2160" w:type="dxa"/>
            <w:vAlign w:val="center"/>
          </w:tcPr>
          <w:p w14:paraId="46542C0A" w14:textId="77777777" w:rsidR="008D5F24" w:rsidRPr="00220275" w:rsidRDefault="008D5F24" w:rsidP="006D0E9A">
            <w:pPr>
              <w:tabs>
                <w:tab w:val="right" w:pos="288"/>
              </w:tabs>
              <w:spacing w:before="40" w:after="40"/>
              <w:jc w:val="center"/>
              <w:rPr>
                <w:sz w:val="20"/>
              </w:rPr>
            </w:pPr>
            <w:r w:rsidRPr="00220275">
              <w:rPr>
                <w:sz w:val="20"/>
              </w:rPr>
              <w:t>12.5</w:t>
            </w:r>
          </w:p>
        </w:tc>
        <w:tc>
          <w:tcPr>
            <w:tcW w:w="1260" w:type="dxa"/>
            <w:vAlign w:val="center"/>
          </w:tcPr>
          <w:p w14:paraId="262A5D31" w14:textId="77777777" w:rsidR="008D5F24" w:rsidRPr="00B87B95" w:rsidRDefault="008D5F24" w:rsidP="006D0E9A">
            <w:pPr>
              <w:tabs>
                <w:tab w:val="right" w:pos="288"/>
              </w:tabs>
              <w:spacing w:before="40" w:after="40"/>
              <w:jc w:val="center"/>
              <w:rPr>
                <w:sz w:val="20"/>
              </w:rPr>
            </w:pPr>
            <w:r w:rsidRPr="00B87B95">
              <w:rPr>
                <w:sz w:val="20"/>
              </w:rPr>
              <w:t>15</w:t>
            </w:r>
          </w:p>
        </w:tc>
        <w:tc>
          <w:tcPr>
            <w:tcW w:w="1710" w:type="dxa"/>
            <w:vAlign w:val="center"/>
          </w:tcPr>
          <w:p w14:paraId="4245E74F" w14:textId="77777777" w:rsidR="008D5F24" w:rsidRPr="00B87B95" w:rsidRDefault="008D5F24" w:rsidP="006D0E9A">
            <w:pPr>
              <w:tabs>
                <w:tab w:val="right" w:pos="288"/>
              </w:tabs>
              <w:spacing w:before="40" w:after="40"/>
              <w:jc w:val="center"/>
              <w:rPr>
                <w:sz w:val="20"/>
              </w:rPr>
            </w:pPr>
            <w:r w:rsidRPr="00B87B95">
              <w:rPr>
                <w:sz w:val="20"/>
              </w:rPr>
              <w:t>15</w:t>
            </w:r>
          </w:p>
        </w:tc>
        <w:tc>
          <w:tcPr>
            <w:tcW w:w="1440" w:type="dxa"/>
            <w:vAlign w:val="center"/>
          </w:tcPr>
          <w:p w14:paraId="0EC7989F" w14:textId="77777777" w:rsidR="008D5F24" w:rsidRPr="00B87B95" w:rsidRDefault="008D5F24" w:rsidP="006D0E9A">
            <w:pPr>
              <w:tabs>
                <w:tab w:val="right" w:pos="288"/>
              </w:tabs>
              <w:spacing w:before="40" w:after="40"/>
              <w:jc w:val="center"/>
              <w:rPr>
                <w:sz w:val="20"/>
              </w:rPr>
            </w:pPr>
            <w:r w:rsidRPr="00B87B95">
              <w:rPr>
                <w:sz w:val="20"/>
              </w:rPr>
              <w:t>15</w:t>
            </w:r>
          </w:p>
        </w:tc>
      </w:tr>
      <w:tr w:rsidR="008D5F24" w:rsidRPr="00F9037E" w14:paraId="18EC2DBA" w14:textId="77777777" w:rsidTr="006D0E9A">
        <w:trPr>
          <w:trHeight w:val="534"/>
        </w:trPr>
        <w:tc>
          <w:tcPr>
            <w:tcW w:w="1530" w:type="dxa"/>
            <w:vAlign w:val="center"/>
          </w:tcPr>
          <w:p w14:paraId="3F9E6C7D" w14:textId="77777777" w:rsidR="008D5F24" w:rsidRPr="00563BC0" w:rsidRDefault="008D5F24" w:rsidP="006D0E9A">
            <w:pPr>
              <w:spacing w:before="40" w:after="40"/>
              <w:rPr>
                <w:b/>
                <w:bCs/>
                <w:sz w:val="18"/>
                <w:szCs w:val="18"/>
              </w:rPr>
            </w:pPr>
            <w:r w:rsidRPr="00563BC0">
              <w:rPr>
                <w:b/>
                <w:bCs/>
                <w:sz w:val="18"/>
                <w:szCs w:val="18"/>
              </w:rPr>
              <w:t xml:space="preserve">Barrier films </w:t>
            </w:r>
            <w:r w:rsidR="008E4210" w:rsidRPr="00563BC0">
              <w:rPr>
                <w:b/>
                <w:bCs/>
                <w:sz w:val="18"/>
                <w:szCs w:val="18"/>
              </w:rPr>
              <w:t>–</w:t>
            </w:r>
            <w:proofErr w:type="spellStart"/>
            <w:r w:rsidRPr="00563BC0">
              <w:rPr>
                <w:b/>
                <w:bCs/>
                <w:sz w:val="18"/>
                <w:szCs w:val="18"/>
              </w:rPr>
              <w:t>Nutsedge</w:t>
            </w:r>
            <w:proofErr w:type="spellEnd"/>
          </w:p>
        </w:tc>
        <w:tc>
          <w:tcPr>
            <w:tcW w:w="2160" w:type="dxa"/>
            <w:vAlign w:val="center"/>
          </w:tcPr>
          <w:p w14:paraId="3BB4DD63" w14:textId="77777777" w:rsidR="008D5F24" w:rsidRPr="000F08B5" w:rsidRDefault="008D5F24" w:rsidP="006D0E9A">
            <w:pPr>
              <w:tabs>
                <w:tab w:val="right" w:pos="288"/>
              </w:tabs>
              <w:spacing w:before="40" w:after="40"/>
              <w:jc w:val="center"/>
              <w:rPr>
                <w:sz w:val="20"/>
              </w:rPr>
            </w:pPr>
            <w:r w:rsidRPr="000F08B5">
              <w:rPr>
                <w:sz w:val="20"/>
              </w:rPr>
              <w:t>15.0</w:t>
            </w:r>
          </w:p>
        </w:tc>
        <w:tc>
          <w:tcPr>
            <w:tcW w:w="1260" w:type="dxa"/>
            <w:vAlign w:val="center"/>
          </w:tcPr>
          <w:p w14:paraId="249E00F9" w14:textId="77777777" w:rsidR="008D5F24" w:rsidRPr="000F08B5" w:rsidRDefault="008D5F24" w:rsidP="006D0E9A">
            <w:pPr>
              <w:tabs>
                <w:tab w:val="right" w:pos="288"/>
              </w:tabs>
              <w:spacing w:before="40" w:after="40"/>
              <w:jc w:val="center"/>
              <w:rPr>
                <w:sz w:val="20"/>
              </w:rPr>
            </w:pPr>
            <w:r w:rsidRPr="000F08B5">
              <w:rPr>
                <w:sz w:val="20"/>
              </w:rPr>
              <w:t>17.5</w:t>
            </w:r>
          </w:p>
        </w:tc>
        <w:tc>
          <w:tcPr>
            <w:tcW w:w="1710" w:type="dxa"/>
            <w:vAlign w:val="center"/>
          </w:tcPr>
          <w:p w14:paraId="5C981A69" w14:textId="77777777" w:rsidR="008D5F24" w:rsidRPr="00365366" w:rsidRDefault="008D5F24" w:rsidP="006D0E9A">
            <w:pPr>
              <w:tabs>
                <w:tab w:val="right" w:pos="288"/>
              </w:tabs>
              <w:spacing w:before="40" w:after="40"/>
              <w:jc w:val="center"/>
              <w:rPr>
                <w:sz w:val="20"/>
              </w:rPr>
            </w:pPr>
            <w:r w:rsidRPr="00365366">
              <w:rPr>
                <w:sz w:val="20"/>
              </w:rPr>
              <w:t>17.5</w:t>
            </w:r>
          </w:p>
        </w:tc>
        <w:tc>
          <w:tcPr>
            <w:tcW w:w="1440" w:type="dxa"/>
            <w:vAlign w:val="center"/>
          </w:tcPr>
          <w:p w14:paraId="523A12B3" w14:textId="77777777" w:rsidR="008D5F24" w:rsidRPr="00F9037E" w:rsidRDefault="008D5F24" w:rsidP="006D0E9A">
            <w:pPr>
              <w:tabs>
                <w:tab w:val="right" w:pos="288"/>
              </w:tabs>
              <w:spacing w:before="40" w:after="40"/>
              <w:jc w:val="center"/>
              <w:rPr>
                <w:sz w:val="20"/>
              </w:rPr>
            </w:pPr>
            <w:r w:rsidRPr="00F9037E">
              <w:rPr>
                <w:sz w:val="20"/>
              </w:rPr>
              <w:t>17.5</w:t>
            </w:r>
          </w:p>
        </w:tc>
      </w:tr>
      <w:tr w:rsidR="008D5F24" w:rsidRPr="00F9037E" w14:paraId="48EE1107" w14:textId="77777777" w:rsidTr="006D0E9A">
        <w:trPr>
          <w:trHeight w:val="534"/>
        </w:trPr>
        <w:tc>
          <w:tcPr>
            <w:tcW w:w="1530" w:type="dxa"/>
            <w:vAlign w:val="center"/>
          </w:tcPr>
          <w:p w14:paraId="37A30419" w14:textId="77777777" w:rsidR="008D5F24" w:rsidRPr="00F9037E" w:rsidRDefault="008D5F24" w:rsidP="006D0E9A">
            <w:pPr>
              <w:spacing w:before="40" w:after="40"/>
              <w:rPr>
                <w:b/>
                <w:bCs/>
                <w:sz w:val="18"/>
                <w:szCs w:val="18"/>
              </w:rPr>
            </w:pPr>
            <w:r w:rsidRPr="00F9037E">
              <w:rPr>
                <w:b/>
                <w:bCs/>
                <w:sz w:val="18"/>
                <w:szCs w:val="18"/>
              </w:rPr>
              <w:t>No Barrier films – Pathogens</w:t>
            </w:r>
          </w:p>
        </w:tc>
        <w:tc>
          <w:tcPr>
            <w:tcW w:w="2160" w:type="dxa"/>
            <w:vAlign w:val="center"/>
          </w:tcPr>
          <w:p w14:paraId="03E11086" w14:textId="77777777" w:rsidR="008D5F24" w:rsidRPr="00F9037E" w:rsidRDefault="008D5F24" w:rsidP="006D0E9A">
            <w:pPr>
              <w:tabs>
                <w:tab w:val="right" w:pos="288"/>
              </w:tabs>
              <w:spacing w:before="40" w:after="40"/>
              <w:jc w:val="center"/>
              <w:rPr>
                <w:sz w:val="20"/>
              </w:rPr>
            </w:pPr>
            <w:r w:rsidRPr="00F9037E">
              <w:rPr>
                <w:sz w:val="20"/>
              </w:rPr>
              <w:t>20</w:t>
            </w:r>
          </w:p>
        </w:tc>
        <w:tc>
          <w:tcPr>
            <w:tcW w:w="1260" w:type="dxa"/>
            <w:vAlign w:val="center"/>
          </w:tcPr>
          <w:p w14:paraId="6C438532" w14:textId="77777777" w:rsidR="008D5F24" w:rsidRPr="00F9037E" w:rsidRDefault="008D5F24" w:rsidP="006D0E9A">
            <w:pPr>
              <w:tabs>
                <w:tab w:val="right" w:pos="288"/>
              </w:tabs>
              <w:spacing w:before="40" w:after="40"/>
              <w:jc w:val="center"/>
              <w:rPr>
                <w:sz w:val="20"/>
              </w:rPr>
            </w:pPr>
            <w:r w:rsidRPr="00F9037E">
              <w:rPr>
                <w:sz w:val="20"/>
              </w:rPr>
              <w:t>20</w:t>
            </w:r>
          </w:p>
        </w:tc>
        <w:tc>
          <w:tcPr>
            <w:tcW w:w="1710" w:type="dxa"/>
            <w:vAlign w:val="center"/>
          </w:tcPr>
          <w:p w14:paraId="7559C8EB" w14:textId="77777777" w:rsidR="008D5F24" w:rsidRPr="00F9037E" w:rsidRDefault="008D5F24" w:rsidP="006D0E9A">
            <w:pPr>
              <w:tabs>
                <w:tab w:val="right" w:pos="288"/>
              </w:tabs>
              <w:spacing w:before="40" w:after="40"/>
              <w:jc w:val="center"/>
              <w:rPr>
                <w:sz w:val="20"/>
              </w:rPr>
            </w:pPr>
            <w:r w:rsidRPr="00F9037E">
              <w:rPr>
                <w:sz w:val="20"/>
              </w:rPr>
              <w:t>20</w:t>
            </w:r>
          </w:p>
        </w:tc>
        <w:tc>
          <w:tcPr>
            <w:tcW w:w="1440" w:type="dxa"/>
            <w:vAlign w:val="center"/>
          </w:tcPr>
          <w:p w14:paraId="107DE605" w14:textId="77777777" w:rsidR="008D5F24" w:rsidRPr="00F9037E" w:rsidRDefault="008D5F24" w:rsidP="006D0E9A">
            <w:pPr>
              <w:tabs>
                <w:tab w:val="right" w:pos="288"/>
              </w:tabs>
              <w:spacing w:before="40" w:after="40"/>
              <w:jc w:val="center"/>
              <w:rPr>
                <w:sz w:val="20"/>
              </w:rPr>
            </w:pPr>
            <w:r w:rsidRPr="00F9037E">
              <w:rPr>
                <w:sz w:val="20"/>
              </w:rPr>
              <w:t>20</w:t>
            </w:r>
          </w:p>
        </w:tc>
      </w:tr>
      <w:tr w:rsidR="008D5F24" w:rsidRPr="00F9037E" w14:paraId="166CC8F4" w14:textId="77777777" w:rsidTr="006D0E9A">
        <w:trPr>
          <w:trHeight w:val="534"/>
        </w:trPr>
        <w:tc>
          <w:tcPr>
            <w:tcW w:w="1530" w:type="dxa"/>
            <w:vAlign w:val="center"/>
          </w:tcPr>
          <w:p w14:paraId="701010C2" w14:textId="77777777" w:rsidR="008D5F24" w:rsidRPr="00F9037E" w:rsidRDefault="008D5F24" w:rsidP="006D0E9A">
            <w:pPr>
              <w:spacing w:before="40" w:after="40"/>
              <w:rPr>
                <w:b/>
                <w:bCs/>
                <w:sz w:val="18"/>
                <w:szCs w:val="18"/>
              </w:rPr>
            </w:pPr>
            <w:r w:rsidRPr="00F9037E">
              <w:rPr>
                <w:b/>
                <w:bCs/>
                <w:sz w:val="18"/>
                <w:szCs w:val="18"/>
              </w:rPr>
              <w:t>No Barrier films - Nut sedge</w:t>
            </w:r>
          </w:p>
        </w:tc>
        <w:tc>
          <w:tcPr>
            <w:tcW w:w="2160" w:type="dxa"/>
            <w:vAlign w:val="center"/>
          </w:tcPr>
          <w:p w14:paraId="335FCCCD" w14:textId="77777777" w:rsidR="008D5F24" w:rsidRPr="00F9037E" w:rsidRDefault="008D5F24" w:rsidP="006D0E9A">
            <w:pPr>
              <w:tabs>
                <w:tab w:val="right" w:pos="288"/>
              </w:tabs>
              <w:spacing w:before="40" w:after="40"/>
              <w:jc w:val="center"/>
              <w:rPr>
                <w:sz w:val="20"/>
              </w:rPr>
            </w:pPr>
            <w:r w:rsidRPr="00F9037E">
              <w:rPr>
                <w:sz w:val="20"/>
              </w:rPr>
              <w:t>26</w:t>
            </w:r>
          </w:p>
        </w:tc>
        <w:tc>
          <w:tcPr>
            <w:tcW w:w="1260" w:type="dxa"/>
            <w:vAlign w:val="center"/>
          </w:tcPr>
          <w:p w14:paraId="7D40A4B8" w14:textId="77777777" w:rsidR="008D5F24" w:rsidRPr="00F9037E" w:rsidRDefault="008D5F24" w:rsidP="006D0E9A">
            <w:pPr>
              <w:tabs>
                <w:tab w:val="right" w:pos="288"/>
              </w:tabs>
              <w:spacing w:before="40" w:after="40"/>
              <w:jc w:val="center"/>
              <w:rPr>
                <w:sz w:val="20"/>
              </w:rPr>
            </w:pPr>
            <w:r w:rsidRPr="00F9037E">
              <w:rPr>
                <w:sz w:val="20"/>
              </w:rPr>
              <w:t>26</w:t>
            </w:r>
          </w:p>
        </w:tc>
        <w:tc>
          <w:tcPr>
            <w:tcW w:w="1710" w:type="dxa"/>
            <w:vAlign w:val="center"/>
          </w:tcPr>
          <w:p w14:paraId="33FC154A" w14:textId="77777777" w:rsidR="008D5F24" w:rsidRPr="00F9037E" w:rsidRDefault="008D5F24" w:rsidP="006D0E9A">
            <w:pPr>
              <w:tabs>
                <w:tab w:val="right" w:pos="288"/>
              </w:tabs>
              <w:spacing w:before="40" w:after="40"/>
              <w:jc w:val="center"/>
              <w:rPr>
                <w:sz w:val="20"/>
              </w:rPr>
            </w:pPr>
            <w:r w:rsidRPr="00F9037E">
              <w:rPr>
                <w:sz w:val="20"/>
              </w:rPr>
              <w:t>26</w:t>
            </w:r>
          </w:p>
        </w:tc>
        <w:tc>
          <w:tcPr>
            <w:tcW w:w="1440" w:type="dxa"/>
            <w:vAlign w:val="center"/>
          </w:tcPr>
          <w:p w14:paraId="68C987D4" w14:textId="77777777" w:rsidR="008D5F24" w:rsidRPr="00F9037E" w:rsidRDefault="008D5F24" w:rsidP="006D0E9A">
            <w:pPr>
              <w:tabs>
                <w:tab w:val="right" w:pos="288"/>
              </w:tabs>
              <w:spacing w:before="40" w:after="40"/>
              <w:jc w:val="center"/>
              <w:rPr>
                <w:sz w:val="20"/>
              </w:rPr>
            </w:pPr>
            <w:r w:rsidRPr="00F9037E">
              <w:rPr>
                <w:sz w:val="20"/>
              </w:rPr>
              <w:t>26</w:t>
            </w:r>
          </w:p>
        </w:tc>
      </w:tr>
    </w:tbl>
    <w:p w14:paraId="6665F28F" w14:textId="77777777" w:rsidR="008D5F24" w:rsidRPr="00220275" w:rsidRDefault="008D5F24" w:rsidP="009D2B4C">
      <w:pPr>
        <w:rPr>
          <w:sz w:val="18"/>
          <w:szCs w:val="18"/>
        </w:rPr>
      </w:pPr>
      <w:r w:rsidRPr="00220275">
        <w:rPr>
          <w:sz w:val="18"/>
          <w:szCs w:val="18"/>
        </w:rPr>
        <w:t>* Maximum rate unless certification specifies otherwise</w:t>
      </w:r>
    </w:p>
    <w:p w14:paraId="70174172" w14:textId="2EB16257" w:rsidR="008036A9" w:rsidRPr="00B87B95" w:rsidRDefault="000F08B5" w:rsidP="006A54A1">
      <w:pPr>
        <w:pStyle w:val="Heading2"/>
      </w:pPr>
      <w:bookmarkStart w:id="95" w:name="_Toc324255715"/>
      <w:bookmarkStart w:id="96" w:name="_Toc293054753"/>
      <w:bookmarkStart w:id="97" w:name="_Toc461183776"/>
      <w:bookmarkStart w:id="98" w:name="_Toc324255716"/>
      <w:r>
        <w:t>3.9</w:t>
      </w:r>
      <w:r w:rsidR="008036A9" w:rsidRPr="00F9037E">
        <w:rPr>
          <w:rStyle w:val="Heading311ptBoldChar"/>
        </w:rPr>
        <w:t>.</w:t>
      </w:r>
      <w:r w:rsidR="001E3306" w:rsidRPr="00F9037E">
        <w:rPr>
          <w:rStyle w:val="Heading311ptBoldChar"/>
        </w:rPr>
        <w:t>8</w:t>
      </w:r>
      <w:r w:rsidR="008036A9" w:rsidRPr="00F9037E">
        <w:rPr>
          <w:rStyle w:val="Heading311ptBoldChar"/>
        </w:rPr>
        <w:tab/>
        <w:t xml:space="preserve">Adjustments for </w:t>
      </w:r>
      <w:r w:rsidR="007E22DE" w:rsidRPr="00F9037E">
        <w:rPr>
          <w:rStyle w:val="Heading311ptBoldChar"/>
        </w:rPr>
        <w:t>S</w:t>
      </w:r>
      <w:r w:rsidR="008036A9" w:rsidRPr="00F9037E">
        <w:rPr>
          <w:rStyle w:val="Heading311ptBoldChar"/>
        </w:rPr>
        <w:t xml:space="preserve">tandard </w:t>
      </w:r>
      <w:r w:rsidR="007E22DE" w:rsidRPr="00F9037E">
        <w:rPr>
          <w:rStyle w:val="Heading311ptBoldChar"/>
        </w:rPr>
        <w:t>D</w:t>
      </w:r>
      <w:r w:rsidR="008036A9" w:rsidRPr="00F9037E">
        <w:rPr>
          <w:rStyle w:val="Heading311ptBoldChar"/>
        </w:rPr>
        <w:t xml:space="preserve">osage </w:t>
      </w:r>
      <w:r w:rsidR="007E22DE" w:rsidRPr="00F9037E">
        <w:rPr>
          <w:rStyle w:val="Heading311ptBoldChar"/>
        </w:rPr>
        <w:t>R</w:t>
      </w:r>
      <w:r w:rsidR="008036A9" w:rsidRPr="00F9037E">
        <w:rPr>
          <w:rStyle w:val="Heading311ptBoldChar"/>
        </w:rPr>
        <w:t xml:space="preserve">ates using MB/Pic </w:t>
      </w:r>
      <w:r w:rsidR="007E22DE" w:rsidRPr="00F9037E">
        <w:rPr>
          <w:rStyle w:val="Heading311ptBoldChar"/>
        </w:rPr>
        <w:t>F</w:t>
      </w:r>
      <w:r w:rsidR="008036A9" w:rsidRPr="00F9037E">
        <w:rPr>
          <w:rStyle w:val="Heading311ptBoldChar"/>
        </w:rPr>
        <w:t>ormulations</w:t>
      </w:r>
      <w:bookmarkEnd w:id="95"/>
      <w:bookmarkEnd w:id="96"/>
      <w:bookmarkEnd w:id="97"/>
    </w:p>
    <w:p w14:paraId="4736A907" w14:textId="77777777" w:rsidR="008036A9" w:rsidRPr="00B87B95" w:rsidRDefault="008036A9" w:rsidP="003159A8">
      <w:pPr>
        <w:jc w:val="both"/>
      </w:pPr>
      <w:r w:rsidRPr="00CD3CBD">
        <w:t>As in previous assessments, one key transitional strategy to reduce MB dosage has been the adoption of MB/Pic formulat</w:t>
      </w:r>
      <w:r w:rsidRPr="00501812">
        <w:t xml:space="preserve">ions with lower concentrations of MB (e.g. MB/Pic 50:50, 33:67 or less).  These formulations are considered to be equally as effective in controlling </w:t>
      </w:r>
      <w:proofErr w:type="spellStart"/>
      <w:r w:rsidRPr="00501812">
        <w:t>soilbor</w:t>
      </w:r>
      <w:r w:rsidRPr="003A30C7">
        <w:t>ne</w:t>
      </w:r>
      <w:proofErr w:type="spellEnd"/>
      <w:r w:rsidRPr="003A30C7">
        <w:t xml:space="preserve"> pathogens as formulations containing higher quantities of MB (e.g. 98:2, 67:33) (Porter </w:t>
      </w:r>
      <w:r w:rsidR="00BC546D" w:rsidRPr="00082015">
        <w:rPr>
          <w:i/>
        </w:rPr>
        <w:t xml:space="preserve">et al., </w:t>
      </w:r>
      <w:r w:rsidRPr="00082015">
        <w:t xml:space="preserve">2006; Santos </w:t>
      </w:r>
      <w:r w:rsidR="00EF30ED" w:rsidRPr="00082015">
        <w:rPr>
          <w:i/>
          <w:iCs/>
        </w:rPr>
        <w:t>et al</w:t>
      </w:r>
      <w:r w:rsidRPr="00082015">
        <w:t xml:space="preserve">., 2007; Hamill </w:t>
      </w:r>
      <w:r w:rsidR="00CF2F84" w:rsidRPr="00F5313E">
        <w:rPr>
          <w:i/>
        </w:rPr>
        <w:t>et al</w:t>
      </w:r>
      <w:r w:rsidRPr="00220275">
        <w:rPr>
          <w:i/>
        </w:rPr>
        <w:t>.,</w:t>
      </w:r>
      <w:r w:rsidRPr="00220275">
        <w:t xml:space="preserve"> 2004; Hanson </w:t>
      </w:r>
      <w:r w:rsidR="00CF2F84" w:rsidRPr="00220275">
        <w:rPr>
          <w:i/>
        </w:rPr>
        <w:t>et a</w:t>
      </w:r>
      <w:r w:rsidR="00AC156D" w:rsidRPr="00220275">
        <w:rPr>
          <w:i/>
        </w:rPr>
        <w:t>l</w:t>
      </w:r>
      <w:r w:rsidRPr="00220275">
        <w:rPr>
          <w:i/>
        </w:rPr>
        <w:t>.,</w:t>
      </w:r>
      <w:r w:rsidRPr="00220275">
        <w:t xml:space="preserve"> 2006</w:t>
      </w:r>
      <w:r w:rsidR="00F044A6" w:rsidRPr="00220275">
        <w:t>),</w:t>
      </w:r>
      <w:r w:rsidRPr="00220275">
        <w:rPr>
          <w:snapToGrid w:val="0"/>
        </w:rPr>
        <w:t xml:space="preserve"> (Table </w:t>
      </w:r>
      <w:r w:rsidR="00655D62" w:rsidRPr="00220275">
        <w:rPr>
          <w:snapToGrid w:val="0"/>
        </w:rPr>
        <w:t>1</w:t>
      </w:r>
      <w:r w:rsidR="00F01FB5" w:rsidRPr="00B87B95">
        <w:rPr>
          <w:snapToGrid w:val="0"/>
        </w:rPr>
        <w:t>.</w:t>
      </w:r>
      <w:r w:rsidRPr="00B87B95">
        <w:rPr>
          <w:snapToGrid w:val="0"/>
        </w:rPr>
        <w:t>8).</w:t>
      </w:r>
    </w:p>
    <w:p w14:paraId="16FF39B4" w14:textId="77777777" w:rsidR="008036A9" w:rsidRPr="00563BC0" w:rsidRDefault="008036A9" w:rsidP="003159A8">
      <w:pPr>
        <w:pStyle w:val="Tableandfigureheadings"/>
        <w:jc w:val="both"/>
      </w:pPr>
      <w:r w:rsidRPr="00B87B95">
        <w:t xml:space="preserve">Table </w:t>
      </w:r>
      <w:r w:rsidR="00655D62" w:rsidRPr="00B87B95">
        <w:t>1</w:t>
      </w:r>
      <w:r w:rsidR="00F01FB5" w:rsidRPr="00B87B95">
        <w:t>.</w:t>
      </w:r>
      <w:r w:rsidRPr="00B87B95">
        <w:t>8</w:t>
      </w:r>
      <w:r w:rsidR="00A639C6" w:rsidRPr="00B87B95">
        <w:t>.</w:t>
      </w:r>
      <w:r w:rsidRPr="00B87B95">
        <w:t xml:space="preserve">  Actual dosage rates applied during </w:t>
      </w:r>
      <w:proofErr w:type="spellStart"/>
      <w:r w:rsidRPr="00B87B95">
        <w:t>preplant</w:t>
      </w:r>
      <w:proofErr w:type="spellEnd"/>
      <w:r w:rsidRPr="00B87B95">
        <w:t xml:space="preserve"> fumigation when different rates and formulations of MB/Pic mixtures are applied with and without barrier films.  Rates of application reflect standard commercial applications rates.</w:t>
      </w:r>
    </w:p>
    <w:tbl>
      <w:tblPr>
        <w:tblW w:w="82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0"/>
        <w:gridCol w:w="1525"/>
        <w:gridCol w:w="99"/>
        <w:gridCol w:w="840"/>
        <w:gridCol w:w="195"/>
        <w:gridCol w:w="1135"/>
        <w:gridCol w:w="16"/>
        <w:gridCol w:w="1437"/>
      </w:tblGrid>
      <w:tr w:rsidR="008036A9" w:rsidRPr="00F9037E" w14:paraId="6B7A54A9" w14:textId="77777777" w:rsidTr="00BF49B3">
        <w:trPr>
          <w:cantSplit/>
          <w:trHeight w:val="293"/>
        </w:trPr>
        <w:tc>
          <w:tcPr>
            <w:tcW w:w="3010" w:type="dxa"/>
            <w:vMerge w:val="restart"/>
            <w:vAlign w:val="center"/>
          </w:tcPr>
          <w:p w14:paraId="58555ECB" w14:textId="08F7DC11" w:rsidR="008036A9" w:rsidRPr="00B87B95" w:rsidRDefault="008036A9" w:rsidP="006D0E9A">
            <w:pPr>
              <w:spacing w:before="40" w:after="40"/>
              <w:jc w:val="center"/>
              <w:rPr>
                <w:b/>
                <w:bCs/>
                <w:iCs/>
                <w:sz w:val="20"/>
              </w:rPr>
            </w:pPr>
            <w:r w:rsidRPr="00F9037E">
              <w:rPr>
                <w:b/>
                <w:bCs/>
                <w:iCs/>
                <w:sz w:val="20"/>
              </w:rPr>
              <w:t xml:space="preserve">Commercial application rates </w:t>
            </w:r>
            <w:r w:rsidRPr="00082015">
              <w:rPr>
                <w:b/>
                <w:bCs/>
                <w:iCs/>
                <w:sz w:val="20"/>
              </w:rPr>
              <w:t xml:space="preserve">(kg/ha) </w:t>
            </w:r>
            <w:r w:rsidR="00CD3CBD" w:rsidRPr="00220275">
              <w:rPr>
                <w:b/>
                <w:bCs/>
                <w:iCs/>
                <w:sz w:val="20"/>
              </w:rPr>
              <w:t>of MB</w:t>
            </w:r>
            <w:r w:rsidRPr="00B87B95">
              <w:rPr>
                <w:b/>
                <w:bCs/>
                <w:iCs/>
                <w:sz w:val="20"/>
              </w:rPr>
              <w:t>/Pic formulation</w:t>
            </w:r>
          </w:p>
        </w:tc>
        <w:tc>
          <w:tcPr>
            <w:tcW w:w="5247" w:type="dxa"/>
            <w:gridSpan w:val="7"/>
            <w:vAlign w:val="center"/>
          </w:tcPr>
          <w:p w14:paraId="5E22789F" w14:textId="77777777" w:rsidR="008036A9" w:rsidRPr="00B87B95" w:rsidRDefault="008036A9" w:rsidP="006D0E9A">
            <w:pPr>
              <w:spacing w:before="40" w:after="40"/>
              <w:jc w:val="center"/>
              <w:rPr>
                <w:b/>
                <w:bCs/>
                <w:iCs/>
                <w:sz w:val="20"/>
              </w:rPr>
            </w:pPr>
            <w:r w:rsidRPr="00B87B95">
              <w:rPr>
                <w:b/>
                <w:bCs/>
                <w:iCs/>
                <w:sz w:val="20"/>
              </w:rPr>
              <w:t>MB/Pic formulation (dose of MB in g/m</w:t>
            </w:r>
            <w:r w:rsidRPr="00B87B95">
              <w:rPr>
                <w:rFonts w:ascii="Times New Roman Bold" w:hAnsi="Times New Roman Bold" w:cs="Times New Roman Bold"/>
                <w:b/>
                <w:bCs/>
                <w:iCs/>
                <w:sz w:val="20"/>
                <w:vertAlign w:val="superscript"/>
              </w:rPr>
              <w:t>2</w:t>
            </w:r>
            <w:r w:rsidRPr="00B87B95">
              <w:rPr>
                <w:b/>
                <w:bCs/>
                <w:iCs/>
                <w:sz w:val="20"/>
              </w:rPr>
              <w:t>)</w:t>
            </w:r>
          </w:p>
        </w:tc>
      </w:tr>
      <w:tr w:rsidR="008036A9" w:rsidRPr="00F9037E" w14:paraId="0E3EAAB4" w14:textId="77777777" w:rsidTr="00BF49B3">
        <w:trPr>
          <w:cantSplit/>
          <w:trHeight w:val="357"/>
        </w:trPr>
        <w:tc>
          <w:tcPr>
            <w:tcW w:w="3010" w:type="dxa"/>
            <w:vMerge/>
            <w:vAlign w:val="center"/>
          </w:tcPr>
          <w:p w14:paraId="4F0EBC9F" w14:textId="77777777" w:rsidR="008036A9" w:rsidRPr="00F9037E" w:rsidRDefault="008036A9" w:rsidP="006D0E9A">
            <w:pPr>
              <w:spacing w:before="40" w:after="40"/>
              <w:jc w:val="center"/>
              <w:rPr>
                <w:iCs/>
                <w:sz w:val="20"/>
              </w:rPr>
            </w:pPr>
          </w:p>
        </w:tc>
        <w:tc>
          <w:tcPr>
            <w:tcW w:w="1624" w:type="dxa"/>
            <w:gridSpan w:val="2"/>
            <w:vAlign w:val="center"/>
          </w:tcPr>
          <w:p w14:paraId="036708E4" w14:textId="77777777" w:rsidR="008036A9" w:rsidRPr="00B87B95" w:rsidRDefault="008036A9" w:rsidP="006D0E9A">
            <w:pPr>
              <w:spacing w:before="40" w:after="40"/>
              <w:jc w:val="center"/>
              <w:rPr>
                <w:b/>
                <w:bCs/>
                <w:iCs/>
                <w:sz w:val="20"/>
              </w:rPr>
            </w:pPr>
            <w:r w:rsidRPr="00B87B95">
              <w:rPr>
                <w:b/>
                <w:bCs/>
                <w:iCs/>
                <w:sz w:val="20"/>
              </w:rPr>
              <w:t>98:2</w:t>
            </w:r>
          </w:p>
        </w:tc>
        <w:tc>
          <w:tcPr>
            <w:tcW w:w="840" w:type="dxa"/>
            <w:vAlign w:val="center"/>
          </w:tcPr>
          <w:p w14:paraId="22CCC03D" w14:textId="77777777" w:rsidR="008036A9" w:rsidRPr="00563BC0" w:rsidRDefault="008036A9" w:rsidP="006D0E9A">
            <w:pPr>
              <w:spacing w:before="40" w:after="40"/>
              <w:jc w:val="center"/>
              <w:rPr>
                <w:b/>
                <w:bCs/>
                <w:iCs/>
                <w:sz w:val="20"/>
              </w:rPr>
            </w:pPr>
            <w:r w:rsidRPr="00563BC0">
              <w:rPr>
                <w:b/>
                <w:bCs/>
                <w:iCs/>
                <w:sz w:val="20"/>
              </w:rPr>
              <w:t>67:33</w:t>
            </w:r>
          </w:p>
        </w:tc>
        <w:tc>
          <w:tcPr>
            <w:tcW w:w="1330" w:type="dxa"/>
            <w:gridSpan w:val="2"/>
            <w:vAlign w:val="center"/>
          </w:tcPr>
          <w:p w14:paraId="23F79A7C" w14:textId="77777777" w:rsidR="008036A9" w:rsidRPr="000F08B5" w:rsidRDefault="008036A9" w:rsidP="006D0E9A">
            <w:pPr>
              <w:spacing w:before="40" w:after="40"/>
              <w:jc w:val="center"/>
              <w:rPr>
                <w:b/>
                <w:bCs/>
                <w:iCs/>
                <w:sz w:val="20"/>
              </w:rPr>
            </w:pPr>
            <w:r w:rsidRPr="000F08B5">
              <w:rPr>
                <w:b/>
                <w:bCs/>
                <w:iCs/>
                <w:sz w:val="20"/>
              </w:rPr>
              <w:t>50:50</w:t>
            </w:r>
          </w:p>
        </w:tc>
        <w:tc>
          <w:tcPr>
            <w:tcW w:w="1453" w:type="dxa"/>
            <w:gridSpan w:val="2"/>
            <w:vAlign w:val="center"/>
          </w:tcPr>
          <w:p w14:paraId="6CEE54F8" w14:textId="77777777" w:rsidR="008036A9" w:rsidRPr="000F08B5" w:rsidRDefault="008036A9" w:rsidP="006D0E9A">
            <w:pPr>
              <w:spacing w:before="40" w:after="40"/>
              <w:jc w:val="center"/>
              <w:rPr>
                <w:b/>
                <w:bCs/>
                <w:iCs/>
                <w:sz w:val="20"/>
              </w:rPr>
            </w:pPr>
            <w:r w:rsidRPr="000F08B5">
              <w:rPr>
                <w:b/>
                <w:bCs/>
                <w:iCs/>
                <w:sz w:val="20"/>
              </w:rPr>
              <w:t>30:70</w:t>
            </w:r>
          </w:p>
        </w:tc>
      </w:tr>
      <w:tr w:rsidR="008036A9" w:rsidRPr="00F9037E" w14:paraId="253C87AB" w14:textId="77777777" w:rsidTr="00BF49B3">
        <w:tc>
          <w:tcPr>
            <w:tcW w:w="8257" w:type="dxa"/>
            <w:gridSpan w:val="8"/>
            <w:vAlign w:val="center"/>
          </w:tcPr>
          <w:p w14:paraId="15277191" w14:textId="77777777" w:rsidR="008036A9" w:rsidRPr="00F9037E" w:rsidRDefault="008036A9" w:rsidP="006D0E9A">
            <w:pPr>
              <w:spacing w:before="40" w:after="40"/>
              <w:rPr>
                <w:b/>
                <w:bCs/>
                <w:iCs/>
                <w:sz w:val="20"/>
              </w:rPr>
            </w:pPr>
            <w:r w:rsidRPr="00F9037E">
              <w:rPr>
                <w:b/>
                <w:bCs/>
                <w:iCs/>
                <w:sz w:val="20"/>
              </w:rPr>
              <w:t>A. With Standard Polyethylene Films</w:t>
            </w:r>
          </w:p>
        </w:tc>
      </w:tr>
      <w:tr w:rsidR="008036A9" w:rsidRPr="00F9037E" w14:paraId="4C9718D9" w14:textId="77777777" w:rsidTr="00BF49B3">
        <w:tc>
          <w:tcPr>
            <w:tcW w:w="3010" w:type="dxa"/>
            <w:vAlign w:val="center"/>
          </w:tcPr>
          <w:p w14:paraId="1E2D633F" w14:textId="77777777" w:rsidR="008036A9" w:rsidRPr="00F9037E" w:rsidRDefault="008036A9" w:rsidP="006D0E9A">
            <w:pPr>
              <w:spacing w:before="40" w:after="40"/>
              <w:jc w:val="center"/>
              <w:rPr>
                <w:iCs/>
                <w:sz w:val="20"/>
              </w:rPr>
            </w:pPr>
            <w:r w:rsidRPr="00F9037E">
              <w:rPr>
                <w:iCs/>
                <w:sz w:val="20"/>
              </w:rPr>
              <w:t>400</w:t>
            </w:r>
          </w:p>
        </w:tc>
        <w:tc>
          <w:tcPr>
            <w:tcW w:w="1525" w:type="dxa"/>
            <w:vAlign w:val="center"/>
          </w:tcPr>
          <w:p w14:paraId="4E451D3C" w14:textId="77777777" w:rsidR="008036A9" w:rsidRPr="00F9037E" w:rsidRDefault="008036A9" w:rsidP="006D0E9A">
            <w:pPr>
              <w:spacing w:before="40" w:after="40"/>
              <w:jc w:val="center"/>
              <w:rPr>
                <w:iCs/>
                <w:sz w:val="20"/>
              </w:rPr>
            </w:pPr>
            <w:r w:rsidRPr="00F9037E">
              <w:rPr>
                <w:iCs/>
                <w:sz w:val="20"/>
              </w:rPr>
              <w:t>39.2</w:t>
            </w:r>
          </w:p>
        </w:tc>
        <w:tc>
          <w:tcPr>
            <w:tcW w:w="1134" w:type="dxa"/>
            <w:gridSpan w:val="3"/>
            <w:vAlign w:val="center"/>
          </w:tcPr>
          <w:p w14:paraId="4C7F6D39" w14:textId="77777777" w:rsidR="008036A9" w:rsidRPr="00F9037E" w:rsidRDefault="008036A9" w:rsidP="006D0E9A">
            <w:pPr>
              <w:spacing w:before="40" w:after="40"/>
              <w:jc w:val="center"/>
              <w:rPr>
                <w:iCs/>
                <w:sz w:val="20"/>
              </w:rPr>
            </w:pPr>
            <w:r w:rsidRPr="00F9037E">
              <w:rPr>
                <w:iCs/>
                <w:sz w:val="20"/>
              </w:rPr>
              <w:t>26.8</w:t>
            </w:r>
          </w:p>
        </w:tc>
        <w:tc>
          <w:tcPr>
            <w:tcW w:w="1151" w:type="dxa"/>
            <w:gridSpan w:val="2"/>
            <w:vAlign w:val="center"/>
          </w:tcPr>
          <w:p w14:paraId="4F8E0929" w14:textId="77777777" w:rsidR="008036A9" w:rsidRPr="00F9037E" w:rsidRDefault="008036A9" w:rsidP="006D0E9A">
            <w:pPr>
              <w:spacing w:before="40" w:after="40"/>
              <w:jc w:val="center"/>
              <w:rPr>
                <w:iCs/>
                <w:sz w:val="20"/>
              </w:rPr>
            </w:pPr>
            <w:r w:rsidRPr="00F9037E">
              <w:rPr>
                <w:iCs/>
                <w:sz w:val="20"/>
              </w:rPr>
              <w:t>20.0</w:t>
            </w:r>
          </w:p>
        </w:tc>
        <w:tc>
          <w:tcPr>
            <w:tcW w:w="1437" w:type="dxa"/>
            <w:vAlign w:val="center"/>
          </w:tcPr>
          <w:p w14:paraId="1702417D" w14:textId="77777777" w:rsidR="008036A9" w:rsidRPr="00F9037E" w:rsidRDefault="008036A9" w:rsidP="006D0E9A">
            <w:pPr>
              <w:spacing w:before="40" w:after="40"/>
              <w:jc w:val="center"/>
              <w:rPr>
                <w:iCs/>
                <w:sz w:val="20"/>
              </w:rPr>
            </w:pPr>
            <w:r w:rsidRPr="00F9037E">
              <w:rPr>
                <w:iCs/>
                <w:sz w:val="20"/>
              </w:rPr>
              <w:t>12.0</w:t>
            </w:r>
          </w:p>
        </w:tc>
      </w:tr>
      <w:tr w:rsidR="008036A9" w:rsidRPr="00F9037E" w14:paraId="1E3087A3" w14:textId="77777777" w:rsidTr="00BF49B3">
        <w:tc>
          <w:tcPr>
            <w:tcW w:w="3010" w:type="dxa"/>
            <w:vAlign w:val="center"/>
          </w:tcPr>
          <w:p w14:paraId="5BA11EC3" w14:textId="77777777" w:rsidR="008036A9" w:rsidRPr="00F9037E" w:rsidRDefault="008036A9" w:rsidP="006D0E9A">
            <w:pPr>
              <w:spacing w:before="40" w:after="40"/>
              <w:jc w:val="center"/>
              <w:rPr>
                <w:iCs/>
                <w:sz w:val="20"/>
              </w:rPr>
            </w:pPr>
            <w:r w:rsidRPr="00F9037E">
              <w:rPr>
                <w:iCs/>
                <w:sz w:val="20"/>
              </w:rPr>
              <w:t>350</w:t>
            </w:r>
          </w:p>
        </w:tc>
        <w:tc>
          <w:tcPr>
            <w:tcW w:w="1525" w:type="dxa"/>
            <w:vAlign w:val="center"/>
          </w:tcPr>
          <w:p w14:paraId="4F260830" w14:textId="77777777" w:rsidR="008036A9" w:rsidRPr="00F9037E" w:rsidRDefault="008036A9" w:rsidP="006D0E9A">
            <w:pPr>
              <w:spacing w:before="40" w:after="40"/>
              <w:jc w:val="center"/>
              <w:rPr>
                <w:iCs/>
                <w:sz w:val="20"/>
              </w:rPr>
            </w:pPr>
            <w:r w:rsidRPr="00F9037E">
              <w:rPr>
                <w:iCs/>
                <w:sz w:val="20"/>
              </w:rPr>
              <w:t>34.3</w:t>
            </w:r>
          </w:p>
        </w:tc>
        <w:tc>
          <w:tcPr>
            <w:tcW w:w="1134" w:type="dxa"/>
            <w:gridSpan w:val="3"/>
            <w:vAlign w:val="center"/>
          </w:tcPr>
          <w:p w14:paraId="0115021E" w14:textId="77777777" w:rsidR="008036A9" w:rsidRPr="00F9037E" w:rsidRDefault="008036A9" w:rsidP="006D0E9A">
            <w:pPr>
              <w:spacing w:before="40" w:after="40"/>
              <w:jc w:val="center"/>
              <w:rPr>
                <w:iCs/>
                <w:sz w:val="20"/>
              </w:rPr>
            </w:pPr>
            <w:r w:rsidRPr="00F9037E">
              <w:rPr>
                <w:iCs/>
                <w:sz w:val="20"/>
              </w:rPr>
              <w:t>23.5</w:t>
            </w:r>
          </w:p>
        </w:tc>
        <w:tc>
          <w:tcPr>
            <w:tcW w:w="1151" w:type="dxa"/>
            <w:gridSpan w:val="2"/>
            <w:vAlign w:val="center"/>
          </w:tcPr>
          <w:p w14:paraId="1DFEE2DC" w14:textId="77777777" w:rsidR="008036A9" w:rsidRPr="00F9037E" w:rsidRDefault="008036A9" w:rsidP="006D0E9A">
            <w:pPr>
              <w:spacing w:before="40" w:after="40"/>
              <w:jc w:val="center"/>
              <w:rPr>
                <w:iCs/>
                <w:sz w:val="20"/>
              </w:rPr>
            </w:pPr>
            <w:r w:rsidRPr="00F9037E">
              <w:rPr>
                <w:iCs/>
                <w:sz w:val="20"/>
              </w:rPr>
              <w:t>17.5</w:t>
            </w:r>
          </w:p>
        </w:tc>
        <w:tc>
          <w:tcPr>
            <w:tcW w:w="1437" w:type="dxa"/>
            <w:vAlign w:val="center"/>
          </w:tcPr>
          <w:p w14:paraId="5651E0F9" w14:textId="77777777" w:rsidR="008036A9" w:rsidRPr="00F9037E" w:rsidRDefault="008036A9" w:rsidP="006D0E9A">
            <w:pPr>
              <w:spacing w:before="40" w:after="40"/>
              <w:jc w:val="center"/>
              <w:rPr>
                <w:iCs/>
                <w:sz w:val="20"/>
              </w:rPr>
            </w:pPr>
            <w:r w:rsidRPr="00F9037E">
              <w:rPr>
                <w:iCs/>
                <w:sz w:val="20"/>
              </w:rPr>
              <w:t>10.5</w:t>
            </w:r>
          </w:p>
        </w:tc>
      </w:tr>
      <w:tr w:rsidR="008036A9" w:rsidRPr="00F9037E" w14:paraId="42D9629A" w14:textId="77777777" w:rsidTr="00BF49B3">
        <w:tc>
          <w:tcPr>
            <w:tcW w:w="3010" w:type="dxa"/>
            <w:vAlign w:val="center"/>
          </w:tcPr>
          <w:p w14:paraId="46D04BD6" w14:textId="77777777" w:rsidR="008036A9" w:rsidRPr="00F9037E" w:rsidRDefault="008036A9" w:rsidP="006D0E9A">
            <w:pPr>
              <w:spacing w:before="40" w:after="40"/>
              <w:jc w:val="center"/>
              <w:rPr>
                <w:iCs/>
                <w:sz w:val="20"/>
              </w:rPr>
            </w:pPr>
            <w:r w:rsidRPr="00F9037E">
              <w:rPr>
                <w:iCs/>
                <w:sz w:val="20"/>
              </w:rPr>
              <w:t>300</w:t>
            </w:r>
          </w:p>
        </w:tc>
        <w:tc>
          <w:tcPr>
            <w:tcW w:w="1525" w:type="dxa"/>
            <w:vAlign w:val="center"/>
          </w:tcPr>
          <w:p w14:paraId="3FFA1F7E" w14:textId="77777777" w:rsidR="008036A9" w:rsidRPr="00F9037E" w:rsidRDefault="008036A9" w:rsidP="006D0E9A">
            <w:pPr>
              <w:spacing w:before="40" w:after="40"/>
              <w:jc w:val="center"/>
              <w:rPr>
                <w:iCs/>
                <w:sz w:val="20"/>
              </w:rPr>
            </w:pPr>
            <w:r w:rsidRPr="00F9037E">
              <w:rPr>
                <w:iCs/>
                <w:sz w:val="20"/>
              </w:rPr>
              <w:t>29.4</w:t>
            </w:r>
          </w:p>
        </w:tc>
        <w:tc>
          <w:tcPr>
            <w:tcW w:w="1134" w:type="dxa"/>
            <w:gridSpan w:val="3"/>
            <w:vAlign w:val="center"/>
          </w:tcPr>
          <w:p w14:paraId="7996FAF0" w14:textId="77777777" w:rsidR="008036A9" w:rsidRPr="00F9037E" w:rsidRDefault="008036A9" w:rsidP="006D0E9A">
            <w:pPr>
              <w:spacing w:before="40" w:after="40"/>
              <w:jc w:val="center"/>
              <w:rPr>
                <w:iCs/>
                <w:sz w:val="20"/>
              </w:rPr>
            </w:pPr>
            <w:r w:rsidRPr="00F9037E">
              <w:rPr>
                <w:iCs/>
                <w:sz w:val="20"/>
              </w:rPr>
              <w:t>20.1</w:t>
            </w:r>
          </w:p>
        </w:tc>
        <w:tc>
          <w:tcPr>
            <w:tcW w:w="1151" w:type="dxa"/>
            <w:gridSpan w:val="2"/>
            <w:vAlign w:val="center"/>
          </w:tcPr>
          <w:p w14:paraId="3025C50C" w14:textId="77777777" w:rsidR="008036A9" w:rsidRPr="00F9037E" w:rsidRDefault="008036A9" w:rsidP="006D0E9A">
            <w:pPr>
              <w:spacing w:before="40" w:after="40"/>
              <w:jc w:val="center"/>
              <w:rPr>
                <w:iCs/>
                <w:sz w:val="20"/>
              </w:rPr>
            </w:pPr>
            <w:r w:rsidRPr="00F9037E">
              <w:rPr>
                <w:iCs/>
                <w:sz w:val="20"/>
              </w:rPr>
              <w:t>15.0</w:t>
            </w:r>
          </w:p>
        </w:tc>
        <w:tc>
          <w:tcPr>
            <w:tcW w:w="1437" w:type="dxa"/>
            <w:vAlign w:val="center"/>
          </w:tcPr>
          <w:p w14:paraId="34051A94" w14:textId="77777777" w:rsidR="008036A9" w:rsidRPr="00F9037E" w:rsidRDefault="008036A9" w:rsidP="006D0E9A">
            <w:pPr>
              <w:spacing w:before="40" w:after="40"/>
              <w:jc w:val="center"/>
              <w:rPr>
                <w:iCs/>
                <w:sz w:val="20"/>
              </w:rPr>
            </w:pPr>
            <w:r w:rsidRPr="00F9037E">
              <w:rPr>
                <w:iCs/>
                <w:sz w:val="20"/>
              </w:rPr>
              <w:t>9.0</w:t>
            </w:r>
          </w:p>
        </w:tc>
      </w:tr>
      <w:tr w:rsidR="008036A9" w:rsidRPr="00F9037E" w14:paraId="64907A23" w14:textId="77777777" w:rsidTr="00BF49B3">
        <w:tc>
          <w:tcPr>
            <w:tcW w:w="8257" w:type="dxa"/>
            <w:gridSpan w:val="8"/>
            <w:vAlign w:val="center"/>
          </w:tcPr>
          <w:p w14:paraId="28A888AF" w14:textId="77777777" w:rsidR="008036A9" w:rsidRPr="00F9037E" w:rsidRDefault="008036A9" w:rsidP="006D0E9A">
            <w:pPr>
              <w:tabs>
                <w:tab w:val="right" w:pos="288"/>
              </w:tabs>
              <w:spacing w:before="40" w:after="40"/>
              <w:rPr>
                <w:b/>
                <w:bCs/>
                <w:iCs/>
                <w:sz w:val="20"/>
              </w:rPr>
            </w:pPr>
            <w:r w:rsidRPr="00F9037E">
              <w:rPr>
                <w:b/>
                <w:bCs/>
                <w:iCs/>
                <w:sz w:val="20"/>
              </w:rPr>
              <w:t>B. With Low Permeability Barrier Films (LPBF)</w:t>
            </w:r>
          </w:p>
        </w:tc>
      </w:tr>
      <w:tr w:rsidR="008036A9" w:rsidRPr="00F9037E" w14:paraId="4BE6730C" w14:textId="77777777" w:rsidTr="00BF49B3">
        <w:tc>
          <w:tcPr>
            <w:tcW w:w="3010" w:type="dxa"/>
            <w:vAlign w:val="center"/>
          </w:tcPr>
          <w:p w14:paraId="15AA8562" w14:textId="77777777" w:rsidR="008036A9" w:rsidRPr="00F9037E" w:rsidRDefault="008036A9" w:rsidP="006D0E9A">
            <w:pPr>
              <w:spacing w:before="40" w:after="40"/>
              <w:jc w:val="center"/>
              <w:rPr>
                <w:iCs/>
                <w:sz w:val="20"/>
              </w:rPr>
            </w:pPr>
            <w:r w:rsidRPr="00F9037E">
              <w:rPr>
                <w:iCs/>
                <w:sz w:val="20"/>
              </w:rPr>
              <w:t>250</w:t>
            </w:r>
          </w:p>
        </w:tc>
        <w:tc>
          <w:tcPr>
            <w:tcW w:w="1525" w:type="dxa"/>
            <w:vAlign w:val="center"/>
          </w:tcPr>
          <w:p w14:paraId="49CBACF5" w14:textId="77777777" w:rsidR="008036A9" w:rsidRPr="00F9037E" w:rsidRDefault="008036A9" w:rsidP="006D0E9A">
            <w:pPr>
              <w:spacing w:before="40" w:after="40"/>
              <w:jc w:val="center"/>
              <w:rPr>
                <w:iCs/>
                <w:sz w:val="20"/>
              </w:rPr>
            </w:pPr>
            <w:r w:rsidRPr="00F9037E">
              <w:rPr>
                <w:iCs/>
                <w:sz w:val="20"/>
              </w:rPr>
              <w:t>24.5</w:t>
            </w:r>
          </w:p>
        </w:tc>
        <w:tc>
          <w:tcPr>
            <w:tcW w:w="1134" w:type="dxa"/>
            <w:gridSpan w:val="3"/>
            <w:vAlign w:val="center"/>
          </w:tcPr>
          <w:p w14:paraId="25B7213A" w14:textId="77777777" w:rsidR="008036A9" w:rsidRPr="00F9037E" w:rsidRDefault="008036A9" w:rsidP="006D0E9A">
            <w:pPr>
              <w:spacing w:before="40" w:after="40"/>
              <w:jc w:val="center"/>
              <w:rPr>
                <w:iCs/>
                <w:sz w:val="20"/>
              </w:rPr>
            </w:pPr>
            <w:r w:rsidRPr="00F9037E">
              <w:rPr>
                <w:iCs/>
                <w:sz w:val="20"/>
              </w:rPr>
              <w:t>16.8</w:t>
            </w:r>
          </w:p>
        </w:tc>
        <w:tc>
          <w:tcPr>
            <w:tcW w:w="1135" w:type="dxa"/>
            <w:vAlign w:val="center"/>
          </w:tcPr>
          <w:p w14:paraId="7D8268F6" w14:textId="77777777" w:rsidR="008036A9" w:rsidRPr="00F9037E" w:rsidRDefault="008036A9" w:rsidP="006D0E9A">
            <w:pPr>
              <w:spacing w:before="40" w:after="40"/>
              <w:jc w:val="center"/>
              <w:rPr>
                <w:iCs/>
                <w:sz w:val="20"/>
              </w:rPr>
            </w:pPr>
            <w:r w:rsidRPr="00F9037E">
              <w:rPr>
                <w:iCs/>
                <w:sz w:val="20"/>
              </w:rPr>
              <w:t>12.5</w:t>
            </w:r>
          </w:p>
        </w:tc>
        <w:tc>
          <w:tcPr>
            <w:tcW w:w="1453" w:type="dxa"/>
            <w:gridSpan w:val="2"/>
            <w:vAlign w:val="center"/>
          </w:tcPr>
          <w:p w14:paraId="0F019CBB" w14:textId="77777777" w:rsidR="008036A9" w:rsidRPr="00F9037E" w:rsidRDefault="008036A9" w:rsidP="006D0E9A">
            <w:pPr>
              <w:spacing w:before="40" w:after="40"/>
              <w:jc w:val="center"/>
              <w:rPr>
                <w:iCs/>
                <w:sz w:val="20"/>
              </w:rPr>
            </w:pPr>
            <w:r w:rsidRPr="00F9037E">
              <w:rPr>
                <w:iCs/>
                <w:sz w:val="20"/>
              </w:rPr>
              <w:t>7.5</w:t>
            </w:r>
          </w:p>
        </w:tc>
      </w:tr>
      <w:tr w:rsidR="008036A9" w:rsidRPr="00F9037E" w14:paraId="2405DB9D" w14:textId="77777777" w:rsidTr="00BF49B3">
        <w:tc>
          <w:tcPr>
            <w:tcW w:w="3010" w:type="dxa"/>
            <w:vAlign w:val="center"/>
          </w:tcPr>
          <w:p w14:paraId="62D86747" w14:textId="77777777" w:rsidR="008036A9" w:rsidRPr="00F9037E" w:rsidRDefault="008036A9" w:rsidP="006D0E9A">
            <w:pPr>
              <w:spacing w:before="40" w:after="40"/>
              <w:jc w:val="center"/>
              <w:rPr>
                <w:iCs/>
                <w:sz w:val="20"/>
              </w:rPr>
            </w:pPr>
            <w:r w:rsidRPr="00F9037E">
              <w:rPr>
                <w:iCs/>
                <w:sz w:val="20"/>
              </w:rPr>
              <w:t>200</w:t>
            </w:r>
          </w:p>
        </w:tc>
        <w:tc>
          <w:tcPr>
            <w:tcW w:w="1525" w:type="dxa"/>
            <w:vAlign w:val="center"/>
          </w:tcPr>
          <w:p w14:paraId="22FEF96B" w14:textId="77777777" w:rsidR="008036A9" w:rsidRPr="00F9037E" w:rsidRDefault="008036A9" w:rsidP="006D0E9A">
            <w:pPr>
              <w:spacing w:before="40" w:after="40"/>
              <w:jc w:val="center"/>
              <w:rPr>
                <w:iCs/>
                <w:sz w:val="20"/>
              </w:rPr>
            </w:pPr>
            <w:r w:rsidRPr="00F9037E">
              <w:rPr>
                <w:iCs/>
                <w:sz w:val="20"/>
              </w:rPr>
              <w:t>19.6</w:t>
            </w:r>
          </w:p>
        </w:tc>
        <w:tc>
          <w:tcPr>
            <w:tcW w:w="1134" w:type="dxa"/>
            <w:gridSpan w:val="3"/>
            <w:vAlign w:val="center"/>
          </w:tcPr>
          <w:p w14:paraId="2AB3438E" w14:textId="77777777" w:rsidR="008036A9" w:rsidRPr="00F9037E" w:rsidRDefault="008036A9" w:rsidP="006D0E9A">
            <w:pPr>
              <w:spacing w:before="40" w:after="40"/>
              <w:jc w:val="center"/>
              <w:rPr>
                <w:iCs/>
                <w:sz w:val="20"/>
              </w:rPr>
            </w:pPr>
            <w:r w:rsidRPr="00F9037E">
              <w:rPr>
                <w:iCs/>
                <w:sz w:val="20"/>
              </w:rPr>
              <w:t>13.4</w:t>
            </w:r>
          </w:p>
        </w:tc>
        <w:tc>
          <w:tcPr>
            <w:tcW w:w="1135" w:type="dxa"/>
            <w:vAlign w:val="center"/>
          </w:tcPr>
          <w:p w14:paraId="3A337594" w14:textId="77777777" w:rsidR="008036A9" w:rsidRPr="00F9037E" w:rsidRDefault="008036A9" w:rsidP="006D0E9A">
            <w:pPr>
              <w:spacing w:before="40" w:after="40"/>
              <w:jc w:val="center"/>
              <w:rPr>
                <w:b/>
                <w:bCs/>
                <w:iCs/>
                <w:sz w:val="20"/>
              </w:rPr>
            </w:pPr>
            <w:r w:rsidRPr="00F9037E">
              <w:rPr>
                <w:b/>
                <w:bCs/>
                <w:iCs/>
                <w:sz w:val="20"/>
              </w:rPr>
              <w:t>10.0*</w:t>
            </w:r>
          </w:p>
        </w:tc>
        <w:tc>
          <w:tcPr>
            <w:tcW w:w="1453" w:type="dxa"/>
            <w:gridSpan w:val="2"/>
            <w:vAlign w:val="center"/>
          </w:tcPr>
          <w:p w14:paraId="6332842F" w14:textId="77777777" w:rsidR="008036A9" w:rsidRPr="00F9037E" w:rsidRDefault="008036A9" w:rsidP="006D0E9A">
            <w:pPr>
              <w:spacing w:before="40" w:after="40"/>
              <w:jc w:val="center"/>
              <w:rPr>
                <w:iCs/>
                <w:sz w:val="20"/>
              </w:rPr>
            </w:pPr>
            <w:r w:rsidRPr="00F9037E">
              <w:rPr>
                <w:iCs/>
                <w:sz w:val="20"/>
              </w:rPr>
              <w:t>6.0</w:t>
            </w:r>
          </w:p>
        </w:tc>
      </w:tr>
      <w:tr w:rsidR="008036A9" w:rsidRPr="00F9037E" w14:paraId="69205CA8" w14:textId="77777777" w:rsidTr="00BF49B3">
        <w:tc>
          <w:tcPr>
            <w:tcW w:w="3010" w:type="dxa"/>
            <w:vAlign w:val="center"/>
          </w:tcPr>
          <w:p w14:paraId="0FC6D607" w14:textId="77777777" w:rsidR="008036A9" w:rsidRPr="00F9037E" w:rsidRDefault="008036A9" w:rsidP="006D0E9A">
            <w:pPr>
              <w:spacing w:before="40" w:after="40"/>
              <w:jc w:val="center"/>
              <w:rPr>
                <w:iCs/>
                <w:sz w:val="20"/>
              </w:rPr>
            </w:pPr>
            <w:r w:rsidRPr="00F9037E">
              <w:rPr>
                <w:iCs/>
                <w:sz w:val="20"/>
              </w:rPr>
              <w:t>175</w:t>
            </w:r>
          </w:p>
        </w:tc>
        <w:tc>
          <w:tcPr>
            <w:tcW w:w="1525" w:type="dxa"/>
            <w:vAlign w:val="center"/>
          </w:tcPr>
          <w:p w14:paraId="5A0D82AA" w14:textId="77777777" w:rsidR="008036A9" w:rsidRPr="00F9037E" w:rsidRDefault="008036A9" w:rsidP="006D0E9A">
            <w:pPr>
              <w:spacing w:before="40" w:after="40"/>
              <w:jc w:val="center"/>
              <w:rPr>
                <w:iCs/>
                <w:sz w:val="20"/>
              </w:rPr>
            </w:pPr>
            <w:r w:rsidRPr="00F9037E">
              <w:rPr>
                <w:iCs/>
                <w:sz w:val="20"/>
              </w:rPr>
              <w:t>17.2</w:t>
            </w:r>
          </w:p>
        </w:tc>
        <w:tc>
          <w:tcPr>
            <w:tcW w:w="1134" w:type="dxa"/>
            <w:gridSpan w:val="3"/>
            <w:vAlign w:val="center"/>
          </w:tcPr>
          <w:p w14:paraId="535A8F78" w14:textId="77777777" w:rsidR="008036A9" w:rsidRPr="00F9037E" w:rsidRDefault="008036A9" w:rsidP="006D0E9A">
            <w:pPr>
              <w:spacing w:before="40" w:after="40"/>
              <w:jc w:val="center"/>
              <w:rPr>
                <w:iCs/>
                <w:sz w:val="20"/>
              </w:rPr>
            </w:pPr>
            <w:r w:rsidRPr="00F9037E">
              <w:rPr>
                <w:iCs/>
                <w:sz w:val="20"/>
              </w:rPr>
              <w:t>11.8</w:t>
            </w:r>
          </w:p>
        </w:tc>
        <w:tc>
          <w:tcPr>
            <w:tcW w:w="1135" w:type="dxa"/>
            <w:vAlign w:val="center"/>
          </w:tcPr>
          <w:p w14:paraId="543ED505" w14:textId="77777777" w:rsidR="008036A9" w:rsidRPr="00F9037E" w:rsidRDefault="008036A9" w:rsidP="006D0E9A">
            <w:pPr>
              <w:spacing w:before="40" w:after="40"/>
              <w:jc w:val="center"/>
              <w:rPr>
                <w:iCs/>
                <w:sz w:val="20"/>
              </w:rPr>
            </w:pPr>
            <w:r w:rsidRPr="00F9037E">
              <w:rPr>
                <w:iCs/>
                <w:sz w:val="20"/>
              </w:rPr>
              <w:t>8.8</w:t>
            </w:r>
          </w:p>
        </w:tc>
        <w:tc>
          <w:tcPr>
            <w:tcW w:w="1453" w:type="dxa"/>
            <w:gridSpan w:val="2"/>
            <w:vAlign w:val="center"/>
          </w:tcPr>
          <w:p w14:paraId="097F0646" w14:textId="77777777" w:rsidR="008036A9" w:rsidRPr="00F9037E" w:rsidRDefault="008036A9" w:rsidP="006D0E9A">
            <w:pPr>
              <w:spacing w:before="40" w:after="40"/>
              <w:jc w:val="center"/>
              <w:rPr>
                <w:iCs/>
                <w:sz w:val="20"/>
              </w:rPr>
            </w:pPr>
            <w:r w:rsidRPr="00F9037E">
              <w:rPr>
                <w:iCs/>
                <w:sz w:val="20"/>
              </w:rPr>
              <w:t>5.3</w:t>
            </w:r>
          </w:p>
        </w:tc>
      </w:tr>
    </w:tbl>
    <w:p w14:paraId="198F7FD6" w14:textId="77777777" w:rsidR="008036A9" w:rsidRPr="003159A8" w:rsidRDefault="008036A9" w:rsidP="003159A8">
      <w:pPr>
        <w:jc w:val="both"/>
        <w:rPr>
          <w:i/>
          <w:iCs/>
          <w:sz w:val="18"/>
          <w:szCs w:val="18"/>
        </w:rPr>
      </w:pPr>
      <w:r w:rsidRPr="003159A8">
        <w:rPr>
          <w:i/>
          <w:iCs/>
          <w:sz w:val="18"/>
          <w:szCs w:val="18"/>
        </w:rPr>
        <w:t>* Note:  Trials from 1996 to 2008 (previous CUN reports) show that a dosage of 10g/m</w:t>
      </w:r>
      <w:r w:rsidRPr="003159A8">
        <w:rPr>
          <w:i/>
          <w:iCs/>
          <w:sz w:val="18"/>
          <w:szCs w:val="18"/>
          <w:vertAlign w:val="superscript"/>
        </w:rPr>
        <w:t xml:space="preserve">2 </w:t>
      </w:r>
      <w:r w:rsidRPr="003159A8">
        <w:rPr>
          <w:i/>
          <w:iCs/>
          <w:sz w:val="18"/>
          <w:szCs w:val="18"/>
        </w:rPr>
        <w:t xml:space="preserve">(e.g. MB/Pic 50:50 at 200kg/ha with </w:t>
      </w:r>
      <w:r w:rsidR="002A08AB" w:rsidRPr="003159A8">
        <w:rPr>
          <w:i/>
          <w:iCs/>
          <w:sz w:val="18"/>
          <w:szCs w:val="18"/>
        </w:rPr>
        <w:t>L</w:t>
      </w:r>
      <w:r w:rsidRPr="003159A8">
        <w:rPr>
          <w:i/>
          <w:iCs/>
          <w:sz w:val="18"/>
          <w:szCs w:val="18"/>
        </w:rPr>
        <w:t xml:space="preserve">ow </w:t>
      </w:r>
      <w:r w:rsidR="002A08AB" w:rsidRPr="003159A8">
        <w:rPr>
          <w:i/>
          <w:iCs/>
          <w:sz w:val="18"/>
          <w:szCs w:val="18"/>
        </w:rPr>
        <w:t>P</w:t>
      </w:r>
      <w:r w:rsidRPr="003159A8">
        <w:rPr>
          <w:i/>
          <w:iCs/>
          <w:sz w:val="18"/>
          <w:szCs w:val="18"/>
        </w:rPr>
        <w:t xml:space="preserve">ermeability </w:t>
      </w:r>
      <w:r w:rsidR="002A08AB" w:rsidRPr="003159A8">
        <w:rPr>
          <w:i/>
          <w:iCs/>
          <w:sz w:val="18"/>
          <w:szCs w:val="18"/>
        </w:rPr>
        <w:t>B</w:t>
      </w:r>
      <w:r w:rsidRPr="003159A8">
        <w:rPr>
          <w:i/>
          <w:iCs/>
          <w:sz w:val="18"/>
          <w:szCs w:val="18"/>
        </w:rPr>
        <w:t>arrier Films) is technically feasible for many situations and equivalent to the standard dosage of &gt;20g/m</w:t>
      </w:r>
      <w:r w:rsidRPr="003159A8">
        <w:rPr>
          <w:i/>
          <w:iCs/>
          <w:sz w:val="18"/>
          <w:szCs w:val="18"/>
          <w:vertAlign w:val="superscript"/>
        </w:rPr>
        <w:t xml:space="preserve">2 </w:t>
      </w:r>
      <w:r w:rsidRPr="003159A8">
        <w:rPr>
          <w:i/>
          <w:iCs/>
          <w:sz w:val="18"/>
          <w:szCs w:val="18"/>
        </w:rPr>
        <w:t xml:space="preserve">using standard PE films </w:t>
      </w:r>
    </w:p>
    <w:p w14:paraId="3127F050" w14:textId="45DCCC87" w:rsidR="008036A9" w:rsidRPr="00B87B95" w:rsidRDefault="000F08B5" w:rsidP="006A54A1">
      <w:pPr>
        <w:pStyle w:val="Heading2"/>
      </w:pPr>
      <w:bookmarkStart w:id="99" w:name="_Toc293054754"/>
      <w:bookmarkStart w:id="100" w:name="_Toc461183777"/>
      <w:r>
        <w:t>3.9</w:t>
      </w:r>
      <w:r w:rsidR="008036A9" w:rsidRPr="00F9037E">
        <w:rPr>
          <w:rStyle w:val="Heading311ptBoldChar"/>
        </w:rPr>
        <w:t>.</w:t>
      </w:r>
      <w:r w:rsidR="001E3306" w:rsidRPr="00F9037E">
        <w:rPr>
          <w:rStyle w:val="Heading311ptBoldChar"/>
        </w:rPr>
        <w:t>9</w:t>
      </w:r>
      <w:r w:rsidR="008036A9" w:rsidRPr="00F9037E">
        <w:rPr>
          <w:rStyle w:val="Heading311ptBoldChar"/>
        </w:rPr>
        <w:tab/>
        <w:t xml:space="preserve">Use/Emission </w:t>
      </w:r>
      <w:r w:rsidR="007E22DE" w:rsidRPr="00F9037E">
        <w:rPr>
          <w:rStyle w:val="Heading311ptBoldChar"/>
        </w:rPr>
        <w:t>R</w:t>
      </w:r>
      <w:r w:rsidR="008036A9" w:rsidRPr="00F9037E">
        <w:rPr>
          <w:rStyle w:val="Heading311ptBoldChar"/>
        </w:rPr>
        <w:t xml:space="preserve">eduction </w:t>
      </w:r>
      <w:r w:rsidR="007E22DE" w:rsidRPr="00F9037E">
        <w:rPr>
          <w:rStyle w:val="Heading311ptBoldChar"/>
        </w:rPr>
        <w:t>T</w:t>
      </w:r>
      <w:r w:rsidR="008036A9" w:rsidRPr="00F9037E">
        <w:rPr>
          <w:rStyle w:val="Heading311ptBoldChar"/>
        </w:rPr>
        <w:t xml:space="preserve">echnologies - </w:t>
      </w:r>
      <w:r w:rsidR="0038722C" w:rsidRPr="00F9037E">
        <w:rPr>
          <w:rStyle w:val="Heading311ptBoldChar"/>
        </w:rPr>
        <w:t>B</w:t>
      </w:r>
      <w:r w:rsidR="008036A9" w:rsidRPr="00F9037E">
        <w:rPr>
          <w:rStyle w:val="Heading311ptBoldChar"/>
        </w:rPr>
        <w:t>arrier films and dosage reduction</w:t>
      </w:r>
      <w:bookmarkEnd w:id="98"/>
      <w:bookmarkEnd w:id="99"/>
      <w:bookmarkEnd w:id="100"/>
    </w:p>
    <w:p w14:paraId="643AF00C" w14:textId="77777777" w:rsidR="008036A9" w:rsidRPr="00082015" w:rsidRDefault="008036A9" w:rsidP="009446BE">
      <w:pPr>
        <w:jc w:val="both"/>
      </w:pPr>
      <w:r w:rsidRPr="00CD3CBD">
        <w:t>Decision XXI/11 (para</w:t>
      </w:r>
      <w:r w:rsidR="00BF396C" w:rsidRPr="00CD3CBD">
        <w:t>.</w:t>
      </w:r>
      <w:r w:rsidRPr="00CD3CBD">
        <w:t xml:space="preserve"> 9) requested further reporting on Decision IX/6 to ensure Parties adopted emission controls where possible.  For </w:t>
      </w:r>
      <w:proofErr w:type="spellStart"/>
      <w:r w:rsidRPr="00CD3CBD">
        <w:t>preplant</w:t>
      </w:r>
      <w:proofErr w:type="spellEnd"/>
      <w:r w:rsidRPr="00CD3CBD">
        <w:t xml:space="preserve"> soil use, this includes the use of barrier films or other mi</w:t>
      </w:r>
      <w:r w:rsidR="00773A81" w:rsidRPr="00501812">
        <w:t>t</w:t>
      </w:r>
      <w:r w:rsidRPr="00501812">
        <w:t xml:space="preserve">igation strategies such as high moisture sealing and the lowest effective dose of MB with mixtures of chloropicrin.  Other methods include deep shanking and use of ammonium </w:t>
      </w:r>
      <w:proofErr w:type="spellStart"/>
      <w:r w:rsidRPr="00501812">
        <w:t>thiosulphate</w:t>
      </w:r>
      <w:proofErr w:type="spellEnd"/>
      <w:r w:rsidRPr="00501812">
        <w:t xml:space="preserve"> and differen</w:t>
      </w:r>
      <w:r w:rsidRPr="003A30C7">
        <w:t xml:space="preserve">t irrigation technologies (Yates </w:t>
      </w:r>
      <w:r w:rsidR="00EF30ED" w:rsidRPr="00082015">
        <w:rPr>
          <w:i/>
        </w:rPr>
        <w:t>et al</w:t>
      </w:r>
      <w:r w:rsidRPr="00082015">
        <w:rPr>
          <w:i/>
        </w:rPr>
        <w:t>.,</w:t>
      </w:r>
      <w:r w:rsidRPr="00082015">
        <w:t xml:space="preserve"> 2009). These latter technologies have not been reported or adopted widely by Parties.</w:t>
      </w:r>
    </w:p>
    <w:p w14:paraId="4417E509" w14:textId="77777777" w:rsidR="008D5F24" w:rsidRPr="000F08B5" w:rsidRDefault="008036A9" w:rsidP="009446BE">
      <w:pPr>
        <w:spacing w:before="60" w:after="60"/>
        <w:jc w:val="both"/>
        <w:rPr>
          <w:snapToGrid w:val="0"/>
        </w:rPr>
      </w:pPr>
      <w:r w:rsidRPr="00F5313E">
        <w:rPr>
          <w:snapToGrid w:val="0"/>
        </w:rPr>
        <w:t>In southeast USA the reported use of barrier films in vegetable crops, which expanded rapidly to over</w:t>
      </w:r>
      <w:r w:rsidRPr="00220275">
        <w:rPr>
          <w:snapToGrid w:val="0"/>
        </w:rPr>
        <w:t xml:space="preserve"> 20,000 hectares in 2009 has continued to increase.  </w:t>
      </w:r>
      <w:r w:rsidR="00F713B4" w:rsidRPr="00220275">
        <w:rPr>
          <w:snapToGrid w:val="0"/>
        </w:rPr>
        <w:t xml:space="preserve">A change in the regulations </w:t>
      </w:r>
      <w:r w:rsidR="00553525" w:rsidRPr="00220275">
        <w:rPr>
          <w:snapToGrid w:val="0"/>
        </w:rPr>
        <w:t xml:space="preserve">– presently allowing </w:t>
      </w:r>
      <w:r w:rsidR="00553525" w:rsidRPr="00220275">
        <w:rPr>
          <w:snapToGrid w:val="0"/>
        </w:rPr>
        <w:lastRenderedPageBreak/>
        <w:t xml:space="preserve">use of VIF in California - </w:t>
      </w:r>
      <w:r w:rsidR="00F713B4" w:rsidRPr="00220275">
        <w:rPr>
          <w:snapToGrid w:val="0"/>
        </w:rPr>
        <w:t>le</w:t>
      </w:r>
      <w:r w:rsidR="00DE48BA" w:rsidRPr="00220275">
        <w:rPr>
          <w:snapToGrid w:val="0"/>
        </w:rPr>
        <w:t>a</w:t>
      </w:r>
      <w:r w:rsidR="00F713B4" w:rsidRPr="00220275">
        <w:rPr>
          <w:snapToGrid w:val="0"/>
        </w:rPr>
        <w:t>d</w:t>
      </w:r>
      <w:r w:rsidR="0082595E" w:rsidRPr="00B87B95">
        <w:rPr>
          <w:snapToGrid w:val="0"/>
        </w:rPr>
        <w:t>ed</w:t>
      </w:r>
      <w:r w:rsidR="00F713B4" w:rsidRPr="00B87B95">
        <w:rPr>
          <w:snapToGrid w:val="0"/>
        </w:rPr>
        <w:t xml:space="preserve"> to an increase in </w:t>
      </w:r>
      <w:r w:rsidRPr="00B87B95">
        <w:rPr>
          <w:snapToGrid w:val="0"/>
        </w:rPr>
        <w:t>t</w:t>
      </w:r>
      <w:r w:rsidR="00553525" w:rsidRPr="00B87B95">
        <w:rPr>
          <w:snapToGrid w:val="0"/>
        </w:rPr>
        <w:t xml:space="preserve">he adoption of barrier films </w:t>
      </w:r>
      <w:r w:rsidRPr="00B87B95">
        <w:rPr>
          <w:snapToGrid w:val="0"/>
        </w:rPr>
        <w:t>in th</w:t>
      </w:r>
      <w:r w:rsidR="00553525" w:rsidRPr="00B87B95">
        <w:rPr>
          <w:snapToGrid w:val="0"/>
        </w:rPr>
        <w:t>at</w:t>
      </w:r>
      <w:r w:rsidRPr="00B87B95">
        <w:rPr>
          <w:snapToGrid w:val="0"/>
        </w:rPr>
        <w:t xml:space="preserve"> State. MBTOC notes that barrier films particularly more recently developed totally impermeable (TIF) films can be used with alternatives and this is consistently improving the performance of alternatives at lower dosage rates (Driver </w:t>
      </w:r>
      <w:r w:rsidR="00EF30ED" w:rsidRPr="00B87B95">
        <w:rPr>
          <w:i/>
          <w:snapToGrid w:val="0"/>
        </w:rPr>
        <w:t>et al</w:t>
      </w:r>
      <w:r w:rsidRPr="00563BC0">
        <w:rPr>
          <w:snapToGrid w:val="0"/>
        </w:rPr>
        <w:t>. 2011</w:t>
      </w:r>
      <w:r w:rsidR="002B573B" w:rsidRPr="00563BC0">
        <w:rPr>
          <w:snapToGrid w:val="0"/>
        </w:rPr>
        <w:t xml:space="preserve">; Cabrera </w:t>
      </w:r>
      <w:r w:rsidR="002B573B" w:rsidRPr="00563BC0">
        <w:rPr>
          <w:i/>
          <w:snapToGrid w:val="0"/>
        </w:rPr>
        <w:t>et al.,</w:t>
      </w:r>
      <w:r w:rsidR="002B573B" w:rsidRPr="00563BC0">
        <w:rPr>
          <w:snapToGrid w:val="0"/>
        </w:rPr>
        <w:t xml:space="preserve"> 2015</w:t>
      </w:r>
      <w:r w:rsidRPr="00563BC0">
        <w:rPr>
          <w:snapToGrid w:val="0"/>
        </w:rPr>
        <w:t xml:space="preserve">). </w:t>
      </w:r>
      <w:r w:rsidR="002B573B" w:rsidRPr="00563BC0">
        <w:rPr>
          <w:snapToGrid w:val="0"/>
        </w:rPr>
        <w:t>For example, e</w:t>
      </w:r>
      <w:r w:rsidRPr="00563BC0">
        <w:rPr>
          <w:snapToGrid w:val="0"/>
        </w:rPr>
        <w:t>ffectiveness at lower dosages can allow for greater areas to be treated with 1</w:t>
      </w:r>
      <w:proofErr w:type="gramStart"/>
      <w:r w:rsidRPr="00563BC0">
        <w:rPr>
          <w:snapToGrid w:val="0"/>
        </w:rPr>
        <w:t>,3</w:t>
      </w:r>
      <w:proofErr w:type="gramEnd"/>
      <w:r w:rsidRPr="00563BC0">
        <w:rPr>
          <w:snapToGrid w:val="0"/>
        </w:rPr>
        <w:t>-D under township cap regulations</w:t>
      </w:r>
      <w:r w:rsidR="00E41DD8" w:rsidRPr="000F08B5">
        <w:rPr>
          <w:snapToGrid w:val="0"/>
        </w:rPr>
        <w:t>.</w:t>
      </w:r>
    </w:p>
    <w:p w14:paraId="63BA5A97" w14:textId="77777777" w:rsidR="00BC3257" w:rsidRPr="00F9037E" w:rsidRDefault="000F226B" w:rsidP="009446BE">
      <w:pPr>
        <w:spacing w:before="60" w:after="60"/>
        <w:jc w:val="both"/>
        <w:rPr>
          <w:szCs w:val="22"/>
        </w:rPr>
      </w:pPr>
      <w:r w:rsidRPr="000F08B5">
        <w:rPr>
          <w:szCs w:val="22"/>
        </w:rPr>
        <w:t>As of December 1, 2012, EPA issued new set of soil fumigant product label changes, implementing important new protections for workers and bystanders. In the frame of these changes, the State of California now allows the use of VIF films for fumigation with MB, which were formerly prohibited (CDPR, 2012</w:t>
      </w:r>
      <w:r w:rsidR="00D66931" w:rsidRPr="000F08B5">
        <w:rPr>
          <w:szCs w:val="22"/>
        </w:rPr>
        <w:t>a</w:t>
      </w:r>
      <w:r w:rsidRPr="000F08B5">
        <w:rPr>
          <w:szCs w:val="22"/>
        </w:rPr>
        <w:t>bc; EPA, 2013). Studies continue to show</w:t>
      </w:r>
      <w:r w:rsidRPr="00365366">
        <w:rPr>
          <w:szCs w:val="22"/>
        </w:rPr>
        <w:t xml:space="preserve"> the advantages of barrier films and other technologies for reducing emissions and improving efficacy of alternatives as well as MB (Quin</w:t>
      </w:r>
      <w:r w:rsidR="000E64F3" w:rsidRPr="00F9037E">
        <w:rPr>
          <w:szCs w:val="22"/>
        </w:rPr>
        <w:t xml:space="preserve"> </w:t>
      </w:r>
      <w:r w:rsidR="00EF30ED" w:rsidRPr="00F9037E">
        <w:rPr>
          <w:i/>
          <w:szCs w:val="22"/>
        </w:rPr>
        <w:t>et al</w:t>
      </w:r>
      <w:r w:rsidR="00EF30ED" w:rsidRPr="00F9037E">
        <w:rPr>
          <w:szCs w:val="22"/>
        </w:rPr>
        <w:t>.</w:t>
      </w:r>
      <w:r w:rsidR="00446D89" w:rsidRPr="00F9037E">
        <w:rPr>
          <w:szCs w:val="22"/>
        </w:rPr>
        <w:t>,</w:t>
      </w:r>
      <w:r w:rsidRPr="00F9037E">
        <w:rPr>
          <w:szCs w:val="22"/>
        </w:rPr>
        <w:t xml:space="preserve"> 2013; </w:t>
      </w:r>
      <w:proofErr w:type="spellStart"/>
      <w:r w:rsidRPr="00F9037E">
        <w:rPr>
          <w:szCs w:val="22"/>
        </w:rPr>
        <w:t>Chellemi</w:t>
      </w:r>
      <w:proofErr w:type="spellEnd"/>
      <w:r w:rsidR="000E64F3" w:rsidRPr="00F9037E">
        <w:rPr>
          <w:szCs w:val="22"/>
        </w:rPr>
        <w:t xml:space="preserve"> </w:t>
      </w:r>
      <w:r w:rsidR="00EF30ED" w:rsidRPr="00F9037E">
        <w:rPr>
          <w:i/>
          <w:szCs w:val="22"/>
        </w:rPr>
        <w:t>et al</w:t>
      </w:r>
      <w:r w:rsidR="00EF30ED" w:rsidRPr="00F9037E">
        <w:rPr>
          <w:szCs w:val="22"/>
        </w:rPr>
        <w:t>.</w:t>
      </w:r>
      <w:r w:rsidR="00446D89" w:rsidRPr="00F9037E">
        <w:rPr>
          <w:szCs w:val="22"/>
        </w:rPr>
        <w:t>,</w:t>
      </w:r>
      <w:r w:rsidRPr="00F9037E">
        <w:rPr>
          <w:szCs w:val="22"/>
        </w:rPr>
        <w:t xml:space="preserve"> 2013</w:t>
      </w:r>
      <w:r w:rsidR="002B573B" w:rsidRPr="00F9037E">
        <w:rPr>
          <w:szCs w:val="22"/>
        </w:rPr>
        <w:t xml:space="preserve">; Cabrera </w:t>
      </w:r>
      <w:r w:rsidR="002B573B" w:rsidRPr="00F9037E">
        <w:rPr>
          <w:i/>
          <w:szCs w:val="22"/>
        </w:rPr>
        <w:t>et al.,</w:t>
      </w:r>
      <w:r w:rsidR="002B573B" w:rsidRPr="00F9037E">
        <w:rPr>
          <w:szCs w:val="22"/>
        </w:rPr>
        <w:t xml:space="preserve"> 2015</w:t>
      </w:r>
      <w:r w:rsidRPr="00F9037E">
        <w:rPr>
          <w:szCs w:val="22"/>
        </w:rPr>
        <w:t>).</w:t>
      </w:r>
    </w:p>
    <w:p w14:paraId="7F324844" w14:textId="77777777" w:rsidR="002C2F9B" w:rsidRPr="00F9037E" w:rsidRDefault="002C2F9B" w:rsidP="009D2B4C">
      <w:pPr>
        <w:spacing w:before="60" w:after="60"/>
        <w:rPr>
          <w:szCs w:val="22"/>
        </w:rPr>
      </w:pPr>
    </w:p>
    <w:p w14:paraId="470B4ABE" w14:textId="77777777" w:rsidR="002C2F9B" w:rsidRPr="00F9037E" w:rsidRDefault="002C2F9B" w:rsidP="009D2B4C">
      <w:pPr>
        <w:spacing w:before="60" w:after="60"/>
        <w:rPr>
          <w:rStyle w:val="FootnoteReference"/>
        </w:rPr>
        <w:sectPr w:rsidR="002C2F9B" w:rsidRPr="00F9037E" w:rsidSect="006A07FA">
          <w:pgSz w:w="11909" w:h="16834" w:code="9"/>
          <w:pgMar w:top="1168" w:right="1440" w:bottom="1134" w:left="1440" w:header="720" w:footer="720" w:gutter="0"/>
          <w:cols w:space="720"/>
          <w:docGrid w:linePitch="360"/>
        </w:sectPr>
      </w:pPr>
    </w:p>
    <w:p w14:paraId="173F468C" w14:textId="77777777" w:rsidR="00CB7681" w:rsidRPr="00F9037E" w:rsidRDefault="00EE0BCB" w:rsidP="00F9037E">
      <w:pPr>
        <w:pStyle w:val="Tableandfigureheadings"/>
      </w:pPr>
      <w:r w:rsidRPr="00F9037E">
        <w:lastRenderedPageBreak/>
        <w:t xml:space="preserve">Table </w:t>
      </w:r>
      <w:r w:rsidR="00655D62" w:rsidRPr="00F9037E">
        <w:t>1</w:t>
      </w:r>
      <w:r w:rsidRPr="00F9037E">
        <w:t>-9</w:t>
      </w:r>
      <w:r w:rsidR="00A639C6" w:rsidRPr="00F9037E">
        <w:t>.</w:t>
      </w:r>
      <w:r w:rsidR="00CB7681" w:rsidRPr="00F9037E">
        <w:t xml:space="preserve">Final recommendations for CUNs from non A5 Parties for </w:t>
      </w:r>
      <w:proofErr w:type="spellStart"/>
      <w:r w:rsidR="00CB7681" w:rsidRPr="00F9037E">
        <w:t>preplant</w:t>
      </w:r>
      <w:proofErr w:type="spellEnd"/>
      <w:r w:rsidR="00CB7681" w:rsidRPr="00F9037E">
        <w:t xml:space="preserve"> soil use submitted in 2016 for 2017and 2018</w:t>
      </w:r>
    </w:p>
    <w:tbl>
      <w:tblPr>
        <w:tblW w:w="15309"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2"/>
        <w:gridCol w:w="1276"/>
        <w:gridCol w:w="851"/>
        <w:gridCol w:w="850"/>
        <w:gridCol w:w="851"/>
        <w:gridCol w:w="850"/>
        <w:gridCol w:w="851"/>
        <w:gridCol w:w="850"/>
        <w:gridCol w:w="851"/>
        <w:gridCol w:w="850"/>
        <w:gridCol w:w="851"/>
        <w:gridCol w:w="850"/>
        <w:gridCol w:w="851"/>
        <w:gridCol w:w="850"/>
        <w:gridCol w:w="851"/>
        <w:gridCol w:w="850"/>
        <w:gridCol w:w="1134"/>
      </w:tblGrid>
      <w:tr w:rsidR="00CB7681" w:rsidRPr="00F9037E" w14:paraId="37FB45B1" w14:textId="77777777" w:rsidTr="000633FC">
        <w:trPr>
          <w:trHeight w:val="440"/>
        </w:trPr>
        <w:tc>
          <w:tcPr>
            <w:tcW w:w="992" w:type="dxa"/>
            <w:tcBorders>
              <w:top w:val="single" w:sz="4" w:space="0" w:color="auto"/>
            </w:tcBorders>
            <w:vAlign w:val="center"/>
          </w:tcPr>
          <w:p w14:paraId="7182356F" w14:textId="77777777" w:rsidR="00CB7681" w:rsidRPr="00220275" w:rsidRDefault="00CB7681" w:rsidP="000E64F3">
            <w:pPr>
              <w:spacing w:before="40" w:after="40"/>
              <w:rPr>
                <w:rFonts w:ascii="Arial" w:hAnsi="Arial" w:cs="Arial"/>
                <w:b/>
                <w:sz w:val="18"/>
                <w:szCs w:val="18"/>
              </w:rPr>
            </w:pPr>
            <w:r w:rsidRPr="00220275">
              <w:rPr>
                <w:rFonts w:ascii="Arial" w:hAnsi="Arial" w:cs="Arial"/>
                <w:b/>
                <w:sz w:val="18"/>
                <w:szCs w:val="18"/>
              </w:rPr>
              <w:t>Country</w:t>
            </w:r>
          </w:p>
        </w:tc>
        <w:tc>
          <w:tcPr>
            <w:tcW w:w="1276" w:type="dxa"/>
            <w:tcBorders>
              <w:top w:val="single" w:sz="4" w:space="0" w:color="auto"/>
            </w:tcBorders>
            <w:vAlign w:val="center"/>
          </w:tcPr>
          <w:p w14:paraId="2B48D597" w14:textId="77777777" w:rsidR="00CB7681" w:rsidRPr="00220275" w:rsidRDefault="00CB7681" w:rsidP="000E64F3">
            <w:pPr>
              <w:spacing w:before="40" w:after="40"/>
              <w:rPr>
                <w:rFonts w:ascii="Arial" w:hAnsi="Arial" w:cs="Arial"/>
                <w:b/>
                <w:sz w:val="18"/>
                <w:szCs w:val="18"/>
              </w:rPr>
            </w:pPr>
            <w:r w:rsidRPr="00220275">
              <w:rPr>
                <w:rFonts w:ascii="Arial" w:hAnsi="Arial" w:cs="Arial"/>
                <w:b/>
                <w:sz w:val="18"/>
                <w:szCs w:val="18"/>
              </w:rPr>
              <w:t>Industry</w:t>
            </w:r>
          </w:p>
        </w:tc>
        <w:tc>
          <w:tcPr>
            <w:tcW w:w="851" w:type="dxa"/>
            <w:tcBorders>
              <w:top w:val="single" w:sz="4" w:space="0" w:color="auto"/>
            </w:tcBorders>
            <w:vAlign w:val="center"/>
          </w:tcPr>
          <w:p w14:paraId="2436DBD9" w14:textId="77777777" w:rsidR="00CB7681" w:rsidRPr="00B87B95" w:rsidRDefault="00CB7681" w:rsidP="000E64F3">
            <w:pPr>
              <w:spacing w:before="40" w:after="40"/>
              <w:jc w:val="center"/>
              <w:rPr>
                <w:rFonts w:ascii="Arial" w:hAnsi="Arial" w:cs="Arial"/>
                <w:b/>
                <w:sz w:val="18"/>
                <w:szCs w:val="18"/>
              </w:rPr>
            </w:pPr>
            <w:r w:rsidRPr="00220275">
              <w:rPr>
                <w:rFonts w:ascii="Arial" w:hAnsi="Arial" w:cs="Arial"/>
                <w:b/>
                <w:sz w:val="18"/>
                <w:szCs w:val="18"/>
              </w:rPr>
              <w:t>CUE for 20</w:t>
            </w:r>
            <w:r w:rsidRPr="00B87B95">
              <w:rPr>
                <w:rFonts w:ascii="Arial" w:hAnsi="Arial" w:cs="Arial"/>
                <w:b/>
                <w:sz w:val="18"/>
                <w:szCs w:val="18"/>
              </w:rPr>
              <w:t>05</w:t>
            </w:r>
            <w:r w:rsidRPr="00B87B95">
              <w:rPr>
                <w:rFonts w:ascii="Arial" w:hAnsi="Arial" w:cs="Arial"/>
                <w:b/>
                <w:sz w:val="18"/>
                <w:szCs w:val="18"/>
                <w:vertAlign w:val="superscript"/>
              </w:rPr>
              <w:t>1</w:t>
            </w:r>
          </w:p>
        </w:tc>
        <w:tc>
          <w:tcPr>
            <w:tcW w:w="850" w:type="dxa"/>
            <w:tcBorders>
              <w:top w:val="single" w:sz="4" w:space="0" w:color="auto"/>
            </w:tcBorders>
            <w:vAlign w:val="center"/>
          </w:tcPr>
          <w:p w14:paraId="679CCD13" w14:textId="77777777" w:rsidR="00CB7681" w:rsidRPr="00563BC0" w:rsidRDefault="00CB7681" w:rsidP="000E64F3">
            <w:pPr>
              <w:spacing w:before="40" w:after="40"/>
              <w:jc w:val="center"/>
              <w:rPr>
                <w:rFonts w:ascii="Arial" w:hAnsi="Arial" w:cs="Arial"/>
                <w:b/>
                <w:sz w:val="18"/>
                <w:szCs w:val="18"/>
              </w:rPr>
            </w:pPr>
            <w:r w:rsidRPr="00B87B95">
              <w:rPr>
                <w:rFonts w:ascii="Arial" w:hAnsi="Arial" w:cs="Arial"/>
                <w:b/>
                <w:sz w:val="18"/>
                <w:szCs w:val="18"/>
              </w:rPr>
              <w:t>CUE for 2006</w:t>
            </w:r>
            <w:r w:rsidRPr="00B87B95">
              <w:rPr>
                <w:rFonts w:ascii="Arial" w:hAnsi="Arial" w:cs="Arial"/>
                <w:b/>
                <w:sz w:val="18"/>
                <w:szCs w:val="18"/>
                <w:vertAlign w:val="superscript"/>
              </w:rPr>
              <w:t>2</w:t>
            </w:r>
          </w:p>
        </w:tc>
        <w:tc>
          <w:tcPr>
            <w:tcW w:w="851" w:type="dxa"/>
            <w:tcBorders>
              <w:top w:val="single" w:sz="4" w:space="0" w:color="auto"/>
            </w:tcBorders>
            <w:vAlign w:val="center"/>
          </w:tcPr>
          <w:p w14:paraId="0574496B" w14:textId="77777777" w:rsidR="00CB7681" w:rsidRPr="00563BC0" w:rsidRDefault="00CB7681" w:rsidP="000E64F3">
            <w:pPr>
              <w:spacing w:before="40" w:after="40"/>
              <w:jc w:val="center"/>
              <w:rPr>
                <w:rFonts w:ascii="Arial" w:hAnsi="Arial" w:cs="Arial"/>
                <w:b/>
                <w:sz w:val="18"/>
                <w:szCs w:val="18"/>
              </w:rPr>
            </w:pPr>
            <w:r w:rsidRPr="00563BC0">
              <w:rPr>
                <w:rFonts w:ascii="Arial" w:hAnsi="Arial" w:cs="Arial"/>
                <w:b/>
                <w:sz w:val="18"/>
                <w:szCs w:val="18"/>
              </w:rPr>
              <w:t>CUE for 2007</w:t>
            </w:r>
            <w:r w:rsidRPr="00563BC0">
              <w:rPr>
                <w:rFonts w:ascii="Arial" w:hAnsi="Arial" w:cs="Arial"/>
                <w:b/>
                <w:sz w:val="18"/>
                <w:szCs w:val="18"/>
                <w:vertAlign w:val="superscript"/>
              </w:rPr>
              <w:t>3</w:t>
            </w:r>
          </w:p>
        </w:tc>
        <w:tc>
          <w:tcPr>
            <w:tcW w:w="850" w:type="dxa"/>
            <w:tcBorders>
              <w:top w:val="single" w:sz="4" w:space="0" w:color="auto"/>
            </w:tcBorders>
            <w:vAlign w:val="center"/>
          </w:tcPr>
          <w:p w14:paraId="5931367B" w14:textId="43E61156" w:rsidR="00CB7681" w:rsidRPr="000F08B5" w:rsidRDefault="00CD3CBD" w:rsidP="000E64F3">
            <w:pPr>
              <w:spacing w:before="40" w:after="40"/>
              <w:jc w:val="center"/>
              <w:rPr>
                <w:rFonts w:ascii="Arial" w:hAnsi="Arial" w:cs="Arial"/>
                <w:b/>
                <w:sz w:val="18"/>
                <w:szCs w:val="18"/>
              </w:rPr>
            </w:pPr>
            <w:r w:rsidRPr="00563BC0">
              <w:rPr>
                <w:rFonts w:ascii="Arial" w:hAnsi="Arial" w:cs="Arial"/>
                <w:b/>
                <w:sz w:val="18"/>
                <w:szCs w:val="18"/>
              </w:rPr>
              <w:t>CUE for</w:t>
            </w:r>
            <w:r w:rsidR="00CB7681" w:rsidRPr="00563BC0">
              <w:rPr>
                <w:rFonts w:ascii="Arial" w:hAnsi="Arial" w:cs="Arial"/>
                <w:b/>
                <w:sz w:val="18"/>
                <w:szCs w:val="18"/>
              </w:rPr>
              <w:t xml:space="preserve"> 2008</w:t>
            </w:r>
            <w:r w:rsidR="00CB7681" w:rsidRPr="000F08B5">
              <w:rPr>
                <w:rFonts w:ascii="Arial" w:hAnsi="Arial" w:cs="Arial"/>
                <w:b/>
                <w:sz w:val="18"/>
                <w:szCs w:val="18"/>
                <w:vertAlign w:val="superscript"/>
              </w:rPr>
              <w:t>4</w:t>
            </w:r>
          </w:p>
        </w:tc>
        <w:tc>
          <w:tcPr>
            <w:tcW w:w="851" w:type="dxa"/>
            <w:tcBorders>
              <w:top w:val="single" w:sz="4" w:space="0" w:color="auto"/>
            </w:tcBorders>
            <w:vAlign w:val="center"/>
          </w:tcPr>
          <w:p w14:paraId="5003F7C1" w14:textId="77777777" w:rsidR="00CB7681" w:rsidRPr="00F9037E" w:rsidRDefault="00CB7681" w:rsidP="000E64F3">
            <w:pPr>
              <w:tabs>
                <w:tab w:val="left" w:pos="35"/>
              </w:tabs>
              <w:spacing w:before="40" w:after="40"/>
              <w:jc w:val="center"/>
              <w:rPr>
                <w:rFonts w:ascii="Arial" w:hAnsi="Arial" w:cs="Arial"/>
                <w:b/>
                <w:sz w:val="18"/>
                <w:szCs w:val="18"/>
              </w:rPr>
            </w:pPr>
            <w:r w:rsidRPr="000F08B5">
              <w:rPr>
                <w:rFonts w:ascii="Arial" w:hAnsi="Arial" w:cs="Arial"/>
                <w:b/>
                <w:sz w:val="18"/>
                <w:szCs w:val="18"/>
              </w:rPr>
              <w:t>CUE for 2009</w:t>
            </w:r>
            <w:r w:rsidRPr="00365366">
              <w:rPr>
                <w:rFonts w:ascii="Arial" w:hAnsi="Arial" w:cs="Arial"/>
                <w:b/>
                <w:sz w:val="18"/>
                <w:szCs w:val="18"/>
                <w:vertAlign w:val="superscript"/>
              </w:rPr>
              <w:t>5</w:t>
            </w:r>
          </w:p>
        </w:tc>
        <w:tc>
          <w:tcPr>
            <w:tcW w:w="850" w:type="dxa"/>
            <w:tcBorders>
              <w:top w:val="single" w:sz="4" w:space="0" w:color="auto"/>
            </w:tcBorders>
            <w:vAlign w:val="center"/>
          </w:tcPr>
          <w:p w14:paraId="4344969B" w14:textId="77777777" w:rsidR="00CB7681" w:rsidRPr="00F9037E" w:rsidRDefault="00CB7681" w:rsidP="000E64F3">
            <w:pPr>
              <w:spacing w:before="40" w:after="40"/>
              <w:jc w:val="center"/>
              <w:rPr>
                <w:rFonts w:ascii="Arial" w:hAnsi="Arial" w:cs="Arial"/>
                <w:b/>
                <w:sz w:val="18"/>
                <w:szCs w:val="18"/>
              </w:rPr>
            </w:pPr>
            <w:r w:rsidRPr="00F9037E">
              <w:rPr>
                <w:rFonts w:ascii="Arial" w:hAnsi="Arial" w:cs="Arial"/>
                <w:b/>
                <w:sz w:val="18"/>
                <w:szCs w:val="18"/>
              </w:rPr>
              <w:t>CUE for 2010</w:t>
            </w:r>
            <w:r w:rsidRPr="00F9037E">
              <w:rPr>
                <w:rFonts w:ascii="Arial" w:hAnsi="Arial" w:cs="Arial"/>
                <w:b/>
                <w:sz w:val="18"/>
                <w:szCs w:val="18"/>
                <w:vertAlign w:val="superscript"/>
              </w:rPr>
              <w:t>6</w:t>
            </w:r>
          </w:p>
        </w:tc>
        <w:tc>
          <w:tcPr>
            <w:tcW w:w="851" w:type="dxa"/>
            <w:tcBorders>
              <w:top w:val="single" w:sz="4" w:space="0" w:color="auto"/>
            </w:tcBorders>
            <w:vAlign w:val="center"/>
          </w:tcPr>
          <w:p w14:paraId="39529CF0" w14:textId="77777777" w:rsidR="00CB7681" w:rsidRPr="00F9037E" w:rsidRDefault="00CB7681" w:rsidP="000E64F3">
            <w:pPr>
              <w:spacing w:before="40" w:after="40"/>
              <w:jc w:val="center"/>
              <w:rPr>
                <w:rFonts w:ascii="Arial" w:hAnsi="Arial" w:cs="Arial"/>
                <w:b/>
                <w:sz w:val="18"/>
                <w:szCs w:val="18"/>
              </w:rPr>
            </w:pPr>
            <w:r w:rsidRPr="00F9037E">
              <w:rPr>
                <w:rFonts w:ascii="Arial" w:hAnsi="Arial" w:cs="Arial"/>
                <w:b/>
                <w:sz w:val="18"/>
                <w:szCs w:val="18"/>
              </w:rPr>
              <w:t>CUE for 2011</w:t>
            </w:r>
            <w:r w:rsidRPr="00F9037E">
              <w:rPr>
                <w:rFonts w:ascii="Arial" w:hAnsi="Arial" w:cs="Arial"/>
                <w:b/>
                <w:sz w:val="18"/>
                <w:szCs w:val="18"/>
                <w:vertAlign w:val="superscript"/>
              </w:rPr>
              <w:t>7</w:t>
            </w:r>
          </w:p>
        </w:tc>
        <w:tc>
          <w:tcPr>
            <w:tcW w:w="850" w:type="dxa"/>
            <w:tcBorders>
              <w:top w:val="single" w:sz="4" w:space="0" w:color="auto"/>
            </w:tcBorders>
            <w:vAlign w:val="center"/>
          </w:tcPr>
          <w:p w14:paraId="315B7ADB" w14:textId="77777777" w:rsidR="00CB7681" w:rsidRPr="00F9037E" w:rsidRDefault="00CB7681" w:rsidP="000E64F3">
            <w:pPr>
              <w:spacing w:before="40" w:after="40"/>
              <w:jc w:val="center"/>
              <w:rPr>
                <w:rFonts w:ascii="Arial" w:hAnsi="Arial" w:cs="Arial"/>
                <w:b/>
                <w:sz w:val="18"/>
                <w:szCs w:val="18"/>
              </w:rPr>
            </w:pPr>
            <w:r w:rsidRPr="00F9037E">
              <w:rPr>
                <w:rFonts w:ascii="Arial" w:hAnsi="Arial" w:cs="Arial"/>
                <w:b/>
                <w:sz w:val="18"/>
                <w:szCs w:val="18"/>
              </w:rPr>
              <w:t>CUE for 2012</w:t>
            </w:r>
            <w:r w:rsidRPr="00F9037E">
              <w:rPr>
                <w:rFonts w:ascii="Arial" w:hAnsi="Arial" w:cs="Arial"/>
                <w:b/>
                <w:sz w:val="18"/>
                <w:szCs w:val="18"/>
                <w:vertAlign w:val="superscript"/>
              </w:rPr>
              <w:t>8</w:t>
            </w:r>
          </w:p>
        </w:tc>
        <w:tc>
          <w:tcPr>
            <w:tcW w:w="851" w:type="dxa"/>
            <w:tcBorders>
              <w:top w:val="single" w:sz="4" w:space="0" w:color="auto"/>
            </w:tcBorders>
            <w:vAlign w:val="center"/>
          </w:tcPr>
          <w:p w14:paraId="1D84EAF8" w14:textId="77777777" w:rsidR="00CB7681" w:rsidRPr="00F9037E" w:rsidRDefault="00CB7681" w:rsidP="000E64F3">
            <w:pPr>
              <w:spacing w:before="40" w:after="40"/>
              <w:jc w:val="center"/>
              <w:rPr>
                <w:rFonts w:ascii="Arial" w:hAnsi="Arial" w:cs="Arial"/>
                <w:b/>
                <w:sz w:val="18"/>
                <w:szCs w:val="18"/>
                <w:vertAlign w:val="superscript"/>
              </w:rPr>
            </w:pPr>
            <w:r w:rsidRPr="00F9037E">
              <w:rPr>
                <w:rFonts w:ascii="Arial" w:hAnsi="Arial" w:cs="Arial"/>
                <w:b/>
                <w:sz w:val="18"/>
                <w:szCs w:val="18"/>
              </w:rPr>
              <w:t>CUE for 2013</w:t>
            </w:r>
            <w:r w:rsidRPr="00F9037E">
              <w:rPr>
                <w:rFonts w:ascii="Arial" w:hAnsi="Arial" w:cs="Arial"/>
                <w:b/>
                <w:sz w:val="18"/>
                <w:szCs w:val="18"/>
                <w:vertAlign w:val="superscript"/>
              </w:rPr>
              <w:t>9</w:t>
            </w:r>
          </w:p>
        </w:tc>
        <w:tc>
          <w:tcPr>
            <w:tcW w:w="850" w:type="dxa"/>
            <w:tcBorders>
              <w:top w:val="single" w:sz="4" w:space="0" w:color="auto"/>
            </w:tcBorders>
            <w:vAlign w:val="center"/>
          </w:tcPr>
          <w:p w14:paraId="0F36E38B" w14:textId="77777777" w:rsidR="00CB7681" w:rsidRPr="00F9037E" w:rsidRDefault="00CB7681" w:rsidP="000E64F3">
            <w:pPr>
              <w:spacing w:before="40" w:after="40"/>
              <w:jc w:val="center"/>
              <w:rPr>
                <w:rFonts w:ascii="Arial" w:hAnsi="Arial" w:cs="Arial"/>
                <w:b/>
                <w:sz w:val="18"/>
                <w:szCs w:val="18"/>
              </w:rPr>
            </w:pPr>
            <w:r w:rsidRPr="00F9037E">
              <w:rPr>
                <w:rFonts w:ascii="Arial" w:hAnsi="Arial" w:cs="Arial"/>
                <w:b/>
                <w:sz w:val="18"/>
                <w:szCs w:val="18"/>
              </w:rPr>
              <w:t xml:space="preserve">CUE for 2014 </w:t>
            </w:r>
            <w:r w:rsidRPr="00F9037E">
              <w:rPr>
                <w:rFonts w:ascii="Arial" w:hAnsi="Arial" w:cs="Arial"/>
                <w:b/>
                <w:sz w:val="18"/>
                <w:szCs w:val="18"/>
                <w:vertAlign w:val="superscript"/>
              </w:rPr>
              <w:t>10</w:t>
            </w:r>
          </w:p>
        </w:tc>
        <w:tc>
          <w:tcPr>
            <w:tcW w:w="851" w:type="dxa"/>
            <w:tcBorders>
              <w:top w:val="single" w:sz="4" w:space="0" w:color="auto"/>
            </w:tcBorders>
            <w:vAlign w:val="center"/>
          </w:tcPr>
          <w:p w14:paraId="47C40EDB" w14:textId="77777777" w:rsidR="00CB7681" w:rsidRPr="00F9037E" w:rsidRDefault="00CB7681" w:rsidP="000E64F3">
            <w:pPr>
              <w:spacing w:before="40" w:after="40"/>
              <w:jc w:val="center"/>
              <w:rPr>
                <w:rFonts w:ascii="Arial" w:hAnsi="Arial" w:cs="Arial"/>
                <w:b/>
                <w:sz w:val="18"/>
                <w:szCs w:val="18"/>
              </w:rPr>
            </w:pPr>
            <w:r w:rsidRPr="00F9037E">
              <w:rPr>
                <w:rFonts w:ascii="Arial" w:hAnsi="Arial" w:cs="Arial"/>
                <w:b/>
                <w:sz w:val="18"/>
                <w:szCs w:val="18"/>
              </w:rPr>
              <w:t>CUE for 2015</w:t>
            </w:r>
            <w:r w:rsidRPr="00F9037E">
              <w:rPr>
                <w:rFonts w:ascii="Arial" w:hAnsi="Arial" w:cs="Arial"/>
                <w:b/>
                <w:sz w:val="18"/>
                <w:szCs w:val="18"/>
                <w:vertAlign w:val="superscript"/>
              </w:rPr>
              <w:t>11</w:t>
            </w:r>
          </w:p>
        </w:tc>
        <w:tc>
          <w:tcPr>
            <w:tcW w:w="850" w:type="dxa"/>
            <w:tcBorders>
              <w:top w:val="single" w:sz="4" w:space="0" w:color="auto"/>
            </w:tcBorders>
            <w:vAlign w:val="center"/>
          </w:tcPr>
          <w:p w14:paraId="477ACCB6" w14:textId="77777777" w:rsidR="00CB7681" w:rsidRPr="00F9037E" w:rsidRDefault="00CB7681" w:rsidP="000E64F3">
            <w:pPr>
              <w:spacing w:before="40" w:after="40"/>
              <w:jc w:val="center"/>
              <w:rPr>
                <w:rFonts w:ascii="Arial" w:hAnsi="Arial" w:cs="Arial"/>
                <w:b/>
                <w:sz w:val="18"/>
                <w:szCs w:val="18"/>
              </w:rPr>
            </w:pPr>
            <w:r w:rsidRPr="00F9037E">
              <w:rPr>
                <w:rFonts w:ascii="Arial" w:hAnsi="Arial" w:cs="Arial"/>
                <w:b/>
                <w:sz w:val="18"/>
                <w:szCs w:val="18"/>
              </w:rPr>
              <w:t>CUE for 2016</w:t>
            </w:r>
            <w:r w:rsidRPr="00F9037E">
              <w:rPr>
                <w:rFonts w:ascii="Arial" w:hAnsi="Arial" w:cs="Arial"/>
                <w:b/>
                <w:sz w:val="18"/>
                <w:szCs w:val="18"/>
                <w:vertAlign w:val="superscript"/>
              </w:rPr>
              <w:t>12</w:t>
            </w:r>
          </w:p>
        </w:tc>
        <w:tc>
          <w:tcPr>
            <w:tcW w:w="851" w:type="dxa"/>
            <w:tcBorders>
              <w:top w:val="single" w:sz="4" w:space="0" w:color="auto"/>
            </w:tcBorders>
            <w:vAlign w:val="center"/>
          </w:tcPr>
          <w:p w14:paraId="4D0C4433" w14:textId="77777777" w:rsidR="00CB7681" w:rsidRPr="00F9037E" w:rsidRDefault="00CB7681" w:rsidP="000E64F3">
            <w:pPr>
              <w:spacing w:before="40" w:after="0"/>
              <w:jc w:val="center"/>
              <w:rPr>
                <w:rFonts w:ascii="Arial" w:hAnsi="Arial" w:cs="Arial"/>
                <w:b/>
                <w:sz w:val="18"/>
                <w:szCs w:val="18"/>
              </w:rPr>
            </w:pPr>
            <w:r w:rsidRPr="00F9037E">
              <w:rPr>
                <w:rFonts w:ascii="Arial" w:hAnsi="Arial" w:cs="Arial"/>
                <w:b/>
                <w:sz w:val="18"/>
                <w:szCs w:val="18"/>
              </w:rPr>
              <w:t>CUE for 2017</w:t>
            </w:r>
          </w:p>
        </w:tc>
        <w:tc>
          <w:tcPr>
            <w:tcW w:w="850" w:type="dxa"/>
            <w:tcBorders>
              <w:top w:val="single" w:sz="4" w:space="0" w:color="auto"/>
            </w:tcBorders>
            <w:vAlign w:val="center"/>
          </w:tcPr>
          <w:p w14:paraId="6AA12973" w14:textId="77777777" w:rsidR="00CB7681" w:rsidRPr="00F9037E" w:rsidRDefault="00CB7681" w:rsidP="000E64F3">
            <w:pPr>
              <w:spacing w:before="40" w:after="0"/>
              <w:jc w:val="center"/>
              <w:rPr>
                <w:rFonts w:ascii="Arial" w:hAnsi="Arial" w:cs="Arial"/>
                <w:b/>
                <w:sz w:val="18"/>
                <w:szCs w:val="18"/>
              </w:rPr>
            </w:pPr>
            <w:r w:rsidRPr="00F9037E">
              <w:rPr>
                <w:rFonts w:ascii="Arial" w:hAnsi="Arial" w:cs="Arial"/>
                <w:b/>
                <w:sz w:val="18"/>
                <w:szCs w:val="18"/>
              </w:rPr>
              <w:t>CUN for 2018</w:t>
            </w:r>
          </w:p>
        </w:tc>
        <w:tc>
          <w:tcPr>
            <w:tcW w:w="1134" w:type="dxa"/>
            <w:tcBorders>
              <w:top w:val="single" w:sz="4" w:space="0" w:color="auto"/>
            </w:tcBorders>
            <w:vAlign w:val="center"/>
          </w:tcPr>
          <w:p w14:paraId="43C00136" w14:textId="3C75F7C6" w:rsidR="00CB7681" w:rsidRPr="00F9037E" w:rsidRDefault="00CB7681" w:rsidP="003159A8">
            <w:pPr>
              <w:spacing w:before="40" w:after="0"/>
              <w:jc w:val="center"/>
              <w:rPr>
                <w:rFonts w:ascii="Arial" w:hAnsi="Arial" w:cs="Arial"/>
                <w:b/>
                <w:sz w:val="18"/>
                <w:szCs w:val="18"/>
              </w:rPr>
            </w:pPr>
            <w:r w:rsidRPr="00F9037E">
              <w:rPr>
                <w:rFonts w:ascii="Arial" w:hAnsi="Arial" w:cs="Arial"/>
                <w:b/>
                <w:sz w:val="18"/>
                <w:szCs w:val="18"/>
              </w:rPr>
              <w:t>MBTOC final rec</w:t>
            </w:r>
            <w:r w:rsidR="003159A8">
              <w:rPr>
                <w:rFonts w:ascii="Arial" w:hAnsi="Arial" w:cs="Arial"/>
                <w:b/>
                <w:sz w:val="18"/>
                <w:szCs w:val="18"/>
              </w:rPr>
              <w:t>.</w:t>
            </w:r>
            <w:r w:rsidRPr="00F9037E">
              <w:rPr>
                <w:rFonts w:ascii="Arial" w:hAnsi="Arial" w:cs="Arial"/>
                <w:b/>
                <w:sz w:val="18"/>
                <w:szCs w:val="18"/>
              </w:rPr>
              <w:t xml:space="preserve"> for 2018</w:t>
            </w:r>
          </w:p>
        </w:tc>
      </w:tr>
      <w:tr w:rsidR="00CB7681" w:rsidRPr="00F9037E" w14:paraId="10B5CA22" w14:textId="77777777" w:rsidTr="000633FC">
        <w:trPr>
          <w:trHeight w:val="491"/>
        </w:trPr>
        <w:tc>
          <w:tcPr>
            <w:tcW w:w="992" w:type="dxa"/>
            <w:vMerge w:val="restart"/>
          </w:tcPr>
          <w:p w14:paraId="3DAD5F4F" w14:textId="77777777" w:rsidR="00CB7681" w:rsidRPr="00F9037E" w:rsidRDefault="00CB7681" w:rsidP="000E64F3">
            <w:pPr>
              <w:spacing w:before="40" w:after="40"/>
              <w:rPr>
                <w:rFonts w:ascii="Arial" w:hAnsi="Arial" w:cs="Arial"/>
                <w:sz w:val="18"/>
                <w:szCs w:val="18"/>
              </w:rPr>
            </w:pPr>
            <w:r w:rsidRPr="00F9037E">
              <w:rPr>
                <w:rFonts w:ascii="Arial" w:hAnsi="Arial" w:cs="Arial"/>
                <w:sz w:val="18"/>
                <w:szCs w:val="18"/>
              </w:rPr>
              <w:t>Australia</w:t>
            </w:r>
          </w:p>
        </w:tc>
        <w:tc>
          <w:tcPr>
            <w:tcW w:w="1276" w:type="dxa"/>
            <w:shd w:val="clear" w:color="auto" w:fill="FFFF99"/>
            <w:vAlign w:val="center"/>
          </w:tcPr>
          <w:p w14:paraId="3F2E2288" w14:textId="77777777" w:rsidR="00CB7681" w:rsidRPr="00F9037E" w:rsidRDefault="00CB7681" w:rsidP="000E64F3">
            <w:pPr>
              <w:keepNext/>
              <w:keepLines/>
              <w:widowControl w:val="0"/>
              <w:spacing w:before="40" w:after="0"/>
              <w:jc w:val="center"/>
              <w:rPr>
                <w:rFonts w:ascii="Arial" w:hAnsi="Arial"/>
                <w:sz w:val="18"/>
              </w:rPr>
            </w:pPr>
            <w:r w:rsidRPr="00F9037E">
              <w:rPr>
                <w:rFonts w:ascii="Arial" w:hAnsi="Arial"/>
                <w:sz w:val="18"/>
              </w:rPr>
              <w:t>Strawberry runners</w:t>
            </w:r>
          </w:p>
        </w:tc>
        <w:tc>
          <w:tcPr>
            <w:tcW w:w="851" w:type="dxa"/>
            <w:shd w:val="clear" w:color="auto" w:fill="FFFF99"/>
            <w:vAlign w:val="center"/>
          </w:tcPr>
          <w:p w14:paraId="67EF8429" w14:textId="77777777" w:rsidR="00CB7681" w:rsidRPr="00F9037E" w:rsidRDefault="00CB7681" w:rsidP="000E64F3">
            <w:pPr>
              <w:spacing w:before="40" w:after="0"/>
              <w:jc w:val="center"/>
              <w:rPr>
                <w:rFonts w:ascii="Arial" w:hAnsi="Arial" w:cs="Arial"/>
                <w:sz w:val="18"/>
                <w:szCs w:val="18"/>
              </w:rPr>
            </w:pPr>
            <w:r w:rsidRPr="00F9037E">
              <w:rPr>
                <w:rFonts w:ascii="Arial" w:hAnsi="Arial" w:cs="Arial"/>
                <w:sz w:val="18"/>
                <w:szCs w:val="18"/>
              </w:rPr>
              <w:t>35.750</w:t>
            </w:r>
          </w:p>
        </w:tc>
        <w:tc>
          <w:tcPr>
            <w:tcW w:w="850" w:type="dxa"/>
            <w:shd w:val="clear" w:color="auto" w:fill="FFFF99"/>
            <w:vAlign w:val="center"/>
          </w:tcPr>
          <w:p w14:paraId="6AAE010B" w14:textId="77777777" w:rsidR="00CB7681" w:rsidRPr="00F9037E" w:rsidRDefault="00CB7681" w:rsidP="000E64F3">
            <w:pPr>
              <w:spacing w:before="40" w:after="0"/>
              <w:jc w:val="center"/>
              <w:rPr>
                <w:rFonts w:ascii="Arial" w:hAnsi="Arial" w:cs="Arial"/>
                <w:sz w:val="18"/>
                <w:szCs w:val="18"/>
              </w:rPr>
            </w:pPr>
            <w:r w:rsidRPr="00F9037E">
              <w:rPr>
                <w:rFonts w:ascii="Arial" w:hAnsi="Arial" w:cs="Arial"/>
                <w:sz w:val="18"/>
                <w:szCs w:val="18"/>
              </w:rPr>
              <w:t>37.500</w:t>
            </w:r>
          </w:p>
        </w:tc>
        <w:tc>
          <w:tcPr>
            <w:tcW w:w="851" w:type="dxa"/>
            <w:shd w:val="clear" w:color="auto" w:fill="FFFF99"/>
            <w:vAlign w:val="center"/>
          </w:tcPr>
          <w:p w14:paraId="306AEF45" w14:textId="77777777" w:rsidR="00CB7681" w:rsidRPr="00F9037E" w:rsidRDefault="00CB7681" w:rsidP="000E64F3">
            <w:pPr>
              <w:spacing w:before="40" w:after="0"/>
              <w:jc w:val="center"/>
              <w:rPr>
                <w:rFonts w:ascii="Arial" w:hAnsi="Arial" w:cs="Arial"/>
                <w:sz w:val="18"/>
                <w:szCs w:val="18"/>
              </w:rPr>
            </w:pPr>
            <w:r w:rsidRPr="00F9037E">
              <w:rPr>
                <w:rFonts w:ascii="Arial" w:hAnsi="Arial" w:cs="Arial"/>
                <w:sz w:val="18"/>
                <w:szCs w:val="18"/>
              </w:rPr>
              <w:t>35.750</w:t>
            </w:r>
          </w:p>
        </w:tc>
        <w:tc>
          <w:tcPr>
            <w:tcW w:w="850" w:type="dxa"/>
            <w:shd w:val="clear" w:color="auto" w:fill="FFFF99"/>
            <w:vAlign w:val="center"/>
          </w:tcPr>
          <w:p w14:paraId="1169EF9A" w14:textId="77777777" w:rsidR="00CB7681" w:rsidRPr="00F9037E" w:rsidRDefault="00CB7681" w:rsidP="000E64F3">
            <w:pPr>
              <w:spacing w:before="40" w:after="0"/>
              <w:jc w:val="center"/>
              <w:rPr>
                <w:rFonts w:ascii="Arial" w:hAnsi="Arial" w:cs="Arial"/>
                <w:sz w:val="18"/>
                <w:szCs w:val="18"/>
              </w:rPr>
            </w:pPr>
            <w:r w:rsidRPr="00F9037E">
              <w:rPr>
                <w:rFonts w:ascii="Arial" w:hAnsi="Arial" w:cs="Arial"/>
                <w:sz w:val="18"/>
                <w:szCs w:val="18"/>
              </w:rPr>
              <w:t>35.750</w:t>
            </w:r>
          </w:p>
        </w:tc>
        <w:tc>
          <w:tcPr>
            <w:tcW w:w="851" w:type="dxa"/>
            <w:shd w:val="clear" w:color="auto" w:fill="FFFF99"/>
            <w:vAlign w:val="center"/>
          </w:tcPr>
          <w:p w14:paraId="2819B001" w14:textId="77777777" w:rsidR="00CB7681" w:rsidRPr="00F9037E" w:rsidRDefault="00CB7681" w:rsidP="000E64F3">
            <w:pPr>
              <w:spacing w:before="40" w:after="0"/>
              <w:jc w:val="center"/>
              <w:rPr>
                <w:rFonts w:ascii="Arial" w:hAnsi="Arial" w:cs="Arial"/>
                <w:sz w:val="18"/>
                <w:szCs w:val="18"/>
              </w:rPr>
            </w:pPr>
            <w:r w:rsidRPr="00F9037E">
              <w:rPr>
                <w:rFonts w:ascii="Arial" w:hAnsi="Arial" w:cs="Arial"/>
                <w:sz w:val="18"/>
                <w:szCs w:val="18"/>
              </w:rPr>
              <w:t>29.790</w:t>
            </w:r>
          </w:p>
        </w:tc>
        <w:tc>
          <w:tcPr>
            <w:tcW w:w="850" w:type="dxa"/>
            <w:shd w:val="clear" w:color="auto" w:fill="FFFF99"/>
            <w:vAlign w:val="center"/>
          </w:tcPr>
          <w:p w14:paraId="7C81CDA8" w14:textId="77777777" w:rsidR="00CB7681" w:rsidRPr="00F9037E" w:rsidRDefault="00CB7681" w:rsidP="000E64F3">
            <w:pPr>
              <w:spacing w:before="40" w:after="0"/>
              <w:jc w:val="center"/>
              <w:rPr>
                <w:rFonts w:ascii="Arial" w:hAnsi="Arial" w:cs="Arial"/>
                <w:sz w:val="18"/>
                <w:szCs w:val="18"/>
              </w:rPr>
            </w:pPr>
            <w:r w:rsidRPr="00F9037E">
              <w:rPr>
                <w:rFonts w:ascii="Arial" w:hAnsi="Arial" w:cs="Arial"/>
                <w:sz w:val="18"/>
                <w:szCs w:val="18"/>
              </w:rPr>
              <w:t>29.790</w:t>
            </w:r>
          </w:p>
        </w:tc>
        <w:tc>
          <w:tcPr>
            <w:tcW w:w="851" w:type="dxa"/>
            <w:shd w:val="clear" w:color="auto" w:fill="FFFF99"/>
            <w:vAlign w:val="center"/>
          </w:tcPr>
          <w:p w14:paraId="1ABBA82F" w14:textId="77777777" w:rsidR="00CB7681" w:rsidRPr="00F9037E" w:rsidRDefault="00CB7681" w:rsidP="000E64F3">
            <w:pPr>
              <w:spacing w:before="40" w:after="0"/>
              <w:jc w:val="center"/>
              <w:rPr>
                <w:rFonts w:ascii="Arial" w:hAnsi="Arial" w:cs="Arial"/>
                <w:sz w:val="18"/>
                <w:szCs w:val="18"/>
              </w:rPr>
            </w:pPr>
            <w:r w:rsidRPr="00F9037E">
              <w:rPr>
                <w:rFonts w:ascii="Arial" w:hAnsi="Arial" w:cs="Arial"/>
                <w:sz w:val="18"/>
                <w:szCs w:val="18"/>
              </w:rPr>
              <w:t>29.790</w:t>
            </w:r>
          </w:p>
        </w:tc>
        <w:tc>
          <w:tcPr>
            <w:tcW w:w="850" w:type="dxa"/>
            <w:shd w:val="clear" w:color="auto" w:fill="FFFF99"/>
            <w:vAlign w:val="center"/>
          </w:tcPr>
          <w:p w14:paraId="2C2FDA2F" w14:textId="77777777" w:rsidR="00CB7681" w:rsidRPr="00F9037E" w:rsidRDefault="00CB7681" w:rsidP="000E64F3">
            <w:pPr>
              <w:spacing w:before="40" w:after="0"/>
              <w:jc w:val="center"/>
              <w:rPr>
                <w:rFonts w:ascii="Arial" w:hAnsi="Arial" w:cs="Arial"/>
                <w:sz w:val="18"/>
                <w:szCs w:val="18"/>
              </w:rPr>
            </w:pPr>
            <w:r w:rsidRPr="00F9037E">
              <w:rPr>
                <w:rFonts w:ascii="Arial" w:hAnsi="Arial" w:cs="Arial"/>
                <w:sz w:val="18"/>
                <w:szCs w:val="18"/>
              </w:rPr>
              <w:t>29.760</w:t>
            </w:r>
          </w:p>
        </w:tc>
        <w:tc>
          <w:tcPr>
            <w:tcW w:w="851" w:type="dxa"/>
            <w:shd w:val="clear" w:color="auto" w:fill="FFFF99"/>
            <w:vAlign w:val="center"/>
          </w:tcPr>
          <w:p w14:paraId="42D1FF03" w14:textId="77777777" w:rsidR="00CB7681" w:rsidRPr="00F9037E" w:rsidRDefault="00CB7681" w:rsidP="000E64F3">
            <w:pPr>
              <w:spacing w:before="40" w:after="0"/>
              <w:jc w:val="center"/>
              <w:rPr>
                <w:rFonts w:ascii="Arial" w:hAnsi="Arial" w:cs="Arial"/>
                <w:sz w:val="18"/>
                <w:szCs w:val="18"/>
              </w:rPr>
            </w:pPr>
            <w:r w:rsidRPr="00F9037E">
              <w:rPr>
                <w:rFonts w:ascii="Arial" w:hAnsi="Arial" w:cs="Arial"/>
                <w:sz w:val="18"/>
                <w:szCs w:val="18"/>
              </w:rPr>
              <w:t>29.760</w:t>
            </w:r>
          </w:p>
        </w:tc>
        <w:tc>
          <w:tcPr>
            <w:tcW w:w="850" w:type="dxa"/>
            <w:shd w:val="clear" w:color="auto" w:fill="FFFF99"/>
            <w:vAlign w:val="center"/>
          </w:tcPr>
          <w:p w14:paraId="0D30E9F0" w14:textId="77777777" w:rsidR="00CB7681" w:rsidRPr="00F9037E" w:rsidRDefault="00CB7681" w:rsidP="000E64F3">
            <w:pPr>
              <w:spacing w:before="40" w:after="0"/>
              <w:jc w:val="center"/>
              <w:rPr>
                <w:rFonts w:ascii="Arial" w:hAnsi="Arial"/>
                <w:sz w:val="18"/>
              </w:rPr>
            </w:pPr>
            <w:r w:rsidRPr="00F9037E">
              <w:rPr>
                <w:rFonts w:ascii="Arial" w:hAnsi="Arial"/>
                <w:sz w:val="18"/>
              </w:rPr>
              <w:t>29.760</w:t>
            </w:r>
          </w:p>
        </w:tc>
        <w:tc>
          <w:tcPr>
            <w:tcW w:w="851" w:type="dxa"/>
            <w:shd w:val="clear" w:color="auto" w:fill="FFFF99"/>
            <w:vAlign w:val="center"/>
          </w:tcPr>
          <w:p w14:paraId="288B597B" w14:textId="77777777" w:rsidR="00CB7681" w:rsidRPr="00F9037E" w:rsidRDefault="00CB7681" w:rsidP="000E64F3">
            <w:pPr>
              <w:spacing w:before="40" w:after="0"/>
              <w:jc w:val="center"/>
              <w:rPr>
                <w:rFonts w:ascii="Arial" w:hAnsi="Arial"/>
                <w:sz w:val="18"/>
              </w:rPr>
            </w:pPr>
            <w:r w:rsidRPr="00F9037E">
              <w:rPr>
                <w:rFonts w:ascii="Arial" w:hAnsi="Arial"/>
                <w:sz w:val="18"/>
              </w:rPr>
              <w:t>29.760</w:t>
            </w:r>
          </w:p>
        </w:tc>
        <w:tc>
          <w:tcPr>
            <w:tcW w:w="850" w:type="dxa"/>
            <w:shd w:val="clear" w:color="auto" w:fill="FFFF99"/>
            <w:vAlign w:val="center"/>
          </w:tcPr>
          <w:p w14:paraId="04F48D7E" w14:textId="77777777" w:rsidR="00CB7681" w:rsidRPr="00F9037E" w:rsidRDefault="00CB7681" w:rsidP="000E64F3">
            <w:pPr>
              <w:spacing w:before="40" w:after="0"/>
              <w:jc w:val="center"/>
              <w:rPr>
                <w:rFonts w:ascii="Arial" w:hAnsi="Arial"/>
                <w:sz w:val="18"/>
              </w:rPr>
            </w:pPr>
            <w:r w:rsidRPr="00F9037E">
              <w:rPr>
                <w:rFonts w:ascii="Arial" w:hAnsi="Arial"/>
                <w:sz w:val="18"/>
              </w:rPr>
              <w:t>29.760</w:t>
            </w:r>
          </w:p>
        </w:tc>
        <w:tc>
          <w:tcPr>
            <w:tcW w:w="851" w:type="dxa"/>
            <w:shd w:val="clear" w:color="auto" w:fill="FFFF99"/>
            <w:vAlign w:val="center"/>
          </w:tcPr>
          <w:p w14:paraId="34E4CB07" w14:textId="77777777" w:rsidR="00CB7681" w:rsidRPr="00F9037E" w:rsidRDefault="00CB7681" w:rsidP="000E64F3">
            <w:pPr>
              <w:spacing w:before="40" w:after="0"/>
              <w:jc w:val="center"/>
              <w:rPr>
                <w:rFonts w:ascii="Arial" w:hAnsi="Arial"/>
                <w:sz w:val="18"/>
              </w:rPr>
            </w:pPr>
            <w:r w:rsidRPr="00F9037E">
              <w:rPr>
                <w:rFonts w:ascii="Arial" w:hAnsi="Arial"/>
                <w:sz w:val="18"/>
              </w:rPr>
              <w:t>29.760</w:t>
            </w:r>
          </w:p>
        </w:tc>
        <w:tc>
          <w:tcPr>
            <w:tcW w:w="850" w:type="dxa"/>
            <w:shd w:val="clear" w:color="auto" w:fill="FFFF99"/>
            <w:vAlign w:val="center"/>
          </w:tcPr>
          <w:p w14:paraId="484DA47C" w14:textId="77777777" w:rsidR="00CB7681" w:rsidRPr="00F9037E" w:rsidRDefault="00CB7681" w:rsidP="000E64F3">
            <w:pPr>
              <w:spacing w:before="40" w:after="0"/>
              <w:jc w:val="center"/>
              <w:rPr>
                <w:rFonts w:ascii="Arial" w:hAnsi="Arial"/>
                <w:sz w:val="18"/>
              </w:rPr>
            </w:pPr>
            <w:r w:rsidRPr="00F9037E">
              <w:rPr>
                <w:rFonts w:ascii="Arial" w:hAnsi="Arial" w:cs="Arial"/>
                <w:sz w:val="18"/>
              </w:rPr>
              <w:t>29.760</w:t>
            </w:r>
          </w:p>
        </w:tc>
        <w:tc>
          <w:tcPr>
            <w:tcW w:w="1134" w:type="dxa"/>
            <w:shd w:val="clear" w:color="auto" w:fill="FFFF99"/>
            <w:vAlign w:val="center"/>
          </w:tcPr>
          <w:p w14:paraId="65ABF3D3" w14:textId="77777777" w:rsidR="00CB7681" w:rsidRPr="00F9037E" w:rsidRDefault="00CB7681" w:rsidP="000E64F3">
            <w:pPr>
              <w:spacing w:before="40" w:after="0"/>
              <w:jc w:val="center"/>
              <w:rPr>
                <w:rFonts w:ascii="Arial" w:hAnsi="Arial"/>
                <w:sz w:val="18"/>
              </w:rPr>
            </w:pPr>
            <w:r w:rsidRPr="00F9037E">
              <w:rPr>
                <w:rFonts w:ascii="Arial" w:hAnsi="Arial"/>
                <w:sz w:val="18"/>
              </w:rPr>
              <w:t>[29.73]</w:t>
            </w:r>
          </w:p>
        </w:tc>
      </w:tr>
      <w:tr w:rsidR="00CB7681" w:rsidRPr="00F9037E" w14:paraId="5334446C" w14:textId="77777777" w:rsidTr="000633FC">
        <w:trPr>
          <w:trHeight w:val="282"/>
        </w:trPr>
        <w:tc>
          <w:tcPr>
            <w:tcW w:w="992" w:type="dxa"/>
            <w:vMerge/>
            <w:tcBorders>
              <w:bottom w:val="single" w:sz="4" w:space="0" w:color="auto"/>
            </w:tcBorders>
          </w:tcPr>
          <w:p w14:paraId="29184415" w14:textId="77777777" w:rsidR="00CB7681" w:rsidRPr="00F9037E" w:rsidRDefault="00CB7681" w:rsidP="000E64F3">
            <w:pPr>
              <w:spacing w:before="40" w:after="40"/>
              <w:rPr>
                <w:rFonts w:ascii="Arial" w:hAnsi="Arial" w:cs="Arial"/>
                <w:sz w:val="20"/>
              </w:rPr>
            </w:pPr>
          </w:p>
        </w:tc>
        <w:tc>
          <w:tcPr>
            <w:tcW w:w="1276" w:type="dxa"/>
            <w:tcBorders>
              <w:bottom w:val="single" w:sz="4" w:space="0" w:color="auto"/>
            </w:tcBorders>
          </w:tcPr>
          <w:p w14:paraId="22F8A948" w14:textId="77777777" w:rsidR="00CB7681" w:rsidRPr="00F9037E" w:rsidRDefault="00CB7681" w:rsidP="000E64F3">
            <w:pPr>
              <w:spacing w:after="120"/>
              <w:rPr>
                <w:rFonts w:ascii="Arial" w:hAnsi="Arial"/>
                <w:b/>
                <w:sz w:val="18"/>
              </w:rPr>
            </w:pPr>
          </w:p>
        </w:tc>
        <w:tc>
          <w:tcPr>
            <w:tcW w:w="13041" w:type="dxa"/>
            <w:gridSpan w:val="15"/>
            <w:tcBorders>
              <w:bottom w:val="single" w:sz="4" w:space="0" w:color="auto"/>
            </w:tcBorders>
          </w:tcPr>
          <w:p w14:paraId="10B8CCF7" w14:textId="4B9D9248" w:rsidR="00CB7681" w:rsidRPr="003159A8" w:rsidRDefault="00CB7681" w:rsidP="00A372D3">
            <w:pPr>
              <w:spacing w:before="120"/>
              <w:rPr>
                <w:rFonts w:ascii="Arial" w:hAnsi="Arial"/>
                <w:b/>
                <w:sz w:val="18"/>
              </w:rPr>
            </w:pPr>
            <w:r w:rsidRPr="00F9037E">
              <w:rPr>
                <w:rFonts w:ascii="Arial" w:hAnsi="Arial"/>
                <w:b/>
                <w:sz w:val="18"/>
              </w:rPr>
              <w:t>MBTOC Final Recommendation for 2018</w:t>
            </w:r>
            <w:r w:rsidR="003159A8">
              <w:rPr>
                <w:rFonts w:ascii="Arial" w:hAnsi="Arial"/>
                <w:b/>
                <w:sz w:val="18"/>
              </w:rPr>
              <w:br/>
            </w:r>
            <w:r w:rsidRPr="00F9037E">
              <w:rPr>
                <w:rFonts w:ascii="Arial" w:hAnsi="Arial"/>
                <w:sz w:val="18"/>
              </w:rPr>
              <w:t>MBTOC recommends a reduced nominated amount of 29.73tonnes for 2018. The reduction of 0.03 t is for adoption of alternatives for fumigation of substrate for the production of Nucleus and Foundation stock</w:t>
            </w:r>
            <w:r w:rsidR="001C1142" w:rsidRPr="00F9037E">
              <w:rPr>
                <w:rFonts w:ascii="Arial" w:hAnsi="Arial"/>
                <w:sz w:val="18"/>
              </w:rPr>
              <w:t xml:space="preserve"> </w:t>
            </w:r>
            <w:r w:rsidRPr="00F9037E">
              <w:rPr>
                <w:rFonts w:ascii="Arial" w:hAnsi="Arial"/>
                <w:sz w:val="18"/>
              </w:rPr>
              <w:t xml:space="preserve">use. During the OEWG, the party provided convincing research results why alternatives were not working.  As indicated during the </w:t>
            </w:r>
            <w:r w:rsidR="00CD3CBD" w:rsidRPr="00CD3CBD">
              <w:rPr>
                <w:rFonts w:ascii="Arial" w:hAnsi="Arial"/>
                <w:sz w:val="18"/>
              </w:rPr>
              <w:t>bilateral meeting</w:t>
            </w:r>
            <w:r w:rsidRPr="00F9037E">
              <w:rPr>
                <w:rFonts w:ascii="Arial" w:hAnsi="Arial"/>
                <w:sz w:val="18"/>
              </w:rPr>
              <w:t xml:space="preserve"> at the 38th OEWG, industry has a plan to transition away from MB commencing in 2019.</w:t>
            </w:r>
          </w:p>
          <w:p w14:paraId="2321B17C" w14:textId="344556DD" w:rsidR="00CB7681" w:rsidRPr="003159A8" w:rsidRDefault="00CB7681" w:rsidP="003159A8">
            <w:pPr>
              <w:spacing w:after="120"/>
              <w:rPr>
                <w:rFonts w:ascii="Arial" w:hAnsi="Arial"/>
                <w:b/>
                <w:sz w:val="18"/>
              </w:rPr>
            </w:pPr>
            <w:r w:rsidRPr="00F9037E">
              <w:rPr>
                <w:rFonts w:ascii="Arial" w:hAnsi="Arial"/>
                <w:b/>
                <w:sz w:val="18"/>
              </w:rPr>
              <w:t>Nomination by the Party</w:t>
            </w:r>
            <w:proofErr w:type="gramStart"/>
            <w:r w:rsidRPr="00F9037E">
              <w:rPr>
                <w:rFonts w:ascii="Arial" w:hAnsi="Arial"/>
                <w:b/>
                <w:sz w:val="18"/>
              </w:rPr>
              <w:t>:</w:t>
            </w:r>
            <w:proofErr w:type="gramEnd"/>
            <w:r w:rsidR="003159A8">
              <w:rPr>
                <w:rFonts w:ascii="Arial" w:hAnsi="Arial"/>
                <w:b/>
                <w:sz w:val="18"/>
              </w:rPr>
              <w:br/>
            </w:r>
            <w:r w:rsidRPr="00F9037E">
              <w:rPr>
                <w:rFonts w:ascii="Arial" w:hAnsi="Arial"/>
                <w:sz w:val="18"/>
              </w:rPr>
              <w:t>The Party nominated 29.760 t to disinfest 119 ha (at a dose rate of 25 g/m</w:t>
            </w:r>
            <w:r w:rsidRPr="00F9037E">
              <w:rPr>
                <w:rFonts w:ascii="Arial" w:hAnsi="Arial"/>
                <w:sz w:val="18"/>
                <w:vertAlign w:val="superscript"/>
              </w:rPr>
              <w:t>2</w:t>
            </w:r>
            <w:r w:rsidRPr="00F9037E">
              <w:rPr>
                <w:rFonts w:ascii="Arial" w:hAnsi="Arial"/>
                <w:sz w:val="18"/>
              </w:rPr>
              <w:t xml:space="preserve">) and </w:t>
            </w:r>
            <w:r w:rsidR="006B25F0" w:rsidRPr="00F9037E">
              <w:rPr>
                <w:rFonts w:ascii="Arial" w:hAnsi="Arial"/>
                <w:sz w:val="18"/>
              </w:rPr>
              <w:t>soil-</w:t>
            </w:r>
            <w:r w:rsidRPr="00F9037E">
              <w:rPr>
                <w:rFonts w:ascii="Arial" w:hAnsi="Arial"/>
                <w:sz w:val="18"/>
              </w:rPr>
              <w:t xml:space="preserve">less substrate (0.03 t). This total nominated amount has remained unchanged for this industry since 2009.  </w:t>
            </w:r>
          </w:p>
          <w:p w14:paraId="223FF9F6" w14:textId="7F28EAE8" w:rsidR="00CB7681" w:rsidRPr="003159A8" w:rsidRDefault="00CB7681" w:rsidP="003159A8">
            <w:pPr>
              <w:spacing w:after="120"/>
              <w:rPr>
                <w:rFonts w:ascii="Arial" w:hAnsi="Arial"/>
                <w:b/>
                <w:sz w:val="18"/>
              </w:rPr>
            </w:pPr>
            <w:r w:rsidRPr="00F9037E">
              <w:rPr>
                <w:rFonts w:ascii="Arial" w:hAnsi="Arial"/>
                <w:b/>
                <w:sz w:val="18"/>
              </w:rPr>
              <w:t>Circumstances of the Nomination by the Party</w:t>
            </w:r>
            <w:proofErr w:type="gramStart"/>
            <w:r w:rsidRPr="00F9037E">
              <w:rPr>
                <w:rFonts w:ascii="Arial" w:hAnsi="Arial"/>
                <w:b/>
                <w:sz w:val="18"/>
              </w:rPr>
              <w:t>:</w:t>
            </w:r>
            <w:proofErr w:type="gramEnd"/>
            <w:r w:rsidR="003159A8">
              <w:rPr>
                <w:rFonts w:ascii="Arial" w:hAnsi="Arial"/>
                <w:b/>
                <w:sz w:val="18"/>
              </w:rPr>
              <w:br/>
            </w:r>
            <w:r w:rsidRPr="00F9037E">
              <w:rPr>
                <w:rFonts w:ascii="Arial" w:hAnsi="Arial"/>
                <w:sz w:val="18"/>
              </w:rPr>
              <w:t>The Party states that the key pests affecting strawberry runner production are fungi (</w:t>
            </w:r>
            <w:proofErr w:type="spellStart"/>
            <w:r w:rsidRPr="00F9037E">
              <w:rPr>
                <w:rFonts w:ascii="Arial" w:hAnsi="Arial"/>
                <w:i/>
                <w:sz w:val="18"/>
              </w:rPr>
              <w:t>Phytophthora</w:t>
            </w:r>
            <w:proofErr w:type="spellEnd"/>
            <w:r w:rsidRPr="00F9037E">
              <w:rPr>
                <w:rFonts w:ascii="Arial" w:hAnsi="Arial"/>
                <w:i/>
                <w:sz w:val="18"/>
              </w:rPr>
              <w:t xml:space="preserve">, Pythium, </w:t>
            </w:r>
            <w:proofErr w:type="spellStart"/>
            <w:r w:rsidRPr="00F9037E">
              <w:rPr>
                <w:rFonts w:ascii="Arial" w:hAnsi="Arial"/>
                <w:i/>
                <w:sz w:val="18"/>
              </w:rPr>
              <w:t>Rhizoctonia</w:t>
            </w:r>
            <w:proofErr w:type="spellEnd"/>
            <w:r w:rsidRPr="00F9037E">
              <w:rPr>
                <w:rFonts w:ascii="Arial" w:hAnsi="Arial"/>
                <w:sz w:val="18"/>
              </w:rPr>
              <w:t xml:space="preserve"> and </w:t>
            </w:r>
            <w:proofErr w:type="spellStart"/>
            <w:r w:rsidRPr="00F9037E">
              <w:rPr>
                <w:rFonts w:ascii="Arial" w:hAnsi="Arial"/>
                <w:i/>
                <w:sz w:val="18"/>
              </w:rPr>
              <w:t>Verticillium</w:t>
            </w:r>
            <w:proofErr w:type="spellEnd"/>
            <w:r w:rsidR="00CD3CBD">
              <w:rPr>
                <w:rFonts w:ascii="Arial" w:hAnsi="Arial"/>
                <w:i/>
                <w:sz w:val="18"/>
              </w:rPr>
              <w:t xml:space="preserve"> </w:t>
            </w:r>
            <w:r w:rsidR="000D114C" w:rsidRPr="00F9037E">
              <w:rPr>
                <w:rFonts w:ascii="Arial" w:hAnsi="Arial"/>
                <w:sz w:val="18"/>
              </w:rPr>
              <w:t>spp</w:t>
            </w:r>
            <w:r w:rsidRPr="00F9037E">
              <w:rPr>
                <w:rFonts w:ascii="Arial" w:hAnsi="Arial"/>
                <w:i/>
                <w:sz w:val="18"/>
              </w:rPr>
              <w:t>.</w:t>
            </w:r>
            <w:r w:rsidRPr="00F9037E">
              <w:rPr>
                <w:rFonts w:ascii="Arial" w:hAnsi="Arial"/>
                <w:sz w:val="18"/>
              </w:rPr>
              <w:t>) and weeds (</w:t>
            </w:r>
            <w:r w:rsidRPr="00F9037E">
              <w:rPr>
                <w:rFonts w:ascii="Arial" w:hAnsi="Arial"/>
                <w:i/>
                <w:sz w:val="18"/>
              </w:rPr>
              <w:t xml:space="preserve">S. </w:t>
            </w:r>
            <w:proofErr w:type="spellStart"/>
            <w:r w:rsidRPr="00F9037E">
              <w:rPr>
                <w:rFonts w:ascii="Arial" w:hAnsi="Arial"/>
                <w:i/>
                <w:sz w:val="18"/>
              </w:rPr>
              <w:t>arvensis</w:t>
            </w:r>
            <w:proofErr w:type="spellEnd"/>
            <w:r w:rsidRPr="00F9037E">
              <w:rPr>
                <w:rFonts w:ascii="Arial" w:hAnsi="Arial"/>
                <w:i/>
                <w:sz w:val="18"/>
              </w:rPr>
              <w:t xml:space="preserve">, </w:t>
            </w:r>
            <w:proofErr w:type="spellStart"/>
            <w:r w:rsidRPr="00F9037E">
              <w:rPr>
                <w:rFonts w:ascii="Arial" w:hAnsi="Arial" w:cs="Arial"/>
                <w:i/>
                <w:sz w:val="18"/>
                <w:szCs w:val="18"/>
              </w:rPr>
              <w:t>Agrostis</w:t>
            </w:r>
            <w:proofErr w:type="spellEnd"/>
            <w:r w:rsidRPr="00F9037E">
              <w:rPr>
                <w:rFonts w:ascii="Arial" w:hAnsi="Arial" w:cs="Arial"/>
                <w:i/>
                <w:sz w:val="18"/>
                <w:szCs w:val="18"/>
              </w:rPr>
              <w:t xml:space="preserve"> tenuis</w:t>
            </w:r>
            <w:r w:rsidRPr="00F9037E">
              <w:rPr>
                <w:rFonts w:ascii="Arial" w:hAnsi="Arial"/>
                <w:i/>
                <w:sz w:val="18"/>
              </w:rPr>
              <w:t xml:space="preserve">, </w:t>
            </w:r>
            <w:proofErr w:type="spellStart"/>
            <w:r w:rsidRPr="00F9037E">
              <w:rPr>
                <w:rFonts w:ascii="Arial" w:hAnsi="Arial"/>
                <w:i/>
                <w:sz w:val="18"/>
              </w:rPr>
              <w:t>Raphanus</w:t>
            </w:r>
            <w:proofErr w:type="spellEnd"/>
            <w:r w:rsidR="00772C4A" w:rsidRPr="00F9037E">
              <w:rPr>
                <w:rFonts w:ascii="Arial" w:hAnsi="Arial"/>
                <w:i/>
                <w:sz w:val="18"/>
              </w:rPr>
              <w:t xml:space="preserve"> </w:t>
            </w:r>
            <w:r w:rsidR="000D114C" w:rsidRPr="00F9037E">
              <w:rPr>
                <w:rFonts w:ascii="Arial" w:hAnsi="Arial"/>
                <w:sz w:val="18"/>
              </w:rPr>
              <w:t>spp</w:t>
            </w:r>
            <w:r w:rsidRPr="00F9037E">
              <w:rPr>
                <w:rFonts w:ascii="Arial" w:hAnsi="Arial"/>
                <w:i/>
                <w:sz w:val="18"/>
              </w:rPr>
              <w:t xml:space="preserve">., </w:t>
            </w:r>
            <w:proofErr w:type="spellStart"/>
            <w:r w:rsidRPr="00F9037E">
              <w:rPr>
                <w:rFonts w:ascii="Arial" w:hAnsi="Arial"/>
                <w:i/>
                <w:sz w:val="18"/>
              </w:rPr>
              <w:t>Poa</w:t>
            </w:r>
            <w:proofErr w:type="spellEnd"/>
            <w:r w:rsidR="00CD3CBD">
              <w:rPr>
                <w:rFonts w:ascii="Arial" w:hAnsi="Arial"/>
                <w:i/>
                <w:sz w:val="18"/>
              </w:rPr>
              <w:t xml:space="preserve"> </w:t>
            </w:r>
            <w:proofErr w:type="spellStart"/>
            <w:r w:rsidRPr="00F9037E">
              <w:rPr>
                <w:rFonts w:ascii="Arial" w:hAnsi="Arial"/>
                <w:i/>
                <w:sz w:val="18"/>
              </w:rPr>
              <w:t>annua</w:t>
            </w:r>
            <w:proofErr w:type="spellEnd"/>
            <w:r w:rsidRPr="00F9037E">
              <w:rPr>
                <w:rFonts w:ascii="Arial" w:hAnsi="Arial"/>
                <w:i/>
                <w:sz w:val="18"/>
              </w:rPr>
              <w:t xml:space="preserve">, </w:t>
            </w:r>
            <w:proofErr w:type="spellStart"/>
            <w:r w:rsidRPr="00F9037E">
              <w:rPr>
                <w:rFonts w:ascii="Arial" w:hAnsi="Arial"/>
                <w:i/>
                <w:sz w:val="18"/>
              </w:rPr>
              <w:t>Cyperus</w:t>
            </w:r>
            <w:proofErr w:type="spellEnd"/>
            <w:r w:rsidR="00772C4A" w:rsidRPr="00F9037E">
              <w:rPr>
                <w:rFonts w:ascii="Arial" w:hAnsi="Arial"/>
                <w:i/>
                <w:sz w:val="18"/>
              </w:rPr>
              <w:t xml:space="preserve"> </w:t>
            </w:r>
            <w:r w:rsidRPr="00A372D3">
              <w:rPr>
                <w:rFonts w:ascii="Arial" w:hAnsi="Arial"/>
                <w:sz w:val="18"/>
              </w:rPr>
              <w:t>spp</w:t>
            </w:r>
            <w:r w:rsidRPr="00F9037E">
              <w:rPr>
                <w:rFonts w:ascii="Arial" w:hAnsi="Arial"/>
                <w:i/>
                <w:sz w:val="18"/>
              </w:rPr>
              <w:t>.</w:t>
            </w:r>
            <w:r w:rsidRPr="00F9037E">
              <w:rPr>
                <w:rFonts w:ascii="Arial" w:hAnsi="Arial"/>
                <w:sz w:val="18"/>
              </w:rPr>
              <w:t xml:space="preserve">).  The nomination is based on a soil and temperature situation: soils with very high clay and organic matter content requiring fumigation treatment under cold temperatures. </w:t>
            </w:r>
          </w:p>
          <w:p w14:paraId="0B6510B6" w14:textId="5552F0FD" w:rsidR="00CB7681" w:rsidRPr="00F9037E" w:rsidRDefault="00CB7681" w:rsidP="000E64F3">
            <w:pPr>
              <w:spacing w:after="120"/>
              <w:jc w:val="both"/>
              <w:rPr>
                <w:rFonts w:ascii="Arial" w:hAnsi="Arial"/>
                <w:sz w:val="18"/>
              </w:rPr>
            </w:pPr>
            <w:r w:rsidRPr="00F9037E">
              <w:rPr>
                <w:rFonts w:ascii="Arial" w:hAnsi="Arial"/>
                <w:sz w:val="18"/>
              </w:rPr>
              <w:t xml:space="preserve">In its CUN, the Party argues that runner production under such </w:t>
            </w:r>
            <w:r w:rsidR="00CD3CBD" w:rsidRPr="00CD3CBD">
              <w:rPr>
                <w:rFonts w:ascii="Arial" w:hAnsi="Arial"/>
                <w:sz w:val="18"/>
              </w:rPr>
              <w:t>conditions</w:t>
            </w:r>
            <w:r w:rsidRPr="00F9037E">
              <w:rPr>
                <w:rFonts w:ascii="Arial" w:hAnsi="Arial"/>
                <w:sz w:val="18"/>
              </w:rPr>
              <w:t xml:space="preserve"> requires treatment with MB</w:t>
            </w:r>
            <w:r w:rsidR="00CD3CBD" w:rsidRPr="00CD3CBD">
              <w:rPr>
                <w:rFonts w:ascii="Arial" w:hAnsi="Arial"/>
                <w:sz w:val="18"/>
              </w:rPr>
              <w:t>: Pic</w:t>
            </w:r>
            <w:r w:rsidRPr="00F9037E">
              <w:rPr>
                <w:rFonts w:ascii="Arial" w:hAnsi="Arial"/>
                <w:sz w:val="18"/>
              </w:rPr>
              <w:t xml:space="preserve"> (50:50 at a MB dosage of 25 g/m</w:t>
            </w:r>
            <w:r w:rsidRPr="00F9037E">
              <w:rPr>
                <w:rFonts w:ascii="Arial" w:hAnsi="Arial"/>
                <w:sz w:val="18"/>
                <w:vertAlign w:val="superscript"/>
              </w:rPr>
              <w:t>2</w:t>
            </w:r>
            <w:r w:rsidR="00CD3CBD" w:rsidRPr="00CD3CBD">
              <w:rPr>
                <w:rFonts w:ascii="Arial" w:hAnsi="Arial"/>
                <w:sz w:val="18"/>
              </w:rPr>
              <w:t>) to</w:t>
            </w:r>
            <w:r w:rsidRPr="00F9037E">
              <w:rPr>
                <w:rFonts w:ascii="Arial" w:hAnsi="Arial"/>
                <w:sz w:val="18"/>
              </w:rPr>
              <w:t xml:space="preserve"> </w:t>
            </w:r>
            <w:r w:rsidR="00CD3CBD" w:rsidRPr="00CD3CBD">
              <w:rPr>
                <w:rFonts w:ascii="Arial" w:hAnsi="Arial"/>
                <w:sz w:val="18"/>
              </w:rPr>
              <w:t>meet the</w:t>
            </w:r>
            <w:r w:rsidRPr="00F9037E">
              <w:rPr>
                <w:rFonts w:ascii="Arial" w:hAnsi="Arial"/>
                <w:sz w:val="18"/>
              </w:rPr>
              <w:t xml:space="preserve"> certification standards. The other registered soil fumigants, such as 1</w:t>
            </w:r>
            <w:proofErr w:type="gramStart"/>
            <w:r w:rsidRPr="00F9037E">
              <w:rPr>
                <w:rFonts w:ascii="Arial" w:hAnsi="Arial"/>
                <w:sz w:val="18"/>
              </w:rPr>
              <w:t>,3</w:t>
            </w:r>
            <w:proofErr w:type="gramEnd"/>
            <w:r w:rsidRPr="00F9037E">
              <w:rPr>
                <w:rFonts w:ascii="Arial" w:hAnsi="Arial"/>
                <w:sz w:val="18"/>
              </w:rPr>
              <w:t xml:space="preserve">-dichloropropene (1,3-D)/Pic (65:35), cause crop </w:t>
            </w:r>
            <w:proofErr w:type="spellStart"/>
            <w:r w:rsidRPr="00F9037E">
              <w:rPr>
                <w:rFonts w:ascii="Arial" w:hAnsi="Arial"/>
                <w:sz w:val="18"/>
              </w:rPr>
              <w:t>phytotoxicity</w:t>
            </w:r>
            <w:proofErr w:type="spellEnd"/>
            <w:r w:rsidRPr="00F9037E">
              <w:rPr>
                <w:rFonts w:ascii="Arial" w:hAnsi="Arial"/>
                <w:sz w:val="18"/>
              </w:rPr>
              <w:t xml:space="preserve"> and yield losses of up to 40%. </w:t>
            </w:r>
            <w:proofErr w:type="spellStart"/>
            <w:r w:rsidRPr="00F9037E">
              <w:rPr>
                <w:rFonts w:ascii="Arial" w:hAnsi="Arial"/>
                <w:sz w:val="18"/>
              </w:rPr>
              <w:t>Phytotoxicity</w:t>
            </w:r>
            <w:proofErr w:type="spellEnd"/>
            <w:r w:rsidRPr="00F9037E">
              <w:rPr>
                <w:rFonts w:ascii="Arial" w:hAnsi="Arial"/>
                <w:sz w:val="18"/>
              </w:rPr>
              <w:t xml:space="preserve"> is related to the high organic matter (5-10%) and clay content (&gt; 50%) of soils at </w:t>
            </w:r>
            <w:proofErr w:type="spellStart"/>
            <w:r w:rsidRPr="00F9037E">
              <w:rPr>
                <w:rFonts w:ascii="Arial" w:hAnsi="Arial"/>
                <w:sz w:val="18"/>
              </w:rPr>
              <w:t>Toolangi</w:t>
            </w:r>
            <w:proofErr w:type="spellEnd"/>
            <w:r w:rsidRPr="00F9037E">
              <w:rPr>
                <w:rFonts w:ascii="Arial" w:hAnsi="Arial"/>
                <w:sz w:val="18"/>
              </w:rPr>
              <w:t>, and the long residual times of alternative fumigants in these soils (</w:t>
            </w:r>
            <w:proofErr w:type="spellStart"/>
            <w:r w:rsidRPr="00F9037E">
              <w:rPr>
                <w:rFonts w:ascii="Arial" w:hAnsi="Arial"/>
                <w:sz w:val="18"/>
              </w:rPr>
              <w:t>Mattner</w:t>
            </w:r>
            <w:proofErr w:type="spellEnd"/>
            <w:r w:rsidR="00772C4A" w:rsidRPr="00F9037E">
              <w:rPr>
                <w:rFonts w:ascii="Arial" w:hAnsi="Arial"/>
                <w:sz w:val="18"/>
              </w:rPr>
              <w:t xml:space="preserve"> </w:t>
            </w:r>
            <w:r w:rsidRPr="00F9037E">
              <w:rPr>
                <w:rFonts w:ascii="Arial" w:hAnsi="Arial"/>
                <w:i/>
                <w:sz w:val="18"/>
              </w:rPr>
              <w:t>et al</w:t>
            </w:r>
            <w:r w:rsidRPr="00F9037E">
              <w:rPr>
                <w:rFonts w:ascii="Arial" w:hAnsi="Arial"/>
                <w:sz w:val="18"/>
              </w:rPr>
              <w:t>., 2014).</w:t>
            </w:r>
          </w:p>
          <w:p w14:paraId="3F3ECE64" w14:textId="317A3304" w:rsidR="00CB7681" w:rsidRPr="00F9037E" w:rsidRDefault="00CB7681" w:rsidP="000E64F3">
            <w:pPr>
              <w:spacing w:after="120"/>
              <w:jc w:val="both"/>
              <w:rPr>
                <w:rFonts w:ascii="Arial" w:hAnsi="Arial"/>
                <w:sz w:val="18"/>
              </w:rPr>
            </w:pPr>
            <w:r w:rsidRPr="00F9037E">
              <w:rPr>
                <w:rFonts w:ascii="Arial" w:hAnsi="Arial"/>
                <w:sz w:val="18"/>
              </w:rPr>
              <w:t>The Victorian runner industry only produces runners in soils treated with MB</w:t>
            </w:r>
            <w:r w:rsidR="00CD3CBD" w:rsidRPr="00CD3CBD">
              <w:rPr>
                <w:rFonts w:ascii="Arial" w:hAnsi="Arial"/>
                <w:sz w:val="18"/>
              </w:rPr>
              <w:t>: Pic</w:t>
            </w:r>
            <w:r w:rsidRPr="00F9037E">
              <w:rPr>
                <w:rFonts w:ascii="Arial" w:hAnsi="Arial"/>
                <w:sz w:val="18"/>
              </w:rPr>
              <w:t>, and is not using any other methods other than substrates for the foundation stock production stage (</w:t>
            </w:r>
            <w:proofErr w:type="spellStart"/>
            <w:r w:rsidRPr="00F9037E">
              <w:rPr>
                <w:rFonts w:ascii="Arial" w:hAnsi="Arial"/>
                <w:sz w:val="18"/>
              </w:rPr>
              <w:t>Mattner</w:t>
            </w:r>
            <w:proofErr w:type="spellEnd"/>
            <w:r w:rsidR="00772C4A" w:rsidRPr="00F9037E">
              <w:rPr>
                <w:rFonts w:ascii="Arial" w:hAnsi="Arial"/>
                <w:sz w:val="18"/>
              </w:rPr>
              <w:t xml:space="preserve"> </w:t>
            </w:r>
            <w:r w:rsidRPr="00F9037E">
              <w:rPr>
                <w:rFonts w:ascii="Arial" w:hAnsi="Arial"/>
                <w:i/>
                <w:sz w:val="18"/>
              </w:rPr>
              <w:t>et al</w:t>
            </w:r>
            <w:r w:rsidRPr="00F9037E">
              <w:rPr>
                <w:rFonts w:ascii="Arial" w:hAnsi="Arial"/>
                <w:sz w:val="18"/>
              </w:rPr>
              <w:t>., 2015</w:t>
            </w:r>
            <w:r w:rsidR="00CD3CBD" w:rsidRPr="00CD3CBD">
              <w:rPr>
                <w:rFonts w:ascii="Arial" w:hAnsi="Arial"/>
                <w:sz w:val="18"/>
              </w:rPr>
              <w:t xml:space="preserve">). </w:t>
            </w:r>
            <w:r w:rsidRPr="00F9037E">
              <w:rPr>
                <w:rFonts w:ascii="Arial" w:hAnsi="Arial"/>
                <w:sz w:val="18"/>
              </w:rPr>
              <w:t>Some non-chemical alternatives are not feasible. Plant resistance is unreliable as an alternative to MB</w:t>
            </w:r>
            <w:r w:rsidR="00CD3CBD" w:rsidRPr="00CD3CBD">
              <w:rPr>
                <w:rFonts w:ascii="Arial" w:hAnsi="Arial"/>
                <w:sz w:val="18"/>
              </w:rPr>
              <w:t>: Pic</w:t>
            </w:r>
            <w:r w:rsidRPr="00F9037E">
              <w:rPr>
                <w:rFonts w:ascii="Arial" w:hAnsi="Arial"/>
                <w:sz w:val="18"/>
              </w:rPr>
              <w:t xml:space="preserve"> for delivering certified runners (Fang </w:t>
            </w:r>
            <w:r w:rsidRPr="00F9037E">
              <w:rPr>
                <w:rFonts w:ascii="Arial" w:hAnsi="Arial"/>
                <w:i/>
                <w:sz w:val="18"/>
              </w:rPr>
              <w:t>et al</w:t>
            </w:r>
            <w:r w:rsidRPr="00F9037E">
              <w:rPr>
                <w:rFonts w:ascii="Arial" w:hAnsi="Arial"/>
                <w:sz w:val="18"/>
              </w:rPr>
              <w:t xml:space="preserve"> 2012).  Integrated soil disinfestation with combinations of existing, registered fumigants is now considered the most likely and quickest approach for delivering a viable alternative to MB for the runner industry. The concept of the strategy is to apply low doses of existing registered fumigants (e.g. Pic, 1</w:t>
            </w:r>
            <w:proofErr w:type="gramStart"/>
            <w:r w:rsidRPr="00F9037E">
              <w:rPr>
                <w:rFonts w:ascii="Arial" w:hAnsi="Arial"/>
                <w:sz w:val="18"/>
              </w:rPr>
              <w:t>,3</w:t>
            </w:r>
            <w:proofErr w:type="gramEnd"/>
            <w:r w:rsidRPr="00F9037E">
              <w:rPr>
                <w:rFonts w:ascii="Arial" w:hAnsi="Arial"/>
                <w:sz w:val="18"/>
              </w:rPr>
              <w:t xml:space="preserve">-D, and MITC generators) and herbicides (e.g. </w:t>
            </w:r>
            <w:proofErr w:type="spellStart"/>
            <w:r w:rsidRPr="00F9037E">
              <w:rPr>
                <w:rFonts w:ascii="Arial" w:hAnsi="Arial"/>
                <w:sz w:val="18"/>
              </w:rPr>
              <w:t>isoxaben</w:t>
            </w:r>
            <w:proofErr w:type="spellEnd"/>
            <w:r w:rsidRPr="00F9037E">
              <w:rPr>
                <w:rFonts w:ascii="Arial" w:hAnsi="Arial"/>
                <w:sz w:val="18"/>
              </w:rPr>
              <w:t xml:space="preserve">, </w:t>
            </w:r>
            <w:proofErr w:type="spellStart"/>
            <w:r w:rsidRPr="00F9037E">
              <w:rPr>
                <w:rFonts w:ascii="Arial" w:hAnsi="Arial"/>
                <w:sz w:val="18"/>
              </w:rPr>
              <w:t>metolachlor</w:t>
            </w:r>
            <w:proofErr w:type="spellEnd"/>
            <w:r w:rsidRPr="00F9037E">
              <w:rPr>
                <w:rFonts w:ascii="Arial" w:hAnsi="Arial"/>
                <w:sz w:val="18"/>
              </w:rPr>
              <w:t xml:space="preserve">, </w:t>
            </w:r>
            <w:proofErr w:type="spellStart"/>
            <w:r w:rsidRPr="00F9037E">
              <w:rPr>
                <w:rFonts w:ascii="Arial" w:hAnsi="Arial"/>
                <w:sz w:val="18"/>
              </w:rPr>
              <w:t>napropamide</w:t>
            </w:r>
            <w:proofErr w:type="spellEnd"/>
            <w:r w:rsidRPr="00F9037E">
              <w:rPr>
                <w:rFonts w:ascii="Arial" w:hAnsi="Arial"/>
                <w:sz w:val="18"/>
              </w:rPr>
              <w:t xml:space="preserve">) in combinations that avoid potential crop </w:t>
            </w:r>
            <w:proofErr w:type="spellStart"/>
            <w:r w:rsidRPr="00F9037E">
              <w:rPr>
                <w:rFonts w:ascii="Arial" w:hAnsi="Arial"/>
                <w:sz w:val="18"/>
              </w:rPr>
              <w:t>phytotoxicity</w:t>
            </w:r>
            <w:proofErr w:type="spellEnd"/>
            <w:r w:rsidRPr="00F9037E">
              <w:rPr>
                <w:rFonts w:ascii="Arial" w:hAnsi="Arial"/>
                <w:sz w:val="18"/>
              </w:rPr>
              <w:t xml:space="preserve">. So far, results with </w:t>
            </w:r>
            <w:r w:rsidR="00CD3CBD" w:rsidRPr="00CD3CBD">
              <w:rPr>
                <w:rFonts w:ascii="Arial" w:hAnsi="Arial"/>
                <w:sz w:val="18"/>
              </w:rPr>
              <w:t>Pic Plus</w:t>
            </w:r>
            <w:r w:rsidRPr="00F9037E">
              <w:rPr>
                <w:rFonts w:ascii="Arial" w:hAnsi="Arial"/>
                <w:sz w:val="18"/>
              </w:rPr>
              <w:t>®, show that this alternative needs the development of complementary treatments to improve the control of weeds and pathogens, and increase runner yields to a similar level as with the current MB based production system.</w:t>
            </w:r>
          </w:p>
          <w:p w14:paraId="6780959D" w14:textId="77777777" w:rsidR="00CB7681" w:rsidRDefault="00CB7681" w:rsidP="000E64F3">
            <w:pPr>
              <w:autoSpaceDE w:val="0"/>
              <w:autoSpaceDN w:val="0"/>
              <w:adjustRightInd w:val="0"/>
              <w:spacing w:before="240"/>
              <w:jc w:val="both"/>
              <w:rPr>
                <w:rFonts w:ascii="Arial" w:hAnsi="Arial"/>
                <w:sz w:val="18"/>
              </w:rPr>
            </w:pPr>
            <w:r w:rsidRPr="00F9037E">
              <w:rPr>
                <w:rFonts w:ascii="Arial" w:hAnsi="Arial"/>
                <w:sz w:val="18"/>
              </w:rPr>
              <w:t xml:space="preserve">TF-80® (1,3-D/Pic, 20:80) showed great promise in trials in reducing the risk of </w:t>
            </w:r>
            <w:proofErr w:type="spellStart"/>
            <w:r w:rsidRPr="00F9037E">
              <w:rPr>
                <w:rFonts w:ascii="Arial" w:hAnsi="Arial"/>
                <w:sz w:val="18"/>
              </w:rPr>
              <w:t>phytotoxicity</w:t>
            </w:r>
            <w:proofErr w:type="spellEnd"/>
            <w:r w:rsidRPr="00F9037E">
              <w:rPr>
                <w:rFonts w:ascii="Arial" w:hAnsi="Arial"/>
                <w:sz w:val="18"/>
              </w:rPr>
              <w:t xml:space="preserve"> occurring in strawberry runners in </w:t>
            </w:r>
            <w:proofErr w:type="spellStart"/>
            <w:r w:rsidRPr="00F9037E">
              <w:rPr>
                <w:rFonts w:ascii="Arial" w:hAnsi="Arial"/>
                <w:sz w:val="18"/>
              </w:rPr>
              <w:t>Toolangi</w:t>
            </w:r>
            <w:proofErr w:type="spellEnd"/>
            <w:r w:rsidRPr="00F9037E">
              <w:rPr>
                <w:rFonts w:ascii="Arial" w:hAnsi="Arial"/>
                <w:sz w:val="18"/>
              </w:rPr>
              <w:t>, Victoria because of its low concentration of 1,3-D. Co-application of alternative fumigants (Pic</w:t>
            </w:r>
            <w:r w:rsidR="00772C4A" w:rsidRPr="00F9037E">
              <w:rPr>
                <w:rFonts w:ascii="Arial" w:hAnsi="Arial"/>
                <w:sz w:val="18"/>
              </w:rPr>
              <w:t xml:space="preserve"> </w:t>
            </w:r>
            <w:r w:rsidRPr="00F9037E">
              <w:rPr>
                <w:rFonts w:ascii="Arial" w:hAnsi="Arial"/>
                <w:sz w:val="18"/>
              </w:rPr>
              <w:t xml:space="preserve">Plus® and TF-80®) with the herbicide </w:t>
            </w:r>
            <w:proofErr w:type="spellStart"/>
            <w:r w:rsidRPr="00F9037E">
              <w:rPr>
                <w:rFonts w:ascii="Arial" w:hAnsi="Arial"/>
                <w:sz w:val="18"/>
              </w:rPr>
              <w:t>isoxaben</w:t>
            </w:r>
            <w:proofErr w:type="spellEnd"/>
            <w:r w:rsidRPr="00F9037E">
              <w:rPr>
                <w:rFonts w:ascii="Arial" w:hAnsi="Arial"/>
                <w:sz w:val="18"/>
              </w:rPr>
              <w:t xml:space="preserve"> increased weed control and runner yields in replicated trials to levels equivalent to MB/Pic. Ethane</w:t>
            </w:r>
            <w:r w:rsidR="00772C4A" w:rsidRPr="00F9037E">
              <w:rPr>
                <w:rFonts w:ascii="Arial" w:hAnsi="Arial"/>
                <w:sz w:val="18"/>
              </w:rPr>
              <w:t xml:space="preserve"> </w:t>
            </w:r>
            <w:proofErr w:type="spellStart"/>
            <w:r w:rsidRPr="00F9037E">
              <w:rPr>
                <w:rFonts w:ascii="Arial" w:hAnsi="Arial"/>
                <w:sz w:val="18"/>
              </w:rPr>
              <w:t>dinitrile</w:t>
            </w:r>
            <w:proofErr w:type="spellEnd"/>
            <w:r w:rsidRPr="00F9037E">
              <w:rPr>
                <w:rFonts w:ascii="Arial" w:hAnsi="Arial"/>
                <w:sz w:val="18"/>
              </w:rPr>
              <w:t xml:space="preserve"> (EDN) shows promise for soil disinfestation if systems can be developed to retain this product for longer periods in soil (</w:t>
            </w:r>
            <w:proofErr w:type="spellStart"/>
            <w:r w:rsidRPr="00F9037E">
              <w:rPr>
                <w:rFonts w:ascii="Arial" w:hAnsi="Arial"/>
                <w:sz w:val="18"/>
              </w:rPr>
              <w:t>Thalavaisundaram</w:t>
            </w:r>
            <w:proofErr w:type="spellEnd"/>
            <w:r w:rsidR="00772C4A" w:rsidRPr="00F9037E">
              <w:rPr>
                <w:rFonts w:ascii="Arial" w:hAnsi="Arial"/>
                <w:i/>
                <w:sz w:val="18"/>
              </w:rPr>
              <w:t xml:space="preserve"> </w:t>
            </w:r>
            <w:r w:rsidRPr="00F9037E">
              <w:rPr>
                <w:rFonts w:ascii="Arial" w:hAnsi="Arial"/>
                <w:i/>
                <w:sz w:val="18"/>
              </w:rPr>
              <w:t>et al.,</w:t>
            </w:r>
            <w:r w:rsidRPr="00F9037E">
              <w:rPr>
                <w:rFonts w:ascii="Arial" w:hAnsi="Arial"/>
                <w:sz w:val="18"/>
              </w:rPr>
              <w:t xml:space="preserve"> 2015). However, these products are not yet registered for soil disinfestation use in Australia. On the other hand, it appears that all fumigant alternatives showed lower pathogen control compared with MB/Pic. High levels of pathogen control are essential for production of certified runners of high health, and to manage the risk of litigation. To address this issue, new research in 2014/15 is investigating the co-application of specific fungicides, together with herbicides and alternative fumigants for improved pathogen control. Although the MB dosage rate exceeds MBTOC’s standard presumption of 20 g/m</w:t>
            </w:r>
            <w:r w:rsidRPr="00F9037E">
              <w:rPr>
                <w:rFonts w:ascii="Arial" w:hAnsi="Arial"/>
                <w:sz w:val="18"/>
                <w:vertAlign w:val="superscript"/>
              </w:rPr>
              <w:t>2</w:t>
            </w:r>
            <w:r w:rsidRPr="00F9037E">
              <w:rPr>
                <w:rFonts w:ascii="Arial" w:hAnsi="Arial"/>
                <w:sz w:val="18"/>
              </w:rPr>
              <w:t>, the lower rate is still unregistered in Australia.  According to the Party, three years of trials with lower MB rates do not support bio-equivalency of these rates. The Party insists that soilless systems are not yet technically feasible for adoption into generations beyond the foundation stock.</w:t>
            </w:r>
          </w:p>
          <w:p w14:paraId="078ACCB6" w14:textId="77777777" w:rsidR="0082102E" w:rsidRPr="0082102E" w:rsidRDefault="0082102E" w:rsidP="000E64F3">
            <w:pPr>
              <w:autoSpaceDE w:val="0"/>
              <w:autoSpaceDN w:val="0"/>
              <w:adjustRightInd w:val="0"/>
              <w:spacing w:before="240"/>
              <w:jc w:val="both"/>
              <w:rPr>
                <w:rFonts w:ascii="Arial" w:hAnsi="Arial"/>
                <w:sz w:val="2"/>
                <w:szCs w:val="2"/>
              </w:rPr>
            </w:pPr>
          </w:p>
          <w:p w14:paraId="4AF88638" w14:textId="3803E7EF" w:rsidR="00CB7681" w:rsidRPr="00F9037E" w:rsidRDefault="00CB7681" w:rsidP="0082102E">
            <w:pPr>
              <w:keepNext/>
              <w:keepLines/>
              <w:autoSpaceDE w:val="0"/>
              <w:autoSpaceDN w:val="0"/>
              <w:adjustRightInd w:val="0"/>
              <w:jc w:val="both"/>
              <w:rPr>
                <w:rFonts w:ascii="Arial" w:hAnsi="Arial"/>
                <w:sz w:val="18"/>
              </w:rPr>
            </w:pPr>
            <w:r w:rsidRPr="00F9037E">
              <w:rPr>
                <w:rFonts w:ascii="Arial" w:hAnsi="Arial"/>
                <w:sz w:val="18"/>
              </w:rPr>
              <w:lastRenderedPageBreak/>
              <w:t>Trials conducted since 2014 in Australia with dimethyl disulphide (DMDS) particularly when co-applied with other fumigants or herbicides (</w:t>
            </w:r>
            <w:proofErr w:type="spellStart"/>
            <w:r w:rsidRPr="00F9037E">
              <w:rPr>
                <w:rFonts w:ascii="Arial" w:hAnsi="Arial" w:cs="Arial"/>
                <w:sz w:val="18"/>
                <w:szCs w:val="18"/>
              </w:rPr>
              <w:t>Mattner</w:t>
            </w:r>
            <w:proofErr w:type="spellEnd"/>
            <w:r w:rsidR="00772C4A" w:rsidRPr="00F9037E">
              <w:rPr>
                <w:rFonts w:ascii="Arial" w:hAnsi="Arial" w:cs="Arial"/>
                <w:sz w:val="18"/>
                <w:szCs w:val="18"/>
              </w:rPr>
              <w:t xml:space="preserve"> </w:t>
            </w:r>
            <w:r w:rsidRPr="00F9037E">
              <w:rPr>
                <w:rFonts w:ascii="Arial" w:hAnsi="Arial" w:cs="Arial"/>
                <w:i/>
                <w:sz w:val="18"/>
                <w:szCs w:val="18"/>
              </w:rPr>
              <w:t xml:space="preserve">et </w:t>
            </w:r>
            <w:r w:rsidRPr="00F9037E">
              <w:rPr>
                <w:rFonts w:ascii="Arial" w:hAnsi="Arial"/>
                <w:i/>
                <w:sz w:val="18"/>
              </w:rPr>
              <w:t>al</w:t>
            </w:r>
            <w:r w:rsidRPr="00F9037E">
              <w:rPr>
                <w:rFonts w:ascii="Arial" w:hAnsi="Arial"/>
                <w:sz w:val="18"/>
              </w:rPr>
              <w:t xml:space="preserve">., 2015; included in the CUN) have shown that treatment with DMDS and DMDS/Pic significantly reduced the total populations of soil borne pathogens by up to 95% reduced weed emergence by up to 70% and increased runner yields by up to 45%. The plant-back time required for DMDS and DMDS/Pic was 3 weeks which was comparable to MB/Pic and Pic (2.5 </w:t>
            </w:r>
            <w:r w:rsidR="00CD3CBD" w:rsidRPr="00CD3CBD">
              <w:rPr>
                <w:rFonts w:ascii="Arial" w:hAnsi="Arial"/>
                <w:sz w:val="18"/>
              </w:rPr>
              <w:t>wk.</w:t>
            </w:r>
            <w:r w:rsidRPr="00F9037E">
              <w:rPr>
                <w:rFonts w:ascii="Arial" w:hAnsi="Arial"/>
                <w:sz w:val="18"/>
              </w:rPr>
              <w:t xml:space="preserve">), and shorter than 1,3-D-/Pic and Pic + </w:t>
            </w:r>
            <w:proofErr w:type="spellStart"/>
            <w:r w:rsidRPr="00F9037E">
              <w:rPr>
                <w:rFonts w:ascii="Arial" w:hAnsi="Arial"/>
                <w:sz w:val="18"/>
              </w:rPr>
              <w:t>Daz</w:t>
            </w:r>
            <w:proofErr w:type="spellEnd"/>
            <w:r w:rsidRPr="00F9037E">
              <w:rPr>
                <w:rFonts w:ascii="Arial" w:hAnsi="Arial"/>
                <w:sz w:val="18"/>
              </w:rPr>
              <w:t xml:space="preserve"> (6-12 weeks). These results clearly show that in Australia, DMDS and DMDS/Pic have considerable potential for soil disinfestation and runner production (</w:t>
            </w:r>
            <w:proofErr w:type="spellStart"/>
            <w:r w:rsidRPr="00F9037E">
              <w:rPr>
                <w:rFonts w:ascii="Arial" w:hAnsi="Arial"/>
                <w:sz w:val="18"/>
              </w:rPr>
              <w:t>Mattner</w:t>
            </w:r>
            <w:proofErr w:type="spellEnd"/>
            <w:r w:rsidR="00772C4A" w:rsidRPr="00F9037E">
              <w:rPr>
                <w:rFonts w:ascii="Arial" w:hAnsi="Arial"/>
                <w:sz w:val="18"/>
              </w:rPr>
              <w:t xml:space="preserve"> </w:t>
            </w:r>
            <w:r w:rsidRPr="00F9037E">
              <w:rPr>
                <w:rFonts w:ascii="Arial" w:hAnsi="Arial"/>
                <w:i/>
                <w:sz w:val="18"/>
              </w:rPr>
              <w:t>et al</w:t>
            </w:r>
            <w:r w:rsidRPr="00F9037E">
              <w:rPr>
                <w:rFonts w:ascii="Arial" w:hAnsi="Arial"/>
                <w:sz w:val="18"/>
              </w:rPr>
              <w:t xml:space="preserve">., 2015). Application of </w:t>
            </w:r>
            <w:proofErr w:type="spellStart"/>
            <w:r w:rsidRPr="00F9037E">
              <w:rPr>
                <w:rFonts w:ascii="Arial" w:hAnsi="Arial"/>
                <w:sz w:val="18"/>
              </w:rPr>
              <w:t>Dazomet</w:t>
            </w:r>
            <w:proofErr w:type="spellEnd"/>
            <w:r w:rsidRPr="00F9037E">
              <w:rPr>
                <w:rFonts w:ascii="Arial" w:hAnsi="Arial"/>
                <w:sz w:val="18"/>
              </w:rPr>
              <w:t xml:space="preserve"> well in advance of DMDS fumigants shows a higher efficacy. </w:t>
            </w:r>
          </w:p>
          <w:p w14:paraId="3D68F0BC" w14:textId="19888D74" w:rsidR="00CB7681" w:rsidRPr="003159A8" w:rsidRDefault="00CB7681" w:rsidP="003159A8">
            <w:pPr>
              <w:spacing w:after="120"/>
              <w:rPr>
                <w:rFonts w:ascii="Arial" w:hAnsi="Arial"/>
                <w:b/>
                <w:sz w:val="18"/>
              </w:rPr>
            </w:pPr>
            <w:r w:rsidRPr="00F9037E">
              <w:rPr>
                <w:rFonts w:ascii="Arial" w:hAnsi="Arial"/>
                <w:b/>
                <w:sz w:val="18"/>
              </w:rPr>
              <w:t>MBTOC final assessment for MB use in this sector in 2018</w:t>
            </w:r>
            <w:proofErr w:type="gramStart"/>
            <w:r w:rsidRPr="00F9037E">
              <w:rPr>
                <w:rFonts w:ascii="Arial" w:hAnsi="Arial"/>
                <w:b/>
                <w:sz w:val="18"/>
              </w:rPr>
              <w:t>:</w:t>
            </w:r>
            <w:proofErr w:type="gramEnd"/>
            <w:r w:rsidR="003159A8">
              <w:rPr>
                <w:rFonts w:ascii="Arial" w:hAnsi="Arial"/>
                <w:b/>
                <w:sz w:val="18"/>
              </w:rPr>
              <w:br/>
            </w:r>
            <w:r w:rsidRPr="00F9037E">
              <w:rPr>
                <w:rFonts w:ascii="Arial" w:hAnsi="Arial"/>
                <w:sz w:val="18"/>
              </w:rPr>
              <w:t>MBTOC still considers that soilless culture is a technique used widely for production of strawberry runners and is technically and economically suitable for some of the certified nursery production system resulting in healthy nursery material (</w:t>
            </w:r>
            <w:proofErr w:type="spellStart"/>
            <w:r w:rsidRPr="00F9037E">
              <w:rPr>
                <w:rFonts w:ascii="Arial" w:hAnsi="Arial"/>
                <w:sz w:val="18"/>
              </w:rPr>
              <w:t>López</w:t>
            </w:r>
            <w:proofErr w:type="spellEnd"/>
            <w:r w:rsidRPr="00F9037E">
              <w:rPr>
                <w:rFonts w:ascii="Arial" w:hAnsi="Arial"/>
                <w:sz w:val="18"/>
              </w:rPr>
              <w:t xml:space="preserve">-Galarza </w:t>
            </w:r>
            <w:r w:rsidRPr="00F9037E">
              <w:rPr>
                <w:rFonts w:ascii="Arial" w:hAnsi="Arial"/>
                <w:i/>
                <w:sz w:val="18"/>
              </w:rPr>
              <w:t>et al</w:t>
            </w:r>
            <w:r w:rsidRPr="00F9037E">
              <w:rPr>
                <w:rFonts w:ascii="Arial" w:hAnsi="Arial" w:cs="Arial"/>
                <w:sz w:val="18"/>
                <w:szCs w:val="18"/>
              </w:rPr>
              <w:t>.,</w:t>
            </w:r>
            <w:r w:rsidRPr="00F9037E">
              <w:rPr>
                <w:rFonts w:ascii="Arial" w:hAnsi="Arial"/>
                <w:sz w:val="18"/>
              </w:rPr>
              <w:t xml:space="preserve"> 2010, Rodríguez-</w:t>
            </w:r>
            <w:proofErr w:type="spellStart"/>
            <w:r w:rsidRPr="00F9037E">
              <w:rPr>
                <w:rFonts w:ascii="Arial" w:hAnsi="Arial"/>
                <w:sz w:val="18"/>
              </w:rPr>
              <w:t>Delfín</w:t>
            </w:r>
            <w:proofErr w:type="spellEnd"/>
            <w:r w:rsidRPr="00F9037E">
              <w:rPr>
                <w:rFonts w:ascii="Arial" w:hAnsi="Arial"/>
                <w:sz w:val="18"/>
              </w:rPr>
              <w:t xml:space="preserve"> 2012).</w:t>
            </w:r>
            <w:r w:rsidR="003159A8">
              <w:rPr>
                <w:rFonts w:ascii="Arial" w:hAnsi="Arial"/>
                <w:sz w:val="18"/>
              </w:rPr>
              <w:t xml:space="preserve"> </w:t>
            </w:r>
            <w:r w:rsidRPr="00F9037E">
              <w:rPr>
                <w:rFonts w:ascii="Arial" w:hAnsi="Arial"/>
                <w:sz w:val="18"/>
              </w:rPr>
              <w:t>According to the Party, 1</w:t>
            </w:r>
            <w:proofErr w:type="gramStart"/>
            <w:r w:rsidRPr="00F9037E">
              <w:rPr>
                <w:rFonts w:ascii="Arial" w:hAnsi="Arial"/>
                <w:sz w:val="18"/>
              </w:rPr>
              <w:t>,3</w:t>
            </w:r>
            <w:proofErr w:type="gramEnd"/>
            <w:r w:rsidRPr="00F9037E">
              <w:rPr>
                <w:rFonts w:ascii="Arial" w:hAnsi="Arial"/>
                <w:sz w:val="18"/>
              </w:rPr>
              <w:t>-D/Pic is not available to runner growers. The rules for Certification of runner crops do not allow runners to be grown in soils treated with registered formulations of 1</w:t>
            </w:r>
            <w:proofErr w:type="gramStart"/>
            <w:r w:rsidRPr="00F9037E">
              <w:rPr>
                <w:rFonts w:ascii="Arial" w:hAnsi="Arial"/>
                <w:sz w:val="18"/>
              </w:rPr>
              <w:t>,3</w:t>
            </w:r>
            <w:proofErr w:type="gramEnd"/>
            <w:r w:rsidRPr="00F9037E">
              <w:rPr>
                <w:rFonts w:ascii="Arial" w:hAnsi="Arial"/>
                <w:sz w:val="18"/>
              </w:rPr>
              <w:t xml:space="preserve">-D/Pic. </w:t>
            </w:r>
          </w:p>
          <w:p w14:paraId="7DE8421F" w14:textId="3193F563" w:rsidR="00CB7681" w:rsidRPr="00F9037E" w:rsidRDefault="0077432A" w:rsidP="000E64F3">
            <w:pPr>
              <w:autoSpaceDE w:val="0"/>
              <w:autoSpaceDN w:val="0"/>
              <w:adjustRightInd w:val="0"/>
              <w:spacing w:after="0"/>
              <w:rPr>
                <w:rFonts w:ascii="Arial" w:hAnsi="Arial"/>
                <w:sz w:val="18"/>
              </w:rPr>
            </w:pPr>
            <w:r w:rsidRPr="00F9037E">
              <w:rPr>
                <w:rFonts w:ascii="Arial" w:hAnsi="Arial"/>
                <w:sz w:val="18"/>
              </w:rPr>
              <w:t>The r</w:t>
            </w:r>
            <w:r w:rsidR="00CB7681" w:rsidRPr="00F9037E">
              <w:rPr>
                <w:rFonts w:ascii="Arial" w:hAnsi="Arial"/>
                <w:sz w:val="18"/>
              </w:rPr>
              <w:t>esearch</w:t>
            </w:r>
            <w:r w:rsidRPr="00F9037E">
              <w:rPr>
                <w:rFonts w:ascii="Arial" w:hAnsi="Arial"/>
                <w:sz w:val="18"/>
              </w:rPr>
              <w:t xml:space="preserve"> program</w:t>
            </w:r>
            <w:r w:rsidR="00CB7681" w:rsidRPr="00F9037E">
              <w:rPr>
                <w:rFonts w:ascii="Arial" w:hAnsi="Arial"/>
                <w:sz w:val="18"/>
              </w:rPr>
              <w:t xml:space="preserve"> has made considerable progress.</w:t>
            </w:r>
            <w:r w:rsidR="00772C4A" w:rsidRPr="00F9037E">
              <w:rPr>
                <w:rFonts w:ascii="Arial" w:hAnsi="Arial"/>
                <w:sz w:val="18"/>
              </w:rPr>
              <w:t xml:space="preserve"> </w:t>
            </w:r>
            <w:r w:rsidR="00CB7681" w:rsidRPr="00F9037E">
              <w:rPr>
                <w:rFonts w:ascii="Arial" w:hAnsi="Arial"/>
                <w:sz w:val="18"/>
              </w:rPr>
              <w:t xml:space="preserve">However, despite the promising reported results with non-registered chemical alternatives </w:t>
            </w:r>
            <w:r w:rsidR="00CD3CBD" w:rsidRPr="00CD3CBD">
              <w:rPr>
                <w:rFonts w:ascii="Arial" w:hAnsi="Arial"/>
                <w:sz w:val="18"/>
              </w:rPr>
              <w:t>e.g.</w:t>
            </w:r>
            <w:r w:rsidR="00CB7681" w:rsidRPr="00F9037E">
              <w:rPr>
                <w:rFonts w:ascii="Arial" w:hAnsi="Arial"/>
                <w:sz w:val="18"/>
              </w:rPr>
              <w:t xml:space="preserve"> 1,3-D/Pic formulations (20:80 and not 65:35 or 40:60), EDN and DMDS/Pic</w:t>
            </w:r>
            <w:r w:rsidR="00CD3CBD" w:rsidRPr="00CD3CBD">
              <w:rPr>
                <w:rFonts w:ascii="Arial" w:hAnsi="Arial"/>
                <w:sz w:val="18"/>
              </w:rPr>
              <w:t>, co</w:t>
            </w:r>
            <w:r w:rsidR="00CB7681" w:rsidRPr="00F9037E">
              <w:rPr>
                <w:rFonts w:ascii="Arial" w:hAnsi="Arial"/>
                <w:sz w:val="18"/>
              </w:rPr>
              <w:t>-application of specific pre- and post-emergent herbicides with 1,3-D/Pic (20:80), EDN or DMDS/</w:t>
            </w:r>
            <w:r w:rsidR="00CD3CBD" w:rsidRPr="00CD3CBD">
              <w:rPr>
                <w:rFonts w:ascii="Arial" w:hAnsi="Arial"/>
                <w:sz w:val="18"/>
              </w:rPr>
              <w:t>Pic, the</w:t>
            </w:r>
            <w:r w:rsidR="00CB7681" w:rsidRPr="00F9037E">
              <w:rPr>
                <w:rFonts w:ascii="Arial" w:hAnsi="Arial"/>
                <w:sz w:val="18"/>
              </w:rPr>
              <w:t xml:space="preserve"> Party cannot </w:t>
            </w:r>
            <w:r w:rsidRPr="00F9037E">
              <w:rPr>
                <w:rFonts w:ascii="Arial" w:hAnsi="Arial"/>
                <w:sz w:val="18"/>
              </w:rPr>
              <w:t>yet</w:t>
            </w:r>
            <w:r w:rsidR="00CB7681" w:rsidRPr="00F9037E">
              <w:rPr>
                <w:rFonts w:ascii="Arial" w:hAnsi="Arial"/>
                <w:sz w:val="18"/>
              </w:rPr>
              <w:t xml:space="preserve"> determine when</w:t>
            </w:r>
            <w:r w:rsidRPr="00F9037E">
              <w:rPr>
                <w:rFonts w:ascii="Arial" w:hAnsi="Arial"/>
                <w:sz w:val="18"/>
              </w:rPr>
              <w:t xml:space="preserve"> the registration progress will be finalized and</w:t>
            </w:r>
            <w:r w:rsidR="00CB7681" w:rsidRPr="00F9037E">
              <w:rPr>
                <w:rFonts w:ascii="Arial" w:hAnsi="Arial"/>
                <w:sz w:val="18"/>
              </w:rPr>
              <w:t xml:space="preserve"> they will be available for use. </w:t>
            </w:r>
            <w:r w:rsidRPr="00F9037E">
              <w:rPr>
                <w:rFonts w:ascii="Arial" w:hAnsi="Arial"/>
                <w:sz w:val="18"/>
              </w:rPr>
              <w:t>Nevertheless, a</w:t>
            </w:r>
            <w:r w:rsidR="00CB7681" w:rsidRPr="00F9037E">
              <w:rPr>
                <w:rFonts w:ascii="Arial" w:hAnsi="Arial"/>
                <w:sz w:val="18"/>
              </w:rPr>
              <w:t>s indicated in bilateral meetings at the 38th OEWG,</w:t>
            </w:r>
            <w:r w:rsidR="00772C4A" w:rsidRPr="00F9037E">
              <w:rPr>
                <w:rFonts w:ascii="Arial" w:hAnsi="Arial"/>
                <w:sz w:val="18"/>
              </w:rPr>
              <w:t xml:space="preserve"> </w:t>
            </w:r>
            <w:r w:rsidRPr="00F9037E">
              <w:rPr>
                <w:rFonts w:ascii="Arial" w:hAnsi="Arial"/>
                <w:sz w:val="18"/>
              </w:rPr>
              <w:t>the</w:t>
            </w:r>
            <w:r w:rsidR="00CB7681" w:rsidRPr="00F9037E">
              <w:rPr>
                <w:rFonts w:ascii="Arial" w:hAnsi="Arial"/>
                <w:sz w:val="18"/>
              </w:rPr>
              <w:t xml:space="preserve"> industry has a plan to transition away from MB </w:t>
            </w:r>
            <w:r w:rsidRPr="00F9037E">
              <w:rPr>
                <w:rFonts w:ascii="Arial" w:hAnsi="Arial"/>
                <w:sz w:val="18"/>
              </w:rPr>
              <w:t>as of</w:t>
            </w:r>
            <w:r w:rsidR="00CB7681" w:rsidRPr="00F9037E">
              <w:rPr>
                <w:rFonts w:ascii="Arial" w:hAnsi="Arial"/>
                <w:sz w:val="18"/>
              </w:rPr>
              <w:t xml:space="preserve"> 2019. While MBTOC once more recognizes the Party’s efforts in research and development of MB alternatives (</w:t>
            </w:r>
            <w:proofErr w:type="spellStart"/>
            <w:r w:rsidR="00CB7681" w:rsidRPr="00F9037E">
              <w:rPr>
                <w:rFonts w:ascii="Arial" w:hAnsi="Arial"/>
                <w:sz w:val="18"/>
              </w:rPr>
              <w:t>Mattner</w:t>
            </w:r>
            <w:proofErr w:type="spellEnd"/>
            <w:r w:rsidR="00772C4A" w:rsidRPr="00F9037E">
              <w:rPr>
                <w:rFonts w:ascii="Arial" w:hAnsi="Arial"/>
                <w:sz w:val="18"/>
              </w:rPr>
              <w:t xml:space="preserve"> </w:t>
            </w:r>
            <w:r w:rsidR="00CB7681" w:rsidRPr="00F9037E">
              <w:rPr>
                <w:rFonts w:ascii="Arial" w:hAnsi="Arial"/>
                <w:i/>
                <w:sz w:val="18"/>
              </w:rPr>
              <w:t>et al</w:t>
            </w:r>
            <w:r w:rsidR="00CB7681" w:rsidRPr="00F9037E">
              <w:rPr>
                <w:rFonts w:ascii="Arial" w:hAnsi="Arial"/>
                <w:sz w:val="18"/>
              </w:rPr>
              <w:t>., 2012)</w:t>
            </w:r>
            <w:r w:rsidR="00772C4A" w:rsidRPr="00F9037E">
              <w:rPr>
                <w:rFonts w:ascii="Arial" w:hAnsi="Arial"/>
                <w:sz w:val="18"/>
              </w:rPr>
              <w:t xml:space="preserve">. </w:t>
            </w:r>
            <w:r w:rsidR="00CB7681" w:rsidRPr="00F9037E">
              <w:rPr>
                <w:rFonts w:ascii="Arial" w:hAnsi="Arial"/>
                <w:sz w:val="18"/>
              </w:rPr>
              <w:t xml:space="preserve">Furthermore, there have been essentially no significant reductions made for this production region since 2005 and no reduction in use rate as this is regulated by VSICA certification rules. </w:t>
            </w:r>
          </w:p>
          <w:p w14:paraId="523D99B2" w14:textId="77777777" w:rsidR="00CB7681" w:rsidRPr="00F9037E" w:rsidRDefault="00CB7681" w:rsidP="000E64F3">
            <w:pPr>
              <w:jc w:val="both"/>
              <w:rPr>
                <w:rFonts w:ascii="Arial" w:hAnsi="Arial"/>
                <w:sz w:val="18"/>
              </w:rPr>
            </w:pPr>
            <w:r w:rsidRPr="00F9037E">
              <w:rPr>
                <w:rFonts w:ascii="Arial" w:hAnsi="Arial"/>
                <w:sz w:val="18"/>
              </w:rPr>
              <w:t>MBTOC commends Australia for renewed research efforts</w:t>
            </w:r>
            <w:r w:rsidR="0077432A" w:rsidRPr="00F9037E">
              <w:rPr>
                <w:rFonts w:ascii="Arial" w:hAnsi="Arial"/>
                <w:sz w:val="18"/>
              </w:rPr>
              <w:t>,</w:t>
            </w:r>
            <w:r w:rsidR="00772C4A" w:rsidRPr="00F9037E">
              <w:rPr>
                <w:rFonts w:ascii="Arial" w:hAnsi="Arial"/>
                <w:sz w:val="18"/>
              </w:rPr>
              <w:t xml:space="preserve"> </w:t>
            </w:r>
            <w:r w:rsidR="0077432A" w:rsidRPr="00F9037E">
              <w:rPr>
                <w:rFonts w:ascii="Arial" w:hAnsi="Arial"/>
                <w:sz w:val="18"/>
              </w:rPr>
              <w:t>which are</w:t>
            </w:r>
            <w:r w:rsidRPr="00F9037E">
              <w:rPr>
                <w:rFonts w:ascii="Arial" w:hAnsi="Arial"/>
                <w:sz w:val="18"/>
              </w:rPr>
              <w:t xml:space="preserve"> in line with the situation of various countries who phased-out MB use for strawberry runner use in the past and have implemented alternatives successfully (</w:t>
            </w:r>
            <w:proofErr w:type="spellStart"/>
            <w:r w:rsidRPr="00F9037E">
              <w:rPr>
                <w:rFonts w:ascii="Arial" w:hAnsi="Arial"/>
                <w:sz w:val="18"/>
              </w:rPr>
              <w:t>García-Sinovas</w:t>
            </w:r>
            <w:proofErr w:type="spellEnd"/>
            <w:r w:rsidR="00772C4A" w:rsidRPr="00F9037E">
              <w:rPr>
                <w:rFonts w:ascii="Arial" w:hAnsi="Arial"/>
                <w:sz w:val="18"/>
              </w:rPr>
              <w:t xml:space="preserve"> </w:t>
            </w:r>
            <w:r w:rsidRPr="00F9037E">
              <w:rPr>
                <w:rFonts w:ascii="Arial" w:hAnsi="Arial"/>
                <w:i/>
                <w:sz w:val="18"/>
              </w:rPr>
              <w:t>et al</w:t>
            </w:r>
            <w:r w:rsidRPr="00F9037E">
              <w:rPr>
                <w:rFonts w:ascii="Arial" w:hAnsi="Arial" w:cs="Arial"/>
                <w:sz w:val="18"/>
                <w:szCs w:val="18"/>
              </w:rPr>
              <w:t>.,</w:t>
            </w:r>
            <w:r w:rsidRPr="00F9037E">
              <w:rPr>
                <w:rFonts w:ascii="Arial" w:hAnsi="Arial"/>
                <w:sz w:val="18"/>
              </w:rPr>
              <w:t xml:space="preserve"> 2014; </w:t>
            </w:r>
            <w:proofErr w:type="spellStart"/>
            <w:r w:rsidRPr="00F9037E">
              <w:rPr>
                <w:rFonts w:ascii="Arial" w:hAnsi="Arial"/>
                <w:sz w:val="18"/>
              </w:rPr>
              <w:t>López</w:t>
            </w:r>
            <w:proofErr w:type="spellEnd"/>
            <w:r w:rsidRPr="00F9037E">
              <w:rPr>
                <w:rFonts w:ascii="Arial" w:hAnsi="Arial"/>
                <w:sz w:val="18"/>
              </w:rPr>
              <w:t>-Aranda, 2016).</w:t>
            </w:r>
          </w:p>
          <w:p w14:paraId="203E1403" w14:textId="1439B59A" w:rsidR="00CB7681" w:rsidRPr="00F9037E" w:rsidRDefault="00CB7681" w:rsidP="000E64F3">
            <w:pPr>
              <w:jc w:val="both"/>
              <w:rPr>
                <w:rFonts w:ascii="Arial" w:hAnsi="Arial"/>
                <w:sz w:val="18"/>
              </w:rPr>
            </w:pPr>
            <w:r w:rsidRPr="00F9037E">
              <w:rPr>
                <w:rFonts w:ascii="Arial" w:hAnsi="Arial"/>
                <w:sz w:val="18"/>
              </w:rPr>
              <w:t xml:space="preserve">MBTOC considers that the soil-less substrates, for which 0.03 t of MB </w:t>
            </w:r>
            <w:r w:rsidR="00CD3CBD" w:rsidRPr="00CD3CBD">
              <w:rPr>
                <w:rFonts w:ascii="Arial" w:hAnsi="Arial"/>
                <w:sz w:val="18"/>
              </w:rPr>
              <w:t>is</w:t>
            </w:r>
            <w:r w:rsidRPr="00F9037E">
              <w:rPr>
                <w:rFonts w:ascii="Arial" w:hAnsi="Arial"/>
                <w:sz w:val="18"/>
              </w:rPr>
              <w:t xml:space="preserve"> requested, can be disinfested with alternatives such as steam. MBTOC understands that certification authorities require at least two years of data demonstrating alternatives deliver equivalent efficacy to MB/Pic before changes to the rules of the Certification Scheme could be granted, but urges the Party to accelerate the schedule in order to phase out MB as soon as possible.</w:t>
            </w:r>
          </w:p>
          <w:p w14:paraId="77A40517" w14:textId="179694A3" w:rsidR="00CB7681" w:rsidRPr="003159A8" w:rsidRDefault="00CB7681" w:rsidP="003159A8">
            <w:pPr>
              <w:pStyle w:val="Default"/>
              <w:spacing w:after="120"/>
              <w:rPr>
                <w:rFonts w:ascii="Arial" w:hAnsi="Arial"/>
                <w:b/>
                <w:color w:val="auto"/>
                <w:sz w:val="18"/>
                <w:lang w:val="en-GB"/>
              </w:rPr>
            </w:pPr>
            <w:r w:rsidRPr="00F9037E">
              <w:rPr>
                <w:rFonts w:ascii="Arial" w:hAnsi="Arial"/>
                <w:b/>
                <w:color w:val="auto"/>
                <w:sz w:val="18"/>
                <w:lang w:val="en-GB"/>
              </w:rPr>
              <w:t xml:space="preserve">MBTOC comments on economics in 2016: </w:t>
            </w:r>
            <w:r w:rsidR="003159A8">
              <w:rPr>
                <w:rFonts w:ascii="Arial" w:hAnsi="Arial"/>
                <w:b/>
                <w:color w:val="auto"/>
                <w:sz w:val="18"/>
                <w:lang w:val="en-GB"/>
              </w:rPr>
              <w:br/>
            </w:r>
            <w:r w:rsidRPr="00F9037E">
              <w:rPr>
                <w:rFonts w:ascii="Arial" w:hAnsi="Arial"/>
                <w:color w:val="auto"/>
                <w:sz w:val="18"/>
                <w:lang w:val="en-GB"/>
              </w:rPr>
              <w:t>The economic information has not been updated in the nomination (see below).</w:t>
            </w:r>
          </w:p>
          <w:p w14:paraId="6A6438D7" w14:textId="77777777" w:rsidR="00CB7681" w:rsidRPr="00F9037E" w:rsidRDefault="00CB7681" w:rsidP="003159A8">
            <w:pPr>
              <w:pStyle w:val="Default"/>
              <w:numPr>
                <w:ilvl w:val="0"/>
                <w:numId w:val="35"/>
              </w:numPr>
              <w:jc w:val="both"/>
              <w:rPr>
                <w:rFonts w:ascii="Arial" w:hAnsi="Arial"/>
                <w:color w:val="auto"/>
                <w:sz w:val="18"/>
                <w:lang w:val="en-GB"/>
              </w:rPr>
            </w:pPr>
            <w:r w:rsidRPr="00F9037E">
              <w:rPr>
                <w:rFonts w:ascii="Arial" w:hAnsi="Arial"/>
                <w:color w:val="auto"/>
                <w:sz w:val="18"/>
                <w:lang w:val="en-GB"/>
              </w:rPr>
              <w:t xml:space="preserve">A comprehensive economic analysis shows that while Foundation stock can be done in a soil-less system, Mother and Certified stock cannot. The selling prices of Mother and Certified stock would have to increase almost 7 fold (from </w:t>
            </w:r>
            <w:proofErr w:type="gramStart"/>
            <w:r w:rsidRPr="00F9037E">
              <w:rPr>
                <w:rFonts w:ascii="Arial" w:hAnsi="Arial"/>
                <w:color w:val="auto"/>
                <w:sz w:val="18"/>
                <w:lang w:val="en-GB"/>
              </w:rPr>
              <w:t>A$</w:t>
            </w:r>
            <w:proofErr w:type="gramEnd"/>
            <w:r w:rsidRPr="00F9037E">
              <w:rPr>
                <w:rFonts w:ascii="Arial" w:hAnsi="Arial"/>
                <w:color w:val="auto"/>
                <w:sz w:val="18"/>
                <w:lang w:val="en-GB"/>
              </w:rPr>
              <w:t>0.34 per runner to A$2.03 and A$2.00 per runner respectively to break even).</w:t>
            </w:r>
          </w:p>
          <w:p w14:paraId="21E5891E" w14:textId="77777777" w:rsidR="00CB7681" w:rsidRPr="00F9037E" w:rsidRDefault="00CB7681" w:rsidP="0082102E">
            <w:pPr>
              <w:pStyle w:val="Default"/>
              <w:numPr>
                <w:ilvl w:val="0"/>
                <w:numId w:val="35"/>
              </w:numPr>
              <w:jc w:val="both"/>
              <w:rPr>
                <w:rFonts w:ascii="Arial" w:hAnsi="Arial"/>
                <w:color w:val="auto"/>
                <w:sz w:val="18"/>
                <w:lang w:val="en-GB"/>
              </w:rPr>
            </w:pPr>
            <w:r w:rsidRPr="00F9037E">
              <w:rPr>
                <w:rFonts w:ascii="Arial" w:hAnsi="Arial"/>
                <w:color w:val="auto"/>
                <w:sz w:val="18"/>
                <w:lang w:val="en-GB"/>
              </w:rPr>
              <w:t>Both operating and capital costs are about five times higher with a soilless system.</w:t>
            </w:r>
          </w:p>
          <w:p w14:paraId="7DCA04C8" w14:textId="77777777" w:rsidR="00CB7681" w:rsidRPr="00F9037E" w:rsidRDefault="00CB7681" w:rsidP="003159A8">
            <w:pPr>
              <w:pStyle w:val="ListParagraph"/>
              <w:numPr>
                <w:ilvl w:val="0"/>
                <w:numId w:val="35"/>
              </w:numPr>
              <w:spacing w:after="0"/>
              <w:jc w:val="both"/>
              <w:rPr>
                <w:rFonts w:ascii="Arial" w:hAnsi="Arial"/>
                <w:color w:val="auto"/>
                <w:sz w:val="18"/>
              </w:rPr>
            </w:pPr>
            <w:r w:rsidRPr="00F9037E">
              <w:rPr>
                <w:rFonts w:ascii="Arial" w:hAnsi="Arial"/>
                <w:color w:val="auto"/>
                <w:sz w:val="18"/>
              </w:rPr>
              <w:t>The main reason is the capital cost of setting up the soilless system and a yield loss of around 18%. Prices are assumed to stay the same for the two procedures.</w:t>
            </w:r>
          </w:p>
          <w:p w14:paraId="4A267866" w14:textId="77777777" w:rsidR="00CB7681" w:rsidRPr="00F9037E" w:rsidRDefault="00CB7681" w:rsidP="003159A8">
            <w:pPr>
              <w:pStyle w:val="ListParagraph"/>
              <w:numPr>
                <w:ilvl w:val="0"/>
                <w:numId w:val="35"/>
              </w:numPr>
              <w:spacing w:after="0"/>
              <w:jc w:val="both"/>
              <w:rPr>
                <w:rFonts w:ascii="Arial" w:hAnsi="Arial"/>
                <w:color w:val="auto"/>
                <w:sz w:val="18"/>
              </w:rPr>
            </w:pPr>
            <w:r w:rsidRPr="00F9037E">
              <w:rPr>
                <w:rFonts w:ascii="Arial" w:hAnsi="Arial"/>
                <w:color w:val="auto"/>
                <w:sz w:val="18"/>
              </w:rPr>
              <w:t>These differences do not include the compliance costs with municipal regulations, or the costs of waste treatment, but note that the costs of use of methyl bromide do not include the real cost of damage to the ozone layer.</w:t>
            </w:r>
          </w:p>
          <w:p w14:paraId="40E5B1C1" w14:textId="77777777" w:rsidR="00CB7681" w:rsidRPr="00F9037E" w:rsidRDefault="00CB7681" w:rsidP="003159A8">
            <w:pPr>
              <w:pStyle w:val="Default"/>
              <w:numPr>
                <w:ilvl w:val="0"/>
                <w:numId w:val="35"/>
              </w:numPr>
              <w:spacing w:after="120"/>
              <w:jc w:val="both"/>
              <w:rPr>
                <w:rFonts w:ascii="Arial" w:hAnsi="Arial"/>
                <w:color w:val="auto"/>
                <w:sz w:val="18"/>
                <w:lang w:val="en-GB"/>
              </w:rPr>
            </w:pPr>
            <w:r w:rsidRPr="00F9037E">
              <w:rPr>
                <w:rFonts w:ascii="Arial" w:hAnsi="Arial"/>
                <w:color w:val="auto"/>
                <w:sz w:val="18"/>
                <w:lang w:val="en-GB"/>
              </w:rPr>
              <w:t>Soilless systems are more labour intensive, and labour costs in Australia are very high. With MB/Pic pre-plant soil treatment harvesting is done by machine, while with a soilless system it will be done by hand. The additional labour cost is already included in the operating costs and is a large reason for the discrepancy in operating costs.</w:t>
            </w:r>
          </w:p>
          <w:p w14:paraId="46E104A4" w14:textId="77777777" w:rsidR="00CB7681" w:rsidRPr="00F9037E" w:rsidRDefault="00CB7681" w:rsidP="003159A8">
            <w:pPr>
              <w:keepNext/>
              <w:keepLines/>
              <w:widowControl w:val="0"/>
              <w:spacing w:after="120"/>
              <w:rPr>
                <w:rFonts w:ascii="Arial" w:hAnsi="Arial"/>
                <w:b/>
                <w:sz w:val="18"/>
              </w:rPr>
            </w:pPr>
            <w:r w:rsidRPr="00F9037E">
              <w:rPr>
                <w:rFonts w:ascii="Arial" w:hAnsi="Arial"/>
                <w:b/>
                <w:sz w:val="18"/>
              </w:rPr>
              <w:t>Comments Requested in Dec. XX1/11 (para 9):</w:t>
            </w:r>
          </w:p>
          <w:p w14:paraId="417BE504" w14:textId="4FF4ED9E" w:rsidR="00CB7681" w:rsidRPr="00F9037E" w:rsidRDefault="00CB7681" w:rsidP="003159A8">
            <w:pPr>
              <w:pStyle w:val="Paragraphedeliste11"/>
              <w:keepNext/>
              <w:keepLines/>
              <w:widowControl w:val="0"/>
              <w:numPr>
                <w:ilvl w:val="0"/>
                <w:numId w:val="37"/>
              </w:numPr>
              <w:spacing w:after="120"/>
              <w:jc w:val="both"/>
              <w:rPr>
                <w:rFonts w:ascii="Arial" w:hAnsi="Arial"/>
                <w:color w:val="auto"/>
                <w:sz w:val="18"/>
              </w:rPr>
            </w:pPr>
            <w:r w:rsidRPr="00F9037E">
              <w:rPr>
                <w:rFonts w:ascii="Arial" w:hAnsi="Arial"/>
                <w:b/>
                <w:color w:val="auto"/>
                <w:sz w:val="18"/>
              </w:rPr>
              <w:t xml:space="preserve">Dec. IX/6 </w:t>
            </w:r>
            <w:r w:rsidR="00CD3CBD" w:rsidRPr="00CD3CBD">
              <w:rPr>
                <w:rFonts w:ascii="Arial" w:hAnsi="Arial"/>
                <w:b/>
                <w:color w:val="auto"/>
                <w:sz w:val="18"/>
              </w:rPr>
              <w:t>b (</w:t>
            </w:r>
            <w:proofErr w:type="spellStart"/>
            <w:r w:rsidR="00CD3CBD" w:rsidRPr="00CD3CBD">
              <w:rPr>
                <w:rFonts w:ascii="Arial" w:hAnsi="Arial"/>
                <w:b/>
                <w:color w:val="auto"/>
                <w:sz w:val="18"/>
              </w:rPr>
              <w:t>i</w:t>
            </w:r>
            <w:proofErr w:type="spellEnd"/>
            <w:r w:rsidR="00CD3CBD" w:rsidRPr="00CD3CBD">
              <w:rPr>
                <w:rFonts w:ascii="Arial" w:hAnsi="Arial"/>
                <w:b/>
                <w:color w:val="auto"/>
                <w:sz w:val="18"/>
              </w:rPr>
              <w:t>) Emission</w:t>
            </w:r>
            <w:r w:rsidRPr="00F9037E">
              <w:rPr>
                <w:rFonts w:ascii="Arial" w:hAnsi="Arial"/>
                <w:b/>
                <w:color w:val="auto"/>
                <w:sz w:val="18"/>
              </w:rPr>
              <w:t xml:space="preserve"> reduction:</w:t>
            </w:r>
            <w:r w:rsidRPr="00F9037E">
              <w:rPr>
                <w:rFonts w:ascii="Arial" w:hAnsi="Arial"/>
                <w:color w:val="auto"/>
                <w:sz w:val="18"/>
              </w:rPr>
              <w:t>  No, but the Party states that standard films perform the same as barrier films (</w:t>
            </w:r>
            <w:proofErr w:type="spellStart"/>
            <w:r w:rsidRPr="00F9037E">
              <w:rPr>
                <w:rFonts w:ascii="Arial" w:hAnsi="Arial"/>
                <w:color w:val="auto"/>
                <w:sz w:val="18"/>
              </w:rPr>
              <w:t>e.g.VIF</w:t>
            </w:r>
            <w:proofErr w:type="spellEnd"/>
            <w:r w:rsidRPr="00F9037E">
              <w:rPr>
                <w:rFonts w:ascii="Arial" w:hAnsi="Arial"/>
                <w:color w:val="auto"/>
                <w:sz w:val="18"/>
              </w:rPr>
              <w:t>) for the reduction of emissions in the cold temperatures and heavy wet soils typical for strawberry runner production in Victoria. Party also states that use of VIF did not improve the efficacy of reduced rates of MB to an acceptable level for the strawberry runner industry. However, the Party reports new research established in 2015/16 is investigating deeper injection of alternative fumigants and the use of barrier films (VIF and TIF).</w:t>
            </w:r>
          </w:p>
          <w:p w14:paraId="490D9156" w14:textId="5286607E" w:rsidR="00CB7681" w:rsidRPr="00F9037E" w:rsidRDefault="00CB7681" w:rsidP="003159A8">
            <w:pPr>
              <w:pStyle w:val="Paragraphedeliste11"/>
              <w:keepNext/>
              <w:keepLines/>
              <w:widowControl w:val="0"/>
              <w:numPr>
                <w:ilvl w:val="0"/>
                <w:numId w:val="37"/>
              </w:numPr>
              <w:spacing w:after="120"/>
              <w:jc w:val="both"/>
              <w:rPr>
                <w:rFonts w:ascii="Arial" w:hAnsi="Arial"/>
                <w:b/>
                <w:sz w:val="18"/>
              </w:rPr>
            </w:pPr>
            <w:r w:rsidRPr="00F9037E">
              <w:rPr>
                <w:rFonts w:ascii="Arial" w:hAnsi="Arial"/>
                <w:b/>
                <w:color w:val="auto"/>
                <w:sz w:val="18"/>
              </w:rPr>
              <w:t xml:space="preserve">Dec. IX/6 </w:t>
            </w:r>
            <w:r w:rsidR="00CD3CBD" w:rsidRPr="00CD3CBD">
              <w:rPr>
                <w:rFonts w:ascii="Arial" w:hAnsi="Arial"/>
                <w:b/>
                <w:color w:val="auto"/>
                <w:sz w:val="18"/>
              </w:rPr>
              <w:t>b (iii) Research</w:t>
            </w:r>
            <w:r w:rsidRPr="00F9037E">
              <w:rPr>
                <w:rFonts w:ascii="Arial" w:hAnsi="Arial"/>
                <w:b/>
                <w:color w:val="auto"/>
                <w:sz w:val="18"/>
              </w:rPr>
              <w:t xml:space="preserve"> program: </w:t>
            </w:r>
            <w:r w:rsidRPr="00F9037E">
              <w:rPr>
                <w:rFonts w:ascii="Arial" w:hAnsi="Arial"/>
                <w:color w:val="auto"/>
                <w:sz w:val="18"/>
              </w:rPr>
              <w:t>Approved and funded research program is currently in place at the time of this nomination.</w:t>
            </w:r>
          </w:p>
          <w:p w14:paraId="288D63A4" w14:textId="12C9357A" w:rsidR="00CB7681" w:rsidRPr="00F9037E" w:rsidRDefault="00CB7681" w:rsidP="003159A8">
            <w:pPr>
              <w:pStyle w:val="Paragraphedeliste11"/>
              <w:keepNext/>
              <w:keepLines/>
              <w:widowControl w:val="0"/>
              <w:numPr>
                <w:ilvl w:val="0"/>
                <w:numId w:val="37"/>
              </w:numPr>
              <w:spacing w:after="120"/>
              <w:jc w:val="both"/>
              <w:rPr>
                <w:rFonts w:ascii="Arial" w:hAnsi="Arial"/>
                <w:b/>
                <w:sz w:val="18"/>
              </w:rPr>
            </w:pPr>
            <w:r w:rsidRPr="00F9037E">
              <w:rPr>
                <w:rFonts w:ascii="Arial" w:hAnsi="Arial"/>
                <w:b/>
                <w:sz w:val="18"/>
              </w:rPr>
              <w:t xml:space="preserve">Dec. IX/6 </w:t>
            </w:r>
            <w:r w:rsidR="00CD3CBD" w:rsidRPr="00CD3CBD">
              <w:rPr>
                <w:rFonts w:ascii="Arial" w:hAnsi="Arial"/>
                <w:b/>
                <w:sz w:val="18"/>
              </w:rPr>
              <w:t>b (</w:t>
            </w:r>
            <w:r w:rsidRPr="00F9037E">
              <w:rPr>
                <w:rFonts w:ascii="Arial" w:hAnsi="Arial"/>
                <w:b/>
                <w:sz w:val="18"/>
              </w:rPr>
              <w:t xml:space="preserve">iii) </w:t>
            </w:r>
            <w:proofErr w:type="gramStart"/>
            <w:r w:rsidRPr="00F9037E">
              <w:rPr>
                <w:rFonts w:ascii="Arial" w:hAnsi="Arial"/>
                <w:b/>
                <w:sz w:val="18"/>
              </w:rPr>
              <w:t>Appropriate</w:t>
            </w:r>
            <w:proofErr w:type="gramEnd"/>
            <w:r w:rsidRPr="00F9037E">
              <w:rPr>
                <w:rFonts w:ascii="Arial" w:hAnsi="Arial"/>
                <w:b/>
                <w:sz w:val="18"/>
              </w:rPr>
              <w:t xml:space="preserve"> </w:t>
            </w:r>
            <w:r w:rsidR="00CD3CBD" w:rsidRPr="00CD3CBD">
              <w:rPr>
                <w:rFonts w:ascii="Arial" w:hAnsi="Arial"/>
                <w:b/>
                <w:sz w:val="18"/>
              </w:rPr>
              <w:t>effort:</w:t>
            </w:r>
            <w:r w:rsidR="00CD3CBD" w:rsidRPr="00CD3CBD">
              <w:rPr>
                <w:rFonts w:ascii="Arial" w:hAnsi="Arial"/>
                <w:sz w:val="18"/>
              </w:rPr>
              <w:t xml:space="preserve"> Research</w:t>
            </w:r>
            <w:r w:rsidRPr="00F9037E">
              <w:rPr>
                <w:rFonts w:ascii="Arial" w:hAnsi="Arial"/>
                <w:sz w:val="18"/>
              </w:rPr>
              <w:t xml:space="preserve"> effort is adequate - funded research program currently in place at the time of this nomination.</w:t>
            </w:r>
          </w:p>
        </w:tc>
      </w:tr>
      <w:tr w:rsidR="00CB7681" w:rsidRPr="00F9037E" w14:paraId="217A6D2C" w14:textId="77777777" w:rsidTr="000633FC">
        <w:trPr>
          <w:trHeight w:val="70"/>
          <w:tblHeader/>
        </w:trPr>
        <w:tc>
          <w:tcPr>
            <w:tcW w:w="992" w:type="dxa"/>
            <w:tcBorders>
              <w:top w:val="single" w:sz="4" w:space="0" w:color="auto"/>
            </w:tcBorders>
            <w:vAlign w:val="center"/>
          </w:tcPr>
          <w:p w14:paraId="1731C5C5" w14:textId="77777777" w:rsidR="00CB7681" w:rsidRPr="00F9037E" w:rsidRDefault="00CB7681" w:rsidP="000E64F3">
            <w:pPr>
              <w:pageBreakBefore/>
              <w:spacing w:before="40" w:after="40"/>
              <w:rPr>
                <w:rFonts w:ascii="Arial" w:hAnsi="Arial"/>
                <w:b/>
                <w:sz w:val="18"/>
              </w:rPr>
            </w:pPr>
            <w:r w:rsidRPr="00F9037E">
              <w:rPr>
                <w:sz w:val="18"/>
              </w:rPr>
              <w:lastRenderedPageBreak/>
              <w:br w:type="page"/>
            </w:r>
            <w:r w:rsidRPr="00F9037E">
              <w:rPr>
                <w:rFonts w:ascii="Arial" w:hAnsi="Arial"/>
                <w:b/>
                <w:sz w:val="18"/>
              </w:rPr>
              <w:t>Country</w:t>
            </w:r>
          </w:p>
        </w:tc>
        <w:tc>
          <w:tcPr>
            <w:tcW w:w="1276" w:type="dxa"/>
            <w:tcBorders>
              <w:top w:val="single" w:sz="4" w:space="0" w:color="auto"/>
            </w:tcBorders>
            <w:vAlign w:val="center"/>
          </w:tcPr>
          <w:p w14:paraId="6B7CC492" w14:textId="77777777" w:rsidR="00CB7681" w:rsidRPr="00F9037E" w:rsidRDefault="00CB7681" w:rsidP="000E64F3">
            <w:pPr>
              <w:spacing w:before="40" w:after="40"/>
              <w:rPr>
                <w:rFonts w:ascii="Arial" w:hAnsi="Arial"/>
                <w:b/>
                <w:sz w:val="18"/>
              </w:rPr>
            </w:pPr>
            <w:r w:rsidRPr="00F9037E">
              <w:rPr>
                <w:rFonts w:ascii="Arial" w:hAnsi="Arial"/>
                <w:b/>
                <w:sz w:val="18"/>
              </w:rPr>
              <w:t>Industry</w:t>
            </w:r>
          </w:p>
        </w:tc>
        <w:tc>
          <w:tcPr>
            <w:tcW w:w="851" w:type="dxa"/>
            <w:tcBorders>
              <w:top w:val="single" w:sz="4" w:space="0" w:color="auto"/>
            </w:tcBorders>
            <w:vAlign w:val="center"/>
          </w:tcPr>
          <w:p w14:paraId="2C8E031C" w14:textId="77777777" w:rsidR="00CB7681" w:rsidRPr="00F9037E" w:rsidRDefault="00CB7681" w:rsidP="000E64F3">
            <w:pPr>
              <w:spacing w:before="40" w:after="40"/>
              <w:jc w:val="center"/>
              <w:rPr>
                <w:rFonts w:ascii="Arial" w:hAnsi="Arial"/>
                <w:b/>
                <w:sz w:val="18"/>
              </w:rPr>
            </w:pPr>
            <w:r w:rsidRPr="00F9037E">
              <w:rPr>
                <w:rFonts w:ascii="Arial" w:hAnsi="Arial"/>
                <w:b/>
                <w:sz w:val="18"/>
              </w:rPr>
              <w:t>CUE for 2005</w:t>
            </w:r>
            <w:r w:rsidRPr="00F9037E">
              <w:rPr>
                <w:rFonts w:ascii="Arial" w:hAnsi="Arial"/>
                <w:b/>
                <w:sz w:val="18"/>
                <w:vertAlign w:val="superscript"/>
              </w:rPr>
              <w:t>1</w:t>
            </w:r>
          </w:p>
        </w:tc>
        <w:tc>
          <w:tcPr>
            <w:tcW w:w="850" w:type="dxa"/>
            <w:tcBorders>
              <w:top w:val="single" w:sz="4" w:space="0" w:color="auto"/>
            </w:tcBorders>
            <w:vAlign w:val="center"/>
          </w:tcPr>
          <w:p w14:paraId="5F1A1C91" w14:textId="77777777" w:rsidR="00CB7681" w:rsidRPr="00F9037E" w:rsidRDefault="00CB7681" w:rsidP="000E64F3">
            <w:pPr>
              <w:spacing w:before="40" w:after="40"/>
              <w:jc w:val="center"/>
              <w:rPr>
                <w:rFonts w:ascii="Arial" w:hAnsi="Arial"/>
                <w:b/>
                <w:sz w:val="18"/>
              </w:rPr>
            </w:pPr>
            <w:r w:rsidRPr="00F9037E">
              <w:rPr>
                <w:rFonts w:ascii="Arial" w:hAnsi="Arial"/>
                <w:b/>
                <w:sz w:val="18"/>
              </w:rPr>
              <w:t>CUE for 2006</w:t>
            </w:r>
            <w:r w:rsidRPr="00F9037E">
              <w:rPr>
                <w:rFonts w:ascii="Arial" w:hAnsi="Arial"/>
                <w:b/>
                <w:sz w:val="18"/>
                <w:vertAlign w:val="superscript"/>
              </w:rPr>
              <w:t>2</w:t>
            </w:r>
          </w:p>
        </w:tc>
        <w:tc>
          <w:tcPr>
            <w:tcW w:w="851" w:type="dxa"/>
            <w:tcBorders>
              <w:top w:val="single" w:sz="4" w:space="0" w:color="auto"/>
            </w:tcBorders>
            <w:vAlign w:val="center"/>
          </w:tcPr>
          <w:p w14:paraId="07C6C6E3" w14:textId="77777777" w:rsidR="00CB7681" w:rsidRPr="00F9037E" w:rsidRDefault="00CB7681" w:rsidP="000E64F3">
            <w:pPr>
              <w:spacing w:before="40" w:after="40"/>
              <w:jc w:val="center"/>
              <w:rPr>
                <w:rFonts w:ascii="Arial" w:hAnsi="Arial"/>
                <w:b/>
                <w:sz w:val="18"/>
              </w:rPr>
            </w:pPr>
            <w:r w:rsidRPr="00F9037E">
              <w:rPr>
                <w:rFonts w:ascii="Arial" w:hAnsi="Arial"/>
                <w:b/>
                <w:sz w:val="18"/>
              </w:rPr>
              <w:t>CUE for 2007</w:t>
            </w:r>
            <w:r w:rsidRPr="00F9037E">
              <w:rPr>
                <w:rFonts w:ascii="Arial" w:hAnsi="Arial"/>
                <w:b/>
                <w:sz w:val="18"/>
                <w:vertAlign w:val="superscript"/>
              </w:rPr>
              <w:t>3</w:t>
            </w:r>
          </w:p>
        </w:tc>
        <w:tc>
          <w:tcPr>
            <w:tcW w:w="850" w:type="dxa"/>
            <w:tcBorders>
              <w:top w:val="single" w:sz="4" w:space="0" w:color="auto"/>
            </w:tcBorders>
            <w:vAlign w:val="center"/>
          </w:tcPr>
          <w:p w14:paraId="6FC8AEA1" w14:textId="77777777" w:rsidR="00CB7681" w:rsidRPr="00F9037E" w:rsidRDefault="00CB7681" w:rsidP="000E64F3">
            <w:pPr>
              <w:spacing w:before="40" w:after="40"/>
              <w:jc w:val="center"/>
              <w:rPr>
                <w:rFonts w:ascii="Arial" w:hAnsi="Arial"/>
                <w:b/>
                <w:sz w:val="18"/>
              </w:rPr>
            </w:pPr>
            <w:r w:rsidRPr="00F9037E">
              <w:rPr>
                <w:rFonts w:ascii="Arial" w:hAnsi="Arial"/>
                <w:b/>
                <w:sz w:val="18"/>
              </w:rPr>
              <w:t>CUE for 2008</w:t>
            </w:r>
            <w:r w:rsidRPr="00F9037E">
              <w:rPr>
                <w:rFonts w:ascii="Arial" w:hAnsi="Arial"/>
                <w:b/>
                <w:sz w:val="18"/>
                <w:vertAlign w:val="superscript"/>
              </w:rPr>
              <w:t>4</w:t>
            </w:r>
          </w:p>
        </w:tc>
        <w:tc>
          <w:tcPr>
            <w:tcW w:w="851" w:type="dxa"/>
            <w:tcBorders>
              <w:top w:val="single" w:sz="4" w:space="0" w:color="auto"/>
            </w:tcBorders>
            <w:vAlign w:val="center"/>
          </w:tcPr>
          <w:p w14:paraId="00E0513A" w14:textId="77777777" w:rsidR="00CB7681" w:rsidRPr="00F9037E" w:rsidRDefault="00CB7681" w:rsidP="000E64F3">
            <w:pPr>
              <w:tabs>
                <w:tab w:val="left" w:pos="35"/>
              </w:tabs>
              <w:spacing w:before="40" w:after="40"/>
              <w:jc w:val="center"/>
              <w:rPr>
                <w:rFonts w:ascii="Arial" w:hAnsi="Arial"/>
                <w:b/>
                <w:sz w:val="18"/>
              </w:rPr>
            </w:pPr>
            <w:r w:rsidRPr="00F9037E">
              <w:rPr>
                <w:rFonts w:ascii="Arial" w:hAnsi="Arial"/>
                <w:b/>
                <w:sz w:val="18"/>
              </w:rPr>
              <w:t>CUE for 2009</w:t>
            </w:r>
            <w:r w:rsidRPr="00F9037E">
              <w:rPr>
                <w:rFonts w:ascii="Arial" w:hAnsi="Arial"/>
                <w:b/>
                <w:sz w:val="18"/>
                <w:vertAlign w:val="superscript"/>
              </w:rPr>
              <w:t>5</w:t>
            </w:r>
          </w:p>
        </w:tc>
        <w:tc>
          <w:tcPr>
            <w:tcW w:w="850" w:type="dxa"/>
            <w:tcBorders>
              <w:top w:val="single" w:sz="4" w:space="0" w:color="auto"/>
            </w:tcBorders>
            <w:vAlign w:val="center"/>
          </w:tcPr>
          <w:p w14:paraId="3898BF90" w14:textId="77777777" w:rsidR="00CB7681" w:rsidRPr="00F9037E" w:rsidRDefault="00CB7681" w:rsidP="000E64F3">
            <w:pPr>
              <w:spacing w:before="40" w:after="40"/>
              <w:jc w:val="center"/>
              <w:rPr>
                <w:rFonts w:ascii="Arial" w:hAnsi="Arial"/>
                <w:b/>
                <w:sz w:val="18"/>
              </w:rPr>
            </w:pPr>
            <w:r w:rsidRPr="00F9037E">
              <w:rPr>
                <w:rFonts w:ascii="Arial" w:hAnsi="Arial"/>
                <w:b/>
                <w:sz w:val="18"/>
              </w:rPr>
              <w:t>CUE for 2010</w:t>
            </w:r>
            <w:r w:rsidRPr="00F9037E">
              <w:rPr>
                <w:rFonts w:ascii="Arial" w:hAnsi="Arial"/>
                <w:b/>
                <w:sz w:val="18"/>
                <w:vertAlign w:val="superscript"/>
              </w:rPr>
              <w:t>6</w:t>
            </w:r>
          </w:p>
        </w:tc>
        <w:tc>
          <w:tcPr>
            <w:tcW w:w="851" w:type="dxa"/>
            <w:tcBorders>
              <w:top w:val="single" w:sz="4" w:space="0" w:color="auto"/>
            </w:tcBorders>
            <w:vAlign w:val="center"/>
          </w:tcPr>
          <w:p w14:paraId="56F9D892" w14:textId="77777777" w:rsidR="00CB7681" w:rsidRPr="00F9037E" w:rsidRDefault="00CB7681" w:rsidP="000E64F3">
            <w:pPr>
              <w:spacing w:before="40" w:after="40"/>
              <w:jc w:val="center"/>
              <w:rPr>
                <w:rFonts w:ascii="Arial" w:hAnsi="Arial"/>
                <w:b/>
                <w:sz w:val="18"/>
              </w:rPr>
            </w:pPr>
            <w:r w:rsidRPr="00F9037E">
              <w:rPr>
                <w:rFonts w:ascii="Arial" w:hAnsi="Arial"/>
                <w:b/>
                <w:sz w:val="18"/>
              </w:rPr>
              <w:t>CUE for 2011</w:t>
            </w:r>
            <w:r w:rsidRPr="00F9037E">
              <w:rPr>
                <w:rFonts w:ascii="Arial" w:hAnsi="Arial"/>
                <w:b/>
                <w:sz w:val="18"/>
                <w:vertAlign w:val="superscript"/>
              </w:rPr>
              <w:t>7</w:t>
            </w:r>
          </w:p>
        </w:tc>
        <w:tc>
          <w:tcPr>
            <w:tcW w:w="850" w:type="dxa"/>
            <w:tcBorders>
              <w:top w:val="single" w:sz="4" w:space="0" w:color="auto"/>
            </w:tcBorders>
            <w:vAlign w:val="center"/>
          </w:tcPr>
          <w:p w14:paraId="49F63580" w14:textId="77777777" w:rsidR="00CB7681" w:rsidRPr="00F9037E" w:rsidRDefault="00CB7681" w:rsidP="000E64F3">
            <w:pPr>
              <w:spacing w:before="40" w:after="40"/>
              <w:jc w:val="center"/>
              <w:rPr>
                <w:rFonts w:ascii="Arial" w:hAnsi="Arial"/>
                <w:b/>
                <w:sz w:val="18"/>
              </w:rPr>
            </w:pPr>
            <w:r w:rsidRPr="00F9037E">
              <w:rPr>
                <w:rFonts w:ascii="Arial" w:hAnsi="Arial"/>
                <w:b/>
                <w:sz w:val="18"/>
              </w:rPr>
              <w:t>CUE for 2012</w:t>
            </w:r>
            <w:r w:rsidRPr="00F9037E">
              <w:rPr>
                <w:rFonts w:ascii="Arial" w:hAnsi="Arial"/>
                <w:b/>
                <w:sz w:val="18"/>
                <w:vertAlign w:val="superscript"/>
              </w:rPr>
              <w:t>8</w:t>
            </w:r>
          </w:p>
        </w:tc>
        <w:tc>
          <w:tcPr>
            <w:tcW w:w="851" w:type="dxa"/>
            <w:tcBorders>
              <w:top w:val="single" w:sz="4" w:space="0" w:color="auto"/>
            </w:tcBorders>
            <w:vAlign w:val="center"/>
          </w:tcPr>
          <w:p w14:paraId="056F4EE3" w14:textId="77777777" w:rsidR="00CB7681" w:rsidRPr="00F9037E" w:rsidRDefault="00CB7681" w:rsidP="000E64F3">
            <w:pPr>
              <w:spacing w:before="40" w:after="40"/>
              <w:jc w:val="center"/>
              <w:rPr>
                <w:rFonts w:ascii="Arial" w:hAnsi="Arial"/>
                <w:b/>
                <w:sz w:val="18"/>
                <w:vertAlign w:val="superscript"/>
              </w:rPr>
            </w:pPr>
            <w:r w:rsidRPr="00F9037E">
              <w:rPr>
                <w:rFonts w:ascii="Arial" w:hAnsi="Arial"/>
                <w:b/>
                <w:sz w:val="18"/>
              </w:rPr>
              <w:t>CUE for 2013</w:t>
            </w:r>
            <w:r w:rsidRPr="00F9037E">
              <w:rPr>
                <w:rFonts w:ascii="Arial" w:hAnsi="Arial"/>
                <w:b/>
                <w:sz w:val="18"/>
                <w:vertAlign w:val="superscript"/>
              </w:rPr>
              <w:t>9</w:t>
            </w:r>
          </w:p>
        </w:tc>
        <w:tc>
          <w:tcPr>
            <w:tcW w:w="850" w:type="dxa"/>
            <w:tcBorders>
              <w:top w:val="single" w:sz="4" w:space="0" w:color="auto"/>
            </w:tcBorders>
            <w:vAlign w:val="center"/>
          </w:tcPr>
          <w:p w14:paraId="1A3216B6" w14:textId="77777777" w:rsidR="00CB7681" w:rsidRPr="00F9037E" w:rsidRDefault="00CB7681" w:rsidP="000E64F3">
            <w:pPr>
              <w:spacing w:before="40" w:after="40"/>
              <w:jc w:val="center"/>
              <w:rPr>
                <w:rFonts w:ascii="Arial" w:hAnsi="Arial"/>
                <w:b/>
                <w:sz w:val="18"/>
              </w:rPr>
            </w:pPr>
            <w:r w:rsidRPr="00F9037E">
              <w:rPr>
                <w:rFonts w:ascii="Arial" w:hAnsi="Arial"/>
                <w:b/>
                <w:sz w:val="18"/>
              </w:rPr>
              <w:t>CUE for 2014</w:t>
            </w:r>
            <w:r w:rsidRPr="00F9037E">
              <w:rPr>
                <w:rFonts w:ascii="Arial" w:hAnsi="Arial"/>
                <w:b/>
                <w:sz w:val="18"/>
                <w:vertAlign w:val="superscript"/>
              </w:rPr>
              <w:t>10</w:t>
            </w:r>
          </w:p>
        </w:tc>
        <w:tc>
          <w:tcPr>
            <w:tcW w:w="851" w:type="dxa"/>
            <w:tcBorders>
              <w:top w:val="single" w:sz="4" w:space="0" w:color="auto"/>
            </w:tcBorders>
            <w:vAlign w:val="center"/>
          </w:tcPr>
          <w:p w14:paraId="0E9DF918" w14:textId="77777777" w:rsidR="00CB7681" w:rsidRPr="00F9037E" w:rsidRDefault="00CB7681" w:rsidP="000E64F3">
            <w:pPr>
              <w:spacing w:before="40" w:after="40"/>
              <w:jc w:val="center"/>
              <w:rPr>
                <w:rFonts w:ascii="Arial" w:hAnsi="Arial"/>
                <w:b/>
                <w:sz w:val="18"/>
              </w:rPr>
            </w:pPr>
            <w:r w:rsidRPr="00F9037E">
              <w:rPr>
                <w:rFonts w:ascii="Arial" w:hAnsi="Arial"/>
                <w:b/>
                <w:sz w:val="18"/>
              </w:rPr>
              <w:t>CUE for 2015</w:t>
            </w:r>
            <w:r w:rsidRPr="00F9037E">
              <w:rPr>
                <w:rFonts w:ascii="Arial" w:hAnsi="Arial"/>
                <w:b/>
                <w:sz w:val="18"/>
                <w:vertAlign w:val="superscript"/>
              </w:rPr>
              <w:t>11</w:t>
            </w:r>
          </w:p>
        </w:tc>
        <w:tc>
          <w:tcPr>
            <w:tcW w:w="850" w:type="dxa"/>
            <w:tcBorders>
              <w:top w:val="single" w:sz="4" w:space="0" w:color="auto"/>
              <w:bottom w:val="single" w:sz="6" w:space="0" w:color="auto"/>
            </w:tcBorders>
            <w:vAlign w:val="center"/>
          </w:tcPr>
          <w:p w14:paraId="5D69D14D" w14:textId="77777777" w:rsidR="00CB7681" w:rsidRPr="00F9037E" w:rsidRDefault="00CB7681" w:rsidP="000E64F3">
            <w:pPr>
              <w:spacing w:before="40" w:after="40"/>
              <w:jc w:val="center"/>
              <w:rPr>
                <w:rFonts w:ascii="Arial" w:hAnsi="Arial"/>
                <w:b/>
                <w:sz w:val="18"/>
              </w:rPr>
            </w:pPr>
            <w:r w:rsidRPr="00F9037E">
              <w:rPr>
                <w:rFonts w:ascii="Arial" w:hAnsi="Arial"/>
                <w:b/>
                <w:sz w:val="18"/>
              </w:rPr>
              <w:t>CUE for 2016</w:t>
            </w:r>
            <w:r w:rsidRPr="00F9037E">
              <w:rPr>
                <w:rFonts w:ascii="Arial" w:hAnsi="Arial"/>
                <w:b/>
                <w:sz w:val="18"/>
                <w:vertAlign w:val="superscript"/>
              </w:rPr>
              <w:t>12</w:t>
            </w:r>
          </w:p>
        </w:tc>
        <w:tc>
          <w:tcPr>
            <w:tcW w:w="851" w:type="dxa"/>
            <w:tcBorders>
              <w:top w:val="single" w:sz="4" w:space="0" w:color="auto"/>
              <w:bottom w:val="single" w:sz="6" w:space="0" w:color="auto"/>
            </w:tcBorders>
            <w:vAlign w:val="center"/>
          </w:tcPr>
          <w:p w14:paraId="3F8F7108" w14:textId="77777777" w:rsidR="00CB7681" w:rsidRPr="00F9037E" w:rsidRDefault="00CB7681" w:rsidP="000E64F3">
            <w:pPr>
              <w:spacing w:before="40" w:after="40"/>
              <w:jc w:val="center"/>
              <w:rPr>
                <w:rFonts w:ascii="Arial" w:hAnsi="Arial"/>
                <w:b/>
                <w:sz w:val="18"/>
              </w:rPr>
            </w:pPr>
            <w:r w:rsidRPr="00F9037E">
              <w:rPr>
                <w:rFonts w:ascii="Arial" w:hAnsi="Arial"/>
                <w:b/>
                <w:sz w:val="18"/>
              </w:rPr>
              <w:t>CUN for 2017</w:t>
            </w:r>
          </w:p>
        </w:tc>
        <w:tc>
          <w:tcPr>
            <w:tcW w:w="1984" w:type="dxa"/>
            <w:gridSpan w:val="2"/>
            <w:tcBorders>
              <w:top w:val="single" w:sz="4" w:space="0" w:color="auto"/>
              <w:bottom w:val="single" w:sz="6" w:space="0" w:color="auto"/>
            </w:tcBorders>
            <w:vAlign w:val="center"/>
          </w:tcPr>
          <w:p w14:paraId="7CF0159F" w14:textId="77777777" w:rsidR="00CB7681" w:rsidRPr="00F9037E" w:rsidRDefault="00CB7681" w:rsidP="000E64F3">
            <w:pPr>
              <w:spacing w:before="40" w:after="40"/>
              <w:jc w:val="center"/>
              <w:rPr>
                <w:rFonts w:ascii="Arial" w:hAnsi="Arial"/>
                <w:b/>
                <w:sz w:val="18"/>
              </w:rPr>
            </w:pPr>
            <w:r w:rsidRPr="00F9037E">
              <w:rPr>
                <w:rFonts w:ascii="Arial" w:hAnsi="Arial" w:cs="Arial"/>
                <w:b/>
                <w:sz w:val="18"/>
                <w:szCs w:val="18"/>
              </w:rPr>
              <w:t>MBTOC final recommendation for 2017</w:t>
            </w:r>
          </w:p>
        </w:tc>
      </w:tr>
      <w:tr w:rsidR="00CB7681" w:rsidRPr="00F9037E" w14:paraId="680E41BF" w14:textId="77777777" w:rsidTr="000633FC">
        <w:trPr>
          <w:trHeight w:val="70"/>
        </w:trPr>
        <w:tc>
          <w:tcPr>
            <w:tcW w:w="992" w:type="dxa"/>
            <w:vMerge w:val="restart"/>
            <w:tcBorders>
              <w:top w:val="single" w:sz="4" w:space="0" w:color="auto"/>
            </w:tcBorders>
          </w:tcPr>
          <w:p w14:paraId="70BB06ED" w14:textId="77777777" w:rsidR="00CB7681" w:rsidRPr="00F9037E" w:rsidRDefault="00CB7681" w:rsidP="000E64F3">
            <w:pPr>
              <w:spacing w:before="40" w:after="40"/>
              <w:rPr>
                <w:rFonts w:ascii="Arial" w:hAnsi="Arial" w:cs="Arial"/>
                <w:sz w:val="18"/>
                <w:szCs w:val="18"/>
              </w:rPr>
            </w:pPr>
            <w:r w:rsidRPr="00F9037E">
              <w:rPr>
                <w:rFonts w:ascii="Arial" w:hAnsi="Arial" w:cs="Arial"/>
                <w:sz w:val="18"/>
                <w:szCs w:val="18"/>
              </w:rPr>
              <w:t xml:space="preserve">Canada </w:t>
            </w:r>
          </w:p>
        </w:tc>
        <w:tc>
          <w:tcPr>
            <w:tcW w:w="1276" w:type="dxa"/>
            <w:tcBorders>
              <w:top w:val="single" w:sz="4" w:space="0" w:color="auto"/>
            </w:tcBorders>
            <w:shd w:val="clear" w:color="auto" w:fill="FFFF99"/>
          </w:tcPr>
          <w:p w14:paraId="5205990C" w14:textId="77777777" w:rsidR="00CB7681" w:rsidRPr="00F9037E" w:rsidRDefault="00CB7681" w:rsidP="000E64F3">
            <w:pPr>
              <w:spacing w:before="40" w:after="40"/>
              <w:rPr>
                <w:rFonts w:ascii="Arial" w:hAnsi="Arial" w:cs="Arial"/>
                <w:sz w:val="18"/>
                <w:szCs w:val="18"/>
              </w:rPr>
            </w:pPr>
            <w:r w:rsidRPr="00F9037E">
              <w:rPr>
                <w:rFonts w:ascii="Arial" w:hAnsi="Arial" w:cs="Arial"/>
                <w:sz w:val="18"/>
                <w:szCs w:val="18"/>
              </w:rPr>
              <w:t>Strawberry runners (PEI)</w:t>
            </w:r>
          </w:p>
        </w:tc>
        <w:tc>
          <w:tcPr>
            <w:tcW w:w="851" w:type="dxa"/>
            <w:tcBorders>
              <w:top w:val="single" w:sz="4" w:space="0" w:color="auto"/>
            </w:tcBorders>
            <w:shd w:val="clear" w:color="auto" w:fill="FFFF99"/>
            <w:vAlign w:val="center"/>
          </w:tcPr>
          <w:p w14:paraId="3BCD5161" w14:textId="77777777" w:rsidR="00CB7681" w:rsidRPr="00F9037E" w:rsidRDefault="00CB7681" w:rsidP="000E64F3">
            <w:pPr>
              <w:spacing w:before="40" w:after="40"/>
              <w:jc w:val="center"/>
              <w:rPr>
                <w:rFonts w:ascii="Arial" w:hAnsi="Arial" w:cs="Arial"/>
                <w:sz w:val="18"/>
                <w:szCs w:val="18"/>
              </w:rPr>
            </w:pPr>
            <w:r w:rsidRPr="00F9037E">
              <w:rPr>
                <w:rFonts w:ascii="Arial" w:hAnsi="Arial" w:cs="Arial"/>
                <w:sz w:val="18"/>
                <w:szCs w:val="18"/>
              </w:rPr>
              <w:t>6.840</w:t>
            </w:r>
          </w:p>
        </w:tc>
        <w:tc>
          <w:tcPr>
            <w:tcW w:w="850" w:type="dxa"/>
            <w:tcBorders>
              <w:top w:val="single" w:sz="4" w:space="0" w:color="auto"/>
            </w:tcBorders>
            <w:shd w:val="clear" w:color="auto" w:fill="FFFF99"/>
            <w:vAlign w:val="center"/>
          </w:tcPr>
          <w:p w14:paraId="4EB7BEEB" w14:textId="77777777" w:rsidR="00CB7681" w:rsidRPr="00F9037E" w:rsidRDefault="00CB7681" w:rsidP="000E64F3">
            <w:pPr>
              <w:spacing w:before="40" w:after="40"/>
              <w:jc w:val="center"/>
              <w:rPr>
                <w:rFonts w:ascii="Arial" w:hAnsi="Arial" w:cs="Arial"/>
                <w:sz w:val="18"/>
                <w:szCs w:val="18"/>
              </w:rPr>
            </w:pPr>
            <w:r w:rsidRPr="00F9037E">
              <w:rPr>
                <w:rFonts w:ascii="Arial" w:hAnsi="Arial" w:cs="Arial"/>
                <w:sz w:val="18"/>
                <w:szCs w:val="18"/>
              </w:rPr>
              <w:t>6.840</w:t>
            </w:r>
          </w:p>
        </w:tc>
        <w:tc>
          <w:tcPr>
            <w:tcW w:w="851" w:type="dxa"/>
            <w:tcBorders>
              <w:top w:val="single" w:sz="4" w:space="0" w:color="auto"/>
            </w:tcBorders>
            <w:shd w:val="clear" w:color="auto" w:fill="FFFF99"/>
            <w:vAlign w:val="center"/>
          </w:tcPr>
          <w:p w14:paraId="7A241E8D" w14:textId="77777777" w:rsidR="00CB7681" w:rsidRPr="00F9037E" w:rsidRDefault="00CB7681" w:rsidP="000E64F3">
            <w:pPr>
              <w:spacing w:before="40" w:after="40"/>
              <w:jc w:val="center"/>
              <w:rPr>
                <w:rFonts w:ascii="Arial" w:hAnsi="Arial" w:cs="Arial"/>
                <w:sz w:val="18"/>
                <w:szCs w:val="18"/>
              </w:rPr>
            </w:pPr>
            <w:r w:rsidRPr="00F9037E">
              <w:rPr>
                <w:rFonts w:ascii="Arial" w:hAnsi="Arial" w:cs="Arial"/>
                <w:sz w:val="18"/>
                <w:szCs w:val="18"/>
              </w:rPr>
              <w:t>7.995</w:t>
            </w:r>
          </w:p>
        </w:tc>
        <w:tc>
          <w:tcPr>
            <w:tcW w:w="850" w:type="dxa"/>
            <w:tcBorders>
              <w:top w:val="single" w:sz="4" w:space="0" w:color="auto"/>
            </w:tcBorders>
            <w:shd w:val="clear" w:color="auto" w:fill="FFFF99"/>
            <w:vAlign w:val="center"/>
          </w:tcPr>
          <w:p w14:paraId="56B4F79D" w14:textId="77777777" w:rsidR="00CB7681" w:rsidRPr="00F9037E" w:rsidRDefault="00CB7681" w:rsidP="000E64F3">
            <w:pPr>
              <w:spacing w:before="40" w:after="40"/>
              <w:jc w:val="center"/>
              <w:rPr>
                <w:rFonts w:ascii="Arial" w:hAnsi="Arial" w:cs="Arial"/>
                <w:sz w:val="18"/>
                <w:szCs w:val="18"/>
              </w:rPr>
            </w:pPr>
            <w:r w:rsidRPr="00F9037E">
              <w:rPr>
                <w:rFonts w:ascii="Arial" w:hAnsi="Arial" w:cs="Arial"/>
                <w:sz w:val="18"/>
                <w:szCs w:val="18"/>
              </w:rPr>
              <w:t>7.462</w:t>
            </w:r>
          </w:p>
        </w:tc>
        <w:tc>
          <w:tcPr>
            <w:tcW w:w="851" w:type="dxa"/>
            <w:tcBorders>
              <w:top w:val="single" w:sz="4" w:space="0" w:color="auto"/>
            </w:tcBorders>
            <w:shd w:val="clear" w:color="auto" w:fill="FFFF99"/>
            <w:vAlign w:val="center"/>
          </w:tcPr>
          <w:p w14:paraId="778C2D8E" w14:textId="77777777" w:rsidR="00CB7681" w:rsidRPr="00F9037E" w:rsidRDefault="00CB7681" w:rsidP="000E64F3">
            <w:pPr>
              <w:spacing w:before="40" w:after="40"/>
              <w:jc w:val="center"/>
              <w:rPr>
                <w:rFonts w:ascii="Arial" w:hAnsi="Arial" w:cs="Arial"/>
                <w:sz w:val="18"/>
                <w:szCs w:val="18"/>
              </w:rPr>
            </w:pPr>
            <w:r w:rsidRPr="00F9037E">
              <w:rPr>
                <w:rFonts w:ascii="Arial" w:hAnsi="Arial" w:cs="Arial"/>
                <w:sz w:val="18"/>
                <w:szCs w:val="18"/>
              </w:rPr>
              <w:t>7.462</w:t>
            </w:r>
          </w:p>
        </w:tc>
        <w:tc>
          <w:tcPr>
            <w:tcW w:w="850" w:type="dxa"/>
            <w:tcBorders>
              <w:top w:val="single" w:sz="4" w:space="0" w:color="auto"/>
            </w:tcBorders>
            <w:shd w:val="clear" w:color="auto" w:fill="FFFF99"/>
            <w:vAlign w:val="center"/>
          </w:tcPr>
          <w:p w14:paraId="57BC9386" w14:textId="77777777" w:rsidR="00CB7681" w:rsidRPr="00F9037E" w:rsidRDefault="00CB7681" w:rsidP="000E64F3">
            <w:pPr>
              <w:spacing w:before="40" w:after="40"/>
              <w:jc w:val="center"/>
              <w:rPr>
                <w:rFonts w:ascii="Arial" w:hAnsi="Arial" w:cs="Arial"/>
                <w:sz w:val="18"/>
                <w:szCs w:val="18"/>
              </w:rPr>
            </w:pPr>
            <w:r w:rsidRPr="00F9037E">
              <w:rPr>
                <w:rFonts w:ascii="Arial" w:hAnsi="Arial" w:cs="Arial"/>
                <w:sz w:val="18"/>
                <w:szCs w:val="18"/>
              </w:rPr>
              <w:t>7.462</w:t>
            </w:r>
          </w:p>
        </w:tc>
        <w:tc>
          <w:tcPr>
            <w:tcW w:w="851" w:type="dxa"/>
            <w:tcBorders>
              <w:top w:val="single" w:sz="4" w:space="0" w:color="auto"/>
            </w:tcBorders>
            <w:shd w:val="clear" w:color="auto" w:fill="FFFF99"/>
            <w:vAlign w:val="center"/>
          </w:tcPr>
          <w:p w14:paraId="78746E18" w14:textId="77777777" w:rsidR="00CB7681" w:rsidRPr="00F9037E" w:rsidRDefault="00CB7681" w:rsidP="000E64F3">
            <w:pPr>
              <w:spacing w:before="40" w:after="40"/>
              <w:jc w:val="center"/>
              <w:rPr>
                <w:rFonts w:ascii="Arial" w:hAnsi="Arial" w:cs="Arial"/>
                <w:sz w:val="18"/>
                <w:szCs w:val="18"/>
              </w:rPr>
            </w:pPr>
            <w:r w:rsidRPr="00F9037E">
              <w:rPr>
                <w:rFonts w:ascii="Arial" w:hAnsi="Arial" w:cs="Arial"/>
                <w:sz w:val="18"/>
                <w:szCs w:val="18"/>
              </w:rPr>
              <w:t>5.261</w:t>
            </w:r>
          </w:p>
        </w:tc>
        <w:tc>
          <w:tcPr>
            <w:tcW w:w="850" w:type="dxa"/>
            <w:tcBorders>
              <w:top w:val="single" w:sz="4" w:space="0" w:color="auto"/>
            </w:tcBorders>
            <w:shd w:val="clear" w:color="auto" w:fill="FFFF99"/>
            <w:vAlign w:val="center"/>
          </w:tcPr>
          <w:p w14:paraId="25B07692" w14:textId="77777777" w:rsidR="00CB7681" w:rsidRPr="00F9037E" w:rsidRDefault="00CB7681" w:rsidP="000E64F3">
            <w:pPr>
              <w:spacing w:before="40" w:after="40"/>
              <w:jc w:val="center"/>
              <w:rPr>
                <w:rFonts w:ascii="Arial" w:hAnsi="Arial" w:cs="Arial"/>
                <w:sz w:val="18"/>
                <w:szCs w:val="18"/>
              </w:rPr>
            </w:pPr>
            <w:r w:rsidRPr="00F9037E">
              <w:rPr>
                <w:rFonts w:ascii="Arial" w:hAnsi="Arial" w:cs="Arial"/>
                <w:sz w:val="18"/>
                <w:szCs w:val="18"/>
              </w:rPr>
              <w:t>5.261</w:t>
            </w:r>
          </w:p>
        </w:tc>
        <w:tc>
          <w:tcPr>
            <w:tcW w:w="851" w:type="dxa"/>
            <w:tcBorders>
              <w:top w:val="single" w:sz="4" w:space="0" w:color="auto"/>
            </w:tcBorders>
            <w:shd w:val="clear" w:color="auto" w:fill="FFFF99"/>
            <w:vAlign w:val="center"/>
          </w:tcPr>
          <w:p w14:paraId="7DC18F95" w14:textId="77777777" w:rsidR="00CB7681" w:rsidRPr="00F9037E" w:rsidRDefault="00CB7681" w:rsidP="000E64F3">
            <w:pPr>
              <w:spacing w:before="40" w:after="40"/>
              <w:jc w:val="center"/>
              <w:rPr>
                <w:rFonts w:ascii="Arial" w:hAnsi="Arial" w:cs="Arial"/>
                <w:sz w:val="18"/>
                <w:szCs w:val="18"/>
              </w:rPr>
            </w:pPr>
            <w:r w:rsidRPr="00F9037E">
              <w:rPr>
                <w:rFonts w:ascii="Arial" w:hAnsi="Arial" w:cs="Arial"/>
                <w:sz w:val="18"/>
                <w:szCs w:val="18"/>
              </w:rPr>
              <w:t>5.261</w:t>
            </w:r>
          </w:p>
        </w:tc>
        <w:tc>
          <w:tcPr>
            <w:tcW w:w="850" w:type="dxa"/>
            <w:shd w:val="clear" w:color="auto" w:fill="FFFF99"/>
            <w:vAlign w:val="center"/>
          </w:tcPr>
          <w:p w14:paraId="05AE5173" w14:textId="77777777" w:rsidR="00CB7681" w:rsidRPr="00F9037E" w:rsidRDefault="00CB7681" w:rsidP="000E64F3">
            <w:pPr>
              <w:spacing w:before="40" w:after="40"/>
              <w:jc w:val="center"/>
              <w:rPr>
                <w:rFonts w:ascii="Arial" w:hAnsi="Arial" w:cs="Arial"/>
                <w:b/>
                <w:sz w:val="18"/>
                <w:szCs w:val="18"/>
              </w:rPr>
            </w:pPr>
            <w:r w:rsidRPr="00F9037E">
              <w:rPr>
                <w:rFonts w:ascii="Arial" w:hAnsi="Arial" w:cs="Arial"/>
                <w:sz w:val="18"/>
                <w:szCs w:val="18"/>
              </w:rPr>
              <w:t>5.261</w:t>
            </w:r>
          </w:p>
        </w:tc>
        <w:tc>
          <w:tcPr>
            <w:tcW w:w="851" w:type="dxa"/>
            <w:shd w:val="clear" w:color="auto" w:fill="FFFF99"/>
            <w:vAlign w:val="center"/>
          </w:tcPr>
          <w:p w14:paraId="0B77683F" w14:textId="77777777" w:rsidR="00CB7681" w:rsidRPr="00F9037E" w:rsidRDefault="00CB7681" w:rsidP="000E64F3">
            <w:pPr>
              <w:spacing w:before="40" w:after="40"/>
              <w:jc w:val="center"/>
              <w:rPr>
                <w:rFonts w:ascii="Arial" w:hAnsi="Arial" w:cs="Arial"/>
                <w:sz w:val="18"/>
                <w:szCs w:val="18"/>
              </w:rPr>
            </w:pPr>
            <w:r w:rsidRPr="00F9037E">
              <w:rPr>
                <w:rFonts w:ascii="Arial" w:hAnsi="Arial" w:cs="Arial"/>
                <w:sz w:val="18"/>
                <w:szCs w:val="18"/>
              </w:rPr>
              <w:t>5.261</w:t>
            </w:r>
          </w:p>
        </w:tc>
        <w:tc>
          <w:tcPr>
            <w:tcW w:w="850" w:type="dxa"/>
            <w:tcBorders>
              <w:top w:val="single" w:sz="6" w:space="0" w:color="auto"/>
              <w:bottom w:val="single" w:sz="6" w:space="0" w:color="auto"/>
            </w:tcBorders>
            <w:shd w:val="clear" w:color="auto" w:fill="FFFF99"/>
            <w:vAlign w:val="center"/>
          </w:tcPr>
          <w:p w14:paraId="7EE6E697" w14:textId="77777777" w:rsidR="00CB7681" w:rsidRPr="00F9037E" w:rsidRDefault="00CB7681" w:rsidP="000E64F3">
            <w:pPr>
              <w:spacing w:before="40" w:after="40"/>
              <w:jc w:val="center"/>
              <w:rPr>
                <w:rFonts w:ascii="Arial" w:hAnsi="Arial" w:cs="Arial"/>
                <w:sz w:val="18"/>
                <w:szCs w:val="18"/>
              </w:rPr>
            </w:pPr>
            <w:r w:rsidRPr="00F9037E">
              <w:rPr>
                <w:rFonts w:ascii="Arial" w:hAnsi="Arial" w:cs="Arial"/>
                <w:sz w:val="18"/>
                <w:szCs w:val="18"/>
              </w:rPr>
              <w:t>5.261</w:t>
            </w:r>
          </w:p>
        </w:tc>
        <w:tc>
          <w:tcPr>
            <w:tcW w:w="851" w:type="dxa"/>
            <w:tcBorders>
              <w:top w:val="single" w:sz="6" w:space="0" w:color="auto"/>
              <w:bottom w:val="single" w:sz="6" w:space="0" w:color="auto"/>
            </w:tcBorders>
            <w:shd w:val="clear" w:color="auto" w:fill="FFFF99"/>
            <w:vAlign w:val="center"/>
          </w:tcPr>
          <w:p w14:paraId="7B292769" w14:textId="77777777" w:rsidR="00CB7681" w:rsidRPr="00F9037E" w:rsidRDefault="00CB7681" w:rsidP="000E64F3">
            <w:pPr>
              <w:spacing w:before="40" w:after="40"/>
              <w:jc w:val="center"/>
              <w:rPr>
                <w:rFonts w:ascii="Arial" w:hAnsi="Arial" w:cs="Arial"/>
                <w:sz w:val="18"/>
                <w:szCs w:val="18"/>
              </w:rPr>
            </w:pPr>
            <w:r w:rsidRPr="00F9037E">
              <w:rPr>
                <w:rFonts w:ascii="Arial" w:hAnsi="Arial" w:cs="Arial"/>
                <w:sz w:val="18"/>
                <w:szCs w:val="18"/>
              </w:rPr>
              <w:t>5.261</w:t>
            </w:r>
          </w:p>
        </w:tc>
        <w:tc>
          <w:tcPr>
            <w:tcW w:w="1984" w:type="dxa"/>
            <w:gridSpan w:val="2"/>
            <w:tcBorders>
              <w:top w:val="single" w:sz="6" w:space="0" w:color="auto"/>
              <w:bottom w:val="single" w:sz="6" w:space="0" w:color="auto"/>
            </w:tcBorders>
            <w:shd w:val="clear" w:color="auto" w:fill="FFFF99"/>
            <w:vAlign w:val="center"/>
          </w:tcPr>
          <w:p w14:paraId="74D9F162" w14:textId="77777777" w:rsidR="00CB7681" w:rsidRPr="00F9037E" w:rsidRDefault="00CB7681" w:rsidP="000E64F3">
            <w:pPr>
              <w:spacing w:before="40" w:after="40"/>
              <w:jc w:val="center"/>
              <w:rPr>
                <w:rFonts w:ascii="Arial" w:hAnsi="Arial" w:cs="Arial"/>
                <w:sz w:val="18"/>
                <w:szCs w:val="18"/>
              </w:rPr>
            </w:pPr>
            <w:r w:rsidRPr="00F9037E">
              <w:rPr>
                <w:rFonts w:ascii="Arial" w:hAnsi="Arial" w:cs="Arial"/>
                <w:sz w:val="18"/>
                <w:szCs w:val="18"/>
              </w:rPr>
              <w:t>[5.261]</w:t>
            </w:r>
          </w:p>
        </w:tc>
      </w:tr>
      <w:tr w:rsidR="00CB7681" w:rsidRPr="00F9037E" w14:paraId="552D0920" w14:textId="77777777" w:rsidTr="000633FC">
        <w:trPr>
          <w:trHeight w:val="480"/>
        </w:trPr>
        <w:tc>
          <w:tcPr>
            <w:tcW w:w="992" w:type="dxa"/>
            <w:vMerge/>
          </w:tcPr>
          <w:p w14:paraId="05FD340D" w14:textId="77777777" w:rsidR="00CB7681" w:rsidRPr="00F9037E" w:rsidRDefault="00CB7681" w:rsidP="000E64F3">
            <w:pPr>
              <w:spacing w:before="40" w:after="40"/>
              <w:rPr>
                <w:rFonts w:ascii="Arial" w:hAnsi="Arial"/>
                <w:sz w:val="18"/>
              </w:rPr>
            </w:pPr>
          </w:p>
        </w:tc>
        <w:tc>
          <w:tcPr>
            <w:tcW w:w="1276" w:type="dxa"/>
          </w:tcPr>
          <w:p w14:paraId="5DC28D45" w14:textId="77777777" w:rsidR="00CB7681" w:rsidRPr="00F9037E" w:rsidRDefault="00CB7681" w:rsidP="000E64F3">
            <w:pPr>
              <w:spacing w:after="0"/>
              <w:rPr>
                <w:rFonts w:ascii="Arial" w:hAnsi="Arial"/>
                <w:b/>
                <w:sz w:val="18"/>
              </w:rPr>
            </w:pPr>
          </w:p>
        </w:tc>
        <w:tc>
          <w:tcPr>
            <w:tcW w:w="13041" w:type="dxa"/>
            <w:gridSpan w:val="15"/>
          </w:tcPr>
          <w:p w14:paraId="0BB272E6" w14:textId="77777777" w:rsidR="00CB7681" w:rsidRPr="00F9037E" w:rsidRDefault="00CB7681" w:rsidP="000E64F3">
            <w:pPr>
              <w:spacing w:after="0"/>
              <w:rPr>
                <w:rFonts w:ascii="Arial" w:hAnsi="Arial"/>
                <w:b/>
                <w:sz w:val="18"/>
              </w:rPr>
            </w:pPr>
          </w:p>
          <w:p w14:paraId="57EEAB6F" w14:textId="77777777" w:rsidR="00CB7681" w:rsidRPr="00F9037E" w:rsidRDefault="00CB7681" w:rsidP="000E64F3">
            <w:pPr>
              <w:spacing w:after="120"/>
              <w:rPr>
                <w:rFonts w:ascii="Arial" w:hAnsi="Arial"/>
                <w:sz w:val="18"/>
              </w:rPr>
            </w:pPr>
            <w:r w:rsidRPr="00F9037E">
              <w:rPr>
                <w:rFonts w:ascii="Arial" w:hAnsi="Arial"/>
                <w:b/>
                <w:sz w:val="18"/>
              </w:rPr>
              <w:t>MBTOC Final Recommendation for 2017:</w:t>
            </w:r>
            <w:r w:rsidRPr="00F9037E">
              <w:rPr>
                <w:rFonts w:ascii="Arial" w:hAnsi="Arial" w:cs="Arial"/>
                <w:sz w:val="18"/>
                <w:szCs w:val="18"/>
              </w:rPr>
              <w:br/>
            </w:r>
          </w:p>
          <w:p w14:paraId="7A339EE8" w14:textId="77777777" w:rsidR="00CB7681" w:rsidRPr="00F9037E" w:rsidRDefault="00CB7681" w:rsidP="000E64F3">
            <w:pPr>
              <w:spacing w:after="0"/>
              <w:jc w:val="both"/>
              <w:rPr>
                <w:rFonts w:ascii="Arial" w:hAnsi="Arial"/>
                <w:sz w:val="18"/>
              </w:rPr>
            </w:pPr>
            <w:r w:rsidRPr="00F9037E">
              <w:rPr>
                <w:rFonts w:ascii="Arial" w:hAnsi="Arial"/>
                <w:sz w:val="18"/>
              </w:rPr>
              <w:t>MBTOC recommends 5.261 t</w:t>
            </w:r>
            <w:r w:rsidR="00022FF5" w:rsidRPr="00F9037E">
              <w:rPr>
                <w:rFonts w:ascii="Arial" w:hAnsi="Arial"/>
                <w:sz w:val="18"/>
              </w:rPr>
              <w:t xml:space="preserve">onnes </w:t>
            </w:r>
            <w:r w:rsidRPr="00F9037E">
              <w:rPr>
                <w:rFonts w:ascii="Arial" w:hAnsi="Arial"/>
                <w:sz w:val="18"/>
              </w:rPr>
              <w:t>as the Party has justified there are no viable alternatives.  Since the interim assessment the Party has provided a summary of a funded research program</w:t>
            </w:r>
            <w:r w:rsidR="0077432A" w:rsidRPr="00F9037E">
              <w:rPr>
                <w:rFonts w:ascii="Arial" w:hAnsi="Arial"/>
                <w:sz w:val="18"/>
              </w:rPr>
              <w:t>,</w:t>
            </w:r>
            <w:r w:rsidRPr="00F9037E">
              <w:rPr>
                <w:rFonts w:ascii="Arial" w:hAnsi="Arial"/>
                <w:sz w:val="18"/>
              </w:rPr>
              <w:t xml:space="preserve"> which demonstrates effort under Decision IX/6, however MBTOC is concerned that all present potential alternatives are not being considered because of strict restrictions on use by the PEI authorities.  MBTOC anticipates that it will be informed of any changes with the Federal registration of chloropicrin and that consideration is given to other alternatives being trialled or adopted in other industries worldwide that may still be technically feasible in future (e.g. substrates, DMDS, EDN, etc.).</w:t>
            </w:r>
          </w:p>
          <w:p w14:paraId="29642577" w14:textId="77777777" w:rsidR="00CB7681" w:rsidRPr="00F9037E" w:rsidRDefault="00CB7681" w:rsidP="000E64F3">
            <w:pPr>
              <w:spacing w:after="0"/>
              <w:jc w:val="both"/>
              <w:rPr>
                <w:rFonts w:ascii="Arial" w:hAnsi="Arial"/>
                <w:sz w:val="18"/>
              </w:rPr>
            </w:pPr>
          </w:p>
          <w:p w14:paraId="01FE1163" w14:textId="77777777" w:rsidR="00CB7681" w:rsidRPr="00F9037E" w:rsidRDefault="00CB7681" w:rsidP="000E64F3">
            <w:pPr>
              <w:spacing w:after="0"/>
              <w:jc w:val="both"/>
              <w:rPr>
                <w:rFonts w:ascii="Arial" w:hAnsi="Arial"/>
                <w:sz w:val="18"/>
              </w:rPr>
            </w:pPr>
            <w:r w:rsidRPr="00F9037E">
              <w:rPr>
                <w:rFonts w:ascii="Arial" w:hAnsi="Arial"/>
                <w:sz w:val="18"/>
              </w:rPr>
              <w:t xml:space="preserve">In past rounds, MBTOC has consistently recommended the Party to consider the use of 100% chloropicrin (registered in Canada) as a feasible alternative for MB under Dec. IX/6 for this one grower nomination. Several Canadian strawberry runner growers in other provinces, such as Ontario, Quebec and Nova Scotia, phased out methyl bromide by using chloropicrin or </w:t>
            </w:r>
            <w:proofErr w:type="spellStart"/>
            <w:r w:rsidRPr="00F9037E">
              <w:rPr>
                <w:rFonts w:ascii="Arial" w:hAnsi="Arial"/>
                <w:sz w:val="18"/>
              </w:rPr>
              <w:t>metham</w:t>
            </w:r>
            <w:proofErr w:type="spellEnd"/>
            <w:r w:rsidRPr="00F9037E">
              <w:rPr>
                <w:rFonts w:ascii="Arial" w:hAnsi="Arial"/>
                <w:sz w:val="18"/>
              </w:rPr>
              <w:t xml:space="preserve"> sodium, as stated in the CUN. The Party also stated that the grower was interested in testing PIC alone in its fields, evidenced by their repeated requests for chloropicrin use permits. However, the government of PEI has been unable to authorize the trials on Pic or any of the more likely chemical fumigant alternatives on the potential of groundwater contamination, despite other studies showing otherwise.</w:t>
            </w:r>
          </w:p>
          <w:p w14:paraId="0AEDBD90" w14:textId="77777777" w:rsidR="00CB7681" w:rsidRPr="00F9037E" w:rsidRDefault="00CB7681" w:rsidP="000E64F3">
            <w:pPr>
              <w:spacing w:after="0"/>
              <w:jc w:val="both"/>
              <w:rPr>
                <w:rFonts w:ascii="Arial" w:hAnsi="Arial"/>
                <w:sz w:val="18"/>
              </w:rPr>
            </w:pPr>
          </w:p>
          <w:p w14:paraId="5D8DF270" w14:textId="672E9FBE" w:rsidR="00CB7681" w:rsidRPr="000F08B5" w:rsidRDefault="00CB7681" w:rsidP="000E64F3">
            <w:pPr>
              <w:jc w:val="both"/>
              <w:rPr>
                <w:rFonts w:ascii="Arial" w:hAnsi="Arial" w:cs="Arial"/>
                <w:sz w:val="18"/>
                <w:szCs w:val="18"/>
              </w:rPr>
            </w:pPr>
            <w:r w:rsidRPr="00F9037E">
              <w:rPr>
                <w:rFonts w:ascii="Arial" w:hAnsi="Arial"/>
                <w:sz w:val="18"/>
              </w:rPr>
              <w:t xml:space="preserve">For several years, the Canadian nomination has been relying on a groundwater study to determine whether chloropicrin (PIC) can be considered, or not, as an alternative for PEI. The study was terminated as a result of a special review initiated by the Pest Management Regulatory Agency (PMRA) as stated in the last CUN and the Party has advised that Pic will no longer be considered for use in PEI even if the Federal review is successful.  At the same time, MBTOC recognizes the efforts to adopt new substrates for foundation stock, but urges the Party to expand research efforts to secure alternatives as indicated by Dec. </w:t>
            </w:r>
            <w:r w:rsidRPr="00563BC0">
              <w:rPr>
                <w:rFonts w:ascii="Arial" w:hAnsi="Arial"/>
                <w:sz w:val="18"/>
              </w:rPr>
              <w:t>IX/6 b (iii)</w:t>
            </w:r>
            <w:r w:rsidR="00CD3CBD" w:rsidRPr="000F08B5">
              <w:rPr>
                <w:rFonts w:ascii="Arial" w:hAnsi="Arial"/>
                <w:sz w:val="18"/>
              </w:rPr>
              <w:t>.</w:t>
            </w:r>
            <w:r w:rsidR="00CD3CBD" w:rsidRPr="000F08B5">
              <w:rPr>
                <w:rFonts w:ascii="Arial" w:hAnsi="Arial" w:cs="Arial"/>
                <w:sz w:val="18"/>
                <w:szCs w:val="18"/>
              </w:rPr>
              <w:t xml:space="preserve"> It</w:t>
            </w:r>
            <w:r w:rsidRPr="000F08B5">
              <w:rPr>
                <w:rFonts w:ascii="Arial" w:hAnsi="Arial" w:cs="Arial"/>
                <w:sz w:val="18"/>
                <w:szCs w:val="18"/>
              </w:rPr>
              <w:t xml:space="preserve"> will be considered by MBTOC, together with any additional information during its final assessment.</w:t>
            </w:r>
          </w:p>
          <w:p w14:paraId="299A9B34" w14:textId="77777777" w:rsidR="00CB7681" w:rsidRPr="00365366" w:rsidRDefault="00CB7681" w:rsidP="000E64F3">
            <w:pPr>
              <w:autoSpaceDE w:val="0"/>
              <w:autoSpaceDN w:val="0"/>
              <w:adjustRightInd w:val="0"/>
              <w:spacing w:after="120"/>
              <w:jc w:val="both"/>
              <w:rPr>
                <w:rFonts w:ascii="Arial" w:hAnsi="Arial"/>
                <w:b/>
                <w:sz w:val="18"/>
              </w:rPr>
            </w:pPr>
            <w:r w:rsidRPr="00365366">
              <w:rPr>
                <w:rFonts w:ascii="Arial" w:hAnsi="Arial"/>
                <w:b/>
                <w:sz w:val="18"/>
              </w:rPr>
              <w:t>Nomination by the Party for 2017:</w:t>
            </w:r>
          </w:p>
          <w:p w14:paraId="2B40F35B" w14:textId="77777777" w:rsidR="00CB7681" w:rsidRPr="00F9037E" w:rsidRDefault="00CB7681" w:rsidP="000E64F3">
            <w:pPr>
              <w:spacing w:after="120"/>
              <w:jc w:val="both"/>
              <w:rPr>
                <w:rFonts w:ascii="Arial" w:hAnsi="Arial"/>
                <w:sz w:val="18"/>
              </w:rPr>
            </w:pPr>
            <w:r w:rsidRPr="00F9037E">
              <w:rPr>
                <w:rFonts w:ascii="Arial" w:hAnsi="Arial"/>
                <w:sz w:val="18"/>
              </w:rPr>
              <w:t>The Party has nominated 5.261 t of MB, which is the same amount granted as a CUE for 2016 and for all previous years CUEs since 2011 for this one company. It is for use for multiplication on runners on 26.3 ha of land, which includes the two final stages of multiplication of plants exported from PEI.  The nomination is based on a reduced rate of MB of 20 g/m² (instead of 50 g/m</w:t>
            </w:r>
            <w:r w:rsidRPr="00F9037E">
              <w:rPr>
                <w:rFonts w:ascii="Arial" w:hAnsi="Arial"/>
                <w:sz w:val="18"/>
                <w:vertAlign w:val="superscript"/>
              </w:rPr>
              <w:t>2</w:t>
            </w:r>
            <w:r w:rsidRPr="00F9037E">
              <w:rPr>
                <w:rFonts w:ascii="Arial" w:hAnsi="Arial"/>
                <w:sz w:val="18"/>
              </w:rPr>
              <w:t>) under high barrier films for the entire fumigated area, which is consistent with MBTOC’s standard presumptions.</w:t>
            </w:r>
          </w:p>
          <w:p w14:paraId="75C4BF40" w14:textId="77777777" w:rsidR="00CB7681" w:rsidRPr="00F9037E" w:rsidRDefault="00CB7681" w:rsidP="000E64F3">
            <w:pPr>
              <w:spacing w:after="120"/>
              <w:jc w:val="both"/>
              <w:rPr>
                <w:rFonts w:ascii="Arial" w:hAnsi="Arial"/>
                <w:sz w:val="18"/>
              </w:rPr>
            </w:pPr>
            <w:r w:rsidRPr="00F9037E">
              <w:rPr>
                <w:rFonts w:ascii="Arial" w:hAnsi="Arial"/>
                <w:b/>
                <w:sz w:val="18"/>
              </w:rPr>
              <w:t>Circumstances of the nomination by the Party</w:t>
            </w:r>
            <w:r w:rsidRPr="00F9037E">
              <w:rPr>
                <w:rFonts w:ascii="Arial" w:hAnsi="Arial"/>
                <w:sz w:val="18"/>
              </w:rPr>
              <w:t>:</w:t>
            </w:r>
          </w:p>
          <w:p w14:paraId="17E9E83F" w14:textId="77777777" w:rsidR="00CB7681" w:rsidRPr="00F9037E" w:rsidRDefault="00CB7681" w:rsidP="000E64F3">
            <w:pPr>
              <w:jc w:val="both"/>
              <w:rPr>
                <w:rFonts w:ascii="Arial" w:hAnsi="Arial"/>
                <w:sz w:val="18"/>
              </w:rPr>
            </w:pPr>
            <w:r w:rsidRPr="00F9037E">
              <w:rPr>
                <w:rFonts w:ascii="Arial" w:hAnsi="Arial"/>
                <w:sz w:val="18"/>
              </w:rPr>
              <w:t>The grower has attempted to replace MB with 1</w:t>
            </w:r>
            <w:proofErr w:type="gramStart"/>
            <w:r w:rsidRPr="00F9037E">
              <w:rPr>
                <w:rFonts w:ascii="Arial" w:hAnsi="Arial"/>
                <w:sz w:val="18"/>
              </w:rPr>
              <w:t>,3</w:t>
            </w:r>
            <w:proofErr w:type="gramEnd"/>
            <w:r w:rsidRPr="00F9037E">
              <w:rPr>
                <w:rFonts w:ascii="Arial" w:hAnsi="Arial"/>
                <w:sz w:val="18"/>
              </w:rPr>
              <w:t xml:space="preserve">-D in the past, but this fumigant was banned for use in Prince Edward Island in January 2003 due to potential ground water contamination. </w:t>
            </w:r>
          </w:p>
          <w:p w14:paraId="037F853E" w14:textId="77777777" w:rsidR="00CB7681" w:rsidRPr="00F9037E" w:rsidRDefault="00CB7681" w:rsidP="000E64F3">
            <w:pPr>
              <w:jc w:val="both"/>
              <w:rPr>
                <w:rFonts w:ascii="Arial" w:hAnsi="Arial"/>
                <w:sz w:val="18"/>
              </w:rPr>
            </w:pPr>
            <w:r w:rsidRPr="00F9037E">
              <w:rPr>
                <w:rFonts w:ascii="Arial" w:hAnsi="Arial"/>
                <w:sz w:val="18"/>
              </w:rPr>
              <w:t xml:space="preserve">Several Canadian strawberry runner growers in other provinces such as Ontario, Quebec and Nova Scotia, phased out methyl bromide by using chloropicrin. Chloropicrin (PIC 100) is registered in Canada, but the PEI authorities have denied a permit for its use until further groundwater testing has been conducted. Long awaited studies on potential groundwater contamination of Pic 100 finally commenced in December 2013. Following the launch of the study, Health Canada’s Pest Management Regulatory Agency (PMRA) initiated a special review of chloropicrin as a result of the European Union’s decision to prohibit its use. In June 2014, PEI authorities informed Environment Canada that they would not authorize the use of chloropicrin through the issuance of a research permit as part of the groundwater monitoring study until the PMRA’s special review is completed.  Given that the study cannot proceed without a research permit from the PEI Government to use chloropicrin, the study has been put on hold. On May 21, 2015, the PMRA published a document entitled Pest Management Regulatory Agency </w:t>
            </w:r>
            <w:r w:rsidRPr="00F9037E">
              <w:rPr>
                <w:rFonts w:ascii="Arial" w:hAnsi="Arial"/>
                <w:sz w:val="18"/>
              </w:rPr>
              <w:lastRenderedPageBreak/>
              <w:t>Re-evaluation Work Plan 2015-2018.  A literature review of chloropicrin from major agricultural use in California and Florida indicates that chloropicrin is not detectable in groundwater.  In addition, chloropicrin was not detected in the two groundwater samples collected on PEI in 2009.</w:t>
            </w:r>
          </w:p>
          <w:p w14:paraId="4E275285" w14:textId="02B32F7E" w:rsidR="00CB7681" w:rsidRPr="00F9037E" w:rsidRDefault="00CB7681" w:rsidP="000E64F3">
            <w:pPr>
              <w:jc w:val="both"/>
              <w:rPr>
                <w:rFonts w:ascii="Arial" w:hAnsi="Arial"/>
                <w:sz w:val="18"/>
              </w:rPr>
            </w:pPr>
            <w:r w:rsidRPr="00F9037E">
              <w:rPr>
                <w:rFonts w:ascii="Arial" w:hAnsi="Arial"/>
                <w:sz w:val="18"/>
              </w:rPr>
              <w:t>The company at PEI has tested organic production from 2006 - 2009 with different varieties but found that significant reductions in yield resulted, ranging from 40% to 70%.  Only one variety using the organic production system compared favourably to conventional production. MB</w:t>
            </w:r>
            <w:r w:rsidR="00CD3CBD" w:rsidRPr="00F9037E">
              <w:rPr>
                <w:rFonts w:ascii="Arial" w:hAnsi="Arial"/>
                <w:sz w:val="18"/>
              </w:rPr>
              <w:t>: Pic</w:t>
            </w:r>
            <w:r w:rsidRPr="00F9037E">
              <w:rPr>
                <w:rFonts w:ascii="Arial" w:hAnsi="Arial"/>
                <w:sz w:val="18"/>
              </w:rPr>
              <w:t xml:space="preserve"> 67:33 at 50 g/m</w:t>
            </w:r>
            <w:r w:rsidRPr="00F9037E">
              <w:rPr>
                <w:rFonts w:ascii="Arial" w:hAnsi="Arial"/>
                <w:sz w:val="18"/>
                <w:vertAlign w:val="superscript"/>
              </w:rPr>
              <w:t>2</w:t>
            </w:r>
            <w:r w:rsidRPr="00F9037E">
              <w:rPr>
                <w:rFonts w:ascii="Arial" w:hAnsi="Arial"/>
                <w:sz w:val="18"/>
              </w:rPr>
              <w:t xml:space="preserve"> is the only formulation and rate registered for use in strawberry runners in PEI, and although this exceeds MBTOC’s standard presumption of 20 g/</w:t>
            </w:r>
            <w:proofErr w:type="gramStart"/>
            <w:r w:rsidRPr="00F9037E">
              <w:rPr>
                <w:rFonts w:ascii="Arial" w:hAnsi="Arial"/>
                <w:sz w:val="18"/>
              </w:rPr>
              <w:t>m</w:t>
            </w:r>
            <w:r w:rsidRPr="00F9037E">
              <w:rPr>
                <w:rFonts w:ascii="Arial" w:hAnsi="Arial"/>
                <w:sz w:val="18"/>
                <w:vertAlign w:val="superscript"/>
              </w:rPr>
              <w:t>2</w:t>
            </w:r>
            <w:r w:rsidRPr="00F9037E">
              <w:rPr>
                <w:rFonts w:ascii="Arial" w:hAnsi="Arial"/>
                <w:sz w:val="18"/>
              </w:rPr>
              <w:t xml:space="preserve"> ,</w:t>
            </w:r>
            <w:proofErr w:type="gramEnd"/>
            <w:r w:rsidRPr="00F9037E">
              <w:rPr>
                <w:rFonts w:ascii="Arial" w:hAnsi="Arial"/>
                <w:sz w:val="18"/>
              </w:rPr>
              <w:t xml:space="preserve"> the grower petitioned PMRA to use a lower rate under barrier films. PMRA, in the absence of a formal label amendment, granted permission to use a lower rate, but at the grower’s own risk and liability. The CUN for 2017 is based entirely on a reduced rate for MB of 20 g/m</w:t>
            </w:r>
            <w:r w:rsidRPr="00F9037E">
              <w:rPr>
                <w:rFonts w:ascii="Arial" w:hAnsi="Arial"/>
                <w:sz w:val="18"/>
                <w:vertAlign w:val="superscript"/>
              </w:rPr>
              <w:t>2</w:t>
            </w:r>
            <w:r w:rsidRPr="00F9037E">
              <w:rPr>
                <w:rFonts w:ascii="Arial" w:hAnsi="Arial"/>
                <w:sz w:val="18"/>
              </w:rPr>
              <w:t xml:space="preserve"> for the entire critical area (26.3 ha).</w:t>
            </w:r>
          </w:p>
          <w:p w14:paraId="55959E98" w14:textId="77777777" w:rsidR="00CB7681" w:rsidRPr="00F9037E" w:rsidRDefault="00CB7681" w:rsidP="000E64F3">
            <w:pPr>
              <w:spacing w:after="120"/>
              <w:jc w:val="both"/>
              <w:rPr>
                <w:rFonts w:ascii="Arial" w:hAnsi="Arial"/>
                <w:b/>
                <w:sz w:val="18"/>
              </w:rPr>
            </w:pPr>
            <w:r w:rsidRPr="00F9037E">
              <w:rPr>
                <w:rFonts w:ascii="Arial" w:hAnsi="Arial"/>
                <w:b/>
                <w:sz w:val="18"/>
              </w:rPr>
              <w:t>MBTOC final assessment for MB use in this sector in 2017:</w:t>
            </w:r>
          </w:p>
          <w:p w14:paraId="67F204BC" w14:textId="2F31A4BB" w:rsidR="00CB7681" w:rsidRPr="00F9037E" w:rsidRDefault="00CB7681" w:rsidP="000E64F3">
            <w:pPr>
              <w:jc w:val="both"/>
              <w:rPr>
                <w:rFonts w:ascii="Arial" w:hAnsi="Arial"/>
                <w:sz w:val="18"/>
              </w:rPr>
            </w:pPr>
            <w:r w:rsidRPr="00F9037E">
              <w:rPr>
                <w:rFonts w:ascii="Arial" w:hAnsi="Arial"/>
                <w:sz w:val="18"/>
              </w:rPr>
              <w:t>After thorough review of the information provided by the Party, MBTOC understands that the use of micro-propagated plants from USA and the scale up into soilless substrates is for the first stage of multiplication of runners at PEI to produce approximately 60,000 runners and that 420kg methyl bromide could be replaced or avoided if soilless is shown to be effective for this stage for which MBTOC believes there are effective alternatives. The nomination is presently requesting MB for this stage and the final two multiplication stages. Canada notes the first stage of this field production and multiplication is foundation stock. Whilst soilless production is technically feasible for the later stages of production (</w:t>
            </w:r>
            <w:proofErr w:type="spellStart"/>
            <w:r w:rsidRPr="00F9037E">
              <w:rPr>
                <w:rFonts w:ascii="Arial" w:hAnsi="Arial"/>
                <w:sz w:val="18"/>
              </w:rPr>
              <w:t>López</w:t>
            </w:r>
            <w:proofErr w:type="spellEnd"/>
            <w:r w:rsidRPr="00F9037E">
              <w:rPr>
                <w:rFonts w:ascii="Arial" w:hAnsi="Arial"/>
                <w:sz w:val="18"/>
              </w:rPr>
              <w:t xml:space="preserve">-Galarza </w:t>
            </w:r>
            <w:r w:rsidRPr="00F9037E">
              <w:rPr>
                <w:rFonts w:ascii="Arial" w:hAnsi="Arial"/>
                <w:i/>
                <w:sz w:val="18"/>
              </w:rPr>
              <w:t>et al.</w:t>
            </w:r>
            <w:r w:rsidRPr="00F9037E">
              <w:rPr>
                <w:rFonts w:ascii="Arial" w:hAnsi="Arial" w:cs="Arial"/>
                <w:sz w:val="18"/>
                <w:szCs w:val="18"/>
              </w:rPr>
              <w:t>,</w:t>
            </w:r>
            <w:r w:rsidRPr="00F9037E">
              <w:rPr>
                <w:rFonts w:ascii="Arial" w:hAnsi="Arial"/>
                <w:sz w:val="18"/>
              </w:rPr>
              <w:t xml:space="preserve"> 2010, Rodríguez-</w:t>
            </w:r>
            <w:proofErr w:type="spellStart"/>
            <w:r w:rsidRPr="00F9037E">
              <w:rPr>
                <w:rFonts w:ascii="Arial" w:hAnsi="Arial"/>
                <w:sz w:val="18"/>
              </w:rPr>
              <w:t>Delfín</w:t>
            </w:r>
            <w:proofErr w:type="spellEnd"/>
            <w:r w:rsidRPr="00F9037E">
              <w:rPr>
                <w:rFonts w:ascii="Arial" w:hAnsi="Arial"/>
                <w:sz w:val="18"/>
              </w:rPr>
              <w:t xml:space="preserve">; 2012; Miranda </w:t>
            </w:r>
            <w:r w:rsidRPr="00F9037E">
              <w:rPr>
                <w:rFonts w:ascii="Arial" w:hAnsi="Arial"/>
                <w:i/>
                <w:sz w:val="18"/>
              </w:rPr>
              <w:t>et al</w:t>
            </w:r>
            <w:r w:rsidRPr="00F9037E">
              <w:rPr>
                <w:rFonts w:ascii="Arial" w:hAnsi="Arial"/>
                <w:sz w:val="18"/>
              </w:rPr>
              <w:t>., 2014</w:t>
            </w:r>
            <w:r w:rsidR="00CD3CBD" w:rsidRPr="00F9037E">
              <w:rPr>
                <w:rFonts w:ascii="Arial" w:hAnsi="Arial"/>
                <w:sz w:val="18"/>
              </w:rPr>
              <w:t>),</w:t>
            </w:r>
            <w:r w:rsidRPr="00F9037E">
              <w:rPr>
                <w:rFonts w:ascii="Arial" w:hAnsi="Arial"/>
                <w:sz w:val="18"/>
              </w:rPr>
              <w:t xml:space="preserve"> MBTOC agrees from the information on economics that the use of soilless culture for the remaining runners may be uneconomical, but still considers this method could be feasible for part of the remaining nomination (</w:t>
            </w:r>
            <w:proofErr w:type="spellStart"/>
            <w:r w:rsidRPr="00F9037E">
              <w:rPr>
                <w:rFonts w:ascii="Arial" w:hAnsi="Arial"/>
                <w:sz w:val="18"/>
              </w:rPr>
              <w:t>Sjulin</w:t>
            </w:r>
            <w:proofErr w:type="spellEnd"/>
            <w:r w:rsidR="00DC4FD9" w:rsidRPr="00F9037E">
              <w:rPr>
                <w:rFonts w:ascii="Arial" w:hAnsi="Arial"/>
                <w:sz w:val="18"/>
              </w:rPr>
              <w:t xml:space="preserve"> </w:t>
            </w:r>
            <w:r w:rsidRPr="00F9037E">
              <w:rPr>
                <w:rFonts w:ascii="Arial" w:hAnsi="Arial" w:cs="Arial"/>
                <w:sz w:val="18"/>
                <w:szCs w:val="18"/>
              </w:rPr>
              <w:t>and</w:t>
            </w:r>
            <w:r w:rsidRPr="00F9037E">
              <w:rPr>
                <w:rFonts w:ascii="Arial" w:hAnsi="Arial"/>
                <w:sz w:val="18"/>
              </w:rPr>
              <w:t xml:space="preserve"> Greene, 2014).  </w:t>
            </w:r>
          </w:p>
          <w:p w14:paraId="4AAC8021" w14:textId="15DB8D45" w:rsidR="00CB7681" w:rsidRPr="00F9037E" w:rsidRDefault="00CB7681" w:rsidP="000E64F3">
            <w:pPr>
              <w:jc w:val="both"/>
              <w:rPr>
                <w:rFonts w:ascii="Arial" w:hAnsi="Arial"/>
                <w:sz w:val="18"/>
              </w:rPr>
            </w:pPr>
            <w:r w:rsidRPr="00F9037E">
              <w:rPr>
                <w:rFonts w:ascii="Arial" w:hAnsi="Arial"/>
                <w:sz w:val="18"/>
              </w:rPr>
              <w:t xml:space="preserve">For this reason, in previous years MBTOC agreed with the Party that the focus should be to find suitable alternatives for soil disinfestation and urged the Party to complete the groundwater studies to adopt chloropicrin either alone or in combination with other alternatives.  Studies on potential groundwater contamination with Pic 100 commenced in December 2013 but were terminated as a result of a special review initiated by the Pest Management Regulatory Agency (PMRA) as stated in the last CUN.  At the OEWG the Party has confirmed that no further groundwater studies will take place at PEI and chloropicrin cannot be considered as an alternative.  MBTOC still finds the situation difficult </w:t>
            </w:r>
            <w:r w:rsidR="00CD3CBD" w:rsidRPr="00F9037E">
              <w:rPr>
                <w:rFonts w:ascii="Arial" w:hAnsi="Arial"/>
                <w:sz w:val="18"/>
              </w:rPr>
              <w:t>as the</w:t>
            </w:r>
            <w:r w:rsidRPr="00F9037E">
              <w:rPr>
                <w:rFonts w:ascii="Arial" w:hAnsi="Arial"/>
                <w:sz w:val="18"/>
              </w:rPr>
              <w:t xml:space="preserve"> grower is still able to apply </w:t>
            </w:r>
            <w:proofErr w:type="spellStart"/>
            <w:r w:rsidRPr="00F9037E">
              <w:rPr>
                <w:rFonts w:ascii="Arial" w:hAnsi="Arial"/>
                <w:sz w:val="18"/>
              </w:rPr>
              <w:t>Terr</w:t>
            </w:r>
            <w:proofErr w:type="spellEnd"/>
            <w:r w:rsidRPr="00F9037E">
              <w:rPr>
                <w:rFonts w:ascii="Arial" w:hAnsi="Arial"/>
                <w:sz w:val="18"/>
              </w:rPr>
              <w:t xml:space="preserve">-O-Gas® (67:33) containing 33% chloropicrin. In other words, almost 2.6 tonnes of chloropicrin is being used each year in mixes with MB.  MBTOC also notes that </w:t>
            </w:r>
            <w:proofErr w:type="spellStart"/>
            <w:r w:rsidRPr="00F9037E">
              <w:rPr>
                <w:rFonts w:ascii="Arial" w:hAnsi="Arial"/>
                <w:sz w:val="18"/>
              </w:rPr>
              <w:t>metham</w:t>
            </w:r>
            <w:proofErr w:type="spellEnd"/>
            <w:r w:rsidR="00DC4FD9" w:rsidRPr="00F9037E">
              <w:rPr>
                <w:rFonts w:ascii="Arial" w:hAnsi="Arial"/>
                <w:sz w:val="18"/>
              </w:rPr>
              <w:t xml:space="preserve"> </w:t>
            </w:r>
            <w:r w:rsidR="00CD3CBD" w:rsidRPr="00F9037E">
              <w:rPr>
                <w:rFonts w:ascii="Arial" w:hAnsi="Arial"/>
                <w:sz w:val="18"/>
              </w:rPr>
              <w:t>sodium;</w:t>
            </w:r>
            <w:r w:rsidR="00DC4FD9" w:rsidRPr="00F9037E">
              <w:rPr>
                <w:rFonts w:ascii="Arial" w:hAnsi="Arial"/>
                <w:sz w:val="18"/>
              </w:rPr>
              <w:t xml:space="preserve"> </w:t>
            </w:r>
            <w:proofErr w:type="spellStart"/>
            <w:r w:rsidRPr="00F9037E">
              <w:rPr>
                <w:rFonts w:ascii="Arial" w:hAnsi="Arial"/>
                <w:sz w:val="18"/>
              </w:rPr>
              <w:t>metham</w:t>
            </w:r>
            <w:proofErr w:type="spellEnd"/>
            <w:r w:rsidRPr="00F9037E">
              <w:rPr>
                <w:rFonts w:ascii="Arial" w:hAnsi="Arial"/>
                <w:sz w:val="18"/>
              </w:rPr>
              <w:t xml:space="preserve"> potassium and </w:t>
            </w:r>
            <w:proofErr w:type="spellStart"/>
            <w:r w:rsidRPr="00F9037E">
              <w:rPr>
                <w:rFonts w:ascii="Arial" w:hAnsi="Arial"/>
                <w:sz w:val="18"/>
              </w:rPr>
              <w:t>dazomet</w:t>
            </w:r>
            <w:proofErr w:type="spellEnd"/>
            <w:r w:rsidRPr="00F9037E">
              <w:rPr>
                <w:rFonts w:ascii="Arial" w:hAnsi="Arial"/>
                <w:sz w:val="18"/>
              </w:rPr>
              <w:t xml:space="preserve"> are also registered in Canada and could be considered for use in PEI if studies and permits were issued. The Party, however, </w:t>
            </w:r>
            <w:r w:rsidR="00E750EB" w:rsidRPr="00F9037E">
              <w:rPr>
                <w:rFonts w:ascii="Arial" w:hAnsi="Arial"/>
                <w:sz w:val="18"/>
              </w:rPr>
              <w:t>indicated</w:t>
            </w:r>
            <w:r w:rsidR="00DC4FD9" w:rsidRPr="00F9037E">
              <w:rPr>
                <w:rFonts w:ascii="Arial" w:hAnsi="Arial"/>
                <w:sz w:val="18"/>
              </w:rPr>
              <w:t xml:space="preserve"> </w:t>
            </w:r>
            <w:r w:rsidRPr="00F9037E">
              <w:rPr>
                <w:rFonts w:ascii="Arial" w:hAnsi="Arial"/>
                <w:sz w:val="18"/>
              </w:rPr>
              <w:t>that the grower’s ability to find alternatives to methyl bromide is currently limited because many of the feasible alternatives used in other jurisdictions are either not registered in Canada or prevented from use in PEI and, as such, they cannot be trialled. Additionally it is noted that the grower is proposing to undertake additional trials with strawberry grow bags to determine whether a successful protocol to grow plants of adequate quality and productivity is possible</w:t>
            </w:r>
          </w:p>
          <w:p w14:paraId="56BC580A" w14:textId="77777777" w:rsidR="00CB7681" w:rsidRPr="00F9037E" w:rsidRDefault="00CB7681" w:rsidP="000E64F3">
            <w:pPr>
              <w:spacing w:after="120"/>
              <w:jc w:val="both"/>
              <w:rPr>
                <w:rFonts w:ascii="Arial" w:hAnsi="Arial"/>
                <w:b/>
                <w:sz w:val="18"/>
              </w:rPr>
            </w:pPr>
            <w:r w:rsidRPr="00F9037E">
              <w:rPr>
                <w:rFonts w:ascii="Arial" w:hAnsi="Arial"/>
                <w:b/>
                <w:sz w:val="18"/>
              </w:rPr>
              <w:t>MBTOC comments on economics in 2014 for 2017:</w:t>
            </w:r>
          </w:p>
          <w:p w14:paraId="128A609C" w14:textId="77777777" w:rsidR="00CB7681" w:rsidRPr="00F9037E" w:rsidRDefault="00CB7681" w:rsidP="000E64F3">
            <w:pPr>
              <w:pStyle w:val="Default"/>
              <w:spacing w:after="120"/>
              <w:jc w:val="both"/>
              <w:rPr>
                <w:rFonts w:ascii="Arial" w:hAnsi="Arial"/>
                <w:sz w:val="18"/>
                <w:lang w:val="en-GB"/>
              </w:rPr>
            </w:pPr>
            <w:r w:rsidRPr="00F9037E">
              <w:rPr>
                <w:rFonts w:ascii="Arial" w:hAnsi="Arial"/>
                <w:sz w:val="18"/>
                <w:lang w:val="en-GB" w:eastAsia="zh-CN"/>
              </w:rPr>
              <w:t>The economic information has not been updated in this year’s nomination (see below). Canada’s nomination is submitted mainly on the basis that there are no tec</w:t>
            </w:r>
            <w:r w:rsidRPr="00F9037E">
              <w:rPr>
                <w:rFonts w:ascii="Arial" w:hAnsi="Arial"/>
                <w:sz w:val="18"/>
                <w:lang w:val="en-GB"/>
              </w:rPr>
              <w:t xml:space="preserve">hnically feasible alternatives or substitutes available to the growers that are acceptable from the standpoint of environment and health. </w:t>
            </w:r>
          </w:p>
          <w:p w14:paraId="61A90681" w14:textId="77777777" w:rsidR="00CB7681" w:rsidRPr="00CD3CBD" w:rsidRDefault="00CB7681" w:rsidP="000E64F3">
            <w:pPr>
              <w:spacing w:after="120"/>
              <w:jc w:val="both"/>
              <w:rPr>
                <w:rFonts w:ascii="Arial" w:hAnsi="Arial"/>
                <w:b/>
                <w:sz w:val="18"/>
              </w:rPr>
            </w:pPr>
            <w:r w:rsidRPr="00CD3CBD">
              <w:rPr>
                <w:rFonts w:ascii="Arial" w:hAnsi="Arial"/>
                <w:b/>
                <w:sz w:val="18"/>
              </w:rPr>
              <w:t>Comments requested in Dec. XX1/11 (para 9):</w:t>
            </w:r>
          </w:p>
          <w:p w14:paraId="2C6B67CB" w14:textId="22C7439F" w:rsidR="00CB7681" w:rsidRPr="003A30C7" w:rsidRDefault="00CB7681" w:rsidP="000E64F3">
            <w:pPr>
              <w:numPr>
                <w:ilvl w:val="0"/>
                <w:numId w:val="11"/>
              </w:numPr>
              <w:spacing w:after="120"/>
              <w:ind w:left="0" w:firstLine="0"/>
              <w:jc w:val="both"/>
              <w:rPr>
                <w:rFonts w:ascii="Arial" w:hAnsi="Arial"/>
                <w:sz w:val="18"/>
              </w:rPr>
            </w:pPr>
            <w:r w:rsidRPr="00CD3CBD">
              <w:rPr>
                <w:rFonts w:ascii="Arial" w:hAnsi="Arial"/>
                <w:b/>
                <w:sz w:val="18"/>
              </w:rPr>
              <w:t xml:space="preserve">Dec. IX/6 </w:t>
            </w:r>
            <w:proofErr w:type="gramStart"/>
            <w:r w:rsidRPr="00CD3CBD">
              <w:rPr>
                <w:rFonts w:ascii="Arial" w:hAnsi="Arial"/>
                <w:b/>
                <w:sz w:val="18"/>
              </w:rPr>
              <w:t>b(</w:t>
            </w:r>
            <w:proofErr w:type="spellStart"/>
            <w:proofErr w:type="gramEnd"/>
            <w:r w:rsidR="00CD3CBD" w:rsidRPr="00CD3CBD">
              <w:rPr>
                <w:rFonts w:ascii="Arial" w:hAnsi="Arial"/>
                <w:b/>
                <w:sz w:val="18"/>
              </w:rPr>
              <w:t>i</w:t>
            </w:r>
            <w:proofErr w:type="spellEnd"/>
            <w:r w:rsidR="00CD3CBD" w:rsidRPr="00CD3CBD">
              <w:rPr>
                <w:rFonts w:ascii="Arial" w:hAnsi="Arial"/>
                <w:b/>
                <w:sz w:val="18"/>
              </w:rPr>
              <w:t>) Emission</w:t>
            </w:r>
            <w:r w:rsidRPr="00CD3CBD">
              <w:rPr>
                <w:rFonts w:ascii="Arial" w:hAnsi="Arial"/>
                <w:b/>
                <w:sz w:val="18"/>
              </w:rPr>
              <w:t xml:space="preserve"> Reduction:</w:t>
            </w:r>
            <w:r w:rsidR="00DC4FD9" w:rsidRPr="00501812">
              <w:rPr>
                <w:rFonts w:ascii="Arial" w:hAnsi="Arial"/>
                <w:b/>
                <w:sz w:val="18"/>
              </w:rPr>
              <w:t xml:space="preserve"> </w:t>
            </w:r>
            <w:r w:rsidRPr="00501812">
              <w:rPr>
                <w:rFonts w:ascii="Arial" w:hAnsi="Arial"/>
                <w:sz w:val="18"/>
              </w:rPr>
              <w:t>Yes, uses barrier films with a reduced application rate of MB conforming to MBTOC’s p</w:t>
            </w:r>
            <w:r w:rsidRPr="003A30C7">
              <w:rPr>
                <w:rFonts w:ascii="Arial" w:hAnsi="Arial"/>
                <w:sz w:val="18"/>
              </w:rPr>
              <w:t>resumptions.</w:t>
            </w:r>
          </w:p>
          <w:p w14:paraId="2F79A3EC" w14:textId="5179DD0A" w:rsidR="00CB7681" w:rsidRPr="00F5313E" w:rsidRDefault="00CB7681" w:rsidP="000E64F3">
            <w:pPr>
              <w:numPr>
                <w:ilvl w:val="0"/>
                <w:numId w:val="11"/>
              </w:numPr>
              <w:spacing w:after="120"/>
              <w:ind w:left="0" w:firstLine="0"/>
              <w:jc w:val="both"/>
              <w:rPr>
                <w:rFonts w:ascii="Arial" w:hAnsi="Arial"/>
                <w:sz w:val="18"/>
              </w:rPr>
            </w:pPr>
            <w:r w:rsidRPr="00082015">
              <w:rPr>
                <w:rFonts w:ascii="Arial" w:hAnsi="Arial"/>
                <w:b/>
                <w:sz w:val="18"/>
              </w:rPr>
              <w:t xml:space="preserve">Dec. IX/6 </w:t>
            </w:r>
            <w:r w:rsidR="00CD3CBD" w:rsidRPr="00082015">
              <w:rPr>
                <w:rFonts w:ascii="Arial" w:hAnsi="Arial"/>
                <w:b/>
                <w:sz w:val="18"/>
              </w:rPr>
              <w:t>b (</w:t>
            </w:r>
            <w:r w:rsidRPr="00082015">
              <w:rPr>
                <w:rFonts w:ascii="Arial" w:hAnsi="Arial"/>
                <w:b/>
                <w:sz w:val="18"/>
              </w:rPr>
              <w:t xml:space="preserve">iii) Research Program: </w:t>
            </w:r>
            <w:r w:rsidRPr="00F5313E">
              <w:rPr>
                <w:rFonts w:ascii="Arial" w:hAnsi="Arial"/>
                <w:sz w:val="18"/>
              </w:rPr>
              <w:t>No evidence was provided to prove that a research program is in place. The proposed groundwater studies for pic were halted, and no new alternatives are currently tested.</w:t>
            </w:r>
          </w:p>
          <w:p w14:paraId="68927205" w14:textId="63B37584" w:rsidR="00CB7681" w:rsidRPr="00CD3CBD" w:rsidRDefault="00CB7681" w:rsidP="000E64F3">
            <w:pPr>
              <w:numPr>
                <w:ilvl w:val="0"/>
                <w:numId w:val="11"/>
              </w:numPr>
              <w:spacing w:after="120"/>
              <w:ind w:left="0" w:firstLine="0"/>
              <w:jc w:val="both"/>
              <w:rPr>
                <w:rFonts w:ascii="Arial" w:hAnsi="Arial"/>
                <w:sz w:val="18"/>
              </w:rPr>
            </w:pPr>
            <w:r w:rsidRPr="00220275">
              <w:rPr>
                <w:rFonts w:ascii="Arial" w:hAnsi="Arial"/>
                <w:b/>
                <w:sz w:val="18"/>
              </w:rPr>
              <w:t xml:space="preserve">Dec. IX/6 </w:t>
            </w:r>
            <w:r w:rsidR="00CD3CBD" w:rsidRPr="00220275">
              <w:rPr>
                <w:rFonts w:ascii="Arial" w:hAnsi="Arial"/>
                <w:b/>
                <w:sz w:val="18"/>
              </w:rPr>
              <w:t>b (</w:t>
            </w:r>
            <w:r w:rsidRPr="00220275">
              <w:rPr>
                <w:rFonts w:ascii="Arial" w:hAnsi="Arial"/>
                <w:b/>
                <w:sz w:val="18"/>
              </w:rPr>
              <w:t xml:space="preserve">iii) Appropriate Effort: </w:t>
            </w:r>
            <w:r w:rsidRPr="00220275">
              <w:rPr>
                <w:rFonts w:ascii="Arial" w:hAnsi="Arial"/>
                <w:sz w:val="18"/>
              </w:rPr>
              <w:t>The Party has not demonstrated that it is engaged in an active research program. According to the nomination, the groundwater studies were suspended, as the PEI permit was not granted.  The PEI Adapt Council funding has be</w:t>
            </w:r>
            <w:r w:rsidRPr="00B87B95">
              <w:rPr>
                <w:rFonts w:ascii="Arial" w:hAnsi="Arial"/>
                <w:sz w:val="18"/>
              </w:rPr>
              <w:t xml:space="preserve">en discontinued with no new funding available since March 2014. No further work has been pursued with an expert previously </w:t>
            </w:r>
            <w:r w:rsidR="00CD3CBD" w:rsidRPr="00B87B95">
              <w:rPr>
                <w:rFonts w:ascii="Arial" w:hAnsi="Arial"/>
                <w:sz w:val="18"/>
              </w:rPr>
              <w:t>contracted,</w:t>
            </w:r>
            <w:r w:rsidRPr="00B87B95">
              <w:rPr>
                <w:rFonts w:ascii="Arial" w:hAnsi="Arial"/>
                <w:sz w:val="18"/>
              </w:rPr>
              <w:t xml:space="preserve"> as he has taken on a new role with less time available for research related to strawberry</w:t>
            </w:r>
            <w:r w:rsidRPr="00F9037E">
              <w:rPr>
                <w:rFonts w:ascii="Arial" w:hAnsi="Arial"/>
                <w:sz w:val="18"/>
              </w:rPr>
              <w:t xml:space="preserve"> runner production.</w:t>
            </w:r>
          </w:p>
        </w:tc>
      </w:tr>
    </w:tbl>
    <w:p w14:paraId="3BC3EC43" w14:textId="77777777" w:rsidR="00CB7681" w:rsidRPr="00F9037E" w:rsidRDefault="00CB7681" w:rsidP="000E64F3">
      <w:pPr>
        <w:spacing w:before="120" w:after="120"/>
        <w:rPr>
          <w:rFonts w:ascii="Arial" w:hAnsi="Arial" w:cs="Arial"/>
          <w:b/>
          <w:bCs/>
          <w:sz w:val="18"/>
          <w:szCs w:val="18"/>
        </w:rPr>
      </w:pPr>
      <w:r w:rsidRPr="00F9037E">
        <w:rPr>
          <w:rFonts w:ascii="Arial" w:hAnsi="Arial" w:cs="Arial"/>
          <w:sz w:val="18"/>
          <w:szCs w:val="18"/>
          <w:vertAlign w:val="superscript"/>
        </w:rPr>
        <w:lastRenderedPageBreak/>
        <w:t>1</w:t>
      </w:r>
      <w:r w:rsidRPr="00F9037E">
        <w:rPr>
          <w:rFonts w:ascii="Arial" w:hAnsi="Arial" w:cs="Arial"/>
          <w:sz w:val="18"/>
          <w:szCs w:val="18"/>
        </w:rPr>
        <w:t xml:space="preserve">1ExMOP and 16MOP; </w:t>
      </w:r>
      <w:r w:rsidRPr="00F9037E">
        <w:rPr>
          <w:rFonts w:ascii="Arial" w:hAnsi="Arial" w:cs="Arial"/>
          <w:sz w:val="18"/>
          <w:szCs w:val="18"/>
          <w:vertAlign w:val="superscript"/>
        </w:rPr>
        <w:t>2</w:t>
      </w:r>
      <w:r w:rsidRPr="00F9037E">
        <w:rPr>
          <w:rFonts w:ascii="Arial" w:hAnsi="Arial" w:cs="Arial"/>
          <w:sz w:val="18"/>
          <w:szCs w:val="18"/>
        </w:rPr>
        <w:t xml:space="preserve">16MOP+2ExMOP+17MOP; </w:t>
      </w:r>
      <w:r w:rsidRPr="00F9037E">
        <w:rPr>
          <w:rFonts w:ascii="Arial" w:hAnsi="Arial" w:cs="Arial"/>
          <w:sz w:val="18"/>
          <w:szCs w:val="18"/>
          <w:vertAlign w:val="superscript"/>
        </w:rPr>
        <w:t>3</w:t>
      </w:r>
      <w:r w:rsidRPr="00F9037E">
        <w:rPr>
          <w:rFonts w:ascii="Arial" w:hAnsi="Arial" w:cs="Arial"/>
          <w:sz w:val="18"/>
          <w:szCs w:val="18"/>
        </w:rPr>
        <w:t xml:space="preserve">MOP17+MOP18; </w:t>
      </w:r>
      <w:r w:rsidRPr="00F9037E">
        <w:rPr>
          <w:rFonts w:ascii="Arial" w:hAnsi="Arial" w:cs="Arial"/>
          <w:sz w:val="18"/>
          <w:szCs w:val="18"/>
          <w:vertAlign w:val="superscript"/>
        </w:rPr>
        <w:t>4</w:t>
      </w:r>
      <w:r w:rsidRPr="00F9037E">
        <w:rPr>
          <w:rFonts w:ascii="Arial" w:hAnsi="Arial" w:cs="Arial"/>
          <w:sz w:val="18"/>
          <w:szCs w:val="18"/>
        </w:rPr>
        <w:t xml:space="preserve">MOP18+MOP19; </w:t>
      </w:r>
      <w:r w:rsidRPr="00F9037E">
        <w:rPr>
          <w:rFonts w:ascii="Arial" w:hAnsi="Arial" w:cs="Arial"/>
          <w:sz w:val="18"/>
          <w:szCs w:val="18"/>
          <w:vertAlign w:val="superscript"/>
        </w:rPr>
        <w:t>5</w:t>
      </w:r>
      <w:r w:rsidRPr="00F9037E">
        <w:rPr>
          <w:rFonts w:ascii="Arial" w:hAnsi="Arial" w:cs="Arial"/>
          <w:sz w:val="18"/>
          <w:szCs w:val="18"/>
        </w:rPr>
        <w:t xml:space="preserve">MOP19+MOP20; </w:t>
      </w:r>
      <w:r w:rsidRPr="00F9037E">
        <w:rPr>
          <w:rFonts w:ascii="Arial" w:hAnsi="Arial" w:cs="Arial"/>
          <w:sz w:val="18"/>
          <w:szCs w:val="18"/>
          <w:vertAlign w:val="superscript"/>
        </w:rPr>
        <w:t>6</w:t>
      </w:r>
      <w:r w:rsidRPr="00F9037E">
        <w:rPr>
          <w:rFonts w:ascii="Arial" w:hAnsi="Arial" w:cs="Arial"/>
          <w:sz w:val="18"/>
          <w:szCs w:val="18"/>
        </w:rPr>
        <w:t xml:space="preserve">MOP20+MOP21; </w:t>
      </w:r>
      <w:r w:rsidRPr="00F9037E">
        <w:rPr>
          <w:rFonts w:ascii="Arial" w:hAnsi="Arial" w:cs="Arial"/>
          <w:sz w:val="18"/>
          <w:szCs w:val="18"/>
          <w:vertAlign w:val="superscript"/>
        </w:rPr>
        <w:t>7</w:t>
      </w:r>
      <w:r w:rsidRPr="00F9037E">
        <w:rPr>
          <w:rFonts w:ascii="Arial" w:hAnsi="Arial" w:cs="Arial"/>
          <w:sz w:val="18"/>
          <w:szCs w:val="18"/>
        </w:rPr>
        <w:t xml:space="preserve">MOP21+MOP22; </w:t>
      </w:r>
      <w:r w:rsidRPr="00F9037E">
        <w:rPr>
          <w:rFonts w:ascii="Arial" w:hAnsi="Arial" w:cs="Arial"/>
          <w:sz w:val="18"/>
          <w:szCs w:val="18"/>
          <w:vertAlign w:val="superscript"/>
        </w:rPr>
        <w:t>8</w:t>
      </w:r>
      <w:r w:rsidRPr="00F9037E">
        <w:rPr>
          <w:rFonts w:ascii="Arial" w:hAnsi="Arial" w:cs="Arial"/>
          <w:sz w:val="18"/>
          <w:szCs w:val="18"/>
        </w:rPr>
        <w:t xml:space="preserve">MOP22, </w:t>
      </w:r>
      <w:r w:rsidRPr="00F9037E">
        <w:rPr>
          <w:rFonts w:ascii="Arial" w:hAnsi="Arial" w:cs="Arial"/>
          <w:sz w:val="18"/>
          <w:szCs w:val="18"/>
          <w:vertAlign w:val="superscript"/>
        </w:rPr>
        <w:t>9</w:t>
      </w:r>
      <w:r w:rsidRPr="00F9037E">
        <w:rPr>
          <w:rFonts w:ascii="Arial" w:hAnsi="Arial" w:cs="Arial"/>
          <w:sz w:val="18"/>
          <w:szCs w:val="18"/>
        </w:rPr>
        <w:t xml:space="preserve">MOP23, </w:t>
      </w:r>
      <w:r w:rsidRPr="00F9037E">
        <w:rPr>
          <w:rFonts w:ascii="Arial" w:hAnsi="Arial" w:cs="Arial"/>
          <w:sz w:val="18"/>
          <w:szCs w:val="18"/>
          <w:vertAlign w:val="superscript"/>
        </w:rPr>
        <w:t>10</w:t>
      </w:r>
      <w:r w:rsidRPr="00F9037E">
        <w:rPr>
          <w:rFonts w:ascii="Arial" w:hAnsi="Arial" w:cs="Arial"/>
          <w:sz w:val="18"/>
          <w:szCs w:val="18"/>
        </w:rPr>
        <w:t xml:space="preserve">MOP24, </w:t>
      </w:r>
      <w:r w:rsidRPr="00F9037E">
        <w:rPr>
          <w:rFonts w:ascii="Arial" w:hAnsi="Arial" w:cs="Arial"/>
          <w:sz w:val="18"/>
          <w:szCs w:val="18"/>
          <w:vertAlign w:val="superscript"/>
        </w:rPr>
        <w:t>11</w:t>
      </w:r>
      <w:r w:rsidRPr="00F9037E">
        <w:rPr>
          <w:rFonts w:ascii="Arial" w:hAnsi="Arial" w:cs="Arial"/>
          <w:sz w:val="18"/>
          <w:szCs w:val="18"/>
        </w:rPr>
        <w:t xml:space="preserve">MOP25, </w:t>
      </w:r>
      <w:r w:rsidRPr="00F9037E">
        <w:rPr>
          <w:rFonts w:ascii="Arial" w:hAnsi="Arial" w:cs="Arial"/>
          <w:sz w:val="18"/>
          <w:szCs w:val="18"/>
          <w:vertAlign w:val="superscript"/>
        </w:rPr>
        <w:t>12</w:t>
      </w:r>
      <w:r w:rsidRPr="00F9037E">
        <w:rPr>
          <w:rFonts w:ascii="Arial" w:hAnsi="Arial" w:cs="Arial"/>
          <w:sz w:val="18"/>
          <w:szCs w:val="18"/>
        </w:rPr>
        <w:t>MOP26</w:t>
      </w:r>
    </w:p>
    <w:p w14:paraId="664BA5CC" w14:textId="77777777" w:rsidR="00CB7681" w:rsidRPr="00F9037E" w:rsidRDefault="00CB7681" w:rsidP="00F9037E">
      <w:pPr>
        <w:pStyle w:val="Tableandfigureheadings"/>
      </w:pPr>
      <w:r w:rsidRPr="00F9037E">
        <w:br w:type="page"/>
      </w:r>
      <w:r w:rsidRPr="00F9037E">
        <w:lastRenderedPageBreak/>
        <w:t xml:space="preserve">Table 1.10 Interim evaluation of CUNs from A5 Parties for </w:t>
      </w:r>
      <w:proofErr w:type="spellStart"/>
      <w:r w:rsidRPr="00F9037E">
        <w:t>preplant</w:t>
      </w:r>
      <w:proofErr w:type="spellEnd"/>
      <w:r w:rsidRPr="00F9037E">
        <w:t xml:space="preserve"> soil use submitted in 201</w:t>
      </w:r>
      <w:r w:rsidR="000633FC" w:rsidRPr="00F9037E">
        <w:t>6</w:t>
      </w:r>
      <w:r w:rsidRPr="00F9037E">
        <w:t xml:space="preserve"> for 201</w:t>
      </w:r>
      <w:r w:rsidR="000633FC" w:rsidRPr="00F9037E">
        <w:t>7</w:t>
      </w:r>
      <w:r w:rsidRPr="00F9037E">
        <w:t>.</w:t>
      </w:r>
    </w:p>
    <w:tbl>
      <w:tblPr>
        <w:tblW w:w="1545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33"/>
        <w:gridCol w:w="1419"/>
        <w:gridCol w:w="992"/>
        <w:gridCol w:w="992"/>
        <w:gridCol w:w="954"/>
        <w:gridCol w:w="39"/>
        <w:gridCol w:w="321"/>
        <w:gridCol w:w="3364"/>
        <w:gridCol w:w="506"/>
        <w:gridCol w:w="345"/>
        <w:gridCol w:w="850"/>
        <w:gridCol w:w="851"/>
        <w:gridCol w:w="850"/>
        <w:gridCol w:w="992"/>
        <w:gridCol w:w="780"/>
        <w:gridCol w:w="1063"/>
      </w:tblGrid>
      <w:tr w:rsidR="00CB7681" w:rsidRPr="00F9037E" w14:paraId="4E7F552F" w14:textId="77777777" w:rsidTr="008C634A">
        <w:trPr>
          <w:trHeight w:val="512"/>
        </w:trPr>
        <w:tc>
          <w:tcPr>
            <w:tcW w:w="1133" w:type="dxa"/>
            <w:tcBorders>
              <w:top w:val="single" w:sz="4" w:space="0" w:color="auto"/>
            </w:tcBorders>
            <w:vAlign w:val="center"/>
          </w:tcPr>
          <w:p w14:paraId="7F246CAE" w14:textId="77777777" w:rsidR="00CB7681" w:rsidRPr="00220275" w:rsidRDefault="00CB7681" w:rsidP="000E64F3">
            <w:pPr>
              <w:spacing w:after="0"/>
              <w:rPr>
                <w:rFonts w:ascii="Arial" w:hAnsi="Arial" w:cs="Arial"/>
                <w:b/>
                <w:sz w:val="18"/>
                <w:szCs w:val="18"/>
              </w:rPr>
            </w:pPr>
            <w:r w:rsidRPr="00220275">
              <w:rPr>
                <w:rFonts w:ascii="Arial" w:hAnsi="Arial" w:cs="Arial"/>
                <w:b/>
                <w:sz w:val="18"/>
                <w:szCs w:val="18"/>
              </w:rPr>
              <w:t>Country</w:t>
            </w:r>
          </w:p>
        </w:tc>
        <w:tc>
          <w:tcPr>
            <w:tcW w:w="1419" w:type="dxa"/>
            <w:tcBorders>
              <w:top w:val="single" w:sz="4" w:space="0" w:color="auto"/>
            </w:tcBorders>
            <w:vAlign w:val="center"/>
          </w:tcPr>
          <w:p w14:paraId="336A4CCB" w14:textId="77777777" w:rsidR="00CB7681" w:rsidRPr="00220275" w:rsidRDefault="00CB7681" w:rsidP="000E64F3">
            <w:pPr>
              <w:spacing w:after="0"/>
              <w:rPr>
                <w:rFonts w:ascii="Arial" w:hAnsi="Arial" w:cs="Arial"/>
                <w:b/>
                <w:sz w:val="18"/>
                <w:szCs w:val="18"/>
              </w:rPr>
            </w:pPr>
            <w:r w:rsidRPr="00220275">
              <w:rPr>
                <w:rFonts w:ascii="Arial" w:hAnsi="Arial" w:cs="Arial"/>
                <w:b/>
                <w:sz w:val="18"/>
                <w:szCs w:val="18"/>
              </w:rPr>
              <w:t>Industry</w:t>
            </w:r>
          </w:p>
        </w:tc>
        <w:tc>
          <w:tcPr>
            <w:tcW w:w="992" w:type="dxa"/>
            <w:tcBorders>
              <w:top w:val="single" w:sz="4" w:space="0" w:color="auto"/>
            </w:tcBorders>
            <w:vAlign w:val="center"/>
          </w:tcPr>
          <w:p w14:paraId="1010CBB6" w14:textId="77777777" w:rsidR="00CB7681" w:rsidRPr="00B87B95" w:rsidRDefault="00CB7681" w:rsidP="000E64F3">
            <w:pPr>
              <w:spacing w:after="0"/>
              <w:jc w:val="center"/>
              <w:rPr>
                <w:rFonts w:ascii="Arial" w:hAnsi="Arial" w:cs="Arial"/>
                <w:b/>
                <w:sz w:val="18"/>
                <w:szCs w:val="18"/>
              </w:rPr>
            </w:pPr>
            <w:r w:rsidRPr="00220275">
              <w:rPr>
                <w:rFonts w:ascii="Arial" w:hAnsi="Arial" w:cs="Arial"/>
                <w:b/>
                <w:sz w:val="18"/>
                <w:szCs w:val="18"/>
              </w:rPr>
              <w:t>CUE for 2015</w:t>
            </w:r>
            <w:r w:rsidRPr="00B87B95">
              <w:rPr>
                <w:rFonts w:ascii="Arial" w:hAnsi="Arial" w:cs="Arial"/>
                <w:b/>
                <w:sz w:val="18"/>
                <w:szCs w:val="18"/>
                <w:vertAlign w:val="superscript"/>
              </w:rPr>
              <w:t>1</w:t>
            </w:r>
          </w:p>
        </w:tc>
        <w:tc>
          <w:tcPr>
            <w:tcW w:w="992" w:type="dxa"/>
            <w:tcBorders>
              <w:top w:val="single" w:sz="4" w:space="0" w:color="auto"/>
            </w:tcBorders>
            <w:vAlign w:val="center"/>
          </w:tcPr>
          <w:p w14:paraId="6F63AEED" w14:textId="77777777" w:rsidR="00CB7681" w:rsidRPr="00B87B95" w:rsidRDefault="00CB7681" w:rsidP="000E64F3">
            <w:pPr>
              <w:spacing w:after="0"/>
              <w:jc w:val="center"/>
              <w:rPr>
                <w:rFonts w:ascii="Arial" w:hAnsi="Arial" w:cs="Arial"/>
                <w:b/>
                <w:sz w:val="18"/>
                <w:szCs w:val="18"/>
              </w:rPr>
            </w:pPr>
            <w:r w:rsidRPr="00B87B95">
              <w:rPr>
                <w:rFonts w:ascii="Arial" w:hAnsi="Arial" w:cs="Arial"/>
                <w:b/>
                <w:sz w:val="18"/>
                <w:szCs w:val="18"/>
              </w:rPr>
              <w:t>CUE for 2016</w:t>
            </w:r>
          </w:p>
        </w:tc>
        <w:tc>
          <w:tcPr>
            <w:tcW w:w="993" w:type="dxa"/>
            <w:gridSpan w:val="2"/>
            <w:tcBorders>
              <w:top w:val="single" w:sz="4" w:space="0" w:color="auto"/>
            </w:tcBorders>
            <w:vAlign w:val="center"/>
          </w:tcPr>
          <w:p w14:paraId="5E3AA192" w14:textId="77777777" w:rsidR="00CB7681" w:rsidRPr="00B87B95" w:rsidRDefault="00CB7681" w:rsidP="000E64F3">
            <w:pPr>
              <w:spacing w:after="0"/>
              <w:jc w:val="center"/>
              <w:rPr>
                <w:rFonts w:ascii="Arial" w:hAnsi="Arial" w:cs="Arial"/>
                <w:b/>
                <w:sz w:val="18"/>
                <w:szCs w:val="18"/>
              </w:rPr>
            </w:pPr>
            <w:r w:rsidRPr="00B87B95">
              <w:rPr>
                <w:rFonts w:ascii="Arial" w:hAnsi="Arial" w:cs="Arial"/>
                <w:b/>
                <w:sz w:val="18"/>
                <w:szCs w:val="18"/>
              </w:rPr>
              <w:t>CUN for 2017</w:t>
            </w:r>
          </w:p>
        </w:tc>
        <w:tc>
          <w:tcPr>
            <w:tcW w:w="3685" w:type="dxa"/>
            <w:gridSpan w:val="2"/>
            <w:tcBorders>
              <w:top w:val="single" w:sz="4" w:space="0" w:color="auto"/>
            </w:tcBorders>
            <w:vAlign w:val="center"/>
          </w:tcPr>
          <w:p w14:paraId="0A555867" w14:textId="77777777" w:rsidR="00CB7681" w:rsidRPr="00B87B95" w:rsidRDefault="00CB7681" w:rsidP="000E64F3">
            <w:pPr>
              <w:spacing w:after="0"/>
              <w:jc w:val="center"/>
              <w:rPr>
                <w:rFonts w:ascii="Arial" w:hAnsi="Arial" w:cs="Arial"/>
                <w:b/>
                <w:sz w:val="18"/>
                <w:szCs w:val="18"/>
              </w:rPr>
            </w:pPr>
            <w:r w:rsidRPr="00B87B95">
              <w:rPr>
                <w:rFonts w:ascii="Arial" w:hAnsi="Arial" w:cs="Arial"/>
                <w:b/>
                <w:sz w:val="18"/>
                <w:szCs w:val="18"/>
              </w:rPr>
              <w:t>MBTOC final recommendation for 2017</w:t>
            </w:r>
          </w:p>
        </w:tc>
        <w:tc>
          <w:tcPr>
            <w:tcW w:w="851" w:type="dxa"/>
            <w:gridSpan w:val="2"/>
            <w:tcBorders>
              <w:top w:val="single" w:sz="4" w:space="0" w:color="auto"/>
            </w:tcBorders>
            <w:vAlign w:val="center"/>
          </w:tcPr>
          <w:p w14:paraId="072D0C49" w14:textId="77777777" w:rsidR="00CB7681" w:rsidRPr="00B87B95" w:rsidRDefault="00CB7681" w:rsidP="000E64F3">
            <w:pPr>
              <w:spacing w:before="40" w:after="40"/>
              <w:jc w:val="center"/>
              <w:rPr>
                <w:rFonts w:ascii="Arial" w:hAnsi="Arial" w:cs="Arial"/>
                <w:b/>
                <w:sz w:val="18"/>
                <w:szCs w:val="18"/>
              </w:rPr>
            </w:pPr>
          </w:p>
        </w:tc>
        <w:tc>
          <w:tcPr>
            <w:tcW w:w="850" w:type="dxa"/>
            <w:tcBorders>
              <w:top w:val="single" w:sz="4" w:space="0" w:color="auto"/>
            </w:tcBorders>
            <w:vAlign w:val="center"/>
          </w:tcPr>
          <w:p w14:paraId="663D0E14" w14:textId="77777777" w:rsidR="00CB7681" w:rsidRPr="00563BC0" w:rsidRDefault="00CB7681" w:rsidP="000E64F3">
            <w:pPr>
              <w:spacing w:before="40" w:after="40"/>
              <w:jc w:val="center"/>
              <w:rPr>
                <w:rFonts w:ascii="Arial" w:hAnsi="Arial" w:cs="Arial"/>
                <w:b/>
                <w:sz w:val="18"/>
                <w:szCs w:val="18"/>
              </w:rPr>
            </w:pPr>
          </w:p>
        </w:tc>
        <w:tc>
          <w:tcPr>
            <w:tcW w:w="851" w:type="dxa"/>
            <w:tcBorders>
              <w:top w:val="single" w:sz="4" w:space="0" w:color="auto"/>
            </w:tcBorders>
          </w:tcPr>
          <w:p w14:paraId="4F5212FF" w14:textId="77777777" w:rsidR="00CB7681" w:rsidRPr="00563BC0" w:rsidRDefault="00CB7681" w:rsidP="000E64F3">
            <w:pPr>
              <w:spacing w:before="40" w:after="40"/>
              <w:rPr>
                <w:rFonts w:ascii="Arial" w:hAnsi="Arial" w:cs="Arial"/>
                <w:b/>
                <w:sz w:val="18"/>
                <w:szCs w:val="18"/>
                <w:vertAlign w:val="superscript"/>
              </w:rPr>
            </w:pPr>
          </w:p>
        </w:tc>
        <w:tc>
          <w:tcPr>
            <w:tcW w:w="850" w:type="dxa"/>
            <w:tcBorders>
              <w:top w:val="single" w:sz="4" w:space="0" w:color="auto"/>
            </w:tcBorders>
          </w:tcPr>
          <w:p w14:paraId="1AAF9289" w14:textId="77777777" w:rsidR="00CB7681" w:rsidRPr="00563BC0" w:rsidRDefault="00CB7681" w:rsidP="000E64F3">
            <w:pPr>
              <w:spacing w:before="40" w:after="40"/>
              <w:rPr>
                <w:rFonts w:ascii="Arial" w:hAnsi="Arial" w:cs="Arial"/>
                <w:b/>
                <w:sz w:val="18"/>
                <w:szCs w:val="18"/>
              </w:rPr>
            </w:pPr>
          </w:p>
        </w:tc>
        <w:tc>
          <w:tcPr>
            <w:tcW w:w="992" w:type="dxa"/>
            <w:tcBorders>
              <w:top w:val="single" w:sz="4" w:space="0" w:color="auto"/>
            </w:tcBorders>
          </w:tcPr>
          <w:p w14:paraId="5C9559B3" w14:textId="77777777" w:rsidR="00CB7681" w:rsidRPr="00563BC0" w:rsidRDefault="00CB7681" w:rsidP="000E64F3">
            <w:pPr>
              <w:spacing w:before="40" w:after="0"/>
              <w:rPr>
                <w:rFonts w:ascii="Arial" w:hAnsi="Arial" w:cs="Arial"/>
                <w:b/>
                <w:sz w:val="18"/>
                <w:szCs w:val="18"/>
              </w:rPr>
            </w:pPr>
          </w:p>
        </w:tc>
        <w:tc>
          <w:tcPr>
            <w:tcW w:w="780" w:type="dxa"/>
            <w:tcBorders>
              <w:top w:val="single" w:sz="4" w:space="0" w:color="auto"/>
            </w:tcBorders>
          </w:tcPr>
          <w:p w14:paraId="689F1040" w14:textId="77777777" w:rsidR="00CB7681" w:rsidRPr="00563BC0" w:rsidRDefault="00CB7681" w:rsidP="000E64F3">
            <w:pPr>
              <w:spacing w:before="40" w:after="40"/>
              <w:rPr>
                <w:rFonts w:ascii="Arial" w:hAnsi="Arial" w:cs="Arial"/>
                <w:b/>
                <w:sz w:val="18"/>
                <w:szCs w:val="18"/>
              </w:rPr>
            </w:pPr>
          </w:p>
        </w:tc>
        <w:tc>
          <w:tcPr>
            <w:tcW w:w="1063" w:type="dxa"/>
            <w:tcBorders>
              <w:top w:val="single" w:sz="4" w:space="0" w:color="auto"/>
            </w:tcBorders>
          </w:tcPr>
          <w:p w14:paraId="393F5A7E" w14:textId="77777777" w:rsidR="00CB7681" w:rsidRPr="00563BC0" w:rsidRDefault="00CB7681" w:rsidP="000E64F3">
            <w:pPr>
              <w:spacing w:before="40" w:after="0"/>
              <w:rPr>
                <w:rFonts w:ascii="Arial" w:hAnsi="Arial" w:cs="Arial"/>
                <w:b/>
                <w:sz w:val="18"/>
                <w:szCs w:val="18"/>
              </w:rPr>
            </w:pPr>
          </w:p>
        </w:tc>
      </w:tr>
      <w:tr w:rsidR="00CB7681" w:rsidRPr="00F9037E" w14:paraId="5C0FACA6" w14:textId="77777777" w:rsidTr="000633FC">
        <w:trPr>
          <w:trHeight w:val="357"/>
        </w:trPr>
        <w:tc>
          <w:tcPr>
            <w:tcW w:w="1133" w:type="dxa"/>
            <w:vMerge w:val="restart"/>
          </w:tcPr>
          <w:p w14:paraId="05F3DBDF" w14:textId="77777777" w:rsidR="00CB7681" w:rsidRPr="00F9037E" w:rsidRDefault="00CB7681" w:rsidP="000E64F3">
            <w:pPr>
              <w:spacing w:after="0"/>
              <w:rPr>
                <w:rFonts w:ascii="Arial" w:hAnsi="Arial"/>
                <w:sz w:val="18"/>
              </w:rPr>
            </w:pPr>
            <w:r w:rsidRPr="00F9037E">
              <w:rPr>
                <w:rFonts w:ascii="Arial" w:hAnsi="Arial"/>
                <w:sz w:val="18"/>
              </w:rPr>
              <w:t>Argentina</w:t>
            </w:r>
          </w:p>
        </w:tc>
        <w:tc>
          <w:tcPr>
            <w:tcW w:w="1419" w:type="dxa"/>
            <w:shd w:val="clear" w:color="auto" w:fill="FFFF99"/>
            <w:vAlign w:val="center"/>
          </w:tcPr>
          <w:p w14:paraId="7746ADC9" w14:textId="77777777" w:rsidR="00CB7681" w:rsidRPr="00F9037E" w:rsidRDefault="00CB7681" w:rsidP="000E64F3">
            <w:pPr>
              <w:spacing w:after="0"/>
              <w:rPr>
                <w:rFonts w:ascii="Arial" w:hAnsi="Arial"/>
                <w:sz w:val="18"/>
              </w:rPr>
            </w:pPr>
            <w:r w:rsidRPr="00F9037E">
              <w:rPr>
                <w:rFonts w:ascii="Arial" w:hAnsi="Arial"/>
                <w:sz w:val="18"/>
              </w:rPr>
              <w:t>Strawberry Fruit</w:t>
            </w:r>
          </w:p>
        </w:tc>
        <w:tc>
          <w:tcPr>
            <w:tcW w:w="992" w:type="dxa"/>
            <w:shd w:val="clear" w:color="auto" w:fill="FFFF99"/>
            <w:vAlign w:val="center"/>
          </w:tcPr>
          <w:p w14:paraId="6D85E590" w14:textId="77777777" w:rsidR="00CB7681" w:rsidRPr="00F9037E" w:rsidRDefault="00CB7681" w:rsidP="000E64F3">
            <w:pPr>
              <w:spacing w:after="0"/>
              <w:jc w:val="center"/>
              <w:rPr>
                <w:rFonts w:ascii="Arial" w:hAnsi="Arial"/>
                <w:b/>
                <w:sz w:val="18"/>
              </w:rPr>
            </w:pPr>
            <w:r w:rsidRPr="00F9037E">
              <w:rPr>
                <w:rFonts w:ascii="Arial" w:hAnsi="Arial"/>
                <w:sz w:val="18"/>
              </w:rPr>
              <w:t>70</w:t>
            </w:r>
          </w:p>
        </w:tc>
        <w:tc>
          <w:tcPr>
            <w:tcW w:w="992" w:type="dxa"/>
            <w:shd w:val="clear" w:color="auto" w:fill="FFFF99"/>
            <w:vAlign w:val="center"/>
          </w:tcPr>
          <w:p w14:paraId="44C4B4BB" w14:textId="77777777" w:rsidR="00CB7681" w:rsidRPr="00F9037E" w:rsidRDefault="00CB7681" w:rsidP="000E64F3">
            <w:pPr>
              <w:spacing w:after="0"/>
              <w:jc w:val="center"/>
              <w:rPr>
                <w:rFonts w:ascii="Arial" w:hAnsi="Arial"/>
                <w:b/>
                <w:sz w:val="18"/>
              </w:rPr>
            </w:pPr>
            <w:r w:rsidRPr="00F9037E">
              <w:rPr>
                <w:rFonts w:ascii="Arial" w:hAnsi="Arial"/>
                <w:sz w:val="18"/>
              </w:rPr>
              <w:t>58</w:t>
            </w:r>
          </w:p>
        </w:tc>
        <w:tc>
          <w:tcPr>
            <w:tcW w:w="993" w:type="dxa"/>
            <w:gridSpan w:val="2"/>
            <w:shd w:val="clear" w:color="auto" w:fill="FFFF99"/>
            <w:vAlign w:val="center"/>
          </w:tcPr>
          <w:p w14:paraId="495647AB" w14:textId="77777777" w:rsidR="00CB7681" w:rsidRPr="00F9037E" w:rsidRDefault="00CB7681" w:rsidP="000E64F3">
            <w:pPr>
              <w:spacing w:after="0"/>
              <w:jc w:val="center"/>
              <w:rPr>
                <w:rFonts w:ascii="Arial" w:hAnsi="Arial"/>
                <w:b/>
                <w:sz w:val="18"/>
              </w:rPr>
            </w:pPr>
            <w:r w:rsidRPr="00F9037E">
              <w:rPr>
                <w:rFonts w:ascii="Arial" w:hAnsi="Arial"/>
                <w:b/>
                <w:sz w:val="18"/>
              </w:rPr>
              <w:t>45.3</w:t>
            </w:r>
          </w:p>
        </w:tc>
        <w:tc>
          <w:tcPr>
            <w:tcW w:w="3685" w:type="dxa"/>
            <w:gridSpan w:val="2"/>
            <w:shd w:val="clear" w:color="auto" w:fill="FFFF99"/>
            <w:vAlign w:val="center"/>
          </w:tcPr>
          <w:p w14:paraId="0E084DE1" w14:textId="77777777" w:rsidR="00CB7681" w:rsidRPr="00F9037E" w:rsidRDefault="00CB7681" w:rsidP="000E64F3">
            <w:pPr>
              <w:spacing w:after="0"/>
              <w:jc w:val="center"/>
              <w:rPr>
                <w:rFonts w:ascii="Arial" w:hAnsi="Arial"/>
                <w:b/>
                <w:sz w:val="18"/>
              </w:rPr>
            </w:pPr>
            <w:r w:rsidRPr="00F9037E">
              <w:rPr>
                <w:rFonts w:ascii="Arial" w:hAnsi="Arial"/>
                <w:sz w:val="18"/>
              </w:rPr>
              <w:t>[38.84]</w:t>
            </w:r>
          </w:p>
        </w:tc>
        <w:tc>
          <w:tcPr>
            <w:tcW w:w="851" w:type="dxa"/>
            <w:gridSpan w:val="2"/>
            <w:shd w:val="clear" w:color="auto" w:fill="FFFF99"/>
            <w:vAlign w:val="center"/>
          </w:tcPr>
          <w:p w14:paraId="6FA073A6" w14:textId="77777777" w:rsidR="00CB7681" w:rsidRPr="00F9037E" w:rsidRDefault="00CB7681" w:rsidP="000E64F3">
            <w:pPr>
              <w:spacing w:before="40" w:after="0"/>
              <w:jc w:val="center"/>
              <w:rPr>
                <w:rFonts w:ascii="Arial" w:hAnsi="Arial"/>
                <w:sz w:val="18"/>
              </w:rPr>
            </w:pPr>
          </w:p>
        </w:tc>
        <w:tc>
          <w:tcPr>
            <w:tcW w:w="850" w:type="dxa"/>
            <w:shd w:val="clear" w:color="auto" w:fill="FFFF99"/>
            <w:vAlign w:val="center"/>
          </w:tcPr>
          <w:p w14:paraId="79818902" w14:textId="77777777" w:rsidR="00CB7681" w:rsidRPr="00F9037E" w:rsidRDefault="00CB7681" w:rsidP="000E64F3">
            <w:pPr>
              <w:spacing w:before="40" w:after="0"/>
              <w:jc w:val="center"/>
              <w:rPr>
                <w:rFonts w:ascii="Arial" w:hAnsi="Arial"/>
                <w:sz w:val="18"/>
              </w:rPr>
            </w:pPr>
          </w:p>
        </w:tc>
        <w:tc>
          <w:tcPr>
            <w:tcW w:w="851" w:type="dxa"/>
            <w:shd w:val="clear" w:color="auto" w:fill="FFFF99"/>
          </w:tcPr>
          <w:p w14:paraId="79720C88" w14:textId="77777777" w:rsidR="00CB7681" w:rsidRPr="00F9037E" w:rsidRDefault="00CB7681" w:rsidP="000E64F3">
            <w:pPr>
              <w:spacing w:before="40" w:after="0"/>
              <w:jc w:val="center"/>
              <w:rPr>
                <w:rFonts w:ascii="Arial" w:hAnsi="Arial"/>
                <w:sz w:val="18"/>
              </w:rPr>
            </w:pPr>
          </w:p>
        </w:tc>
        <w:tc>
          <w:tcPr>
            <w:tcW w:w="850" w:type="dxa"/>
            <w:shd w:val="clear" w:color="auto" w:fill="FFFF99"/>
          </w:tcPr>
          <w:p w14:paraId="2757B285" w14:textId="77777777" w:rsidR="00CB7681" w:rsidRPr="00F9037E" w:rsidRDefault="00CB7681" w:rsidP="000E64F3">
            <w:pPr>
              <w:spacing w:before="40" w:after="0"/>
              <w:rPr>
                <w:rFonts w:ascii="Arial" w:hAnsi="Arial"/>
                <w:sz w:val="18"/>
              </w:rPr>
            </w:pPr>
          </w:p>
        </w:tc>
        <w:tc>
          <w:tcPr>
            <w:tcW w:w="992" w:type="dxa"/>
            <w:shd w:val="clear" w:color="auto" w:fill="FFFF99"/>
          </w:tcPr>
          <w:p w14:paraId="6A686E8E" w14:textId="77777777" w:rsidR="00CB7681" w:rsidRPr="00F9037E" w:rsidRDefault="00CB7681" w:rsidP="000E64F3">
            <w:pPr>
              <w:spacing w:before="40" w:after="0"/>
              <w:rPr>
                <w:rFonts w:ascii="Arial" w:hAnsi="Arial"/>
                <w:sz w:val="18"/>
              </w:rPr>
            </w:pPr>
          </w:p>
        </w:tc>
        <w:tc>
          <w:tcPr>
            <w:tcW w:w="780" w:type="dxa"/>
            <w:shd w:val="clear" w:color="auto" w:fill="FFFF99"/>
          </w:tcPr>
          <w:p w14:paraId="43664069" w14:textId="77777777" w:rsidR="00CB7681" w:rsidRPr="00F9037E" w:rsidRDefault="00CB7681" w:rsidP="000E64F3">
            <w:pPr>
              <w:spacing w:before="40" w:after="0"/>
              <w:rPr>
                <w:rFonts w:ascii="Arial" w:hAnsi="Arial"/>
                <w:sz w:val="18"/>
              </w:rPr>
            </w:pPr>
          </w:p>
        </w:tc>
        <w:tc>
          <w:tcPr>
            <w:tcW w:w="1063" w:type="dxa"/>
            <w:shd w:val="clear" w:color="auto" w:fill="FFFF99"/>
          </w:tcPr>
          <w:p w14:paraId="44C1DB87" w14:textId="77777777" w:rsidR="00CB7681" w:rsidRPr="00F9037E" w:rsidRDefault="00CB7681" w:rsidP="000E64F3">
            <w:pPr>
              <w:spacing w:before="40" w:after="0"/>
              <w:rPr>
                <w:rFonts w:ascii="Arial" w:hAnsi="Arial"/>
                <w:sz w:val="18"/>
              </w:rPr>
            </w:pPr>
          </w:p>
        </w:tc>
      </w:tr>
      <w:tr w:rsidR="00CB7681" w:rsidRPr="00F9037E" w14:paraId="779A0E9F" w14:textId="77777777" w:rsidTr="000633FC">
        <w:trPr>
          <w:trHeight w:val="282"/>
        </w:trPr>
        <w:tc>
          <w:tcPr>
            <w:tcW w:w="1133" w:type="dxa"/>
            <w:vMerge/>
            <w:tcBorders>
              <w:bottom w:val="single" w:sz="4" w:space="0" w:color="auto"/>
            </w:tcBorders>
          </w:tcPr>
          <w:p w14:paraId="605F37A4" w14:textId="77777777" w:rsidR="00CB7681" w:rsidRPr="00F9037E" w:rsidRDefault="00CB7681" w:rsidP="000E64F3">
            <w:pPr>
              <w:spacing w:before="40" w:after="40"/>
              <w:rPr>
                <w:rFonts w:ascii="Arial" w:hAnsi="Arial"/>
                <w:sz w:val="18"/>
              </w:rPr>
            </w:pPr>
          </w:p>
        </w:tc>
        <w:tc>
          <w:tcPr>
            <w:tcW w:w="14318" w:type="dxa"/>
            <w:gridSpan w:val="15"/>
            <w:tcBorders>
              <w:bottom w:val="single" w:sz="4" w:space="0" w:color="auto"/>
            </w:tcBorders>
          </w:tcPr>
          <w:p w14:paraId="38CB7661" w14:textId="19D1AD17" w:rsidR="00CB7681" w:rsidRPr="003159A8" w:rsidRDefault="00CB7681" w:rsidP="00A372D3">
            <w:pPr>
              <w:spacing w:before="120" w:after="120"/>
              <w:rPr>
                <w:rFonts w:ascii="Arial" w:hAnsi="Arial"/>
                <w:b/>
                <w:sz w:val="18"/>
              </w:rPr>
            </w:pPr>
            <w:r w:rsidRPr="00CD3CBD">
              <w:rPr>
                <w:rFonts w:ascii="Arial" w:hAnsi="Arial"/>
                <w:b/>
                <w:sz w:val="18"/>
              </w:rPr>
              <w:t>MBTOC Final Recommendation for 2017</w:t>
            </w:r>
            <w:proofErr w:type="gramStart"/>
            <w:r w:rsidRPr="00CD3CBD">
              <w:rPr>
                <w:rFonts w:ascii="Arial" w:hAnsi="Arial"/>
                <w:b/>
                <w:sz w:val="18"/>
              </w:rPr>
              <w:t>:</w:t>
            </w:r>
            <w:proofErr w:type="gramEnd"/>
            <w:r w:rsidR="003159A8">
              <w:rPr>
                <w:rFonts w:ascii="Arial" w:hAnsi="Arial"/>
                <w:b/>
                <w:sz w:val="18"/>
              </w:rPr>
              <w:br/>
            </w:r>
            <w:r w:rsidRPr="00F9037E">
              <w:rPr>
                <w:rFonts w:ascii="Arial" w:hAnsi="Arial"/>
                <w:sz w:val="18"/>
              </w:rPr>
              <w:t xml:space="preserve">MBTOC recommends a reduced nomination of 38.84tonnes for this use in 2017. This includes 25.90 t for </w:t>
            </w:r>
            <w:proofErr w:type="spellStart"/>
            <w:r w:rsidRPr="00F9037E">
              <w:rPr>
                <w:rFonts w:ascii="Arial" w:hAnsi="Arial"/>
                <w:sz w:val="18"/>
              </w:rPr>
              <w:t>Lules</w:t>
            </w:r>
            <w:proofErr w:type="spellEnd"/>
            <w:r w:rsidR="00DC4FD9" w:rsidRPr="00F9037E">
              <w:rPr>
                <w:rFonts w:ascii="Arial" w:hAnsi="Arial"/>
                <w:sz w:val="18"/>
              </w:rPr>
              <w:t xml:space="preserve"> </w:t>
            </w:r>
            <w:r w:rsidRPr="00F9037E">
              <w:rPr>
                <w:rFonts w:ascii="Arial" w:hAnsi="Arial"/>
                <w:sz w:val="18"/>
              </w:rPr>
              <w:t xml:space="preserve">(77.33 ha x 0.26) </w:t>
            </w:r>
            <w:proofErr w:type="gramStart"/>
            <w:r w:rsidRPr="00F9037E">
              <w:rPr>
                <w:rFonts w:ascii="Arial" w:hAnsi="Arial"/>
                <w:sz w:val="18"/>
              </w:rPr>
              <w:t>+(</w:t>
            </w:r>
            <w:proofErr w:type="gramEnd"/>
            <w:r w:rsidRPr="00F9037E">
              <w:rPr>
                <w:rFonts w:ascii="Arial" w:hAnsi="Arial"/>
                <w:sz w:val="18"/>
              </w:rPr>
              <w:t>38.67 x 0.15) and 12.94 t for Mar del Plata. (38.67 ha x 0.26)</w:t>
            </w:r>
            <w:proofErr w:type="gramStart"/>
            <w:r w:rsidRPr="00F9037E">
              <w:rPr>
                <w:rFonts w:ascii="Arial" w:hAnsi="Arial"/>
                <w:sz w:val="18"/>
              </w:rPr>
              <w:t>+(</w:t>
            </w:r>
            <w:proofErr w:type="gramEnd"/>
            <w:r w:rsidRPr="00F9037E">
              <w:rPr>
                <w:rFonts w:ascii="Arial" w:hAnsi="Arial"/>
                <w:sz w:val="18"/>
              </w:rPr>
              <w:t>19.33 x 0.15</w:t>
            </w:r>
            <w:r w:rsidR="00CD3CBD" w:rsidRPr="00CD3CBD">
              <w:rPr>
                <w:rFonts w:ascii="Arial" w:hAnsi="Arial"/>
                <w:sz w:val="18"/>
              </w:rPr>
              <w:t>).</w:t>
            </w:r>
          </w:p>
          <w:p w14:paraId="70893948" w14:textId="614FD398" w:rsidR="00CB7681" w:rsidRPr="00F9037E" w:rsidRDefault="00CB7681" w:rsidP="000E64F3">
            <w:pPr>
              <w:jc w:val="both"/>
              <w:rPr>
                <w:rFonts w:ascii="Arial" w:hAnsi="Arial"/>
                <w:color w:val="000000" w:themeColor="text1"/>
                <w:sz w:val="18"/>
              </w:rPr>
            </w:pPr>
            <w:r w:rsidRPr="00F9037E">
              <w:rPr>
                <w:rFonts w:ascii="Arial" w:hAnsi="Arial"/>
                <w:color w:val="000000" w:themeColor="text1"/>
                <w:sz w:val="18"/>
              </w:rPr>
              <w:t xml:space="preserve">The reduction is based on </w:t>
            </w:r>
            <w:r w:rsidR="00E750EB" w:rsidRPr="00F9037E">
              <w:rPr>
                <w:rFonts w:ascii="Arial" w:hAnsi="Arial"/>
                <w:color w:val="000000" w:themeColor="text1"/>
                <w:sz w:val="18"/>
              </w:rPr>
              <w:t>decreasing</w:t>
            </w:r>
            <w:r w:rsidRPr="00F9037E">
              <w:rPr>
                <w:rFonts w:ascii="Arial" w:hAnsi="Arial"/>
                <w:color w:val="000000" w:themeColor="text1"/>
                <w:sz w:val="18"/>
              </w:rPr>
              <w:t xml:space="preserve"> dosage rates from 26 to 15.0 g/m</w:t>
            </w:r>
            <w:r w:rsidRPr="00F9037E">
              <w:rPr>
                <w:rFonts w:ascii="Arial" w:hAnsi="Arial"/>
                <w:color w:val="000000" w:themeColor="text1"/>
                <w:sz w:val="18"/>
                <w:vertAlign w:val="superscript"/>
              </w:rPr>
              <w:t>2</w:t>
            </w:r>
            <w:r w:rsidRPr="00F9037E">
              <w:rPr>
                <w:rFonts w:ascii="Arial" w:hAnsi="Arial"/>
                <w:color w:val="000000" w:themeColor="text1"/>
                <w:sz w:val="18"/>
              </w:rPr>
              <w:t xml:space="preserve"> for adoption of barrier films (e.g. TIF) and available alternatives (i.e. 1,3-D/Pic) over a transition period of three years. MBTOC reviewed the information provided after the OEWG and accepts that adoption of 50% of the industry to barrier films may not be possible and accepts that a smaller transition should be applied.  For this reason MBTOC suggests that a reduction of consistent with a 3 year transition be applied and recommends 38.90 tonnes. MBTOC reinforces that the effectiveness of alternatives may require a change in the present application methods and crop rotations used within these sectors and has been provided with no further technical evidence to show that.1</w:t>
            </w:r>
            <w:r w:rsidR="00CD3CBD" w:rsidRPr="00CD3CBD">
              <w:rPr>
                <w:rFonts w:ascii="Arial" w:hAnsi="Arial"/>
                <w:color w:val="000000" w:themeColor="text1"/>
                <w:sz w:val="18"/>
              </w:rPr>
              <w:t>, 3</w:t>
            </w:r>
            <w:r w:rsidRPr="00F9037E">
              <w:rPr>
                <w:rFonts w:ascii="Arial" w:hAnsi="Arial"/>
                <w:color w:val="000000" w:themeColor="text1"/>
                <w:sz w:val="18"/>
              </w:rPr>
              <w:t>-D/Pic using soil injection methods would not perform as effectively in the regions mentioned compared to MB.</w:t>
            </w:r>
          </w:p>
          <w:p w14:paraId="2BF56519" w14:textId="20DEE80E" w:rsidR="00CB7681" w:rsidRPr="003159A8" w:rsidRDefault="00CB7681" w:rsidP="003159A8">
            <w:pPr>
              <w:rPr>
                <w:rFonts w:ascii="Arial" w:hAnsi="Arial"/>
                <w:b/>
                <w:sz w:val="18"/>
              </w:rPr>
            </w:pPr>
            <w:r w:rsidRPr="00F9037E">
              <w:rPr>
                <w:rFonts w:ascii="Arial" w:hAnsi="Arial"/>
                <w:b/>
                <w:sz w:val="18"/>
              </w:rPr>
              <w:t xml:space="preserve">Nomination by the Party for 2017: </w:t>
            </w:r>
            <w:r w:rsidR="003159A8">
              <w:rPr>
                <w:rFonts w:ascii="Arial" w:hAnsi="Arial"/>
                <w:b/>
                <w:sz w:val="18"/>
              </w:rPr>
              <w:br/>
            </w:r>
            <w:r w:rsidRPr="00CD3CBD">
              <w:rPr>
                <w:rFonts w:ascii="Arial" w:hAnsi="Arial"/>
                <w:sz w:val="18"/>
              </w:rPr>
              <w:t xml:space="preserve">The Party nominated 45.3 tonnes of MB for critical uses for strawberry fruit production in field cultivation in the critical regions of Mar del Plata and </w:t>
            </w:r>
            <w:proofErr w:type="spellStart"/>
            <w:r w:rsidRPr="00CD3CBD">
              <w:rPr>
                <w:rFonts w:ascii="Arial" w:hAnsi="Arial"/>
                <w:sz w:val="18"/>
              </w:rPr>
              <w:t>Lules</w:t>
            </w:r>
            <w:proofErr w:type="spellEnd"/>
            <w:r w:rsidRPr="00CD3CBD">
              <w:rPr>
                <w:rFonts w:ascii="Arial" w:hAnsi="Arial"/>
                <w:sz w:val="18"/>
              </w:rPr>
              <w:t xml:space="preserve">.  </w:t>
            </w:r>
          </w:p>
          <w:p w14:paraId="00344BA6" w14:textId="77777777" w:rsidR="00CB7681" w:rsidRPr="00082015" w:rsidRDefault="00CB7681" w:rsidP="000E64F3">
            <w:pPr>
              <w:jc w:val="both"/>
              <w:rPr>
                <w:rFonts w:ascii="Arial" w:hAnsi="Arial"/>
                <w:sz w:val="18"/>
              </w:rPr>
            </w:pPr>
            <w:r w:rsidRPr="00501812">
              <w:rPr>
                <w:rFonts w:ascii="Arial" w:hAnsi="Arial"/>
                <w:sz w:val="18"/>
              </w:rPr>
              <w:t>The Party submitted a nomination based on the use of standard polyethylene films and a dosage rate of (26 g/m</w:t>
            </w:r>
            <w:r w:rsidRPr="003A30C7">
              <w:rPr>
                <w:rFonts w:ascii="Arial" w:hAnsi="Arial"/>
                <w:sz w:val="18"/>
                <w:vertAlign w:val="superscript"/>
              </w:rPr>
              <w:t>2</w:t>
            </w:r>
            <w:r w:rsidRPr="00082015">
              <w:rPr>
                <w:rFonts w:ascii="Arial" w:hAnsi="Arial"/>
                <w:sz w:val="18"/>
              </w:rPr>
              <w:t xml:space="preserve">) for MB use without barrier films.  This included 30.20 t for </w:t>
            </w:r>
            <w:proofErr w:type="spellStart"/>
            <w:r w:rsidRPr="00082015">
              <w:rPr>
                <w:rFonts w:ascii="Arial" w:hAnsi="Arial"/>
                <w:sz w:val="18"/>
              </w:rPr>
              <w:t>Lules</w:t>
            </w:r>
            <w:proofErr w:type="spellEnd"/>
            <w:r w:rsidRPr="00082015">
              <w:rPr>
                <w:rFonts w:ascii="Arial" w:hAnsi="Arial"/>
                <w:sz w:val="18"/>
              </w:rPr>
              <w:t xml:space="preserve"> (200ha x 0.58 x 0.26) and 15.10 t for Mar del Plata (100 ha x 0.58 x 0.26). The key pests in Mar del Plata are fungi (</w:t>
            </w:r>
            <w:proofErr w:type="spellStart"/>
            <w:r w:rsidRPr="00082015">
              <w:rPr>
                <w:rFonts w:ascii="Arial" w:hAnsi="Arial"/>
                <w:i/>
                <w:sz w:val="18"/>
              </w:rPr>
              <w:t>Phytophthora</w:t>
            </w:r>
            <w:proofErr w:type="spellEnd"/>
            <w:r w:rsidRPr="00082015">
              <w:rPr>
                <w:rFonts w:ascii="Arial" w:hAnsi="Arial"/>
                <w:i/>
                <w:sz w:val="18"/>
              </w:rPr>
              <w:t xml:space="preserve">, </w:t>
            </w:r>
            <w:proofErr w:type="spellStart"/>
            <w:r w:rsidRPr="00082015">
              <w:rPr>
                <w:rFonts w:ascii="Arial" w:hAnsi="Arial"/>
                <w:i/>
                <w:sz w:val="18"/>
              </w:rPr>
              <w:t>Verticillium</w:t>
            </w:r>
            <w:proofErr w:type="spellEnd"/>
            <w:r w:rsidRPr="00082015">
              <w:rPr>
                <w:rFonts w:ascii="Arial" w:hAnsi="Arial"/>
                <w:sz w:val="18"/>
              </w:rPr>
              <w:t>), soil insects, nematodes and weeds (</w:t>
            </w:r>
            <w:proofErr w:type="spellStart"/>
            <w:r w:rsidRPr="00F5313E">
              <w:rPr>
                <w:rFonts w:ascii="Arial" w:hAnsi="Arial"/>
                <w:i/>
                <w:sz w:val="18"/>
              </w:rPr>
              <w:t>Cyperus</w:t>
            </w:r>
            <w:proofErr w:type="spellEnd"/>
            <w:r w:rsidRPr="00220275">
              <w:rPr>
                <w:rFonts w:ascii="Arial" w:hAnsi="Arial"/>
                <w:sz w:val="18"/>
              </w:rPr>
              <w:t xml:space="preserve">). Key </w:t>
            </w:r>
            <w:r w:rsidRPr="00F9037E">
              <w:rPr>
                <w:rFonts w:ascii="Arial" w:hAnsi="Arial"/>
                <w:sz w:val="18"/>
              </w:rPr>
              <w:t xml:space="preserve">fungi </w:t>
            </w:r>
            <w:r w:rsidRPr="00CD3CBD">
              <w:rPr>
                <w:rFonts w:ascii="Arial" w:hAnsi="Arial"/>
                <w:sz w:val="18"/>
              </w:rPr>
              <w:t xml:space="preserve">in </w:t>
            </w:r>
            <w:proofErr w:type="spellStart"/>
            <w:r w:rsidRPr="00CD3CBD">
              <w:rPr>
                <w:rFonts w:ascii="Arial" w:hAnsi="Arial"/>
                <w:sz w:val="18"/>
              </w:rPr>
              <w:t>Lules</w:t>
            </w:r>
            <w:proofErr w:type="spellEnd"/>
            <w:r w:rsidRPr="00CD3CBD">
              <w:rPr>
                <w:rFonts w:ascii="Arial" w:hAnsi="Arial"/>
                <w:sz w:val="18"/>
              </w:rPr>
              <w:t xml:space="preserve"> are (</w:t>
            </w:r>
            <w:proofErr w:type="spellStart"/>
            <w:r w:rsidRPr="00CD3CBD">
              <w:rPr>
                <w:rFonts w:ascii="Arial" w:hAnsi="Arial"/>
                <w:i/>
                <w:sz w:val="18"/>
              </w:rPr>
              <w:t>Phytophthora</w:t>
            </w:r>
            <w:proofErr w:type="spellEnd"/>
            <w:r w:rsidRPr="00CD3CBD">
              <w:rPr>
                <w:rFonts w:ascii="Arial" w:hAnsi="Arial"/>
                <w:i/>
                <w:sz w:val="18"/>
              </w:rPr>
              <w:t xml:space="preserve">, </w:t>
            </w:r>
            <w:proofErr w:type="spellStart"/>
            <w:r w:rsidRPr="00CD3CBD">
              <w:rPr>
                <w:rFonts w:ascii="Arial" w:hAnsi="Arial"/>
                <w:i/>
                <w:sz w:val="18"/>
              </w:rPr>
              <w:t>Verticillium</w:t>
            </w:r>
            <w:proofErr w:type="spellEnd"/>
            <w:r w:rsidRPr="00CD3CBD">
              <w:rPr>
                <w:rFonts w:ascii="Arial" w:hAnsi="Arial"/>
                <w:sz w:val="18"/>
              </w:rPr>
              <w:t xml:space="preserve">, Anthracnose, </w:t>
            </w:r>
            <w:proofErr w:type="spellStart"/>
            <w:r w:rsidRPr="00CD3CBD">
              <w:rPr>
                <w:rFonts w:ascii="Arial" w:hAnsi="Arial"/>
                <w:i/>
                <w:sz w:val="18"/>
              </w:rPr>
              <w:t>Rhizoctonia</w:t>
            </w:r>
            <w:proofErr w:type="spellEnd"/>
            <w:r w:rsidRPr="00CD3CBD">
              <w:rPr>
                <w:rFonts w:ascii="Arial" w:hAnsi="Arial"/>
                <w:i/>
                <w:sz w:val="18"/>
              </w:rPr>
              <w:t xml:space="preserve">, Fusarium, Pythium, </w:t>
            </w:r>
            <w:proofErr w:type="spellStart"/>
            <w:proofErr w:type="gramStart"/>
            <w:r w:rsidRPr="00CD3CBD">
              <w:rPr>
                <w:rFonts w:ascii="Arial" w:hAnsi="Arial"/>
                <w:i/>
                <w:sz w:val="18"/>
              </w:rPr>
              <w:t>Macrophomina</w:t>
            </w:r>
            <w:proofErr w:type="spellEnd"/>
            <w:proofErr w:type="gramEnd"/>
            <w:r w:rsidRPr="00CD3CBD">
              <w:rPr>
                <w:rFonts w:ascii="Arial" w:hAnsi="Arial"/>
                <w:sz w:val="18"/>
              </w:rPr>
              <w:t xml:space="preserve">).  A </w:t>
            </w:r>
            <w:proofErr w:type="spellStart"/>
            <w:r w:rsidRPr="00CD3CBD">
              <w:rPr>
                <w:rFonts w:ascii="Arial" w:hAnsi="Arial"/>
                <w:sz w:val="18"/>
              </w:rPr>
              <w:t>MB</w:t>
            </w:r>
            <w:proofErr w:type="gramStart"/>
            <w:r w:rsidRPr="00CD3CBD">
              <w:rPr>
                <w:rFonts w:ascii="Arial" w:hAnsi="Arial"/>
                <w:sz w:val="18"/>
              </w:rPr>
              <w:t>:Pic</w:t>
            </w:r>
            <w:proofErr w:type="spellEnd"/>
            <w:proofErr w:type="gramEnd"/>
            <w:r w:rsidRPr="00CD3CBD">
              <w:rPr>
                <w:rFonts w:ascii="Arial" w:hAnsi="Arial"/>
                <w:sz w:val="18"/>
              </w:rPr>
              <w:t xml:space="preserve"> 70:30 formulation is used in strip treatment (beds only) so only 58% of the area is effectively treated. The nomination bases the need for MB on the fact that altern</w:t>
            </w:r>
            <w:r w:rsidRPr="00501812">
              <w:rPr>
                <w:rFonts w:ascii="Arial" w:hAnsi="Arial"/>
                <w:sz w:val="18"/>
              </w:rPr>
              <w:t>atives, particularly 1,3-D/Pic, are not effective for high moisture soils in warmer regions or heavy clay soils (</w:t>
            </w:r>
            <w:proofErr w:type="spellStart"/>
            <w:r w:rsidRPr="00501812">
              <w:rPr>
                <w:rFonts w:ascii="Arial" w:hAnsi="Arial"/>
                <w:sz w:val="18"/>
              </w:rPr>
              <w:t>Lules</w:t>
            </w:r>
            <w:proofErr w:type="spellEnd"/>
            <w:r w:rsidRPr="00501812">
              <w:rPr>
                <w:rFonts w:ascii="Arial" w:hAnsi="Arial"/>
                <w:sz w:val="18"/>
              </w:rPr>
              <w:t>) and</w:t>
            </w:r>
            <w:r w:rsidR="00DC4FD9" w:rsidRPr="003A30C7">
              <w:rPr>
                <w:rFonts w:ascii="Arial" w:hAnsi="Arial"/>
                <w:sz w:val="18"/>
              </w:rPr>
              <w:t xml:space="preserve"> </w:t>
            </w:r>
            <w:r w:rsidRPr="00082015">
              <w:rPr>
                <w:rFonts w:ascii="Arial" w:hAnsi="Arial"/>
                <w:sz w:val="18"/>
              </w:rPr>
              <w:t xml:space="preserve">that </w:t>
            </w:r>
            <w:proofErr w:type="spellStart"/>
            <w:r w:rsidRPr="00082015">
              <w:rPr>
                <w:rFonts w:ascii="Arial" w:hAnsi="Arial"/>
                <w:sz w:val="18"/>
              </w:rPr>
              <w:t>phytotoxicity</w:t>
            </w:r>
            <w:proofErr w:type="spellEnd"/>
            <w:r w:rsidRPr="00082015">
              <w:rPr>
                <w:rFonts w:ascii="Arial" w:hAnsi="Arial"/>
                <w:sz w:val="18"/>
              </w:rPr>
              <w:t xml:space="preserve"> occurs in the cold soil conditions of Mar del Plata. Missing specific market windows is also of concern.</w:t>
            </w:r>
          </w:p>
          <w:p w14:paraId="44DD56A8" w14:textId="4805811B" w:rsidR="00CB7681" w:rsidRPr="005F72D6" w:rsidRDefault="00CB7681" w:rsidP="005F72D6">
            <w:pPr>
              <w:spacing w:before="60" w:after="120"/>
              <w:rPr>
                <w:rFonts w:ascii="Arial" w:hAnsi="Arial"/>
                <w:b/>
                <w:sz w:val="18"/>
              </w:rPr>
            </w:pPr>
            <w:r w:rsidRPr="00F9037E">
              <w:rPr>
                <w:rFonts w:ascii="Arial" w:hAnsi="Arial"/>
                <w:b/>
                <w:sz w:val="18"/>
              </w:rPr>
              <w:t>Circumstances of the nomination by the Party</w:t>
            </w:r>
            <w:proofErr w:type="gramStart"/>
            <w:r w:rsidRPr="00F9037E">
              <w:rPr>
                <w:rFonts w:ascii="Arial" w:hAnsi="Arial"/>
                <w:b/>
                <w:sz w:val="18"/>
              </w:rPr>
              <w:t>:</w:t>
            </w:r>
            <w:proofErr w:type="gramEnd"/>
            <w:r w:rsidR="005F72D6">
              <w:rPr>
                <w:rFonts w:ascii="Arial" w:hAnsi="Arial"/>
                <w:b/>
                <w:sz w:val="18"/>
              </w:rPr>
              <w:br/>
            </w:r>
            <w:r w:rsidRPr="00CD3CBD">
              <w:rPr>
                <w:rFonts w:ascii="Arial" w:hAnsi="Arial"/>
                <w:sz w:val="18"/>
              </w:rPr>
              <w:t xml:space="preserve">The Party states that 1,3-D/Pic does not control the entire pest spectrum attacking strawberries and has a longer plant back time or a phytotoxic effect, which leads to missed market windows. </w:t>
            </w:r>
            <w:proofErr w:type="spellStart"/>
            <w:r w:rsidRPr="00CD3CBD">
              <w:rPr>
                <w:rFonts w:ascii="Arial" w:hAnsi="Arial"/>
                <w:sz w:val="18"/>
              </w:rPr>
              <w:t>Metham</w:t>
            </w:r>
            <w:proofErr w:type="spellEnd"/>
            <w:r w:rsidRPr="00CD3CBD">
              <w:rPr>
                <w:rFonts w:ascii="Arial" w:hAnsi="Arial"/>
                <w:sz w:val="18"/>
              </w:rPr>
              <w:t xml:space="preserve"> sodium at the regis</w:t>
            </w:r>
            <w:r w:rsidRPr="00501812">
              <w:rPr>
                <w:rFonts w:ascii="Arial" w:hAnsi="Arial"/>
                <w:sz w:val="18"/>
              </w:rPr>
              <w:t>tered rate does not achieve yields comparable to MB treatments. According to the Party low soil temperatures and heavy rainfall typically present at the time when fumigation needs to happen to ensure optimum</w:t>
            </w:r>
            <w:r w:rsidRPr="003A30C7">
              <w:rPr>
                <w:rFonts w:ascii="Arial" w:hAnsi="Arial"/>
                <w:sz w:val="18"/>
              </w:rPr>
              <w:t xml:space="preserve"> yields and a timely harvest, challenge the adoption of alternatives. Chloropicrin alone is not registered and does not control weeds. </w:t>
            </w:r>
            <w:proofErr w:type="spellStart"/>
            <w:r w:rsidRPr="003A30C7">
              <w:rPr>
                <w:rFonts w:ascii="Arial" w:hAnsi="Arial"/>
                <w:sz w:val="18"/>
              </w:rPr>
              <w:t>Dazomet</w:t>
            </w:r>
            <w:proofErr w:type="spellEnd"/>
            <w:r w:rsidRPr="003A30C7">
              <w:rPr>
                <w:rFonts w:ascii="Arial" w:hAnsi="Arial"/>
                <w:sz w:val="18"/>
              </w:rPr>
              <w:t xml:space="preserve"> is not registered for edible crops. Methyl iodide, which proved effective in trials, is no longer being considere</w:t>
            </w:r>
            <w:r w:rsidRPr="00082015">
              <w:rPr>
                <w:rFonts w:ascii="Arial" w:hAnsi="Arial"/>
                <w:sz w:val="18"/>
              </w:rPr>
              <w:t xml:space="preserve">d for registration. </w:t>
            </w:r>
            <w:proofErr w:type="spellStart"/>
            <w:r w:rsidRPr="00082015">
              <w:rPr>
                <w:rFonts w:ascii="Arial" w:hAnsi="Arial"/>
                <w:sz w:val="18"/>
              </w:rPr>
              <w:t>Solarization</w:t>
            </w:r>
            <w:proofErr w:type="spellEnd"/>
            <w:r w:rsidRPr="00082015">
              <w:rPr>
                <w:rFonts w:ascii="Arial" w:hAnsi="Arial"/>
                <w:sz w:val="18"/>
              </w:rPr>
              <w:t xml:space="preserve"> and </w:t>
            </w:r>
            <w:proofErr w:type="spellStart"/>
            <w:r w:rsidRPr="00082015">
              <w:rPr>
                <w:rFonts w:ascii="Arial" w:hAnsi="Arial"/>
                <w:sz w:val="18"/>
              </w:rPr>
              <w:t>biofumigation</w:t>
            </w:r>
            <w:proofErr w:type="spellEnd"/>
            <w:r w:rsidRPr="00082015">
              <w:rPr>
                <w:rFonts w:ascii="Arial" w:hAnsi="Arial"/>
                <w:sz w:val="18"/>
              </w:rPr>
              <w:t xml:space="preserve"> are not considered practical in the critical areas and VIF and TIF are fairly new products that need to be imported.</w:t>
            </w:r>
          </w:p>
          <w:p w14:paraId="7A525042" w14:textId="454FD688" w:rsidR="00CB7681" w:rsidRPr="00563BC0" w:rsidRDefault="00CB7681" w:rsidP="000E64F3">
            <w:pPr>
              <w:jc w:val="both"/>
              <w:rPr>
                <w:rFonts w:ascii="Arial" w:hAnsi="Arial"/>
                <w:sz w:val="18"/>
              </w:rPr>
            </w:pPr>
            <w:r w:rsidRPr="00082015">
              <w:rPr>
                <w:rFonts w:ascii="Arial" w:hAnsi="Arial"/>
                <w:sz w:val="18"/>
              </w:rPr>
              <w:t>According to the Party, results of trials conducted from 2001 to 2013 showed that 1</w:t>
            </w:r>
            <w:proofErr w:type="gramStart"/>
            <w:r w:rsidRPr="00082015">
              <w:rPr>
                <w:rFonts w:ascii="Arial" w:hAnsi="Arial"/>
                <w:sz w:val="18"/>
              </w:rPr>
              <w:t>,3</w:t>
            </w:r>
            <w:proofErr w:type="gramEnd"/>
            <w:r w:rsidRPr="00082015">
              <w:rPr>
                <w:rFonts w:ascii="Arial" w:hAnsi="Arial"/>
                <w:sz w:val="18"/>
              </w:rPr>
              <w:t xml:space="preserve">-D/PIC, an alternative that is widely adopted in strawberry fruit crops worldwide, gave variable results in the Mar del Plata region, but good yields in the </w:t>
            </w:r>
            <w:proofErr w:type="spellStart"/>
            <w:r w:rsidRPr="00082015">
              <w:rPr>
                <w:rFonts w:ascii="Arial" w:hAnsi="Arial"/>
                <w:sz w:val="18"/>
              </w:rPr>
              <w:t>Lules</w:t>
            </w:r>
            <w:proofErr w:type="spellEnd"/>
            <w:r w:rsidRPr="00082015">
              <w:rPr>
                <w:rFonts w:ascii="Arial" w:hAnsi="Arial"/>
                <w:sz w:val="18"/>
              </w:rPr>
              <w:t xml:space="preserve"> region. </w:t>
            </w:r>
            <w:proofErr w:type="spellStart"/>
            <w:r w:rsidRPr="00082015">
              <w:rPr>
                <w:rFonts w:ascii="Arial" w:hAnsi="Arial"/>
                <w:sz w:val="18"/>
              </w:rPr>
              <w:t>Dazomet</w:t>
            </w:r>
            <w:proofErr w:type="spellEnd"/>
            <w:r w:rsidRPr="00082015">
              <w:rPr>
                <w:rFonts w:ascii="Arial" w:hAnsi="Arial"/>
                <w:sz w:val="18"/>
              </w:rPr>
              <w:t xml:space="preserve"> is not registered for edible crops. </w:t>
            </w:r>
            <w:proofErr w:type="spellStart"/>
            <w:r w:rsidRPr="00082015">
              <w:rPr>
                <w:rFonts w:ascii="Arial" w:hAnsi="Arial"/>
                <w:sz w:val="18"/>
              </w:rPr>
              <w:t>Metham</w:t>
            </w:r>
            <w:proofErr w:type="spellEnd"/>
            <w:r w:rsidRPr="00082015">
              <w:rPr>
                <w:rFonts w:ascii="Arial" w:hAnsi="Arial"/>
                <w:sz w:val="18"/>
              </w:rPr>
              <w:t xml:space="preserve"> sodium at a high rate of 0.25 l/m</w:t>
            </w:r>
            <w:r w:rsidRPr="00F5313E">
              <w:rPr>
                <w:rFonts w:ascii="Arial" w:hAnsi="Arial"/>
                <w:sz w:val="18"/>
                <w:vertAlign w:val="superscript"/>
              </w:rPr>
              <w:t>2</w:t>
            </w:r>
            <w:r w:rsidRPr="00220275">
              <w:rPr>
                <w:rFonts w:ascii="Arial" w:hAnsi="Arial"/>
                <w:sz w:val="18"/>
              </w:rPr>
              <w:t xml:space="preserve"> with two drip tapes obtained similar yields as MB</w:t>
            </w:r>
            <w:r w:rsidR="00CD3CBD" w:rsidRPr="00220275">
              <w:rPr>
                <w:rFonts w:ascii="Arial" w:hAnsi="Arial"/>
                <w:sz w:val="18"/>
              </w:rPr>
              <w:t>: Pic (</w:t>
            </w:r>
            <w:r w:rsidRPr="00220275">
              <w:rPr>
                <w:rFonts w:ascii="Arial" w:hAnsi="Arial"/>
                <w:sz w:val="18"/>
              </w:rPr>
              <w:t>70:30) at a rate of 40 g/m</w:t>
            </w:r>
            <w:r w:rsidRPr="00B87B95">
              <w:rPr>
                <w:rFonts w:ascii="Arial" w:hAnsi="Arial"/>
                <w:sz w:val="18"/>
                <w:vertAlign w:val="superscript"/>
              </w:rPr>
              <w:t>2</w:t>
            </w:r>
            <w:r w:rsidRPr="00B87B95">
              <w:rPr>
                <w:rFonts w:ascii="Arial" w:hAnsi="Arial"/>
                <w:sz w:val="18"/>
              </w:rPr>
              <w:t xml:space="preserve">, but that rate is not registered. According to the Party, Pic is a technically and economically feasible alternative to MB, but Pic alone is not registered in Argentina. DMDS is a promising alternative to MB, but it is not available. Non-chemical alternatives, in particular </w:t>
            </w:r>
            <w:r w:rsidR="00CD3CBD" w:rsidRPr="00B87B95">
              <w:rPr>
                <w:rFonts w:ascii="Arial" w:hAnsi="Arial"/>
                <w:sz w:val="18"/>
              </w:rPr>
              <w:t>solarisation</w:t>
            </w:r>
            <w:r w:rsidRPr="00563BC0">
              <w:rPr>
                <w:rFonts w:ascii="Arial" w:hAnsi="Arial"/>
                <w:sz w:val="18"/>
              </w:rPr>
              <w:t>, are widely used in the North, East and West of Argentina, but cannot be used in the central areas.</w:t>
            </w:r>
          </w:p>
          <w:p w14:paraId="5475227E" w14:textId="4C355EBA" w:rsidR="00CB7681" w:rsidRPr="005F72D6" w:rsidRDefault="00CB7681" w:rsidP="005F72D6">
            <w:pPr>
              <w:spacing w:before="60" w:after="120"/>
              <w:rPr>
                <w:rFonts w:ascii="Arial" w:hAnsi="Arial"/>
                <w:b/>
                <w:sz w:val="18"/>
              </w:rPr>
            </w:pPr>
            <w:r w:rsidRPr="00F9037E">
              <w:rPr>
                <w:rFonts w:ascii="Arial" w:hAnsi="Arial"/>
                <w:b/>
                <w:sz w:val="18"/>
              </w:rPr>
              <w:t xml:space="preserve">MBTOC final assessment for MB use in this sector in 2017: </w:t>
            </w:r>
            <w:r w:rsidR="005F72D6">
              <w:rPr>
                <w:rFonts w:ascii="Arial" w:hAnsi="Arial"/>
                <w:b/>
                <w:sz w:val="18"/>
              </w:rPr>
              <w:br/>
            </w:r>
            <w:r w:rsidRPr="00F9037E">
              <w:rPr>
                <w:rFonts w:ascii="Helvetica" w:hAnsi="Helvetica"/>
                <w:sz w:val="18"/>
              </w:rPr>
              <w:t>The Party stated that 1</w:t>
            </w:r>
            <w:proofErr w:type="gramStart"/>
            <w:r w:rsidRPr="00F9037E">
              <w:rPr>
                <w:rFonts w:ascii="Helvetica" w:hAnsi="Helvetica"/>
                <w:sz w:val="18"/>
              </w:rPr>
              <w:t>,3</w:t>
            </w:r>
            <w:proofErr w:type="gramEnd"/>
            <w:r w:rsidRPr="00F9037E">
              <w:rPr>
                <w:rFonts w:ascii="Helvetica" w:hAnsi="Helvetica"/>
                <w:sz w:val="18"/>
              </w:rPr>
              <w:t xml:space="preserve">-D/Pic and other alternatives (i.e. </w:t>
            </w:r>
            <w:proofErr w:type="spellStart"/>
            <w:r w:rsidRPr="00F9037E">
              <w:rPr>
                <w:rFonts w:ascii="Helvetica" w:hAnsi="Helvetica"/>
                <w:sz w:val="18"/>
              </w:rPr>
              <w:t>metham</w:t>
            </w:r>
            <w:proofErr w:type="spellEnd"/>
            <w:r w:rsidRPr="00F9037E">
              <w:rPr>
                <w:rFonts w:ascii="Helvetica" w:hAnsi="Helvetica"/>
                <w:sz w:val="18"/>
              </w:rPr>
              <w:t xml:space="preserve"> sodium, </w:t>
            </w:r>
            <w:proofErr w:type="spellStart"/>
            <w:r w:rsidRPr="00F9037E">
              <w:rPr>
                <w:rFonts w:ascii="Helvetica" w:hAnsi="Helvetica"/>
                <w:sz w:val="18"/>
              </w:rPr>
              <w:t>metham</w:t>
            </w:r>
            <w:proofErr w:type="spellEnd"/>
            <w:r w:rsidRPr="00F9037E">
              <w:rPr>
                <w:rFonts w:ascii="Helvetica" w:hAnsi="Helvetica"/>
                <w:sz w:val="18"/>
              </w:rPr>
              <w:t xml:space="preserve"> potassium, </w:t>
            </w:r>
            <w:proofErr w:type="spellStart"/>
            <w:r w:rsidRPr="00F9037E">
              <w:rPr>
                <w:rFonts w:ascii="Helvetica" w:hAnsi="Helvetica"/>
                <w:sz w:val="18"/>
              </w:rPr>
              <w:t>metham</w:t>
            </w:r>
            <w:proofErr w:type="spellEnd"/>
            <w:r w:rsidRPr="00F9037E">
              <w:rPr>
                <w:rFonts w:ascii="Helvetica" w:hAnsi="Helvetica"/>
                <w:sz w:val="18"/>
              </w:rPr>
              <w:t xml:space="preserve"> ammonium) are ineffective under the particular circumstances of the nomination, however the nomination shows that higher yields can be obtained with 1,3-D/Pic in </w:t>
            </w:r>
            <w:proofErr w:type="spellStart"/>
            <w:r w:rsidRPr="00F9037E">
              <w:rPr>
                <w:rFonts w:ascii="Helvetica" w:hAnsi="Helvetica"/>
                <w:sz w:val="18"/>
              </w:rPr>
              <w:t>Lules</w:t>
            </w:r>
            <w:proofErr w:type="spellEnd"/>
            <w:r w:rsidRPr="00F9037E">
              <w:rPr>
                <w:rFonts w:ascii="Helvetica" w:hAnsi="Helvetica"/>
                <w:sz w:val="18"/>
              </w:rPr>
              <w:t>.  The Party shows economic information which assumes an 11 week delay in plant back times for 1</w:t>
            </w:r>
            <w:proofErr w:type="gramStart"/>
            <w:r w:rsidRPr="00F9037E">
              <w:rPr>
                <w:rFonts w:ascii="Helvetica" w:hAnsi="Helvetica"/>
                <w:sz w:val="18"/>
              </w:rPr>
              <w:t>,3</w:t>
            </w:r>
            <w:proofErr w:type="gramEnd"/>
            <w:r w:rsidRPr="00F9037E">
              <w:rPr>
                <w:rFonts w:ascii="Helvetica" w:hAnsi="Helvetica"/>
                <w:sz w:val="18"/>
              </w:rPr>
              <w:t>-D/Pic, but this is inconsistent with results reported in other regions of the world where similar sub-tropical conditions prevail. MBTOC considers that1</w:t>
            </w:r>
            <w:r w:rsidR="00CD3CBD" w:rsidRPr="00CD3CBD">
              <w:rPr>
                <w:rFonts w:ascii="Helvetica" w:hAnsi="Helvetica"/>
                <w:sz w:val="18"/>
              </w:rPr>
              <w:t>, 3</w:t>
            </w:r>
            <w:r w:rsidRPr="00F9037E">
              <w:rPr>
                <w:rFonts w:ascii="Helvetica" w:hAnsi="Helvetica"/>
                <w:sz w:val="18"/>
              </w:rPr>
              <w:t>-D/Pic, Pic alone, which are the major chemical alternatives adopted worldwide, would be suitable for this sector, but has reduced the nomination only based on uptake of barrier films over a 3 year period</w:t>
            </w:r>
            <w:r w:rsidR="00CD3CBD" w:rsidRPr="00CD3CBD">
              <w:rPr>
                <w:rFonts w:ascii="Helvetica" w:hAnsi="Helvetica"/>
                <w:sz w:val="18"/>
              </w:rPr>
              <w:t>.</w:t>
            </w:r>
          </w:p>
          <w:p w14:paraId="2CB92A85" w14:textId="77777777" w:rsidR="00CB7681" w:rsidRPr="00F9037E" w:rsidRDefault="00CB7681" w:rsidP="000E64F3">
            <w:pPr>
              <w:jc w:val="both"/>
              <w:rPr>
                <w:rFonts w:ascii="Helvetica" w:hAnsi="Helvetica"/>
                <w:sz w:val="18"/>
              </w:rPr>
            </w:pPr>
            <w:r w:rsidRPr="00F9037E">
              <w:rPr>
                <w:rFonts w:ascii="Helvetica" w:hAnsi="Helvetica"/>
                <w:sz w:val="18"/>
              </w:rPr>
              <w:lastRenderedPageBreak/>
              <w:t>MBTOC accepts that 1</w:t>
            </w:r>
            <w:proofErr w:type="gramStart"/>
            <w:r w:rsidRPr="00F9037E">
              <w:rPr>
                <w:rFonts w:ascii="Helvetica" w:hAnsi="Helvetica"/>
                <w:sz w:val="18"/>
              </w:rPr>
              <w:t>,3</w:t>
            </w:r>
            <w:proofErr w:type="gramEnd"/>
            <w:r w:rsidRPr="00F9037E">
              <w:rPr>
                <w:rFonts w:ascii="Helvetica" w:hAnsi="Helvetica"/>
                <w:sz w:val="18"/>
              </w:rPr>
              <w:t>-D/Pic may be more difficult to use in cooler regions such as in some areas of Mar del Plata, and notes the issues with commercial scale up in some regions of the nomination.   Whilst MBTOC believes that some growers could transition to 1</w:t>
            </w:r>
            <w:proofErr w:type="gramStart"/>
            <w:r w:rsidRPr="00F9037E">
              <w:rPr>
                <w:rFonts w:ascii="Helvetica" w:hAnsi="Helvetica"/>
                <w:sz w:val="18"/>
              </w:rPr>
              <w:t>,3</w:t>
            </w:r>
            <w:proofErr w:type="gramEnd"/>
            <w:r w:rsidRPr="00F9037E">
              <w:rPr>
                <w:rFonts w:ascii="Helvetica" w:hAnsi="Helvetica"/>
                <w:sz w:val="18"/>
              </w:rPr>
              <w:t>-D/Pic mixtures no reduction has been made to this CUN.   The Party showed MBTOC the impact of high disease pressure caused by leasing soils cropped recently with vegetables, particularly potatoes, which harbour strawberry pathogens (</w:t>
            </w:r>
            <w:proofErr w:type="spellStart"/>
            <w:r w:rsidRPr="00F9037E">
              <w:rPr>
                <w:rFonts w:ascii="Arial" w:hAnsi="Arial" w:cs="Arial"/>
                <w:i/>
                <w:sz w:val="18"/>
                <w:szCs w:val="18"/>
              </w:rPr>
              <w:t>Rhizoctonia</w:t>
            </w:r>
            <w:proofErr w:type="spellEnd"/>
            <w:r w:rsidR="00DC4FD9" w:rsidRPr="00F9037E">
              <w:rPr>
                <w:rFonts w:ascii="Arial" w:hAnsi="Arial" w:cs="Arial"/>
                <w:i/>
                <w:sz w:val="18"/>
                <w:szCs w:val="18"/>
              </w:rPr>
              <w:t xml:space="preserve"> </w:t>
            </w:r>
            <w:proofErr w:type="spellStart"/>
            <w:r w:rsidRPr="00F9037E">
              <w:rPr>
                <w:rFonts w:ascii="Arial" w:hAnsi="Arial" w:cs="Arial"/>
                <w:sz w:val="18"/>
                <w:szCs w:val="18"/>
              </w:rPr>
              <w:t>sp</w:t>
            </w:r>
            <w:proofErr w:type="spellEnd"/>
            <w:r w:rsidRPr="00F9037E">
              <w:rPr>
                <w:rFonts w:ascii="Helvetica" w:hAnsi="Helvetica"/>
                <w:sz w:val="18"/>
              </w:rPr>
              <w:t xml:space="preserve">, </w:t>
            </w:r>
            <w:proofErr w:type="spellStart"/>
            <w:r w:rsidRPr="00F9037E">
              <w:rPr>
                <w:rFonts w:ascii="Helvetica" w:hAnsi="Helvetica"/>
                <w:i/>
                <w:sz w:val="18"/>
              </w:rPr>
              <w:t>Verticillium</w:t>
            </w:r>
            <w:proofErr w:type="spellEnd"/>
            <w:r w:rsidR="00DC4FD9" w:rsidRPr="00F9037E">
              <w:rPr>
                <w:rFonts w:ascii="Helvetica" w:hAnsi="Helvetica"/>
                <w:i/>
                <w:sz w:val="18"/>
              </w:rPr>
              <w:t xml:space="preserve"> </w:t>
            </w:r>
            <w:r w:rsidRPr="00F9037E">
              <w:rPr>
                <w:rFonts w:ascii="Helvetica" w:hAnsi="Helvetica"/>
                <w:sz w:val="18"/>
              </w:rPr>
              <w:t xml:space="preserve">sp.) - MBTOC suggests that this practice should be avoided where possible to improve the performance of alternatives.  The Party also indicated that most growers get a two year crop from one application of MB/Pic, however yields can be 50% less in the second year. </w:t>
            </w:r>
          </w:p>
          <w:p w14:paraId="56A0F5A0" w14:textId="59FC0BAA" w:rsidR="00CB7681" w:rsidRPr="00F9037E" w:rsidRDefault="00CB7681" w:rsidP="000E64F3">
            <w:pPr>
              <w:jc w:val="both"/>
              <w:rPr>
                <w:rFonts w:ascii="Helvetica" w:hAnsi="Helvetica"/>
                <w:sz w:val="18"/>
              </w:rPr>
            </w:pPr>
            <w:r w:rsidRPr="00F9037E">
              <w:rPr>
                <w:rFonts w:ascii="Helvetica" w:hAnsi="Helvetica"/>
                <w:sz w:val="18"/>
              </w:rPr>
              <w:t xml:space="preserve">Future nominations should provide detailed scientific studies demonstrating the effects of the length of the plant back periods for 1,3-D/Pic in </w:t>
            </w:r>
            <w:proofErr w:type="spellStart"/>
            <w:r w:rsidRPr="00F9037E">
              <w:rPr>
                <w:rFonts w:ascii="Helvetica" w:hAnsi="Helvetica"/>
                <w:sz w:val="18"/>
              </w:rPr>
              <w:t>Lules</w:t>
            </w:r>
            <w:proofErr w:type="spellEnd"/>
            <w:r w:rsidRPr="00F9037E">
              <w:rPr>
                <w:rFonts w:ascii="Helvetica" w:hAnsi="Helvetica"/>
                <w:sz w:val="18"/>
              </w:rPr>
              <w:t xml:space="preserve"> (warm conditions) and Mar del Plata (cooler conditions) as compared to methyl bromide in accordance with Decision IX/6. In particular, further validation is required to support the longer plant back times for 1</w:t>
            </w:r>
            <w:proofErr w:type="gramStart"/>
            <w:r w:rsidRPr="00F9037E">
              <w:rPr>
                <w:rFonts w:ascii="Helvetica" w:hAnsi="Helvetica"/>
                <w:sz w:val="18"/>
              </w:rPr>
              <w:t>,3</w:t>
            </w:r>
            <w:proofErr w:type="gramEnd"/>
            <w:r w:rsidRPr="00F9037E">
              <w:rPr>
                <w:rFonts w:ascii="Helvetica" w:hAnsi="Helvetica"/>
                <w:sz w:val="18"/>
              </w:rPr>
              <w:t xml:space="preserve">-D/Pic in the heavy rainfall region of </w:t>
            </w:r>
            <w:proofErr w:type="spellStart"/>
            <w:r w:rsidRPr="00F9037E">
              <w:rPr>
                <w:rFonts w:ascii="Helvetica" w:hAnsi="Helvetica"/>
                <w:sz w:val="18"/>
              </w:rPr>
              <w:t>Lules</w:t>
            </w:r>
            <w:proofErr w:type="spellEnd"/>
            <w:r w:rsidRPr="00F9037E">
              <w:rPr>
                <w:rFonts w:ascii="Helvetica" w:hAnsi="Helvetica"/>
                <w:sz w:val="18"/>
              </w:rPr>
              <w:t xml:space="preserve">. MBTOC also noted that a high proportion of the present MB/Pic use is applied through drip irrigation lines used to irrigate strawberry crops, however shank application of MB/Pic formulations is considered a more effective application method. Shank injection of methyl bromide has been shown to improve the performance of both MB/Pic mixtures and that of alternatives, therefore providing better yields in the second year crop.  MBTOC notes that research is underway in Argentina on non-chemical alternatives, such as </w:t>
            </w:r>
            <w:proofErr w:type="spellStart"/>
            <w:r w:rsidR="00CD3CBD" w:rsidRPr="00F9037E">
              <w:rPr>
                <w:rFonts w:ascii="Helvetica" w:hAnsi="Helvetica"/>
                <w:sz w:val="18"/>
              </w:rPr>
              <w:t>biosolari</w:t>
            </w:r>
            <w:r w:rsidR="00CD3CBD">
              <w:rPr>
                <w:rFonts w:ascii="Helvetica" w:hAnsi="Helvetica"/>
                <w:sz w:val="18"/>
              </w:rPr>
              <w:t>s</w:t>
            </w:r>
            <w:r w:rsidR="00CD3CBD" w:rsidRPr="00F9037E">
              <w:rPr>
                <w:rFonts w:ascii="Helvetica" w:hAnsi="Helvetica"/>
                <w:sz w:val="18"/>
              </w:rPr>
              <w:t>ation</w:t>
            </w:r>
            <w:proofErr w:type="spellEnd"/>
            <w:r w:rsidR="00CD3CBD" w:rsidRPr="00F9037E">
              <w:rPr>
                <w:rFonts w:ascii="Helvetica" w:hAnsi="Helvetica"/>
                <w:sz w:val="18"/>
              </w:rPr>
              <w:t xml:space="preserve"> </w:t>
            </w:r>
            <w:r w:rsidRPr="00F9037E">
              <w:rPr>
                <w:rFonts w:ascii="Helvetica" w:hAnsi="Helvetica"/>
                <w:sz w:val="18"/>
              </w:rPr>
              <w:t xml:space="preserve">and </w:t>
            </w:r>
            <w:proofErr w:type="spellStart"/>
            <w:r w:rsidRPr="00F9037E">
              <w:rPr>
                <w:rFonts w:ascii="Helvetica" w:hAnsi="Helvetica"/>
                <w:sz w:val="18"/>
              </w:rPr>
              <w:t>biofumigation</w:t>
            </w:r>
            <w:proofErr w:type="spellEnd"/>
            <w:r w:rsidRPr="00F9037E">
              <w:rPr>
                <w:rFonts w:ascii="Helvetica" w:hAnsi="Helvetica"/>
                <w:sz w:val="18"/>
              </w:rPr>
              <w:t xml:space="preserve"> with promising results (Gabriel, 2014).</w:t>
            </w:r>
          </w:p>
          <w:p w14:paraId="77FBD5A3" w14:textId="77777777" w:rsidR="00CB7681" w:rsidRPr="00F9037E" w:rsidRDefault="00CB7681" w:rsidP="000E64F3">
            <w:pPr>
              <w:jc w:val="both"/>
              <w:rPr>
                <w:rFonts w:ascii="Helvetica" w:hAnsi="Helvetica"/>
                <w:sz w:val="18"/>
              </w:rPr>
            </w:pPr>
            <w:r w:rsidRPr="00F9037E">
              <w:rPr>
                <w:rFonts w:ascii="Helvetica" w:hAnsi="Helvetica"/>
                <w:sz w:val="18"/>
              </w:rPr>
              <w:t xml:space="preserve">MBTOC is also aware of references indicating positive results with other alternatives, such as </w:t>
            </w:r>
            <w:proofErr w:type="spellStart"/>
            <w:r w:rsidRPr="00F9037E">
              <w:rPr>
                <w:rFonts w:ascii="Helvetica" w:hAnsi="Helvetica"/>
                <w:sz w:val="18"/>
              </w:rPr>
              <w:t>metham</w:t>
            </w:r>
            <w:proofErr w:type="spellEnd"/>
            <w:r w:rsidRPr="00F9037E">
              <w:rPr>
                <w:rFonts w:ascii="Helvetica" w:hAnsi="Helvetica"/>
                <w:sz w:val="18"/>
              </w:rPr>
              <w:t xml:space="preserve"> ammonium, 1</w:t>
            </w:r>
            <w:proofErr w:type="gramStart"/>
            <w:r w:rsidRPr="00F9037E">
              <w:rPr>
                <w:rFonts w:ascii="Helvetica" w:hAnsi="Helvetica"/>
                <w:sz w:val="18"/>
              </w:rPr>
              <w:t>,3</w:t>
            </w:r>
            <w:proofErr w:type="gramEnd"/>
            <w:r w:rsidRPr="00F9037E">
              <w:rPr>
                <w:rFonts w:ascii="Helvetica" w:hAnsi="Helvetica"/>
                <w:sz w:val="18"/>
              </w:rPr>
              <w:t xml:space="preserve">-D/Pic, </w:t>
            </w:r>
            <w:proofErr w:type="spellStart"/>
            <w:r w:rsidRPr="00F9037E">
              <w:rPr>
                <w:rFonts w:ascii="Helvetica" w:hAnsi="Helvetica"/>
                <w:sz w:val="18"/>
              </w:rPr>
              <w:t>metham</w:t>
            </w:r>
            <w:proofErr w:type="spellEnd"/>
            <w:r w:rsidRPr="00F9037E">
              <w:rPr>
                <w:rFonts w:ascii="Helvetica" w:hAnsi="Helvetica"/>
                <w:sz w:val="18"/>
              </w:rPr>
              <w:t xml:space="preserve"> sodium and </w:t>
            </w:r>
            <w:proofErr w:type="spellStart"/>
            <w:r w:rsidRPr="00F9037E">
              <w:rPr>
                <w:rFonts w:ascii="Helvetica" w:hAnsi="Helvetica"/>
                <w:sz w:val="18"/>
              </w:rPr>
              <w:t>metham</w:t>
            </w:r>
            <w:proofErr w:type="spellEnd"/>
            <w:r w:rsidRPr="00F9037E">
              <w:rPr>
                <w:rFonts w:ascii="Helvetica" w:hAnsi="Helvetica"/>
                <w:sz w:val="18"/>
              </w:rPr>
              <w:t xml:space="preserve"> potassium in the critical regions: Del </w:t>
            </w:r>
            <w:proofErr w:type="spellStart"/>
            <w:r w:rsidRPr="00F9037E">
              <w:rPr>
                <w:rFonts w:ascii="Helvetica" w:hAnsi="Helvetica"/>
                <w:sz w:val="18"/>
              </w:rPr>
              <w:t>Huerto</w:t>
            </w:r>
            <w:proofErr w:type="spellEnd"/>
            <w:r w:rsidRPr="00F9037E">
              <w:rPr>
                <w:rFonts w:ascii="Helvetica" w:hAnsi="Helvetica"/>
                <w:sz w:val="18"/>
              </w:rPr>
              <w:t xml:space="preserve">, (2013) found no difference between the performance of MB and 1,3-D/Pic. </w:t>
            </w:r>
            <w:proofErr w:type="spellStart"/>
            <w:r w:rsidRPr="00F9037E">
              <w:rPr>
                <w:rFonts w:ascii="Helvetica" w:hAnsi="Helvetica"/>
                <w:sz w:val="18"/>
              </w:rPr>
              <w:t>Jaldo</w:t>
            </w:r>
            <w:proofErr w:type="spellEnd"/>
            <w:r w:rsidR="00DC4FD9" w:rsidRPr="00F9037E">
              <w:rPr>
                <w:rFonts w:ascii="Helvetica" w:hAnsi="Helvetica"/>
                <w:sz w:val="18"/>
              </w:rPr>
              <w:t xml:space="preserve"> </w:t>
            </w:r>
            <w:r w:rsidRPr="00F9037E">
              <w:rPr>
                <w:rFonts w:ascii="Helvetica" w:hAnsi="Helvetica"/>
                <w:i/>
                <w:sz w:val="18"/>
              </w:rPr>
              <w:t>et al</w:t>
            </w:r>
            <w:r w:rsidRPr="00F9037E">
              <w:rPr>
                <w:rFonts w:ascii="Helvetica" w:hAnsi="Helvetica"/>
                <w:sz w:val="18"/>
              </w:rPr>
              <w:t>. (2007) showed that 1</w:t>
            </w:r>
            <w:proofErr w:type="gramStart"/>
            <w:r w:rsidRPr="00F9037E">
              <w:rPr>
                <w:rFonts w:ascii="Helvetica" w:hAnsi="Helvetica"/>
                <w:sz w:val="18"/>
              </w:rPr>
              <w:t>,3</w:t>
            </w:r>
            <w:proofErr w:type="gramEnd"/>
            <w:r w:rsidRPr="00F9037E">
              <w:rPr>
                <w:rFonts w:ascii="Helvetica" w:hAnsi="Helvetica"/>
                <w:sz w:val="18"/>
              </w:rPr>
              <w:t xml:space="preserve">-D/Pic injected in the soil gave better yields that MB in </w:t>
            </w:r>
            <w:proofErr w:type="spellStart"/>
            <w:r w:rsidRPr="00F9037E">
              <w:rPr>
                <w:rFonts w:ascii="Helvetica" w:hAnsi="Helvetica"/>
                <w:sz w:val="18"/>
              </w:rPr>
              <w:t>Lules</w:t>
            </w:r>
            <w:proofErr w:type="spellEnd"/>
            <w:r w:rsidRPr="00F9037E">
              <w:rPr>
                <w:rFonts w:ascii="Helvetica" w:hAnsi="Helvetica"/>
                <w:sz w:val="18"/>
              </w:rPr>
              <w:t xml:space="preserve">/Tucumán. </w:t>
            </w:r>
            <w:proofErr w:type="spellStart"/>
            <w:r w:rsidRPr="00F9037E">
              <w:rPr>
                <w:rFonts w:ascii="Helvetica" w:hAnsi="Helvetica"/>
                <w:sz w:val="18"/>
              </w:rPr>
              <w:t>Aldercreutz</w:t>
            </w:r>
            <w:proofErr w:type="spellEnd"/>
            <w:r w:rsidRPr="00F9037E">
              <w:rPr>
                <w:rFonts w:ascii="Helvetica" w:hAnsi="Helvetica"/>
                <w:sz w:val="18"/>
              </w:rPr>
              <w:t xml:space="preserve"> and </w:t>
            </w:r>
            <w:proofErr w:type="spellStart"/>
            <w:r w:rsidRPr="00F9037E">
              <w:rPr>
                <w:rFonts w:ascii="Helvetica" w:hAnsi="Helvetica"/>
                <w:sz w:val="18"/>
              </w:rPr>
              <w:t>Szczesny</w:t>
            </w:r>
            <w:proofErr w:type="spellEnd"/>
            <w:r w:rsidRPr="00F9037E">
              <w:rPr>
                <w:rFonts w:ascii="Helvetica" w:hAnsi="Helvetica"/>
                <w:sz w:val="18"/>
              </w:rPr>
              <w:t xml:space="preserve">, (2008, 2010), showed that yields obtained in Mar del Plata with </w:t>
            </w:r>
            <w:proofErr w:type="spellStart"/>
            <w:r w:rsidRPr="00F9037E">
              <w:rPr>
                <w:rFonts w:ascii="Helvetica" w:hAnsi="Helvetica"/>
                <w:sz w:val="18"/>
              </w:rPr>
              <w:t>metham</w:t>
            </w:r>
            <w:proofErr w:type="spellEnd"/>
            <w:r w:rsidRPr="00F9037E">
              <w:rPr>
                <w:rFonts w:ascii="Helvetica" w:hAnsi="Helvetica"/>
                <w:sz w:val="18"/>
              </w:rPr>
              <w:t xml:space="preserve"> sodium and </w:t>
            </w:r>
            <w:proofErr w:type="spellStart"/>
            <w:r w:rsidRPr="00F9037E">
              <w:rPr>
                <w:rFonts w:ascii="Helvetica" w:hAnsi="Helvetica"/>
                <w:sz w:val="18"/>
              </w:rPr>
              <w:t>metham</w:t>
            </w:r>
            <w:proofErr w:type="spellEnd"/>
            <w:r w:rsidRPr="00F9037E">
              <w:rPr>
                <w:rFonts w:ascii="Helvetica" w:hAnsi="Helvetica"/>
                <w:sz w:val="18"/>
              </w:rPr>
              <w:t xml:space="preserve"> ammonium were comparable to those produced when fumigating with MB. </w:t>
            </w:r>
            <w:proofErr w:type="spellStart"/>
            <w:r w:rsidRPr="00F9037E">
              <w:rPr>
                <w:rFonts w:ascii="Helvetica" w:hAnsi="Helvetica"/>
                <w:sz w:val="18"/>
              </w:rPr>
              <w:t>Bórquez</w:t>
            </w:r>
            <w:proofErr w:type="spellEnd"/>
            <w:r w:rsidRPr="00F9037E">
              <w:rPr>
                <w:rFonts w:ascii="Helvetica" w:hAnsi="Helvetica"/>
                <w:sz w:val="18"/>
              </w:rPr>
              <w:t xml:space="preserve"> and </w:t>
            </w:r>
            <w:proofErr w:type="spellStart"/>
            <w:r w:rsidRPr="00F9037E">
              <w:rPr>
                <w:rFonts w:ascii="Helvetica" w:hAnsi="Helvetica"/>
                <w:sz w:val="18"/>
              </w:rPr>
              <w:t>Agüero</w:t>
            </w:r>
            <w:proofErr w:type="spellEnd"/>
            <w:r w:rsidRPr="00F9037E">
              <w:rPr>
                <w:rFonts w:ascii="Helvetica" w:hAnsi="Helvetica"/>
                <w:sz w:val="18"/>
              </w:rPr>
              <w:t xml:space="preserve"> (2007) found that weed control achieved with </w:t>
            </w:r>
            <w:proofErr w:type="spellStart"/>
            <w:r w:rsidRPr="00F9037E">
              <w:rPr>
                <w:rFonts w:ascii="Helvetica" w:hAnsi="Helvetica"/>
                <w:sz w:val="18"/>
              </w:rPr>
              <w:t>metham</w:t>
            </w:r>
            <w:proofErr w:type="spellEnd"/>
            <w:r w:rsidRPr="00F9037E">
              <w:rPr>
                <w:rFonts w:ascii="Helvetica" w:hAnsi="Helvetica"/>
                <w:sz w:val="18"/>
              </w:rPr>
              <w:t xml:space="preserve"> ammonium, </w:t>
            </w:r>
            <w:proofErr w:type="spellStart"/>
            <w:r w:rsidRPr="00F9037E">
              <w:rPr>
                <w:rFonts w:ascii="Helvetica" w:hAnsi="Helvetica"/>
                <w:sz w:val="18"/>
              </w:rPr>
              <w:t>metham</w:t>
            </w:r>
            <w:proofErr w:type="spellEnd"/>
            <w:r w:rsidRPr="00F9037E">
              <w:rPr>
                <w:rFonts w:ascii="Helvetica" w:hAnsi="Helvetica"/>
                <w:sz w:val="18"/>
              </w:rPr>
              <w:t xml:space="preserve"> sodium and </w:t>
            </w:r>
            <w:proofErr w:type="spellStart"/>
            <w:r w:rsidRPr="00F9037E">
              <w:rPr>
                <w:rFonts w:ascii="Helvetica" w:hAnsi="Helvetica"/>
                <w:sz w:val="18"/>
              </w:rPr>
              <w:t>metham</w:t>
            </w:r>
            <w:proofErr w:type="spellEnd"/>
            <w:r w:rsidRPr="00F9037E">
              <w:rPr>
                <w:rFonts w:ascii="Helvetica" w:hAnsi="Helvetica"/>
                <w:sz w:val="18"/>
              </w:rPr>
              <w:t xml:space="preserve"> potassium in </w:t>
            </w:r>
            <w:proofErr w:type="spellStart"/>
            <w:r w:rsidRPr="00F9037E">
              <w:rPr>
                <w:rFonts w:ascii="Helvetica" w:hAnsi="Helvetica"/>
                <w:sz w:val="18"/>
              </w:rPr>
              <w:t>Lules</w:t>
            </w:r>
            <w:proofErr w:type="spellEnd"/>
            <w:r w:rsidRPr="00F9037E">
              <w:rPr>
                <w:rFonts w:ascii="Helvetica" w:hAnsi="Helvetica"/>
                <w:sz w:val="18"/>
              </w:rPr>
              <w:t>, was comparable to that obtained with MB 70:30 and that there were no significant differences in the total yields obtained with these treatments. Other studies confirmed these results (</w:t>
            </w:r>
            <w:proofErr w:type="spellStart"/>
            <w:r w:rsidRPr="00F9037E">
              <w:rPr>
                <w:rFonts w:ascii="Helvetica" w:hAnsi="Helvetica"/>
                <w:sz w:val="18"/>
              </w:rPr>
              <w:t>Bórquez</w:t>
            </w:r>
            <w:proofErr w:type="spellEnd"/>
            <w:r w:rsidRPr="00F9037E">
              <w:rPr>
                <w:rFonts w:ascii="Helvetica" w:hAnsi="Helvetica"/>
                <w:sz w:val="18"/>
              </w:rPr>
              <w:t xml:space="preserve"> and </w:t>
            </w:r>
            <w:proofErr w:type="spellStart"/>
            <w:r w:rsidRPr="00F9037E">
              <w:rPr>
                <w:rFonts w:ascii="Helvetica" w:hAnsi="Helvetica"/>
                <w:sz w:val="18"/>
              </w:rPr>
              <w:t>Mollinedo</w:t>
            </w:r>
            <w:proofErr w:type="spellEnd"/>
            <w:r w:rsidRPr="00F9037E">
              <w:rPr>
                <w:rFonts w:ascii="Helvetica" w:hAnsi="Helvetica"/>
                <w:sz w:val="18"/>
              </w:rPr>
              <w:t xml:space="preserve">, 2009, 2010; </w:t>
            </w:r>
            <w:proofErr w:type="spellStart"/>
            <w:r w:rsidRPr="00F9037E">
              <w:rPr>
                <w:rFonts w:ascii="Helvetica" w:hAnsi="Helvetica"/>
                <w:sz w:val="18"/>
              </w:rPr>
              <w:t>Aldercreutz</w:t>
            </w:r>
            <w:proofErr w:type="spellEnd"/>
            <w:r w:rsidRPr="00F9037E">
              <w:rPr>
                <w:rFonts w:ascii="Helvetica" w:hAnsi="Helvetica"/>
                <w:sz w:val="18"/>
              </w:rPr>
              <w:t xml:space="preserve"> and </w:t>
            </w:r>
            <w:proofErr w:type="spellStart"/>
            <w:r w:rsidRPr="00F9037E">
              <w:rPr>
                <w:rFonts w:ascii="Helvetica" w:hAnsi="Helvetica"/>
                <w:sz w:val="18"/>
              </w:rPr>
              <w:t>Szczesny</w:t>
            </w:r>
            <w:proofErr w:type="spellEnd"/>
            <w:r w:rsidRPr="00F9037E">
              <w:rPr>
                <w:rFonts w:ascii="Helvetica" w:hAnsi="Helvetica"/>
                <w:sz w:val="18"/>
              </w:rPr>
              <w:t xml:space="preserve">, 2008; </w:t>
            </w:r>
            <w:proofErr w:type="spellStart"/>
            <w:r w:rsidRPr="00F9037E">
              <w:rPr>
                <w:rFonts w:ascii="Helvetica" w:hAnsi="Helvetica"/>
                <w:sz w:val="18"/>
              </w:rPr>
              <w:t>Bórquez</w:t>
            </w:r>
            <w:proofErr w:type="spellEnd"/>
            <w:r w:rsidRPr="00F9037E">
              <w:rPr>
                <w:rFonts w:ascii="Helvetica" w:hAnsi="Helvetica"/>
                <w:sz w:val="18"/>
              </w:rPr>
              <w:t xml:space="preserve"> and </w:t>
            </w:r>
            <w:proofErr w:type="spellStart"/>
            <w:r w:rsidRPr="00F9037E">
              <w:rPr>
                <w:rFonts w:ascii="Helvetica" w:hAnsi="Helvetica"/>
                <w:sz w:val="18"/>
              </w:rPr>
              <w:t>Agüero</w:t>
            </w:r>
            <w:proofErr w:type="spellEnd"/>
            <w:r w:rsidRPr="00F9037E">
              <w:rPr>
                <w:rFonts w:ascii="Helvetica" w:hAnsi="Helvetica"/>
                <w:sz w:val="18"/>
              </w:rPr>
              <w:t xml:space="preserve">, 2007). MBTOC is unclear why these results are not applicable to the regions nominated. </w:t>
            </w:r>
          </w:p>
          <w:p w14:paraId="133FB83E" w14:textId="77777777" w:rsidR="00CB7681" w:rsidRPr="00F9037E" w:rsidRDefault="00CB7681" w:rsidP="000E64F3">
            <w:pPr>
              <w:jc w:val="both"/>
              <w:rPr>
                <w:rFonts w:ascii="Helvetica" w:hAnsi="Helvetica"/>
                <w:sz w:val="18"/>
              </w:rPr>
            </w:pPr>
            <w:r w:rsidRPr="00F9037E">
              <w:rPr>
                <w:rFonts w:ascii="Helvetica" w:hAnsi="Helvetica"/>
                <w:sz w:val="18"/>
              </w:rPr>
              <w:t>MBTOC acknowledges that alternatives are available for strawberry fruit, however this may require some improvements in application methods in order to be effective in Argentina. MBTOC encourages the Party to consider further adoption of Pic, 1</w:t>
            </w:r>
            <w:proofErr w:type="gramStart"/>
            <w:r w:rsidRPr="00F9037E">
              <w:rPr>
                <w:rFonts w:ascii="Helvetica" w:hAnsi="Helvetica"/>
                <w:sz w:val="18"/>
              </w:rPr>
              <w:t>,3</w:t>
            </w:r>
            <w:proofErr w:type="gramEnd"/>
            <w:r w:rsidRPr="00F9037E">
              <w:rPr>
                <w:rFonts w:ascii="Helvetica" w:hAnsi="Helvetica"/>
                <w:sz w:val="18"/>
              </w:rPr>
              <w:t xml:space="preserve">-D/Pic, DMDS, </w:t>
            </w:r>
            <w:proofErr w:type="spellStart"/>
            <w:r w:rsidRPr="00F9037E">
              <w:rPr>
                <w:rFonts w:ascii="Helvetica" w:hAnsi="Helvetica"/>
                <w:sz w:val="18"/>
              </w:rPr>
              <w:t>metham</w:t>
            </w:r>
            <w:proofErr w:type="spellEnd"/>
            <w:r w:rsidRPr="00F9037E">
              <w:rPr>
                <w:rFonts w:ascii="Helvetica" w:hAnsi="Helvetica"/>
                <w:sz w:val="18"/>
              </w:rPr>
              <w:t xml:space="preserve"> sodium and Pic/DMDS to assist with phasing out this nomination.</w:t>
            </w:r>
          </w:p>
          <w:p w14:paraId="25C00E1F" w14:textId="15E82B41" w:rsidR="00CB7681" w:rsidRPr="007F65E8" w:rsidRDefault="00CB7681" w:rsidP="007F65E8">
            <w:pPr>
              <w:rPr>
                <w:rFonts w:ascii="Arial" w:hAnsi="Arial"/>
                <w:b/>
                <w:sz w:val="18"/>
              </w:rPr>
            </w:pPr>
            <w:r w:rsidRPr="00CD3CBD">
              <w:rPr>
                <w:rFonts w:ascii="Arial" w:hAnsi="Arial"/>
                <w:b/>
                <w:sz w:val="18"/>
              </w:rPr>
              <w:t xml:space="preserve">MBTOC comments on economics in 2016 for 2017: </w:t>
            </w:r>
            <w:r w:rsidR="007F65E8">
              <w:rPr>
                <w:rFonts w:ascii="Arial" w:hAnsi="Arial"/>
                <w:b/>
                <w:sz w:val="18"/>
              </w:rPr>
              <w:br/>
            </w:r>
            <w:r w:rsidRPr="00501812">
              <w:rPr>
                <w:rFonts w:ascii="Arial" w:hAnsi="Arial"/>
                <w:sz w:val="18"/>
              </w:rPr>
              <w:t>The economic analysis provided by the Party shows that treatment with 1</w:t>
            </w:r>
            <w:proofErr w:type="gramStart"/>
            <w:r w:rsidRPr="00501812">
              <w:rPr>
                <w:rFonts w:ascii="Arial" w:hAnsi="Arial"/>
                <w:sz w:val="18"/>
              </w:rPr>
              <w:t>,3</w:t>
            </w:r>
            <w:proofErr w:type="gramEnd"/>
            <w:r w:rsidRPr="00501812">
              <w:rPr>
                <w:rFonts w:ascii="Arial" w:hAnsi="Arial"/>
                <w:sz w:val="18"/>
              </w:rPr>
              <w:t>-D/Pic misses the market window and fetches lower revenues than MB.</w:t>
            </w:r>
          </w:p>
          <w:p w14:paraId="53EA8990" w14:textId="77777777" w:rsidR="00CB7681" w:rsidRPr="003A30C7" w:rsidRDefault="00CB7681" w:rsidP="007F65E8">
            <w:pPr>
              <w:rPr>
                <w:rFonts w:ascii="Arial" w:hAnsi="Arial"/>
                <w:b/>
                <w:sz w:val="18"/>
              </w:rPr>
            </w:pPr>
            <w:r w:rsidRPr="003A30C7">
              <w:rPr>
                <w:rFonts w:ascii="Arial" w:hAnsi="Arial"/>
                <w:b/>
                <w:sz w:val="18"/>
              </w:rPr>
              <w:t>For Mar del Plata</w:t>
            </w:r>
          </w:p>
          <w:p w14:paraId="67AC2C08" w14:textId="77777777" w:rsidR="00CB7681" w:rsidRPr="00082015" w:rsidRDefault="00CB7681" w:rsidP="007F65E8">
            <w:pPr>
              <w:pStyle w:val="ListParagraph"/>
              <w:numPr>
                <w:ilvl w:val="0"/>
                <w:numId w:val="39"/>
              </w:numPr>
              <w:spacing w:after="0"/>
              <w:jc w:val="both"/>
              <w:rPr>
                <w:rFonts w:ascii="Arial" w:hAnsi="Arial"/>
                <w:sz w:val="18"/>
              </w:rPr>
            </w:pPr>
            <w:r w:rsidRPr="00082015">
              <w:rPr>
                <w:rFonts w:ascii="Arial" w:hAnsi="Arial"/>
                <w:sz w:val="18"/>
              </w:rPr>
              <w:t>The nomination assumes a yield reduction from 93 to 62 t/ha using 1.3-D + Pic because of heavy clay soils and low soil temperatures.</w:t>
            </w:r>
          </w:p>
          <w:p w14:paraId="53221D20" w14:textId="77777777" w:rsidR="00CB7681" w:rsidRPr="00082015" w:rsidRDefault="00CB7681" w:rsidP="007F65E8">
            <w:pPr>
              <w:pStyle w:val="ListParagraph"/>
              <w:numPr>
                <w:ilvl w:val="0"/>
                <w:numId w:val="39"/>
              </w:numPr>
              <w:spacing w:after="0"/>
              <w:jc w:val="both"/>
              <w:rPr>
                <w:rFonts w:ascii="Arial" w:hAnsi="Arial"/>
                <w:sz w:val="18"/>
              </w:rPr>
            </w:pPr>
            <w:r w:rsidRPr="00082015">
              <w:rPr>
                <w:rFonts w:ascii="Arial" w:hAnsi="Arial"/>
                <w:sz w:val="18"/>
              </w:rPr>
              <w:t>From the yield reduction the nomination calculates a symmetrical gross revenue reduction as prices are assumed to be the same for the two treatments.</w:t>
            </w:r>
          </w:p>
          <w:p w14:paraId="5EC435E1" w14:textId="35585465" w:rsidR="00CB7681" w:rsidRPr="00220275" w:rsidRDefault="00CB7681" w:rsidP="007F65E8">
            <w:pPr>
              <w:pStyle w:val="ListParagraph"/>
              <w:numPr>
                <w:ilvl w:val="0"/>
                <w:numId w:val="39"/>
              </w:numPr>
              <w:spacing w:after="0"/>
              <w:jc w:val="both"/>
              <w:rPr>
                <w:rFonts w:ascii="Arial" w:hAnsi="Arial"/>
                <w:sz w:val="18"/>
              </w:rPr>
            </w:pPr>
            <w:r w:rsidRPr="00082015">
              <w:rPr>
                <w:rFonts w:ascii="Arial" w:hAnsi="Arial"/>
                <w:sz w:val="18"/>
              </w:rPr>
              <w:t xml:space="preserve">The nomination argues that operating costs for the two treatments are similar, but </w:t>
            </w:r>
            <w:r w:rsidR="00CD3CBD" w:rsidRPr="00220275">
              <w:rPr>
                <w:rFonts w:ascii="Arial" w:hAnsi="Arial"/>
                <w:sz w:val="18"/>
              </w:rPr>
              <w:t>this is</w:t>
            </w:r>
            <w:r w:rsidRPr="00220275">
              <w:rPr>
                <w:rFonts w:ascii="Arial" w:hAnsi="Arial"/>
                <w:sz w:val="18"/>
              </w:rPr>
              <w:t xml:space="preserve"> not shown. It then argues that weed control costs of 1.3-D Pic would be greater than for methyl bromide, as will conversion to a one year production system. In this case yields are still assumed to be lower (15-20%) and the costs of fumigants, tarps and transplants will be higher. However, these costs are not given.</w:t>
            </w:r>
          </w:p>
          <w:p w14:paraId="2853F01A" w14:textId="77777777" w:rsidR="00CB7681" w:rsidRPr="00220275" w:rsidRDefault="00CB7681" w:rsidP="000E64F3">
            <w:pPr>
              <w:spacing w:after="0"/>
              <w:jc w:val="both"/>
              <w:rPr>
                <w:rFonts w:ascii="Arial" w:hAnsi="Arial"/>
                <w:sz w:val="18"/>
              </w:rPr>
            </w:pPr>
          </w:p>
          <w:p w14:paraId="372ED67C" w14:textId="77777777" w:rsidR="00CB7681" w:rsidRPr="00B87B95" w:rsidRDefault="00CB7681" w:rsidP="000E64F3">
            <w:pPr>
              <w:jc w:val="both"/>
              <w:rPr>
                <w:rFonts w:ascii="Arial" w:hAnsi="Arial"/>
                <w:b/>
                <w:sz w:val="18"/>
              </w:rPr>
            </w:pPr>
            <w:r w:rsidRPr="00B87B95">
              <w:rPr>
                <w:rFonts w:ascii="Arial" w:hAnsi="Arial"/>
                <w:b/>
                <w:sz w:val="18"/>
              </w:rPr>
              <w:t xml:space="preserve">For </w:t>
            </w:r>
            <w:proofErr w:type="spellStart"/>
            <w:r w:rsidRPr="00B87B95">
              <w:rPr>
                <w:rFonts w:ascii="Arial" w:hAnsi="Arial"/>
                <w:b/>
                <w:sz w:val="18"/>
              </w:rPr>
              <w:t>Lules</w:t>
            </w:r>
            <w:proofErr w:type="spellEnd"/>
          </w:p>
          <w:p w14:paraId="1AE72000" w14:textId="77777777" w:rsidR="00CB7681" w:rsidRPr="00B87B95" w:rsidRDefault="00CB7681" w:rsidP="007F65E8">
            <w:pPr>
              <w:pStyle w:val="ListParagraph"/>
              <w:numPr>
                <w:ilvl w:val="0"/>
                <w:numId w:val="41"/>
              </w:numPr>
              <w:spacing w:after="0"/>
              <w:jc w:val="both"/>
              <w:rPr>
                <w:rFonts w:ascii="Arial" w:hAnsi="Arial"/>
                <w:sz w:val="18"/>
              </w:rPr>
            </w:pPr>
            <w:r w:rsidRPr="00B87B95">
              <w:rPr>
                <w:rFonts w:ascii="Arial" w:hAnsi="Arial"/>
                <w:sz w:val="18"/>
              </w:rPr>
              <w:t xml:space="preserve">Provides data on the movement in prices from the early harvest to late harvest. Prices start at $6/kg and end at &lt;$1. </w:t>
            </w:r>
          </w:p>
          <w:p w14:paraId="2FC36862" w14:textId="77777777" w:rsidR="00CB7681" w:rsidRPr="00B87B95" w:rsidRDefault="00CB7681" w:rsidP="007F65E8">
            <w:pPr>
              <w:pStyle w:val="ListParagraph"/>
              <w:numPr>
                <w:ilvl w:val="0"/>
                <w:numId w:val="41"/>
              </w:numPr>
              <w:spacing w:after="0"/>
              <w:jc w:val="both"/>
              <w:rPr>
                <w:rFonts w:ascii="Arial" w:hAnsi="Arial"/>
                <w:sz w:val="18"/>
              </w:rPr>
            </w:pPr>
            <w:r w:rsidRPr="00B87B95">
              <w:rPr>
                <w:rFonts w:ascii="Arial" w:hAnsi="Arial"/>
                <w:sz w:val="18"/>
              </w:rPr>
              <w:t xml:space="preserve">Argues that weed control is insufficient with 1.3-D Pic and that the planting time is short because of soil temperature and rainy conditions and prolonged plant back time. As a result, the strawberries miss the market window and are sold at the high-season price rather than the early-season price. </w:t>
            </w:r>
          </w:p>
          <w:p w14:paraId="76883CE8" w14:textId="77777777" w:rsidR="00CB7681" w:rsidRPr="00B87B95" w:rsidRDefault="00CB7681" w:rsidP="007F65E8">
            <w:pPr>
              <w:pStyle w:val="ListParagraph"/>
              <w:numPr>
                <w:ilvl w:val="0"/>
                <w:numId w:val="41"/>
              </w:numPr>
              <w:spacing w:after="0"/>
              <w:jc w:val="both"/>
              <w:rPr>
                <w:rFonts w:ascii="Arial" w:hAnsi="Arial"/>
                <w:sz w:val="18"/>
              </w:rPr>
            </w:pPr>
            <w:r w:rsidRPr="00B87B95">
              <w:rPr>
                <w:rFonts w:ascii="Arial" w:hAnsi="Arial"/>
                <w:sz w:val="18"/>
              </w:rPr>
              <w:t>In this case, yield is expected to increase with 1.3-D Pic, but despite this, the fall in prices results in a loss in revenue of around 50%.</w:t>
            </w:r>
          </w:p>
          <w:p w14:paraId="63959128" w14:textId="77777777" w:rsidR="00CB7681" w:rsidRPr="00563BC0" w:rsidRDefault="00CB7681" w:rsidP="007F65E8">
            <w:pPr>
              <w:pStyle w:val="ListParagraph"/>
              <w:numPr>
                <w:ilvl w:val="0"/>
                <w:numId w:val="41"/>
              </w:numPr>
              <w:spacing w:after="0"/>
              <w:jc w:val="both"/>
              <w:rPr>
                <w:rFonts w:ascii="Arial" w:hAnsi="Arial"/>
                <w:sz w:val="18"/>
              </w:rPr>
            </w:pPr>
            <w:r w:rsidRPr="00563BC0">
              <w:rPr>
                <w:rFonts w:ascii="Arial" w:hAnsi="Arial"/>
                <w:sz w:val="18"/>
              </w:rPr>
              <w:t>The “with methyl bromide” price is taken as $1.69/kg and the “with 1.3-D Pic” as $0.72</w:t>
            </w:r>
          </w:p>
          <w:p w14:paraId="7BEE958D" w14:textId="77777777" w:rsidR="00CB7681" w:rsidRPr="00563BC0" w:rsidRDefault="00CB7681" w:rsidP="007F65E8">
            <w:pPr>
              <w:pStyle w:val="ListParagraph"/>
              <w:numPr>
                <w:ilvl w:val="0"/>
                <w:numId w:val="41"/>
              </w:numPr>
              <w:jc w:val="both"/>
              <w:rPr>
                <w:rFonts w:ascii="Arial" w:hAnsi="Arial"/>
                <w:sz w:val="18"/>
              </w:rPr>
            </w:pPr>
            <w:r w:rsidRPr="00563BC0">
              <w:rPr>
                <w:rFonts w:ascii="Arial" w:hAnsi="Arial"/>
                <w:sz w:val="18"/>
              </w:rPr>
              <w:t>Again, costs of production are expected to be similar for the two treatments, in this case without the caveats.</w:t>
            </w:r>
          </w:p>
          <w:p w14:paraId="2549D6B8" w14:textId="77777777" w:rsidR="0082102E" w:rsidRDefault="0082102E" w:rsidP="007F65E8">
            <w:pPr>
              <w:rPr>
                <w:rFonts w:ascii="Arial" w:hAnsi="Arial"/>
                <w:b/>
                <w:sz w:val="18"/>
              </w:rPr>
            </w:pPr>
          </w:p>
          <w:p w14:paraId="0AEC4341" w14:textId="77777777" w:rsidR="00CB7681" w:rsidRPr="00563BC0" w:rsidRDefault="00CB7681" w:rsidP="008C634A">
            <w:pPr>
              <w:spacing w:before="360"/>
              <w:rPr>
                <w:rFonts w:ascii="Arial" w:hAnsi="Arial"/>
                <w:b/>
                <w:sz w:val="18"/>
              </w:rPr>
            </w:pPr>
            <w:r w:rsidRPr="00563BC0">
              <w:rPr>
                <w:rFonts w:ascii="Arial" w:hAnsi="Arial"/>
                <w:b/>
                <w:sz w:val="18"/>
              </w:rPr>
              <w:lastRenderedPageBreak/>
              <w:t>Comments requested in Dec. XX1/11 (para 9):</w:t>
            </w:r>
          </w:p>
          <w:p w14:paraId="24DCC000" w14:textId="18AA8627" w:rsidR="00CB7681" w:rsidRPr="00563BC0" w:rsidRDefault="00CB7681" w:rsidP="0082102E">
            <w:pPr>
              <w:pStyle w:val="ListParagraph"/>
              <w:numPr>
                <w:ilvl w:val="0"/>
                <w:numId w:val="15"/>
              </w:numPr>
              <w:ind w:left="469" w:hanging="469"/>
              <w:jc w:val="both"/>
              <w:rPr>
                <w:rFonts w:ascii="Arial" w:hAnsi="Arial"/>
                <w:sz w:val="18"/>
              </w:rPr>
            </w:pPr>
            <w:r w:rsidRPr="00563BC0">
              <w:rPr>
                <w:rFonts w:ascii="Arial" w:hAnsi="Arial"/>
                <w:b/>
                <w:sz w:val="18"/>
              </w:rPr>
              <w:t xml:space="preserve">Dec. IX/6 </w:t>
            </w:r>
            <w:r w:rsidR="00CD3CBD" w:rsidRPr="00563BC0">
              <w:rPr>
                <w:rFonts w:ascii="Arial" w:hAnsi="Arial"/>
                <w:b/>
                <w:sz w:val="18"/>
              </w:rPr>
              <w:t>b (</w:t>
            </w:r>
            <w:proofErr w:type="spellStart"/>
            <w:r w:rsidRPr="00563BC0">
              <w:rPr>
                <w:rFonts w:ascii="Arial" w:hAnsi="Arial"/>
                <w:b/>
                <w:sz w:val="18"/>
              </w:rPr>
              <w:t>i</w:t>
            </w:r>
            <w:proofErr w:type="spellEnd"/>
            <w:r w:rsidRPr="00563BC0">
              <w:rPr>
                <w:rFonts w:ascii="Arial" w:hAnsi="Arial"/>
                <w:b/>
                <w:sz w:val="18"/>
              </w:rPr>
              <w:t>) Emission Reduction:</w:t>
            </w:r>
            <w:r w:rsidRPr="00563BC0">
              <w:rPr>
                <w:rFonts w:ascii="Arial" w:hAnsi="Arial"/>
                <w:sz w:val="18"/>
              </w:rPr>
              <w:t xml:space="preserve"> Barrier films are available but to date have not been adopted on a commercial scale.  </w:t>
            </w:r>
          </w:p>
          <w:p w14:paraId="43BE79FF" w14:textId="60E94961" w:rsidR="00CB7681" w:rsidRPr="00365366" w:rsidRDefault="00CB7681" w:rsidP="0082102E">
            <w:pPr>
              <w:pStyle w:val="ListParagraph"/>
              <w:numPr>
                <w:ilvl w:val="0"/>
                <w:numId w:val="15"/>
              </w:numPr>
              <w:ind w:left="469" w:hanging="469"/>
              <w:jc w:val="both"/>
              <w:rPr>
                <w:rFonts w:ascii="Arial" w:hAnsi="Arial"/>
                <w:sz w:val="18"/>
              </w:rPr>
            </w:pPr>
            <w:r w:rsidRPr="00563BC0">
              <w:rPr>
                <w:rFonts w:ascii="Arial" w:hAnsi="Arial"/>
                <w:b/>
                <w:sz w:val="18"/>
              </w:rPr>
              <w:t xml:space="preserve">Dec. IX/6 </w:t>
            </w:r>
            <w:r w:rsidR="00CD3CBD" w:rsidRPr="000F08B5">
              <w:rPr>
                <w:rFonts w:ascii="Arial" w:hAnsi="Arial"/>
                <w:b/>
                <w:sz w:val="18"/>
              </w:rPr>
              <w:t>b (</w:t>
            </w:r>
            <w:r w:rsidRPr="000F08B5">
              <w:rPr>
                <w:rFonts w:ascii="Arial" w:hAnsi="Arial"/>
                <w:b/>
                <w:sz w:val="18"/>
              </w:rPr>
              <w:t>iii) MLF Assistance/Adoption of Effective Alternatives:</w:t>
            </w:r>
            <w:r w:rsidRPr="000F08B5">
              <w:rPr>
                <w:rFonts w:ascii="Arial" w:hAnsi="Arial"/>
                <w:sz w:val="18"/>
              </w:rPr>
              <w:t xml:space="preserve"> Trials and research have been conducted through the MLF projects implemented in Argentina and also directly by national institutions (e.g. INTA, EEAOC) and various u</w:t>
            </w:r>
            <w:r w:rsidRPr="00365366">
              <w:rPr>
                <w:rFonts w:ascii="Arial" w:hAnsi="Arial"/>
                <w:sz w:val="18"/>
              </w:rPr>
              <w:t xml:space="preserve">niversities.  </w:t>
            </w:r>
          </w:p>
          <w:p w14:paraId="7D5AF5BD" w14:textId="77777777" w:rsidR="00CB7681" w:rsidRPr="00CD3CBD" w:rsidRDefault="00CB7681" w:rsidP="0082102E">
            <w:pPr>
              <w:pStyle w:val="ListParagraph"/>
              <w:numPr>
                <w:ilvl w:val="0"/>
                <w:numId w:val="15"/>
              </w:numPr>
              <w:ind w:left="469" w:hanging="469"/>
              <w:jc w:val="both"/>
              <w:rPr>
                <w:rFonts w:ascii="Arial" w:hAnsi="Arial"/>
                <w:sz w:val="18"/>
              </w:rPr>
            </w:pPr>
            <w:r w:rsidRPr="00F9037E">
              <w:rPr>
                <w:rFonts w:ascii="Arial" w:hAnsi="Arial"/>
                <w:b/>
                <w:sz w:val="18"/>
              </w:rPr>
              <w:t xml:space="preserve">Dec. IX/6 </w:t>
            </w:r>
            <w:proofErr w:type="gramStart"/>
            <w:r w:rsidRPr="00F9037E">
              <w:rPr>
                <w:rFonts w:ascii="Arial" w:hAnsi="Arial"/>
                <w:b/>
                <w:sz w:val="18"/>
              </w:rPr>
              <w:t>b(</w:t>
            </w:r>
            <w:proofErr w:type="gramEnd"/>
            <w:r w:rsidRPr="00F9037E">
              <w:rPr>
                <w:rFonts w:ascii="Arial" w:hAnsi="Arial"/>
                <w:b/>
                <w:sz w:val="18"/>
              </w:rPr>
              <w:t xml:space="preserve">iii) Appropriate Effort: </w:t>
            </w:r>
            <w:r w:rsidRPr="00F9037E">
              <w:rPr>
                <w:rFonts w:ascii="Arial" w:hAnsi="Arial"/>
                <w:sz w:val="18"/>
              </w:rPr>
              <w:t>MBTOC notes that considerable research has been conducted during the MLF funded projects and provided references.</w:t>
            </w:r>
            <w:r w:rsidR="00CD3CBD">
              <w:rPr>
                <w:rFonts w:ascii="Arial" w:hAnsi="Arial"/>
                <w:sz w:val="18"/>
              </w:rPr>
              <w:t xml:space="preserve"> </w:t>
            </w:r>
            <w:r w:rsidRPr="00CD3CBD">
              <w:rPr>
                <w:rFonts w:ascii="Arial" w:hAnsi="Arial"/>
                <w:sz w:val="18"/>
              </w:rPr>
              <w:t>MBTOC is however unaware of present trials and results within the specific areas of the nominations.</w:t>
            </w:r>
          </w:p>
          <w:p w14:paraId="25924627" w14:textId="77777777" w:rsidR="00CB7681" w:rsidRPr="003A30C7" w:rsidRDefault="00CB7681" w:rsidP="0082102E">
            <w:pPr>
              <w:pStyle w:val="ListParagraph"/>
              <w:numPr>
                <w:ilvl w:val="0"/>
                <w:numId w:val="15"/>
              </w:numPr>
              <w:ind w:left="469" w:hanging="469"/>
              <w:jc w:val="both"/>
              <w:rPr>
                <w:rFonts w:ascii="Arial" w:hAnsi="Arial"/>
                <w:sz w:val="18"/>
              </w:rPr>
            </w:pPr>
            <w:r w:rsidRPr="00501812">
              <w:rPr>
                <w:rFonts w:ascii="Arial" w:hAnsi="Arial"/>
                <w:b/>
                <w:sz w:val="18"/>
              </w:rPr>
              <w:t>Dec. Ex 1(4) Annex 1 National Management Strategies:</w:t>
            </w:r>
            <w:r w:rsidRPr="00501812">
              <w:rPr>
                <w:rFonts w:ascii="Arial" w:hAnsi="Arial"/>
                <w:sz w:val="18"/>
              </w:rPr>
              <w:t xml:space="preserve"> No detailed plan was provided, however the Party note</w:t>
            </w:r>
            <w:r w:rsidRPr="003A30C7">
              <w:rPr>
                <w:rFonts w:ascii="Arial" w:hAnsi="Arial"/>
                <w:sz w:val="18"/>
              </w:rPr>
              <w:t>d a few dot points of potentially suitable alternatives, including TIF mulching, resistant varieties and DMDS/Pic.</w:t>
            </w:r>
          </w:p>
        </w:tc>
      </w:tr>
      <w:tr w:rsidR="00CB7681" w:rsidRPr="00F9037E" w14:paraId="6F2154ED" w14:textId="77777777" w:rsidTr="000633FC">
        <w:trPr>
          <w:trHeight w:val="440"/>
        </w:trPr>
        <w:tc>
          <w:tcPr>
            <w:tcW w:w="1133" w:type="dxa"/>
            <w:tcBorders>
              <w:top w:val="single" w:sz="4" w:space="0" w:color="auto"/>
            </w:tcBorders>
            <w:vAlign w:val="center"/>
          </w:tcPr>
          <w:p w14:paraId="6C2FDC66" w14:textId="77777777" w:rsidR="00CB7681" w:rsidRPr="00F9037E" w:rsidRDefault="00CB7681" w:rsidP="000E64F3">
            <w:pPr>
              <w:spacing w:before="40" w:after="40"/>
              <w:rPr>
                <w:rFonts w:ascii="Arial" w:hAnsi="Arial" w:cs="Arial"/>
                <w:b/>
                <w:sz w:val="18"/>
                <w:szCs w:val="18"/>
              </w:rPr>
            </w:pPr>
            <w:r w:rsidRPr="00F9037E">
              <w:rPr>
                <w:rFonts w:ascii="Arial" w:hAnsi="Arial" w:cs="Arial"/>
                <w:b/>
                <w:sz w:val="18"/>
                <w:szCs w:val="18"/>
              </w:rPr>
              <w:lastRenderedPageBreak/>
              <w:t>Country</w:t>
            </w:r>
          </w:p>
        </w:tc>
        <w:tc>
          <w:tcPr>
            <w:tcW w:w="1419" w:type="dxa"/>
            <w:tcBorders>
              <w:top w:val="single" w:sz="4" w:space="0" w:color="auto"/>
            </w:tcBorders>
            <w:vAlign w:val="center"/>
          </w:tcPr>
          <w:p w14:paraId="032731F7" w14:textId="77777777" w:rsidR="00CB7681" w:rsidRPr="00F9037E" w:rsidRDefault="00CB7681" w:rsidP="000E64F3">
            <w:pPr>
              <w:spacing w:before="40" w:after="40"/>
              <w:rPr>
                <w:rFonts w:ascii="Arial" w:hAnsi="Arial" w:cs="Arial"/>
                <w:b/>
                <w:sz w:val="18"/>
                <w:szCs w:val="18"/>
              </w:rPr>
            </w:pPr>
            <w:r w:rsidRPr="00F9037E">
              <w:rPr>
                <w:rFonts w:ascii="Arial" w:hAnsi="Arial" w:cs="Arial"/>
                <w:b/>
                <w:sz w:val="18"/>
                <w:szCs w:val="18"/>
              </w:rPr>
              <w:t>Industry</w:t>
            </w:r>
          </w:p>
        </w:tc>
        <w:tc>
          <w:tcPr>
            <w:tcW w:w="992" w:type="dxa"/>
            <w:tcBorders>
              <w:top w:val="single" w:sz="4" w:space="0" w:color="auto"/>
            </w:tcBorders>
            <w:vAlign w:val="center"/>
          </w:tcPr>
          <w:p w14:paraId="11B47C6B" w14:textId="77777777" w:rsidR="00CB7681" w:rsidRPr="00F9037E" w:rsidRDefault="00CB7681" w:rsidP="000E64F3">
            <w:pPr>
              <w:spacing w:before="40" w:after="40"/>
              <w:jc w:val="center"/>
              <w:rPr>
                <w:rFonts w:ascii="Arial" w:hAnsi="Arial" w:cs="Arial"/>
                <w:b/>
                <w:sz w:val="18"/>
                <w:szCs w:val="18"/>
              </w:rPr>
            </w:pPr>
            <w:r w:rsidRPr="00F9037E">
              <w:rPr>
                <w:rFonts w:ascii="Arial" w:hAnsi="Arial" w:cs="Arial"/>
                <w:b/>
                <w:sz w:val="18"/>
                <w:szCs w:val="18"/>
              </w:rPr>
              <w:t>CUE for 2015</w:t>
            </w:r>
            <w:r w:rsidRPr="00F9037E">
              <w:rPr>
                <w:rFonts w:ascii="Arial" w:hAnsi="Arial" w:cs="Arial"/>
                <w:b/>
                <w:sz w:val="18"/>
                <w:szCs w:val="18"/>
                <w:vertAlign w:val="superscript"/>
              </w:rPr>
              <w:t>1</w:t>
            </w:r>
          </w:p>
        </w:tc>
        <w:tc>
          <w:tcPr>
            <w:tcW w:w="992" w:type="dxa"/>
            <w:tcBorders>
              <w:top w:val="single" w:sz="4" w:space="0" w:color="auto"/>
            </w:tcBorders>
            <w:vAlign w:val="center"/>
          </w:tcPr>
          <w:p w14:paraId="5415C461" w14:textId="77777777" w:rsidR="00CB7681" w:rsidRPr="00F9037E" w:rsidRDefault="00CB7681" w:rsidP="000E64F3">
            <w:pPr>
              <w:spacing w:after="0"/>
              <w:jc w:val="center"/>
              <w:rPr>
                <w:rFonts w:ascii="Arial" w:hAnsi="Arial" w:cs="Arial"/>
                <w:b/>
                <w:sz w:val="18"/>
                <w:szCs w:val="18"/>
              </w:rPr>
            </w:pPr>
            <w:r w:rsidRPr="00F9037E">
              <w:rPr>
                <w:rFonts w:ascii="Arial" w:hAnsi="Arial" w:cs="Arial"/>
                <w:b/>
                <w:sz w:val="18"/>
                <w:szCs w:val="18"/>
              </w:rPr>
              <w:t>CUE for 2016</w:t>
            </w:r>
          </w:p>
        </w:tc>
        <w:tc>
          <w:tcPr>
            <w:tcW w:w="993" w:type="dxa"/>
            <w:gridSpan w:val="2"/>
            <w:tcBorders>
              <w:top w:val="single" w:sz="4" w:space="0" w:color="auto"/>
            </w:tcBorders>
            <w:vAlign w:val="center"/>
          </w:tcPr>
          <w:p w14:paraId="621B8DDC" w14:textId="77777777" w:rsidR="00CB7681" w:rsidRPr="00F9037E" w:rsidRDefault="00CB7681" w:rsidP="000E64F3">
            <w:pPr>
              <w:spacing w:before="40" w:after="40"/>
              <w:jc w:val="center"/>
              <w:rPr>
                <w:rFonts w:ascii="Arial" w:hAnsi="Arial" w:cs="Arial"/>
                <w:b/>
                <w:sz w:val="18"/>
                <w:szCs w:val="18"/>
              </w:rPr>
            </w:pPr>
            <w:r w:rsidRPr="00F9037E">
              <w:rPr>
                <w:rFonts w:ascii="Arial" w:hAnsi="Arial" w:cs="Arial"/>
                <w:b/>
                <w:sz w:val="18"/>
                <w:szCs w:val="18"/>
              </w:rPr>
              <w:t>CUN for 2017</w:t>
            </w:r>
          </w:p>
        </w:tc>
        <w:tc>
          <w:tcPr>
            <w:tcW w:w="3685" w:type="dxa"/>
            <w:gridSpan w:val="2"/>
            <w:tcBorders>
              <w:top w:val="single" w:sz="4" w:space="0" w:color="auto"/>
            </w:tcBorders>
            <w:vAlign w:val="center"/>
          </w:tcPr>
          <w:p w14:paraId="561E1BD8" w14:textId="77777777" w:rsidR="00CB7681" w:rsidRPr="00F9037E" w:rsidRDefault="00CB7681" w:rsidP="000E64F3">
            <w:pPr>
              <w:spacing w:before="40" w:after="40"/>
              <w:jc w:val="center"/>
              <w:rPr>
                <w:rFonts w:ascii="Arial" w:hAnsi="Arial" w:cs="Arial"/>
                <w:b/>
                <w:sz w:val="18"/>
                <w:szCs w:val="18"/>
              </w:rPr>
            </w:pPr>
            <w:r w:rsidRPr="00F9037E">
              <w:rPr>
                <w:rFonts w:ascii="Arial" w:hAnsi="Arial" w:cs="Arial"/>
                <w:b/>
                <w:sz w:val="18"/>
                <w:szCs w:val="18"/>
              </w:rPr>
              <w:t>MBTOC final recommendation for 2017</w:t>
            </w:r>
          </w:p>
        </w:tc>
        <w:tc>
          <w:tcPr>
            <w:tcW w:w="851" w:type="dxa"/>
            <w:gridSpan w:val="2"/>
            <w:tcBorders>
              <w:top w:val="single" w:sz="4" w:space="0" w:color="auto"/>
            </w:tcBorders>
          </w:tcPr>
          <w:p w14:paraId="5C1F0F06" w14:textId="77777777" w:rsidR="00CB7681" w:rsidRPr="00F9037E" w:rsidRDefault="00CB7681" w:rsidP="000E64F3">
            <w:pPr>
              <w:spacing w:before="40" w:after="40"/>
              <w:rPr>
                <w:rFonts w:ascii="Arial" w:hAnsi="Arial" w:cs="Arial"/>
                <w:b/>
                <w:sz w:val="18"/>
                <w:szCs w:val="18"/>
              </w:rPr>
            </w:pPr>
          </w:p>
        </w:tc>
        <w:tc>
          <w:tcPr>
            <w:tcW w:w="850" w:type="dxa"/>
            <w:tcBorders>
              <w:top w:val="single" w:sz="4" w:space="0" w:color="auto"/>
            </w:tcBorders>
          </w:tcPr>
          <w:p w14:paraId="2E90460D" w14:textId="77777777" w:rsidR="00CB7681" w:rsidRPr="00F9037E" w:rsidRDefault="00CB7681" w:rsidP="000E64F3">
            <w:pPr>
              <w:spacing w:before="40" w:after="40"/>
              <w:rPr>
                <w:rFonts w:ascii="Arial" w:hAnsi="Arial" w:cs="Arial"/>
                <w:b/>
                <w:sz w:val="18"/>
                <w:szCs w:val="18"/>
              </w:rPr>
            </w:pPr>
          </w:p>
        </w:tc>
        <w:tc>
          <w:tcPr>
            <w:tcW w:w="851" w:type="dxa"/>
            <w:tcBorders>
              <w:top w:val="single" w:sz="4" w:space="0" w:color="auto"/>
            </w:tcBorders>
          </w:tcPr>
          <w:p w14:paraId="6FDC37A3" w14:textId="77777777" w:rsidR="00CB7681" w:rsidRPr="00F9037E" w:rsidRDefault="00CB7681" w:rsidP="000E64F3">
            <w:pPr>
              <w:spacing w:before="40" w:after="40"/>
              <w:rPr>
                <w:rFonts w:ascii="Arial" w:hAnsi="Arial" w:cs="Arial"/>
                <w:b/>
                <w:sz w:val="18"/>
                <w:szCs w:val="18"/>
                <w:vertAlign w:val="superscript"/>
              </w:rPr>
            </w:pPr>
          </w:p>
        </w:tc>
        <w:tc>
          <w:tcPr>
            <w:tcW w:w="850" w:type="dxa"/>
            <w:tcBorders>
              <w:top w:val="single" w:sz="4" w:space="0" w:color="auto"/>
            </w:tcBorders>
          </w:tcPr>
          <w:p w14:paraId="6E4F5D07" w14:textId="77777777" w:rsidR="00CB7681" w:rsidRPr="00F9037E" w:rsidRDefault="00CB7681" w:rsidP="000E64F3">
            <w:pPr>
              <w:spacing w:before="40" w:after="40"/>
              <w:rPr>
                <w:rFonts w:ascii="Arial" w:hAnsi="Arial" w:cs="Arial"/>
                <w:b/>
                <w:sz w:val="18"/>
                <w:szCs w:val="18"/>
              </w:rPr>
            </w:pPr>
          </w:p>
        </w:tc>
        <w:tc>
          <w:tcPr>
            <w:tcW w:w="992" w:type="dxa"/>
            <w:tcBorders>
              <w:top w:val="single" w:sz="4" w:space="0" w:color="auto"/>
            </w:tcBorders>
          </w:tcPr>
          <w:p w14:paraId="75B0B646" w14:textId="77777777" w:rsidR="00CB7681" w:rsidRPr="00F9037E" w:rsidRDefault="00CB7681" w:rsidP="000E64F3">
            <w:pPr>
              <w:spacing w:before="40" w:after="0"/>
              <w:rPr>
                <w:rFonts w:ascii="Arial" w:hAnsi="Arial" w:cs="Arial"/>
                <w:b/>
                <w:sz w:val="18"/>
                <w:szCs w:val="18"/>
              </w:rPr>
            </w:pPr>
          </w:p>
        </w:tc>
        <w:tc>
          <w:tcPr>
            <w:tcW w:w="780" w:type="dxa"/>
            <w:tcBorders>
              <w:top w:val="single" w:sz="4" w:space="0" w:color="auto"/>
            </w:tcBorders>
          </w:tcPr>
          <w:p w14:paraId="174D8874" w14:textId="77777777" w:rsidR="00CB7681" w:rsidRPr="00F9037E" w:rsidRDefault="00CB7681" w:rsidP="000E64F3">
            <w:pPr>
              <w:spacing w:before="40" w:after="40"/>
              <w:rPr>
                <w:rFonts w:ascii="Arial" w:hAnsi="Arial" w:cs="Arial"/>
                <w:b/>
                <w:sz w:val="18"/>
                <w:szCs w:val="18"/>
              </w:rPr>
            </w:pPr>
          </w:p>
        </w:tc>
        <w:tc>
          <w:tcPr>
            <w:tcW w:w="1063" w:type="dxa"/>
            <w:tcBorders>
              <w:top w:val="single" w:sz="4" w:space="0" w:color="auto"/>
            </w:tcBorders>
          </w:tcPr>
          <w:p w14:paraId="147888B5" w14:textId="77777777" w:rsidR="00CB7681" w:rsidRPr="00F9037E" w:rsidRDefault="00CB7681" w:rsidP="000E64F3">
            <w:pPr>
              <w:spacing w:before="40" w:after="0"/>
              <w:rPr>
                <w:rFonts w:ascii="Arial" w:hAnsi="Arial" w:cs="Arial"/>
                <w:b/>
                <w:sz w:val="18"/>
                <w:szCs w:val="18"/>
              </w:rPr>
            </w:pPr>
          </w:p>
        </w:tc>
      </w:tr>
      <w:tr w:rsidR="00CB7681" w:rsidRPr="00F9037E" w14:paraId="7CC8AB2B" w14:textId="77777777" w:rsidTr="000633FC">
        <w:trPr>
          <w:trHeight w:val="390"/>
        </w:trPr>
        <w:tc>
          <w:tcPr>
            <w:tcW w:w="1133" w:type="dxa"/>
            <w:vMerge w:val="restart"/>
          </w:tcPr>
          <w:p w14:paraId="6CC40BBF" w14:textId="77777777" w:rsidR="00CB7681" w:rsidRPr="00F9037E" w:rsidRDefault="00CB7681" w:rsidP="000E64F3">
            <w:pPr>
              <w:spacing w:before="40" w:after="40"/>
              <w:rPr>
                <w:rFonts w:ascii="Arial" w:hAnsi="Arial"/>
                <w:sz w:val="18"/>
              </w:rPr>
            </w:pPr>
            <w:r w:rsidRPr="00F9037E">
              <w:rPr>
                <w:rFonts w:ascii="Arial" w:hAnsi="Arial"/>
                <w:sz w:val="18"/>
              </w:rPr>
              <w:t>Argentina</w:t>
            </w:r>
          </w:p>
        </w:tc>
        <w:tc>
          <w:tcPr>
            <w:tcW w:w="1419" w:type="dxa"/>
            <w:shd w:val="clear" w:color="auto" w:fill="FFFF99"/>
            <w:vAlign w:val="center"/>
          </w:tcPr>
          <w:p w14:paraId="38037DC5" w14:textId="77777777" w:rsidR="00CB7681" w:rsidRPr="00F9037E" w:rsidRDefault="00CB7681" w:rsidP="000E64F3">
            <w:pPr>
              <w:spacing w:before="40" w:after="40"/>
              <w:rPr>
                <w:rFonts w:ascii="Arial" w:hAnsi="Arial"/>
                <w:sz w:val="18"/>
              </w:rPr>
            </w:pPr>
            <w:r w:rsidRPr="00F9037E">
              <w:rPr>
                <w:rFonts w:ascii="Arial" w:hAnsi="Arial"/>
                <w:sz w:val="18"/>
              </w:rPr>
              <w:t>Tomatoes</w:t>
            </w:r>
          </w:p>
        </w:tc>
        <w:tc>
          <w:tcPr>
            <w:tcW w:w="992" w:type="dxa"/>
            <w:shd w:val="clear" w:color="auto" w:fill="FFFF99"/>
            <w:vAlign w:val="center"/>
          </w:tcPr>
          <w:p w14:paraId="78FCD13E" w14:textId="77777777" w:rsidR="00CB7681" w:rsidRPr="00F9037E" w:rsidRDefault="00CB7681" w:rsidP="000E64F3">
            <w:pPr>
              <w:spacing w:before="40" w:after="40"/>
              <w:jc w:val="center"/>
              <w:rPr>
                <w:rFonts w:ascii="Arial" w:hAnsi="Arial"/>
                <w:sz w:val="18"/>
              </w:rPr>
            </w:pPr>
            <w:r w:rsidRPr="00F9037E">
              <w:rPr>
                <w:rFonts w:ascii="Arial" w:hAnsi="Arial"/>
                <w:sz w:val="18"/>
              </w:rPr>
              <w:t>100</w:t>
            </w:r>
          </w:p>
        </w:tc>
        <w:tc>
          <w:tcPr>
            <w:tcW w:w="992" w:type="dxa"/>
            <w:shd w:val="clear" w:color="auto" w:fill="FFFF99"/>
            <w:vAlign w:val="center"/>
          </w:tcPr>
          <w:p w14:paraId="15F44032" w14:textId="77777777" w:rsidR="00CB7681" w:rsidRPr="00F9037E" w:rsidRDefault="00CB7681" w:rsidP="000E64F3">
            <w:pPr>
              <w:spacing w:before="40" w:after="40"/>
              <w:jc w:val="center"/>
              <w:rPr>
                <w:rFonts w:ascii="Arial" w:hAnsi="Arial"/>
                <w:sz w:val="18"/>
              </w:rPr>
            </w:pPr>
            <w:r w:rsidRPr="00F9037E">
              <w:rPr>
                <w:rFonts w:ascii="Arial" w:hAnsi="Arial"/>
                <w:sz w:val="18"/>
              </w:rPr>
              <w:t>71.25</w:t>
            </w:r>
          </w:p>
        </w:tc>
        <w:tc>
          <w:tcPr>
            <w:tcW w:w="993" w:type="dxa"/>
            <w:gridSpan w:val="2"/>
            <w:shd w:val="clear" w:color="auto" w:fill="FFFF99"/>
            <w:vAlign w:val="center"/>
          </w:tcPr>
          <w:p w14:paraId="564F7DA1" w14:textId="77777777" w:rsidR="00CB7681" w:rsidRPr="00F9037E" w:rsidRDefault="00CB7681" w:rsidP="000E64F3">
            <w:pPr>
              <w:spacing w:before="40" w:after="0"/>
              <w:jc w:val="center"/>
              <w:rPr>
                <w:rFonts w:ascii="Arial" w:hAnsi="Arial"/>
                <w:sz w:val="18"/>
              </w:rPr>
            </w:pPr>
            <w:r w:rsidRPr="00F9037E">
              <w:rPr>
                <w:rFonts w:ascii="Arial" w:hAnsi="Arial" w:cs="Arial"/>
                <w:sz w:val="20"/>
              </w:rPr>
              <w:t>75</w:t>
            </w:r>
          </w:p>
        </w:tc>
        <w:tc>
          <w:tcPr>
            <w:tcW w:w="3685" w:type="dxa"/>
            <w:gridSpan w:val="2"/>
            <w:shd w:val="clear" w:color="auto" w:fill="FFFF99"/>
            <w:vAlign w:val="center"/>
          </w:tcPr>
          <w:p w14:paraId="42935D8F" w14:textId="77777777" w:rsidR="00CB7681" w:rsidRPr="00F9037E" w:rsidRDefault="00CB7681" w:rsidP="000E64F3">
            <w:pPr>
              <w:spacing w:before="40" w:after="0"/>
              <w:jc w:val="center"/>
              <w:rPr>
                <w:rFonts w:ascii="Arial" w:hAnsi="Arial"/>
                <w:sz w:val="18"/>
              </w:rPr>
            </w:pPr>
            <w:r w:rsidRPr="00F9037E">
              <w:rPr>
                <w:rFonts w:ascii="Arial" w:hAnsi="Arial" w:cs="Arial"/>
                <w:sz w:val="20"/>
              </w:rPr>
              <w:t>[64.10]</w:t>
            </w:r>
          </w:p>
        </w:tc>
        <w:tc>
          <w:tcPr>
            <w:tcW w:w="851" w:type="dxa"/>
            <w:gridSpan w:val="2"/>
            <w:shd w:val="clear" w:color="auto" w:fill="FFFF99"/>
          </w:tcPr>
          <w:p w14:paraId="2A790926" w14:textId="77777777" w:rsidR="00CB7681" w:rsidRPr="00F9037E" w:rsidRDefault="00CB7681" w:rsidP="000E64F3">
            <w:pPr>
              <w:spacing w:before="40" w:after="0"/>
              <w:rPr>
                <w:rFonts w:ascii="Arial" w:hAnsi="Arial"/>
                <w:sz w:val="18"/>
              </w:rPr>
            </w:pPr>
          </w:p>
        </w:tc>
        <w:tc>
          <w:tcPr>
            <w:tcW w:w="850" w:type="dxa"/>
            <w:shd w:val="clear" w:color="auto" w:fill="FFFF99"/>
          </w:tcPr>
          <w:p w14:paraId="0060B440" w14:textId="77777777" w:rsidR="00CB7681" w:rsidRPr="00F9037E" w:rsidRDefault="00CB7681" w:rsidP="000E64F3">
            <w:pPr>
              <w:spacing w:before="40" w:after="0"/>
              <w:rPr>
                <w:rFonts w:ascii="Arial" w:hAnsi="Arial"/>
                <w:sz w:val="18"/>
              </w:rPr>
            </w:pPr>
          </w:p>
        </w:tc>
        <w:tc>
          <w:tcPr>
            <w:tcW w:w="851" w:type="dxa"/>
            <w:shd w:val="clear" w:color="auto" w:fill="FFFF99"/>
          </w:tcPr>
          <w:p w14:paraId="18EFACA1" w14:textId="77777777" w:rsidR="00CB7681" w:rsidRPr="00F9037E" w:rsidRDefault="00CB7681" w:rsidP="000E64F3">
            <w:pPr>
              <w:spacing w:before="40" w:after="0"/>
              <w:jc w:val="center"/>
              <w:rPr>
                <w:rFonts w:ascii="Arial" w:hAnsi="Arial"/>
                <w:sz w:val="18"/>
              </w:rPr>
            </w:pPr>
          </w:p>
        </w:tc>
        <w:tc>
          <w:tcPr>
            <w:tcW w:w="850" w:type="dxa"/>
            <w:shd w:val="clear" w:color="auto" w:fill="FFFF99"/>
          </w:tcPr>
          <w:p w14:paraId="3DBE6ADD" w14:textId="77777777" w:rsidR="00CB7681" w:rsidRPr="00F9037E" w:rsidRDefault="00CB7681" w:rsidP="000E64F3">
            <w:pPr>
              <w:spacing w:before="40" w:after="0"/>
              <w:rPr>
                <w:rFonts w:ascii="Arial" w:hAnsi="Arial"/>
                <w:sz w:val="18"/>
              </w:rPr>
            </w:pPr>
          </w:p>
        </w:tc>
        <w:tc>
          <w:tcPr>
            <w:tcW w:w="992" w:type="dxa"/>
            <w:shd w:val="clear" w:color="auto" w:fill="FFFF99"/>
          </w:tcPr>
          <w:p w14:paraId="4D168857" w14:textId="77777777" w:rsidR="00CB7681" w:rsidRPr="00F9037E" w:rsidRDefault="00CB7681" w:rsidP="000E64F3">
            <w:pPr>
              <w:spacing w:before="40" w:after="0"/>
              <w:rPr>
                <w:rFonts w:ascii="Arial" w:hAnsi="Arial"/>
                <w:sz w:val="18"/>
              </w:rPr>
            </w:pPr>
          </w:p>
        </w:tc>
        <w:tc>
          <w:tcPr>
            <w:tcW w:w="780" w:type="dxa"/>
            <w:shd w:val="clear" w:color="auto" w:fill="FFFF99"/>
          </w:tcPr>
          <w:p w14:paraId="74795EC6" w14:textId="77777777" w:rsidR="00CB7681" w:rsidRPr="00F9037E" w:rsidRDefault="00CB7681" w:rsidP="000E64F3">
            <w:pPr>
              <w:spacing w:before="40" w:after="0"/>
              <w:rPr>
                <w:rFonts w:ascii="Arial" w:hAnsi="Arial"/>
                <w:sz w:val="18"/>
              </w:rPr>
            </w:pPr>
          </w:p>
        </w:tc>
        <w:tc>
          <w:tcPr>
            <w:tcW w:w="1063" w:type="dxa"/>
            <w:shd w:val="clear" w:color="auto" w:fill="FFFF99"/>
          </w:tcPr>
          <w:p w14:paraId="6F35C4B8" w14:textId="77777777" w:rsidR="00CB7681" w:rsidRPr="00F9037E" w:rsidRDefault="00CB7681" w:rsidP="000E64F3">
            <w:pPr>
              <w:spacing w:before="40" w:after="0"/>
              <w:rPr>
                <w:rFonts w:ascii="Arial" w:hAnsi="Arial"/>
                <w:sz w:val="18"/>
              </w:rPr>
            </w:pPr>
          </w:p>
        </w:tc>
      </w:tr>
      <w:tr w:rsidR="00CB7681" w:rsidRPr="00F9037E" w14:paraId="0D34C3AD" w14:textId="77777777" w:rsidTr="000633FC">
        <w:trPr>
          <w:trHeight w:val="2494"/>
        </w:trPr>
        <w:tc>
          <w:tcPr>
            <w:tcW w:w="1133" w:type="dxa"/>
            <w:vMerge/>
            <w:tcBorders>
              <w:bottom w:val="single" w:sz="4" w:space="0" w:color="auto"/>
            </w:tcBorders>
          </w:tcPr>
          <w:p w14:paraId="395B9937" w14:textId="77777777" w:rsidR="00CB7681" w:rsidRPr="00F9037E" w:rsidRDefault="00CB7681" w:rsidP="000E64F3">
            <w:pPr>
              <w:spacing w:before="40" w:after="40"/>
              <w:rPr>
                <w:rFonts w:ascii="Arial" w:hAnsi="Arial"/>
                <w:sz w:val="18"/>
              </w:rPr>
            </w:pPr>
          </w:p>
        </w:tc>
        <w:tc>
          <w:tcPr>
            <w:tcW w:w="14318" w:type="dxa"/>
            <w:gridSpan w:val="15"/>
            <w:tcBorders>
              <w:bottom w:val="single" w:sz="6" w:space="0" w:color="auto"/>
            </w:tcBorders>
          </w:tcPr>
          <w:p w14:paraId="0A11B1EB" w14:textId="77777777" w:rsidR="00CB7681" w:rsidRPr="00F9037E" w:rsidRDefault="00CB7681" w:rsidP="000E64F3">
            <w:pPr>
              <w:spacing w:after="0"/>
              <w:rPr>
                <w:rFonts w:ascii="Arial" w:hAnsi="Arial"/>
                <w:b/>
                <w:sz w:val="18"/>
              </w:rPr>
            </w:pPr>
          </w:p>
          <w:p w14:paraId="1FAE6853" w14:textId="66FB46EE" w:rsidR="00CB7681" w:rsidRPr="007F65E8" w:rsidRDefault="00CB7681" w:rsidP="007F65E8">
            <w:pPr>
              <w:rPr>
                <w:rFonts w:ascii="Arial" w:hAnsi="Arial"/>
                <w:b/>
                <w:sz w:val="18"/>
              </w:rPr>
            </w:pPr>
            <w:r w:rsidRPr="00CD3CBD">
              <w:rPr>
                <w:rFonts w:ascii="Arial" w:hAnsi="Arial"/>
                <w:b/>
                <w:sz w:val="18"/>
              </w:rPr>
              <w:t>MBTOC Final</w:t>
            </w:r>
            <w:r w:rsidR="000625FA" w:rsidRPr="00CD3CBD">
              <w:rPr>
                <w:rFonts w:ascii="Arial" w:hAnsi="Arial"/>
                <w:b/>
                <w:sz w:val="18"/>
              </w:rPr>
              <w:t xml:space="preserve"> </w:t>
            </w:r>
            <w:r w:rsidRPr="00CD3CBD">
              <w:rPr>
                <w:rFonts w:ascii="Arial" w:hAnsi="Arial"/>
                <w:b/>
                <w:sz w:val="18"/>
              </w:rPr>
              <w:t>Recommendation for 2017</w:t>
            </w:r>
            <w:r w:rsidR="007F65E8">
              <w:rPr>
                <w:rFonts w:ascii="Arial" w:hAnsi="Arial"/>
                <w:b/>
                <w:sz w:val="18"/>
              </w:rPr>
              <w:br/>
            </w:r>
            <w:r w:rsidRPr="00F9037E">
              <w:rPr>
                <w:rFonts w:ascii="Arial" w:hAnsi="Arial"/>
                <w:sz w:val="18"/>
              </w:rPr>
              <w:t>MBTOC recommends a reduced nomination of 64.10 tonnes for this use in 2017. This includes 12.9 t for Mar Del Plata (</w:t>
            </w:r>
            <w:r w:rsidR="000625FA" w:rsidRPr="00F9037E">
              <w:rPr>
                <w:rFonts w:ascii="Arial" w:hAnsi="Arial"/>
                <w:sz w:val="18"/>
              </w:rPr>
              <w:t xml:space="preserve">38.6 ha </w:t>
            </w:r>
            <w:r w:rsidRPr="00F9037E">
              <w:rPr>
                <w:rFonts w:ascii="Arial" w:hAnsi="Arial"/>
                <w:sz w:val="18"/>
              </w:rPr>
              <w:t>x 0.26</w:t>
            </w:r>
            <w:proofErr w:type="gramStart"/>
            <w:r w:rsidRPr="00F9037E">
              <w:rPr>
                <w:rFonts w:ascii="Arial" w:hAnsi="Arial"/>
                <w:sz w:val="18"/>
              </w:rPr>
              <w:t>)+</w:t>
            </w:r>
            <w:proofErr w:type="gramEnd"/>
            <w:r w:rsidRPr="00F9037E">
              <w:rPr>
                <w:rFonts w:ascii="Arial" w:hAnsi="Arial"/>
                <w:sz w:val="18"/>
              </w:rPr>
              <w:t>(19.3ha x 0.15) and 51.2 t for La Plata (</w:t>
            </w:r>
            <w:r w:rsidR="000625FA" w:rsidRPr="00F9037E">
              <w:rPr>
                <w:rFonts w:ascii="Arial" w:hAnsi="Arial"/>
                <w:sz w:val="18"/>
              </w:rPr>
              <w:t>146.6 ha</w:t>
            </w:r>
            <w:r w:rsidRPr="00F9037E">
              <w:rPr>
                <w:rFonts w:ascii="Arial" w:hAnsi="Arial"/>
                <w:sz w:val="18"/>
              </w:rPr>
              <w:t xml:space="preserve"> x0.26)+(73.3 ha x 0.15)</w:t>
            </w:r>
            <w:r w:rsidR="007F65E8">
              <w:rPr>
                <w:rFonts w:ascii="Arial" w:hAnsi="Arial"/>
                <w:sz w:val="18"/>
              </w:rPr>
              <w:t>.</w:t>
            </w:r>
          </w:p>
          <w:p w14:paraId="6B44193C" w14:textId="50DD0A93" w:rsidR="00CB7681" w:rsidRPr="00F9037E" w:rsidRDefault="00CB7681" w:rsidP="007F65E8">
            <w:pPr>
              <w:rPr>
                <w:rFonts w:ascii="Arial" w:hAnsi="Arial" w:cs="Arial"/>
                <w:sz w:val="18"/>
                <w:szCs w:val="18"/>
              </w:rPr>
            </w:pPr>
            <w:r w:rsidRPr="00F9037E">
              <w:rPr>
                <w:rFonts w:ascii="Arial" w:hAnsi="Arial" w:cs="Arial"/>
                <w:color w:val="000000" w:themeColor="text1"/>
                <w:sz w:val="18"/>
                <w:szCs w:val="18"/>
              </w:rPr>
              <w:t>The reduction is based on a reduction of dosage rates from 26.0 to 15.0 g/m</w:t>
            </w:r>
            <w:r w:rsidRPr="00F9037E">
              <w:rPr>
                <w:rFonts w:ascii="Arial" w:hAnsi="Arial" w:cs="Arial"/>
                <w:color w:val="000000" w:themeColor="text1"/>
                <w:sz w:val="18"/>
                <w:szCs w:val="18"/>
                <w:vertAlign w:val="superscript"/>
              </w:rPr>
              <w:t>2</w:t>
            </w:r>
            <w:r w:rsidRPr="00F9037E">
              <w:rPr>
                <w:rFonts w:ascii="Arial" w:hAnsi="Arial" w:cs="Arial"/>
                <w:color w:val="000000" w:themeColor="text1"/>
                <w:sz w:val="18"/>
                <w:szCs w:val="18"/>
              </w:rPr>
              <w:t xml:space="preserve"> for adoption of barrier films (e.g. TIF) over a transition period of three years. MBTOC reviewed the information provided after the OEWG and accepts that adoption of 50% of the industry to barrier films may not be possible and accepts that a transition period of three years instead of two years should be applied. For this reason MBTOC recommends 64.10 </w:t>
            </w:r>
            <w:proofErr w:type="gramStart"/>
            <w:r w:rsidRPr="00F9037E">
              <w:rPr>
                <w:rFonts w:ascii="Arial" w:hAnsi="Arial" w:cs="Arial"/>
                <w:color w:val="000000" w:themeColor="text1"/>
                <w:sz w:val="18"/>
                <w:szCs w:val="18"/>
              </w:rPr>
              <w:t xml:space="preserve">t  </w:t>
            </w:r>
            <w:r w:rsidRPr="00F9037E">
              <w:rPr>
                <w:rFonts w:ascii="Arial" w:hAnsi="Arial" w:cs="Arial"/>
                <w:sz w:val="18"/>
                <w:szCs w:val="18"/>
              </w:rPr>
              <w:t>In</w:t>
            </w:r>
            <w:proofErr w:type="gramEnd"/>
            <w:r w:rsidRPr="00F9037E">
              <w:rPr>
                <w:rFonts w:ascii="Arial" w:hAnsi="Arial" w:cs="Arial"/>
                <w:sz w:val="18"/>
                <w:szCs w:val="18"/>
              </w:rPr>
              <w:t xml:space="preserve"> addition, MBTOC noted that the nominated amount this year has been increased by 3.75 t from the amount approved at MOP27 because the Party did not agree that they could use grafting as a technology at this time.</w:t>
            </w:r>
          </w:p>
          <w:p w14:paraId="56949ECB" w14:textId="15E3AE1E" w:rsidR="00CB7681" w:rsidRPr="007F65E8" w:rsidRDefault="00CB7681" w:rsidP="007F65E8">
            <w:pPr>
              <w:spacing w:after="120"/>
              <w:rPr>
                <w:rFonts w:ascii="Arial" w:hAnsi="Arial" w:cs="Arial"/>
                <w:b/>
                <w:sz w:val="18"/>
                <w:szCs w:val="18"/>
              </w:rPr>
            </w:pPr>
            <w:r w:rsidRPr="00F9037E">
              <w:rPr>
                <w:rFonts w:ascii="Arial" w:hAnsi="Arial" w:cs="Arial"/>
                <w:b/>
                <w:sz w:val="18"/>
                <w:szCs w:val="18"/>
              </w:rPr>
              <w:t xml:space="preserve">Nomination by the Party </w:t>
            </w:r>
            <w:r w:rsidR="007F65E8">
              <w:rPr>
                <w:rFonts w:ascii="Arial" w:hAnsi="Arial" w:cs="Arial"/>
                <w:b/>
                <w:sz w:val="18"/>
                <w:szCs w:val="18"/>
              </w:rPr>
              <w:t>for 2017</w:t>
            </w:r>
            <w:r w:rsidRPr="00F9037E">
              <w:rPr>
                <w:rFonts w:ascii="Arial" w:hAnsi="Arial" w:cs="Arial"/>
                <w:b/>
                <w:sz w:val="18"/>
                <w:szCs w:val="18"/>
              </w:rPr>
              <w:t xml:space="preserve"> </w:t>
            </w:r>
            <w:r w:rsidR="007F65E8">
              <w:rPr>
                <w:rFonts w:ascii="Arial" w:hAnsi="Arial" w:cs="Arial"/>
                <w:b/>
                <w:sz w:val="18"/>
                <w:szCs w:val="18"/>
              </w:rPr>
              <w:br/>
            </w:r>
            <w:r w:rsidRPr="00F9037E">
              <w:rPr>
                <w:rFonts w:ascii="Arial" w:hAnsi="Arial" w:cs="Arial"/>
                <w:sz w:val="18"/>
                <w:szCs w:val="18"/>
              </w:rPr>
              <w:t>The Party nominated 75 tonnes of MB for critical uses for tomato production in protected cultivation in the critical regions of Mar del Plata (15 t</w:t>
            </w:r>
            <w:r w:rsidR="00CD3CBD" w:rsidRPr="00CD3CBD">
              <w:rPr>
                <w:rFonts w:ascii="Arial" w:hAnsi="Arial" w:cs="Arial"/>
                <w:sz w:val="18"/>
                <w:szCs w:val="18"/>
              </w:rPr>
              <w:t>,</w:t>
            </w:r>
            <w:r w:rsidRPr="00F9037E">
              <w:rPr>
                <w:rFonts w:ascii="Arial" w:hAnsi="Arial" w:cs="Arial"/>
                <w:sz w:val="18"/>
                <w:szCs w:val="18"/>
              </w:rPr>
              <w:t xml:space="preserve"> 58 ha) and La Plata (60 t,  232 ha), an amount higher than the approved amount for 2016 use of 71.5 t. The nominated area treated with MB was 290 ha. The broad acre area nominated was 500 ha of which 58 % is fumigated at a dosage rate of 26 g/m</w:t>
            </w:r>
            <w:r w:rsidRPr="00F9037E">
              <w:rPr>
                <w:rFonts w:ascii="Arial" w:hAnsi="Arial" w:cs="Arial"/>
                <w:sz w:val="18"/>
                <w:szCs w:val="18"/>
                <w:vertAlign w:val="superscript"/>
              </w:rPr>
              <w:t>2</w:t>
            </w:r>
            <w:r w:rsidRPr="00F9037E">
              <w:rPr>
                <w:rFonts w:ascii="Arial" w:hAnsi="Arial" w:cs="Arial"/>
                <w:sz w:val="18"/>
                <w:szCs w:val="18"/>
              </w:rPr>
              <w:t xml:space="preserve"> using standard LDPE films (i.e.) without VIF or TIF. </w:t>
            </w:r>
          </w:p>
          <w:p w14:paraId="1E9CC37D" w14:textId="4D5F7D77" w:rsidR="00CB7681" w:rsidRPr="00501812" w:rsidRDefault="00CD3CBD" w:rsidP="000E64F3">
            <w:pPr>
              <w:pStyle w:val="ListParagraph"/>
              <w:spacing w:after="120"/>
              <w:ind w:left="0"/>
              <w:contextualSpacing w:val="0"/>
              <w:jc w:val="both"/>
              <w:rPr>
                <w:rFonts w:ascii="Arial" w:hAnsi="Arial" w:cs="Arial"/>
                <w:color w:val="auto"/>
                <w:sz w:val="18"/>
                <w:szCs w:val="18"/>
              </w:rPr>
            </w:pPr>
            <w:r w:rsidRPr="00CD3CBD">
              <w:rPr>
                <w:rFonts w:ascii="Arial" w:hAnsi="Arial" w:cs="Arial"/>
                <w:color w:val="auto"/>
                <w:sz w:val="18"/>
                <w:szCs w:val="18"/>
              </w:rPr>
              <w:t>Rootstocks</w:t>
            </w:r>
            <w:r w:rsidR="00CB7681" w:rsidRPr="00CD3CBD">
              <w:rPr>
                <w:rFonts w:ascii="Arial" w:hAnsi="Arial" w:cs="Arial"/>
                <w:color w:val="auto"/>
                <w:sz w:val="18"/>
                <w:szCs w:val="18"/>
              </w:rPr>
              <w:t xml:space="preserve"> and tomato cultivars resistant to </w:t>
            </w:r>
            <w:proofErr w:type="spellStart"/>
            <w:r w:rsidR="00CB7681" w:rsidRPr="00CD3CBD">
              <w:rPr>
                <w:rFonts w:ascii="Arial" w:hAnsi="Arial" w:cs="Arial"/>
                <w:i/>
                <w:color w:val="auto"/>
                <w:sz w:val="18"/>
                <w:szCs w:val="18"/>
              </w:rPr>
              <w:t>Naccobus</w:t>
            </w:r>
            <w:proofErr w:type="spellEnd"/>
            <w:r w:rsidR="00CB7681" w:rsidRPr="00CD3CBD">
              <w:rPr>
                <w:rFonts w:ascii="Arial" w:hAnsi="Arial" w:cs="Arial"/>
                <w:color w:val="auto"/>
                <w:sz w:val="18"/>
                <w:szCs w:val="18"/>
              </w:rPr>
              <w:t xml:space="preserve"> are not yet commercially available</w:t>
            </w:r>
            <w:r w:rsidR="00CB7681" w:rsidRPr="00F9037E">
              <w:rPr>
                <w:rFonts w:ascii="Arial" w:hAnsi="Arial" w:cs="Arial"/>
                <w:color w:val="auto"/>
                <w:sz w:val="18"/>
                <w:szCs w:val="18"/>
              </w:rPr>
              <w:t>, (</w:t>
            </w:r>
            <w:proofErr w:type="spellStart"/>
            <w:r w:rsidR="00CB7681" w:rsidRPr="00F9037E">
              <w:rPr>
                <w:rFonts w:ascii="Arial" w:hAnsi="Arial" w:cs="Arial"/>
                <w:color w:val="auto"/>
                <w:sz w:val="18"/>
                <w:szCs w:val="18"/>
              </w:rPr>
              <w:t>Verimis</w:t>
            </w:r>
            <w:proofErr w:type="spellEnd"/>
            <w:r>
              <w:rPr>
                <w:rFonts w:ascii="Arial" w:hAnsi="Arial" w:cs="Arial"/>
                <w:color w:val="auto"/>
                <w:sz w:val="18"/>
                <w:szCs w:val="18"/>
              </w:rPr>
              <w:t xml:space="preserve"> </w:t>
            </w:r>
            <w:r w:rsidR="00CB7681" w:rsidRPr="00F9037E">
              <w:rPr>
                <w:rFonts w:ascii="Arial" w:hAnsi="Arial" w:cs="Arial"/>
                <w:i/>
                <w:color w:val="auto"/>
                <w:sz w:val="18"/>
                <w:szCs w:val="18"/>
              </w:rPr>
              <w:t>et al.</w:t>
            </w:r>
            <w:r w:rsidR="00CB7681" w:rsidRPr="00F9037E">
              <w:rPr>
                <w:rFonts w:ascii="Arial" w:hAnsi="Arial" w:cs="Arial"/>
                <w:color w:val="auto"/>
                <w:sz w:val="18"/>
                <w:szCs w:val="18"/>
              </w:rPr>
              <w:t xml:space="preserve">, 1997; Manzanilla-Lopez </w:t>
            </w:r>
            <w:r w:rsidR="00CB7681" w:rsidRPr="00F9037E">
              <w:rPr>
                <w:rFonts w:ascii="Arial" w:hAnsi="Arial" w:cs="Arial"/>
                <w:i/>
                <w:color w:val="auto"/>
                <w:sz w:val="18"/>
                <w:szCs w:val="18"/>
              </w:rPr>
              <w:t>et al</w:t>
            </w:r>
            <w:r w:rsidR="00CB7681" w:rsidRPr="00F9037E">
              <w:rPr>
                <w:rFonts w:ascii="Arial" w:hAnsi="Arial" w:cs="Arial"/>
                <w:color w:val="auto"/>
                <w:sz w:val="18"/>
                <w:szCs w:val="18"/>
              </w:rPr>
              <w:t xml:space="preserve">., 2002; Lax </w:t>
            </w:r>
            <w:r w:rsidR="00CB7681" w:rsidRPr="00F9037E">
              <w:rPr>
                <w:rFonts w:ascii="Arial" w:hAnsi="Arial" w:cs="Arial"/>
                <w:i/>
                <w:color w:val="auto"/>
                <w:sz w:val="18"/>
                <w:szCs w:val="18"/>
              </w:rPr>
              <w:t>et al</w:t>
            </w:r>
            <w:r w:rsidR="00CB7681" w:rsidRPr="00F9037E">
              <w:rPr>
                <w:rFonts w:ascii="Arial" w:hAnsi="Arial" w:cs="Arial"/>
                <w:color w:val="auto"/>
                <w:sz w:val="18"/>
                <w:szCs w:val="18"/>
              </w:rPr>
              <w:t xml:space="preserve">., 2016). However, </w:t>
            </w:r>
            <w:r w:rsidR="00CB7681" w:rsidRPr="00CD3CBD">
              <w:rPr>
                <w:rFonts w:ascii="Arial" w:hAnsi="Arial" w:cs="Arial"/>
                <w:color w:val="auto"/>
                <w:sz w:val="18"/>
                <w:szCs w:val="18"/>
              </w:rPr>
              <w:t>MBTOC notes promising research results when grafting susceptible tomato varieties onto rootstocks with some resistance to this nematode (</w:t>
            </w:r>
            <w:proofErr w:type="spellStart"/>
            <w:r w:rsidR="00CB7681" w:rsidRPr="00CD3CBD">
              <w:rPr>
                <w:rFonts w:ascii="Arial" w:hAnsi="Arial" w:cs="Arial"/>
                <w:color w:val="auto"/>
                <w:sz w:val="18"/>
                <w:szCs w:val="18"/>
              </w:rPr>
              <w:t>Mitideri</w:t>
            </w:r>
            <w:proofErr w:type="spellEnd"/>
            <w:r>
              <w:rPr>
                <w:rFonts w:ascii="Arial" w:hAnsi="Arial" w:cs="Arial"/>
                <w:color w:val="auto"/>
                <w:sz w:val="18"/>
                <w:szCs w:val="18"/>
              </w:rPr>
              <w:t xml:space="preserve"> </w:t>
            </w:r>
            <w:r w:rsidR="00CB7681" w:rsidRPr="00CD3CBD">
              <w:rPr>
                <w:rFonts w:ascii="Arial" w:hAnsi="Arial" w:cs="Arial"/>
                <w:i/>
                <w:color w:val="auto"/>
                <w:sz w:val="18"/>
                <w:szCs w:val="18"/>
              </w:rPr>
              <w:t>et al.,</w:t>
            </w:r>
            <w:r w:rsidR="00CB7681" w:rsidRPr="00CD3CBD">
              <w:rPr>
                <w:rFonts w:ascii="Arial" w:hAnsi="Arial" w:cs="Arial"/>
                <w:color w:val="auto"/>
                <w:sz w:val="18"/>
                <w:szCs w:val="18"/>
              </w:rPr>
              <w:t xml:space="preserve"> 2013; </w:t>
            </w:r>
            <w:proofErr w:type="spellStart"/>
            <w:r w:rsidR="00CB7681" w:rsidRPr="00CD3CBD">
              <w:rPr>
                <w:rFonts w:ascii="Arial" w:hAnsi="Arial" w:cs="Arial"/>
                <w:color w:val="auto"/>
                <w:sz w:val="18"/>
                <w:szCs w:val="18"/>
              </w:rPr>
              <w:t>Chale</w:t>
            </w:r>
            <w:r w:rsidR="00CB7681" w:rsidRPr="00CD3CBD">
              <w:rPr>
                <w:rFonts w:ascii="Arial" w:hAnsi="Arial" w:cs="Arial"/>
                <w:i/>
                <w:color w:val="auto"/>
                <w:sz w:val="18"/>
                <w:szCs w:val="18"/>
              </w:rPr>
              <w:t>et</w:t>
            </w:r>
            <w:proofErr w:type="spellEnd"/>
            <w:r w:rsidR="00CB7681" w:rsidRPr="00CD3CBD">
              <w:rPr>
                <w:rFonts w:ascii="Arial" w:hAnsi="Arial" w:cs="Arial"/>
                <w:i/>
                <w:color w:val="auto"/>
                <w:sz w:val="18"/>
                <w:szCs w:val="18"/>
              </w:rPr>
              <w:t xml:space="preserve"> al.</w:t>
            </w:r>
            <w:r w:rsidR="00CB7681" w:rsidRPr="00CD3CBD">
              <w:rPr>
                <w:rFonts w:ascii="Arial" w:hAnsi="Arial" w:cs="Arial"/>
                <w:color w:val="auto"/>
                <w:sz w:val="18"/>
                <w:szCs w:val="18"/>
              </w:rPr>
              <w:t xml:space="preserve">, 2013; </w:t>
            </w:r>
            <w:proofErr w:type="spellStart"/>
            <w:r w:rsidR="00CB7681" w:rsidRPr="00CD3CBD">
              <w:rPr>
                <w:rFonts w:ascii="Arial" w:hAnsi="Arial" w:cs="Arial"/>
                <w:color w:val="auto"/>
                <w:sz w:val="18"/>
                <w:szCs w:val="18"/>
              </w:rPr>
              <w:t>Ducasse</w:t>
            </w:r>
            <w:proofErr w:type="spellEnd"/>
            <w:r>
              <w:rPr>
                <w:rFonts w:ascii="Arial" w:hAnsi="Arial" w:cs="Arial"/>
                <w:color w:val="auto"/>
                <w:sz w:val="18"/>
                <w:szCs w:val="18"/>
              </w:rPr>
              <w:t xml:space="preserve"> </w:t>
            </w:r>
            <w:r w:rsidR="00CB7681" w:rsidRPr="00CD3CBD">
              <w:rPr>
                <w:rFonts w:ascii="Arial" w:hAnsi="Arial" w:cs="Arial"/>
                <w:i/>
                <w:color w:val="auto"/>
                <w:sz w:val="18"/>
                <w:szCs w:val="18"/>
              </w:rPr>
              <w:t>et al.</w:t>
            </w:r>
            <w:r w:rsidR="00CB7681" w:rsidRPr="00CD3CBD">
              <w:rPr>
                <w:rFonts w:ascii="Arial" w:hAnsi="Arial" w:cs="Arial"/>
                <w:color w:val="auto"/>
                <w:sz w:val="18"/>
                <w:szCs w:val="18"/>
              </w:rPr>
              <w:t xml:space="preserve">, 2013; Gutiérrez </w:t>
            </w:r>
            <w:r w:rsidR="00CB7681" w:rsidRPr="00CD3CBD">
              <w:rPr>
                <w:rFonts w:ascii="Arial" w:hAnsi="Arial" w:cs="Arial"/>
                <w:i/>
                <w:color w:val="auto"/>
                <w:sz w:val="18"/>
                <w:szCs w:val="18"/>
              </w:rPr>
              <w:t>et al.</w:t>
            </w:r>
            <w:r w:rsidR="00CB7681" w:rsidRPr="00CD3CBD">
              <w:rPr>
                <w:rFonts w:ascii="Arial" w:hAnsi="Arial" w:cs="Arial"/>
                <w:color w:val="auto"/>
                <w:sz w:val="18"/>
                <w:szCs w:val="18"/>
              </w:rPr>
              <w:t xml:space="preserve">, 2013, 2014; </w:t>
            </w:r>
            <w:proofErr w:type="spellStart"/>
            <w:r w:rsidR="00CB7681" w:rsidRPr="00CD3CBD">
              <w:rPr>
                <w:rFonts w:ascii="Arial" w:hAnsi="Arial" w:cs="Arial"/>
                <w:color w:val="auto"/>
                <w:sz w:val="18"/>
                <w:szCs w:val="18"/>
              </w:rPr>
              <w:t>Andreau</w:t>
            </w:r>
            <w:proofErr w:type="spellEnd"/>
            <w:r>
              <w:rPr>
                <w:rFonts w:ascii="Arial" w:hAnsi="Arial" w:cs="Arial"/>
                <w:color w:val="auto"/>
                <w:sz w:val="18"/>
                <w:szCs w:val="18"/>
              </w:rPr>
              <w:t xml:space="preserve"> </w:t>
            </w:r>
            <w:r w:rsidR="00CB7681" w:rsidRPr="00CD3CBD">
              <w:rPr>
                <w:rFonts w:ascii="Arial" w:hAnsi="Arial" w:cs="Arial"/>
                <w:i/>
                <w:color w:val="auto"/>
                <w:sz w:val="18"/>
                <w:szCs w:val="18"/>
              </w:rPr>
              <w:t>et al.</w:t>
            </w:r>
            <w:r w:rsidR="00CB7681" w:rsidRPr="00CD3CBD">
              <w:rPr>
                <w:rFonts w:ascii="Arial" w:hAnsi="Arial" w:cs="Arial"/>
                <w:color w:val="auto"/>
                <w:sz w:val="18"/>
                <w:szCs w:val="18"/>
              </w:rPr>
              <w:t xml:space="preserve">, 2014) and to </w:t>
            </w:r>
            <w:proofErr w:type="spellStart"/>
            <w:r w:rsidR="00CB7681" w:rsidRPr="00CD3CBD">
              <w:rPr>
                <w:rFonts w:ascii="Arial" w:hAnsi="Arial" w:cs="Arial"/>
                <w:i/>
                <w:color w:val="auto"/>
                <w:sz w:val="18"/>
                <w:szCs w:val="18"/>
              </w:rPr>
              <w:t>Meloidogyne</w:t>
            </w:r>
            <w:proofErr w:type="spellEnd"/>
            <w:r w:rsidR="00CB7681" w:rsidRPr="00CD3CBD">
              <w:rPr>
                <w:rFonts w:ascii="Arial" w:hAnsi="Arial" w:cs="Arial"/>
                <w:color w:val="auto"/>
                <w:sz w:val="18"/>
                <w:szCs w:val="18"/>
              </w:rPr>
              <w:t xml:space="preserve"> (Lobos </w:t>
            </w:r>
            <w:r w:rsidR="00CB7681" w:rsidRPr="00CD3CBD">
              <w:rPr>
                <w:rFonts w:ascii="Arial" w:hAnsi="Arial" w:cs="Arial"/>
                <w:i/>
                <w:color w:val="auto"/>
                <w:sz w:val="18"/>
                <w:szCs w:val="18"/>
              </w:rPr>
              <w:t>et al.</w:t>
            </w:r>
            <w:r w:rsidR="00CB7681" w:rsidRPr="00CD3CBD">
              <w:rPr>
                <w:rFonts w:ascii="Arial" w:hAnsi="Arial" w:cs="Arial"/>
                <w:color w:val="auto"/>
                <w:sz w:val="18"/>
                <w:szCs w:val="18"/>
              </w:rPr>
              <w:t xml:space="preserve">, 2013). The nominated regions have the potential of producing </w:t>
            </w:r>
            <w:proofErr w:type="spellStart"/>
            <w:r w:rsidR="00CB7681" w:rsidRPr="00501812">
              <w:rPr>
                <w:rFonts w:ascii="Arial" w:hAnsi="Arial" w:cs="Arial"/>
                <w:i/>
                <w:color w:val="auto"/>
                <w:sz w:val="18"/>
                <w:szCs w:val="18"/>
              </w:rPr>
              <w:t>Nacobbus</w:t>
            </w:r>
            <w:proofErr w:type="spellEnd"/>
            <w:r w:rsidR="00CB7681" w:rsidRPr="00501812">
              <w:rPr>
                <w:rFonts w:ascii="Arial" w:hAnsi="Arial" w:cs="Arial"/>
                <w:color w:val="auto"/>
                <w:sz w:val="18"/>
                <w:szCs w:val="18"/>
              </w:rPr>
              <w:t xml:space="preserve"> resistant plants when available. </w:t>
            </w:r>
          </w:p>
          <w:p w14:paraId="7F0461E8" w14:textId="635D0E7A" w:rsidR="00CB7681" w:rsidRPr="00F9037E" w:rsidRDefault="00CB7681" w:rsidP="000E64F3">
            <w:pPr>
              <w:spacing w:after="120"/>
              <w:jc w:val="both"/>
              <w:rPr>
                <w:rFonts w:ascii="Arial" w:hAnsi="Arial" w:cs="Arial"/>
                <w:sz w:val="18"/>
                <w:szCs w:val="18"/>
              </w:rPr>
            </w:pPr>
            <w:r w:rsidRPr="00F9037E">
              <w:rPr>
                <w:rFonts w:ascii="Arial" w:hAnsi="Arial" w:cs="Arial"/>
                <w:sz w:val="18"/>
                <w:szCs w:val="18"/>
              </w:rPr>
              <w:t xml:space="preserve">Also successful </w:t>
            </w:r>
            <w:r w:rsidR="00CD3CBD" w:rsidRPr="00CD3CBD">
              <w:rPr>
                <w:rFonts w:ascii="Arial" w:hAnsi="Arial" w:cs="Arial"/>
                <w:sz w:val="18"/>
                <w:szCs w:val="18"/>
              </w:rPr>
              <w:t>research on combined alternatives has</w:t>
            </w:r>
            <w:r w:rsidRPr="00F9037E">
              <w:rPr>
                <w:rFonts w:ascii="Arial" w:hAnsi="Arial" w:cs="Arial"/>
                <w:sz w:val="18"/>
                <w:szCs w:val="18"/>
              </w:rPr>
              <w:t xml:space="preserve"> been conducted and promising results have been obtained (</w:t>
            </w:r>
            <w:proofErr w:type="spellStart"/>
            <w:r w:rsidRPr="00F9037E">
              <w:rPr>
                <w:rFonts w:ascii="Arial" w:hAnsi="Arial" w:cs="Arial"/>
                <w:sz w:val="18"/>
                <w:szCs w:val="18"/>
              </w:rPr>
              <w:t>Garbi</w:t>
            </w:r>
            <w:proofErr w:type="spellEnd"/>
            <w:r w:rsidR="00CD3CBD">
              <w:rPr>
                <w:rFonts w:ascii="Arial" w:hAnsi="Arial" w:cs="Arial"/>
                <w:sz w:val="18"/>
                <w:szCs w:val="18"/>
              </w:rPr>
              <w:t xml:space="preserve"> </w:t>
            </w:r>
            <w:r w:rsidRPr="00F9037E">
              <w:rPr>
                <w:rFonts w:ascii="Arial" w:hAnsi="Arial" w:cs="Arial"/>
                <w:i/>
                <w:sz w:val="18"/>
                <w:szCs w:val="18"/>
              </w:rPr>
              <w:t>et al.</w:t>
            </w:r>
            <w:r w:rsidRPr="00F9037E">
              <w:rPr>
                <w:rFonts w:ascii="Arial" w:hAnsi="Arial" w:cs="Arial"/>
                <w:sz w:val="18"/>
                <w:szCs w:val="18"/>
              </w:rPr>
              <w:t xml:space="preserve">, 2013; </w:t>
            </w:r>
            <w:proofErr w:type="spellStart"/>
            <w:r w:rsidRPr="00F9037E">
              <w:rPr>
                <w:rFonts w:ascii="Arial" w:hAnsi="Arial" w:cs="Arial"/>
                <w:sz w:val="18"/>
                <w:szCs w:val="18"/>
              </w:rPr>
              <w:t>Mezquíriz</w:t>
            </w:r>
            <w:proofErr w:type="spellEnd"/>
            <w:r w:rsidR="00CD3CBD">
              <w:rPr>
                <w:rFonts w:ascii="Arial" w:hAnsi="Arial" w:cs="Arial"/>
                <w:sz w:val="18"/>
                <w:szCs w:val="18"/>
              </w:rPr>
              <w:t xml:space="preserve"> </w:t>
            </w:r>
            <w:r w:rsidRPr="00F9037E">
              <w:rPr>
                <w:rFonts w:ascii="Arial" w:hAnsi="Arial" w:cs="Arial"/>
                <w:i/>
                <w:sz w:val="18"/>
                <w:szCs w:val="18"/>
              </w:rPr>
              <w:t>et al.</w:t>
            </w:r>
            <w:r w:rsidRPr="00F9037E">
              <w:rPr>
                <w:rFonts w:ascii="Arial" w:hAnsi="Arial" w:cs="Arial"/>
                <w:sz w:val="18"/>
                <w:szCs w:val="18"/>
              </w:rPr>
              <w:t xml:space="preserve">, 2013; </w:t>
            </w:r>
            <w:proofErr w:type="spellStart"/>
            <w:r w:rsidRPr="00F9037E">
              <w:rPr>
                <w:rFonts w:ascii="Arial" w:hAnsi="Arial" w:cs="Arial"/>
                <w:sz w:val="18"/>
                <w:szCs w:val="18"/>
              </w:rPr>
              <w:t>Martínez</w:t>
            </w:r>
            <w:proofErr w:type="spellEnd"/>
            <w:r w:rsidR="00CD3CBD">
              <w:rPr>
                <w:rFonts w:ascii="Arial" w:hAnsi="Arial" w:cs="Arial"/>
                <w:sz w:val="18"/>
                <w:szCs w:val="18"/>
              </w:rPr>
              <w:t xml:space="preserve"> </w:t>
            </w:r>
            <w:r w:rsidRPr="00F9037E">
              <w:rPr>
                <w:rFonts w:ascii="Arial" w:hAnsi="Arial" w:cs="Arial"/>
                <w:i/>
                <w:sz w:val="18"/>
                <w:szCs w:val="18"/>
              </w:rPr>
              <w:t>et al.</w:t>
            </w:r>
            <w:r w:rsidRPr="00F9037E">
              <w:rPr>
                <w:rFonts w:ascii="Arial" w:hAnsi="Arial" w:cs="Arial"/>
                <w:sz w:val="18"/>
                <w:szCs w:val="18"/>
              </w:rPr>
              <w:t xml:space="preserve">, 2014; </w:t>
            </w:r>
            <w:proofErr w:type="spellStart"/>
            <w:r w:rsidRPr="00F9037E">
              <w:rPr>
                <w:rFonts w:ascii="Arial" w:hAnsi="Arial" w:cs="Arial"/>
                <w:sz w:val="18"/>
                <w:szCs w:val="18"/>
              </w:rPr>
              <w:t>Quiroga</w:t>
            </w:r>
            <w:proofErr w:type="spellEnd"/>
            <w:r w:rsidR="00CD3CBD">
              <w:rPr>
                <w:rFonts w:ascii="Arial" w:hAnsi="Arial" w:cs="Arial"/>
                <w:sz w:val="18"/>
                <w:szCs w:val="18"/>
              </w:rPr>
              <w:t xml:space="preserve"> </w:t>
            </w:r>
            <w:r w:rsidRPr="00F9037E">
              <w:rPr>
                <w:rFonts w:ascii="Arial" w:hAnsi="Arial" w:cs="Arial"/>
                <w:i/>
                <w:sz w:val="18"/>
                <w:szCs w:val="18"/>
              </w:rPr>
              <w:t>et al.</w:t>
            </w:r>
            <w:r w:rsidRPr="00F9037E">
              <w:rPr>
                <w:rFonts w:ascii="Arial" w:hAnsi="Arial" w:cs="Arial"/>
                <w:sz w:val="18"/>
                <w:szCs w:val="18"/>
              </w:rPr>
              <w:t xml:space="preserve">, 2014). These technologies will require time for scale up, however the Committee anticipates that it is possible to implement these and other alternatives to fully replace MB in the near future.  Argentina is also encouraged to consider registration of herbicides for controlling </w:t>
            </w:r>
            <w:proofErr w:type="spellStart"/>
            <w:r w:rsidRPr="00F9037E">
              <w:rPr>
                <w:rFonts w:ascii="Arial" w:hAnsi="Arial" w:cs="Arial"/>
                <w:sz w:val="18"/>
                <w:szCs w:val="18"/>
              </w:rPr>
              <w:t>nutsedge</w:t>
            </w:r>
            <w:proofErr w:type="spellEnd"/>
            <w:r w:rsidRPr="00F9037E">
              <w:rPr>
                <w:rFonts w:ascii="Arial" w:hAnsi="Arial" w:cs="Arial"/>
                <w:sz w:val="18"/>
                <w:szCs w:val="18"/>
              </w:rPr>
              <w:t>, which are being used in other countries as part of integrated control schemes.</w:t>
            </w:r>
          </w:p>
          <w:p w14:paraId="662CF6C4" w14:textId="40EACB01" w:rsidR="00CB7681" w:rsidRDefault="00CB7681" w:rsidP="000E64F3">
            <w:pPr>
              <w:spacing w:after="120"/>
              <w:jc w:val="both"/>
              <w:rPr>
                <w:rFonts w:ascii="Arial" w:hAnsi="Arial" w:cs="Arial"/>
                <w:sz w:val="18"/>
                <w:szCs w:val="18"/>
              </w:rPr>
            </w:pPr>
            <w:r w:rsidRPr="00F9037E">
              <w:rPr>
                <w:rFonts w:ascii="Arial" w:hAnsi="Arial" w:cs="Arial"/>
                <w:sz w:val="18"/>
                <w:szCs w:val="18"/>
              </w:rPr>
              <w:t>The target pests are nematodes (</w:t>
            </w:r>
            <w:proofErr w:type="spellStart"/>
            <w:r w:rsidRPr="00F9037E">
              <w:rPr>
                <w:rFonts w:ascii="Arial" w:hAnsi="Arial" w:cs="Arial"/>
                <w:i/>
                <w:sz w:val="18"/>
                <w:szCs w:val="18"/>
              </w:rPr>
              <w:t>Nacobbus</w:t>
            </w:r>
            <w:proofErr w:type="spellEnd"/>
            <w:r w:rsidRPr="00F9037E">
              <w:rPr>
                <w:rFonts w:ascii="Arial" w:hAnsi="Arial" w:cs="Arial"/>
                <w:sz w:val="18"/>
                <w:szCs w:val="18"/>
              </w:rPr>
              <w:t xml:space="preserve"> spp. and </w:t>
            </w:r>
            <w:proofErr w:type="spellStart"/>
            <w:r w:rsidRPr="00F9037E">
              <w:rPr>
                <w:rFonts w:ascii="Arial" w:hAnsi="Arial" w:cs="Arial"/>
                <w:i/>
                <w:sz w:val="18"/>
                <w:szCs w:val="18"/>
              </w:rPr>
              <w:t>Meloidogyne</w:t>
            </w:r>
            <w:proofErr w:type="spellEnd"/>
            <w:r w:rsidRPr="00F9037E">
              <w:rPr>
                <w:rFonts w:ascii="Arial" w:hAnsi="Arial" w:cs="Arial"/>
                <w:sz w:val="18"/>
                <w:szCs w:val="18"/>
              </w:rPr>
              <w:t xml:space="preserve"> spp.), fungi (</w:t>
            </w:r>
            <w:proofErr w:type="spellStart"/>
            <w:r w:rsidRPr="00F9037E">
              <w:rPr>
                <w:rFonts w:ascii="Arial" w:hAnsi="Arial" w:cs="Arial"/>
                <w:i/>
                <w:sz w:val="18"/>
                <w:szCs w:val="18"/>
              </w:rPr>
              <w:t>Rhizoctonia</w:t>
            </w:r>
            <w:proofErr w:type="spellEnd"/>
            <w:r w:rsidRPr="00F9037E">
              <w:rPr>
                <w:rFonts w:ascii="Arial" w:hAnsi="Arial" w:cs="Arial"/>
                <w:sz w:val="18"/>
                <w:szCs w:val="18"/>
              </w:rPr>
              <w:t xml:space="preserve"> spp., </w:t>
            </w:r>
            <w:proofErr w:type="spellStart"/>
            <w:r w:rsidRPr="00F9037E">
              <w:rPr>
                <w:rFonts w:ascii="Arial" w:hAnsi="Arial" w:cs="Arial"/>
                <w:i/>
                <w:sz w:val="18"/>
                <w:szCs w:val="18"/>
              </w:rPr>
              <w:t>Sclerotinia</w:t>
            </w:r>
            <w:proofErr w:type="spellEnd"/>
            <w:r w:rsidR="00CD3CBD">
              <w:rPr>
                <w:rFonts w:ascii="Arial" w:hAnsi="Arial" w:cs="Arial"/>
                <w:i/>
                <w:sz w:val="18"/>
                <w:szCs w:val="18"/>
              </w:rPr>
              <w:t xml:space="preserve"> </w:t>
            </w:r>
            <w:r w:rsidRPr="00F9037E">
              <w:rPr>
                <w:rFonts w:ascii="Arial" w:hAnsi="Arial" w:cs="Arial"/>
                <w:sz w:val="18"/>
                <w:szCs w:val="18"/>
              </w:rPr>
              <w:t>spp.</w:t>
            </w:r>
            <w:r w:rsidR="00CD3CBD" w:rsidRPr="00CD3CBD">
              <w:rPr>
                <w:rFonts w:ascii="Arial" w:hAnsi="Arial" w:cs="Arial"/>
                <w:sz w:val="18"/>
                <w:szCs w:val="18"/>
              </w:rPr>
              <w:t>,</w:t>
            </w:r>
            <w:r w:rsidR="00CD3CBD" w:rsidRPr="00CD3CBD">
              <w:rPr>
                <w:rFonts w:ascii="Arial" w:hAnsi="Arial" w:cs="Arial"/>
                <w:i/>
                <w:sz w:val="18"/>
                <w:szCs w:val="18"/>
              </w:rPr>
              <w:t xml:space="preserve"> </w:t>
            </w:r>
            <w:proofErr w:type="spellStart"/>
            <w:proofErr w:type="gramStart"/>
            <w:r w:rsidR="00CD3CBD" w:rsidRPr="00CD3CBD">
              <w:rPr>
                <w:rFonts w:ascii="Arial" w:hAnsi="Arial" w:cs="Arial"/>
                <w:i/>
                <w:sz w:val="18"/>
                <w:szCs w:val="18"/>
              </w:rPr>
              <w:t>Phytophthora</w:t>
            </w:r>
            <w:proofErr w:type="spellEnd"/>
            <w:proofErr w:type="gramEnd"/>
            <w:r w:rsidRPr="00F9037E">
              <w:rPr>
                <w:rFonts w:ascii="Arial" w:hAnsi="Arial" w:cs="Arial"/>
                <w:sz w:val="18"/>
                <w:szCs w:val="18"/>
              </w:rPr>
              <w:t xml:space="preserve"> spp.), soil fungi disease complex (damping off) in seedbeds and crops, weeds (</w:t>
            </w:r>
            <w:proofErr w:type="spellStart"/>
            <w:r w:rsidRPr="00F9037E">
              <w:rPr>
                <w:rFonts w:ascii="Arial" w:hAnsi="Arial" w:cs="Arial"/>
                <w:i/>
                <w:sz w:val="18"/>
                <w:szCs w:val="18"/>
              </w:rPr>
              <w:t>Cynodon</w:t>
            </w:r>
            <w:proofErr w:type="spellEnd"/>
            <w:r w:rsidRPr="00F9037E">
              <w:rPr>
                <w:rFonts w:ascii="Arial" w:hAnsi="Arial" w:cs="Arial"/>
                <w:sz w:val="18"/>
                <w:szCs w:val="18"/>
              </w:rPr>
              <w:t xml:space="preserve">, </w:t>
            </w:r>
            <w:proofErr w:type="spellStart"/>
            <w:r w:rsidRPr="00F9037E">
              <w:rPr>
                <w:rFonts w:ascii="Arial" w:hAnsi="Arial" w:cs="Arial"/>
                <w:i/>
                <w:sz w:val="18"/>
                <w:szCs w:val="18"/>
              </w:rPr>
              <w:t>Cyperus</w:t>
            </w:r>
            <w:proofErr w:type="spellEnd"/>
            <w:r w:rsidRPr="00F9037E">
              <w:rPr>
                <w:rFonts w:ascii="Arial" w:hAnsi="Arial" w:cs="Arial"/>
                <w:sz w:val="18"/>
                <w:szCs w:val="18"/>
              </w:rPr>
              <w:t>, etc.) and soil insects (</w:t>
            </w:r>
            <w:proofErr w:type="spellStart"/>
            <w:r w:rsidRPr="00F9037E">
              <w:rPr>
                <w:rFonts w:ascii="Arial" w:hAnsi="Arial" w:cs="Arial"/>
                <w:i/>
                <w:sz w:val="18"/>
                <w:szCs w:val="18"/>
              </w:rPr>
              <w:t>Agrotis</w:t>
            </w:r>
            <w:proofErr w:type="spellEnd"/>
            <w:r w:rsidRPr="00F9037E">
              <w:rPr>
                <w:rFonts w:ascii="Arial" w:hAnsi="Arial" w:cs="Arial"/>
                <w:sz w:val="18"/>
                <w:szCs w:val="18"/>
              </w:rPr>
              <w:t xml:space="preserve"> sp., </w:t>
            </w:r>
            <w:proofErr w:type="spellStart"/>
            <w:r w:rsidRPr="00F9037E">
              <w:rPr>
                <w:rFonts w:ascii="Arial" w:hAnsi="Arial" w:cs="Arial"/>
                <w:i/>
                <w:sz w:val="18"/>
                <w:szCs w:val="18"/>
              </w:rPr>
              <w:t>Agriotes</w:t>
            </w:r>
            <w:proofErr w:type="spellEnd"/>
            <w:r w:rsidRPr="00F9037E">
              <w:rPr>
                <w:rFonts w:ascii="Arial" w:hAnsi="Arial" w:cs="Arial"/>
                <w:sz w:val="18"/>
                <w:szCs w:val="18"/>
              </w:rPr>
              <w:t xml:space="preserve"> sp., </w:t>
            </w:r>
            <w:proofErr w:type="spellStart"/>
            <w:r w:rsidRPr="00F9037E">
              <w:rPr>
                <w:rFonts w:ascii="Arial" w:hAnsi="Arial" w:cs="Arial"/>
                <w:i/>
                <w:sz w:val="18"/>
                <w:szCs w:val="18"/>
              </w:rPr>
              <w:t>Melolontha</w:t>
            </w:r>
            <w:proofErr w:type="spellEnd"/>
            <w:r w:rsidRPr="00F9037E">
              <w:rPr>
                <w:rFonts w:ascii="Arial" w:hAnsi="Arial" w:cs="Arial"/>
                <w:sz w:val="18"/>
                <w:szCs w:val="18"/>
              </w:rPr>
              <w:t xml:space="preserve"> sp.).  MB is used in regions where cold and heavy clay soil conditions prevail, representing 31.25% of the total protected tomato production area. However, despite of the new information provided by the Party when answering to questions, MBTOC is still concerned with the temperature information provided and urges the Party to provide further clarification of soil and ambient temperatures inside and outside green houses in any future nominations.</w:t>
            </w:r>
          </w:p>
          <w:p w14:paraId="1CBF1601" w14:textId="77777777" w:rsidR="0082102E" w:rsidRPr="00F9037E" w:rsidRDefault="0082102E" w:rsidP="000E64F3">
            <w:pPr>
              <w:spacing w:after="120"/>
              <w:jc w:val="both"/>
              <w:rPr>
                <w:rFonts w:ascii="Arial" w:hAnsi="Arial" w:cs="Arial"/>
                <w:sz w:val="18"/>
                <w:szCs w:val="18"/>
              </w:rPr>
            </w:pPr>
          </w:p>
          <w:p w14:paraId="37721CDF" w14:textId="1AC7F559" w:rsidR="00CB7681" w:rsidRPr="007F65E8" w:rsidRDefault="00CB7681" w:rsidP="007F65E8">
            <w:pPr>
              <w:spacing w:before="240" w:after="120"/>
              <w:rPr>
                <w:rFonts w:ascii="Arial" w:hAnsi="Arial" w:cs="Arial"/>
                <w:b/>
                <w:sz w:val="18"/>
                <w:szCs w:val="18"/>
              </w:rPr>
            </w:pPr>
            <w:r w:rsidRPr="00F9037E">
              <w:rPr>
                <w:rFonts w:ascii="Arial" w:hAnsi="Arial" w:cs="Arial"/>
                <w:b/>
                <w:sz w:val="18"/>
                <w:szCs w:val="18"/>
              </w:rPr>
              <w:lastRenderedPageBreak/>
              <w:t>Circumstances</w:t>
            </w:r>
            <w:r w:rsidR="007F65E8">
              <w:rPr>
                <w:rFonts w:ascii="Arial" w:hAnsi="Arial" w:cs="Arial"/>
                <w:b/>
                <w:sz w:val="18"/>
                <w:szCs w:val="18"/>
              </w:rPr>
              <w:t xml:space="preserve"> of the nomination by the Party</w:t>
            </w:r>
            <w:r w:rsidR="007F65E8">
              <w:rPr>
                <w:rFonts w:ascii="Arial" w:hAnsi="Arial" w:cs="Arial"/>
                <w:b/>
                <w:sz w:val="18"/>
                <w:szCs w:val="18"/>
              </w:rPr>
              <w:br/>
            </w:r>
            <w:r w:rsidRPr="00F9037E">
              <w:rPr>
                <w:rFonts w:ascii="Arial" w:hAnsi="Arial" w:cs="Arial"/>
                <w:sz w:val="18"/>
                <w:szCs w:val="18"/>
              </w:rPr>
              <w:t>The Party stated that 1</w:t>
            </w:r>
            <w:proofErr w:type="gramStart"/>
            <w:r w:rsidRPr="00F9037E">
              <w:rPr>
                <w:rFonts w:ascii="Arial" w:hAnsi="Arial" w:cs="Arial"/>
                <w:sz w:val="18"/>
                <w:szCs w:val="18"/>
              </w:rPr>
              <w:t>,3</w:t>
            </w:r>
            <w:proofErr w:type="gramEnd"/>
            <w:r w:rsidRPr="00F9037E">
              <w:rPr>
                <w:rFonts w:ascii="Arial" w:hAnsi="Arial" w:cs="Arial"/>
                <w:sz w:val="18"/>
                <w:szCs w:val="18"/>
              </w:rPr>
              <w:t>-D/Pic did not provide sufficient control of key pests in the critical areas, mainly due to soil types, which were heavy clay soils and to soil temperatures (5 to 23</w:t>
            </w:r>
            <w:r w:rsidRPr="00F9037E">
              <w:rPr>
                <w:rFonts w:ascii="Arial" w:hAnsi="Arial" w:cs="Arial"/>
                <w:sz w:val="18"/>
                <w:szCs w:val="18"/>
                <w:vertAlign w:val="superscript"/>
              </w:rPr>
              <w:t xml:space="preserve">o </w:t>
            </w:r>
            <w:r w:rsidRPr="00F9037E">
              <w:rPr>
                <w:rFonts w:ascii="Arial" w:hAnsi="Arial" w:cs="Arial"/>
                <w:sz w:val="18"/>
                <w:szCs w:val="18"/>
              </w:rPr>
              <w:t xml:space="preserve">C). Chloropicrin alone did not control the entire pest complex including weeds and is not registered as a single product in Argentina. </w:t>
            </w:r>
            <w:proofErr w:type="spellStart"/>
            <w:r w:rsidRPr="00F9037E">
              <w:rPr>
                <w:rFonts w:ascii="Arial" w:hAnsi="Arial" w:cs="Arial"/>
                <w:sz w:val="18"/>
                <w:szCs w:val="18"/>
              </w:rPr>
              <w:t>Metham</w:t>
            </w:r>
            <w:proofErr w:type="spellEnd"/>
            <w:r w:rsidRPr="00F9037E">
              <w:rPr>
                <w:rFonts w:ascii="Arial" w:hAnsi="Arial" w:cs="Arial"/>
                <w:sz w:val="18"/>
                <w:szCs w:val="18"/>
              </w:rPr>
              <w:t xml:space="preserve"> sodium gave erratic and insufficient performance for weed and disease control, because the heavy clay soils inhibited movement of this fumigant throughout the soil. </w:t>
            </w:r>
            <w:proofErr w:type="spellStart"/>
            <w:r w:rsidRPr="00F9037E">
              <w:rPr>
                <w:rFonts w:ascii="Arial" w:hAnsi="Arial" w:cs="Arial"/>
                <w:sz w:val="18"/>
                <w:szCs w:val="18"/>
              </w:rPr>
              <w:t>Dazomet</w:t>
            </w:r>
            <w:proofErr w:type="spellEnd"/>
            <w:r w:rsidRPr="00F9037E">
              <w:rPr>
                <w:rFonts w:ascii="Arial" w:hAnsi="Arial" w:cs="Arial"/>
                <w:sz w:val="18"/>
                <w:szCs w:val="18"/>
              </w:rPr>
              <w:t xml:space="preserve"> is not registered for edible crops, plus trials with this fumigant showed insufficient nematode control. Long-term efficacy was not enough for the dual cropping system (tomato and pepper). Steam was very costly and time consuming.  Application with currently available equipment was extremely slow and size of equipment was too big for use inside greenhouses. Grafting is a fairly new technology for Argentina, with some commercial and native rootstocks presently under study. Although potential production of grafted plants is high, no resistant rootstocks to </w:t>
            </w:r>
            <w:proofErr w:type="spellStart"/>
            <w:r w:rsidRPr="00F9037E">
              <w:rPr>
                <w:rFonts w:ascii="Arial" w:hAnsi="Arial" w:cs="Arial"/>
                <w:i/>
                <w:sz w:val="18"/>
                <w:szCs w:val="18"/>
              </w:rPr>
              <w:t>Nacobbus</w:t>
            </w:r>
            <w:proofErr w:type="spellEnd"/>
            <w:r w:rsidRPr="00F9037E">
              <w:rPr>
                <w:rFonts w:ascii="Arial" w:hAnsi="Arial" w:cs="Arial"/>
                <w:sz w:val="18"/>
                <w:szCs w:val="18"/>
              </w:rPr>
              <w:t xml:space="preserve"> are presently commercially available. According to the Party, cold climate, heavy soil conditions and overlapping key production period make </w:t>
            </w:r>
            <w:r w:rsidR="00CD3CBD" w:rsidRPr="00CD3CBD">
              <w:rPr>
                <w:rFonts w:ascii="Arial" w:hAnsi="Arial" w:cs="Arial"/>
                <w:sz w:val="18"/>
                <w:szCs w:val="18"/>
              </w:rPr>
              <w:t>solarisation</w:t>
            </w:r>
            <w:r w:rsidRPr="00F9037E">
              <w:rPr>
                <w:rFonts w:ascii="Arial" w:hAnsi="Arial" w:cs="Arial"/>
                <w:sz w:val="18"/>
                <w:szCs w:val="18"/>
              </w:rPr>
              <w:t xml:space="preserve"> and </w:t>
            </w:r>
            <w:proofErr w:type="spellStart"/>
            <w:r w:rsidRPr="00F9037E">
              <w:rPr>
                <w:rFonts w:ascii="Arial" w:hAnsi="Arial" w:cs="Arial"/>
                <w:sz w:val="18"/>
                <w:szCs w:val="18"/>
              </w:rPr>
              <w:t>biofumigation</w:t>
            </w:r>
            <w:proofErr w:type="spellEnd"/>
            <w:r w:rsidRPr="00F9037E">
              <w:rPr>
                <w:rFonts w:ascii="Arial" w:hAnsi="Arial" w:cs="Arial"/>
                <w:sz w:val="18"/>
                <w:szCs w:val="18"/>
              </w:rPr>
              <w:t xml:space="preserve"> unsuitable for the regions of La Plata and Mar del Plata.  </w:t>
            </w:r>
          </w:p>
          <w:p w14:paraId="0F46052F" w14:textId="46F66969" w:rsidR="00CB7681" w:rsidRPr="007F65E8" w:rsidRDefault="00CB7681" w:rsidP="007F65E8">
            <w:pPr>
              <w:spacing w:after="120"/>
              <w:rPr>
                <w:rFonts w:ascii="Arial" w:hAnsi="Arial" w:cs="Arial"/>
                <w:b/>
                <w:sz w:val="18"/>
                <w:szCs w:val="18"/>
              </w:rPr>
            </w:pPr>
            <w:r w:rsidRPr="00F9037E">
              <w:rPr>
                <w:rFonts w:ascii="Arial" w:hAnsi="Arial" w:cs="Arial"/>
                <w:b/>
                <w:sz w:val="18"/>
                <w:szCs w:val="18"/>
              </w:rPr>
              <w:t>MBTOC final assessment for MB use in this sector in 2017</w:t>
            </w:r>
            <w:proofErr w:type="gramStart"/>
            <w:r w:rsidRPr="00F9037E">
              <w:rPr>
                <w:rFonts w:ascii="Arial" w:hAnsi="Arial" w:cs="Arial"/>
                <w:b/>
                <w:sz w:val="18"/>
                <w:szCs w:val="18"/>
              </w:rPr>
              <w:t>:</w:t>
            </w:r>
            <w:proofErr w:type="gramEnd"/>
            <w:r w:rsidR="007F65E8">
              <w:rPr>
                <w:rFonts w:ascii="Arial" w:hAnsi="Arial" w:cs="Arial"/>
                <w:b/>
                <w:sz w:val="18"/>
                <w:szCs w:val="18"/>
              </w:rPr>
              <w:br/>
            </w:r>
            <w:r w:rsidRPr="00F9037E">
              <w:rPr>
                <w:rFonts w:ascii="Arial" w:hAnsi="Arial" w:cs="Arial"/>
                <w:sz w:val="18"/>
                <w:szCs w:val="18"/>
              </w:rPr>
              <w:t xml:space="preserve">The Party provided sufficient information on the historic cropping areas, MB usage, specific definition of the critical area, and reasons why alternatives to methyl bromide were not technically and economically feasible. Using the information provided in the nomination, MBTOC recommends 59.45 t of MB. </w:t>
            </w:r>
          </w:p>
          <w:p w14:paraId="4B5506F1" w14:textId="5021336E" w:rsidR="00CB7681" w:rsidRPr="00F9037E" w:rsidRDefault="00CB7681" w:rsidP="000E64F3">
            <w:pPr>
              <w:jc w:val="both"/>
              <w:rPr>
                <w:rFonts w:ascii="Arial" w:hAnsi="Arial" w:cs="Arial"/>
                <w:sz w:val="18"/>
                <w:szCs w:val="18"/>
              </w:rPr>
            </w:pPr>
            <w:r w:rsidRPr="00F9037E">
              <w:rPr>
                <w:rFonts w:ascii="Arial" w:hAnsi="Arial" w:cs="Arial"/>
                <w:sz w:val="18"/>
                <w:szCs w:val="18"/>
              </w:rPr>
              <w:t xml:space="preserve">Grafting tomatoes onto resistant rootstocks is an effective disease control method presently in use in many A5 countries such as China, Egypt, Lebanon, Mexico, Morocco, Romania, Tunisia and Turkey (MBTOC, 2011; 2015), but no root stock resistant to </w:t>
            </w:r>
            <w:proofErr w:type="spellStart"/>
            <w:r w:rsidRPr="00F9037E">
              <w:rPr>
                <w:rFonts w:ascii="Arial" w:hAnsi="Arial" w:cs="Arial"/>
                <w:i/>
                <w:sz w:val="18"/>
                <w:szCs w:val="18"/>
              </w:rPr>
              <w:t>Nacobbus</w:t>
            </w:r>
            <w:proofErr w:type="spellEnd"/>
            <w:r w:rsidRPr="00F9037E">
              <w:rPr>
                <w:rFonts w:ascii="Arial" w:hAnsi="Arial" w:cs="Arial"/>
                <w:sz w:val="18"/>
                <w:szCs w:val="18"/>
              </w:rPr>
              <w:t xml:space="preserve"> is presently available (</w:t>
            </w:r>
            <w:proofErr w:type="spellStart"/>
            <w:r w:rsidRPr="00F9037E">
              <w:rPr>
                <w:rFonts w:ascii="Arial" w:hAnsi="Arial" w:cs="Arial"/>
                <w:bCs/>
                <w:sz w:val="18"/>
                <w:szCs w:val="18"/>
              </w:rPr>
              <w:t>Veremis</w:t>
            </w:r>
            <w:proofErr w:type="spellEnd"/>
            <w:r w:rsidR="000E64F3" w:rsidRPr="00F9037E">
              <w:rPr>
                <w:rFonts w:ascii="Arial" w:hAnsi="Arial" w:cs="Arial"/>
                <w:bCs/>
                <w:sz w:val="18"/>
                <w:szCs w:val="18"/>
              </w:rPr>
              <w:t xml:space="preserve"> </w:t>
            </w:r>
            <w:r w:rsidRPr="00F9037E">
              <w:rPr>
                <w:rFonts w:ascii="Arial" w:hAnsi="Arial" w:cs="Arial"/>
                <w:bCs/>
                <w:i/>
                <w:sz w:val="18"/>
                <w:szCs w:val="18"/>
              </w:rPr>
              <w:t>et</w:t>
            </w:r>
            <w:r w:rsidRPr="00F9037E">
              <w:rPr>
                <w:rFonts w:ascii="Arial" w:hAnsi="Arial" w:cs="Arial"/>
                <w:i/>
                <w:sz w:val="18"/>
                <w:szCs w:val="18"/>
              </w:rPr>
              <w:t xml:space="preserve"> al</w:t>
            </w:r>
            <w:r w:rsidR="007F65E8">
              <w:rPr>
                <w:rFonts w:ascii="Arial" w:hAnsi="Arial" w:cs="Arial"/>
                <w:sz w:val="18"/>
                <w:szCs w:val="18"/>
              </w:rPr>
              <w:t xml:space="preserve">., 1997). </w:t>
            </w:r>
            <w:r w:rsidRPr="00F9037E">
              <w:rPr>
                <w:rFonts w:ascii="Arial" w:hAnsi="Arial" w:cs="Arial"/>
                <w:sz w:val="18"/>
                <w:szCs w:val="18"/>
              </w:rPr>
              <w:t>The Party acknowledges that grafting is a promising alternative for nematodes in many countries of the world. However, no resistance has been identified or confirmed to</w:t>
            </w:r>
            <w:r w:rsidRPr="00F9037E">
              <w:rPr>
                <w:rStyle w:val="apple-converted-space"/>
                <w:rFonts w:ascii="Arial" w:hAnsi="Arial" w:cs="Arial"/>
                <w:sz w:val="18"/>
                <w:szCs w:val="18"/>
              </w:rPr>
              <w:t> </w:t>
            </w:r>
            <w:proofErr w:type="spellStart"/>
            <w:r w:rsidR="000D114C" w:rsidRPr="00F9037E">
              <w:rPr>
                <w:rStyle w:val="Emphasis"/>
                <w:rFonts w:ascii="Arial" w:hAnsi="Arial" w:cs="Arial"/>
                <w:b w:val="0"/>
                <w:bCs/>
                <w:sz w:val="18"/>
                <w:szCs w:val="18"/>
              </w:rPr>
              <w:t>N.aberrans</w:t>
            </w:r>
            <w:proofErr w:type="spellEnd"/>
            <w:r w:rsidR="000D114C" w:rsidRPr="00F9037E">
              <w:rPr>
                <w:rStyle w:val="apple-converted-space"/>
                <w:rFonts w:ascii="Arial" w:hAnsi="Arial" w:cs="Arial"/>
                <w:b/>
                <w:sz w:val="18"/>
                <w:szCs w:val="18"/>
              </w:rPr>
              <w:t> </w:t>
            </w:r>
            <w:r w:rsidRPr="00F9037E">
              <w:rPr>
                <w:rStyle w:val="apple-converted-space"/>
                <w:rFonts w:ascii="Arial" w:hAnsi="Arial" w:cs="Arial"/>
                <w:sz w:val="18"/>
                <w:szCs w:val="18"/>
              </w:rPr>
              <w:t xml:space="preserve">in </w:t>
            </w:r>
            <w:proofErr w:type="spellStart"/>
            <w:r w:rsidR="000D114C" w:rsidRPr="00F9037E">
              <w:rPr>
                <w:rStyle w:val="Emphasis"/>
                <w:rFonts w:ascii="Arial" w:hAnsi="Arial" w:cs="Arial"/>
                <w:b w:val="0"/>
                <w:bCs/>
                <w:sz w:val="18"/>
                <w:szCs w:val="18"/>
              </w:rPr>
              <w:t>Lycopersico</w:t>
            </w:r>
            <w:r w:rsidR="000D114C" w:rsidRPr="00F9037E">
              <w:rPr>
                <w:rStyle w:val="Emphasis"/>
                <w:rFonts w:ascii="Arial" w:hAnsi="Arial" w:cs="Arial"/>
                <w:b w:val="0"/>
                <w:sz w:val="18"/>
                <w:szCs w:val="18"/>
              </w:rPr>
              <w:t>n</w:t>
            </w:r>
            <w:proofErr w:type="spellEnd"/>
            <w:r w:rsidRPr="00F9037E">
              <w:rPr>
                <w:rStyle w:val="apple-converted-space"/>
                <w:rFonts w:ascii="Arial" w:hAnsi="Arial" w:cs="Arial"/>
                <w:sz w:val="18"/>
                <w:szCs w:val="18"/>
              </w:rPr>
              <w:t> </w:t>
            </w:r>
            <w:r w:rsidRPr="00F9037E">
              <w:rPr>
                <w:rFonts w:ascii="Arial" w:hAnsi="Arial" w:cs="Arial"/>
                <w:sz w:val="18"/>
                <w:szCs w:val="18"/>
              </w:rPr>
              <w:t xml:space="preserve">germplasm accessions, including those that possess genes for resistance to </w:t>
            </w:r>
            <w:r w:rsidR="00CD3CBD" w:rsidRPr="00CD3CBD">
              <w:rPr>
                <w:rFonts w:ascii="Arial" w:hAnsi="Arial" w:cs="Arial"/>
                <w:sz w:val="18"/>
                <w:szCs w:val="18"/>
              </w:rPr>
              <w:t>root knot</w:t>
            </w:r>
            <w:r w:rsidRPr="00F9037E">
              <w:rPr>
                <w:rFonts w:ascii="Arial" w:hAnsi="Arial" w:cs="Arial"/>
                <w:sz w:val="18"/>
                <w:szCs w:val="18"/>
              </w:rPr>
              <w:t xml:space="preserve"> nematodes (</w:t>
            </w:r>
            <w:proofErr w:type="spellStart"/>
            <w:r w:rsidRPr="00F9037E">
              <w:rPr>
                <w:rFonts w:ascii="Arial" w:hAnsi="Arial" w:cs="Arial"/>
                <w:bCs/>
                <w:sz w:val="18"/>
                <w:szCs w:val="18"/>
              </w:rPr>
              <w:t>Veremis</w:t>
            </w:r>
            <w:proofErr w:type="spellEnd"/>
            <w:r w:rsidR="000E64F3" w:rsidRPr="00F9037E">
              <w:rPr>
                <w:rFonts w:ascii="Arial" w:hAnsi="Arial" w:cs="Arial"/>
                <w:bCs/>
                <w:sz w:val="18"/>
                <w:szCs w:val="18"/>
              </w:rPr>
              <w:t xml:space="preserve"> </w:t>
            </w:r>
            <w:r w:rsidRPr="00F9037E">
              <w:rPr>
                <w:rFonts w:ascii="Arial" w:hAnsi="Arial" w:cs="Arial"/>
                <w:bCs/>
                <w:i/>
                <w:sz w:val="18"/>
                <w:szCs w:val="18"/>
              </w:rPr>
              <w:t>et</w:t>
            </w:r>
            <w:r w:rsidRPr="00F9037E">
              <w:rPr>
                <w:rFonts w:ascii="Arial" w:hAnsi="Arial" w:cs="Arial"/>
                <w:i/>
                <w:sz w:val="18"/>
                <w:szCs w:val="18"/>
              </w:rPr>
              <w:t xml:space="preserve"> al.,</w:t>
            </w:r>
            <w:r w:rsidRPr="00F9037E">
              <w:rPr>
                <w:rFonts w:ascii="Arial" w:hAnsi="Arial" w:cs="Arial"/>
                <w:sz w:val="18"/>
                <w:szCs w:val="18"/>
              </w:rPr>
              <w:t xml:space="preserve"> 1997). In this 2016 CUN, the Party reports that grafted plants are produced and are commercially available in limited numbers in various tomato-growing regions such as Mendoza, Corrientes and Buenos Aires.</w:t>
            </w:r>
          </w:p>
          <w:p w14:paraId="17F82586" w14:textId="77777777" w:rsidR="00CB7681" w:rsidRPr="00F9037E" w:rsidRDefault="00CB7681" w:rsidP="000E64F3">
            <w:pPr>
              <w:rPr>
                <w:rFonts w:ascii="Arial" w:hAnsi="Arial" w:cs="Arial"/>
                <w:sz w:val="18"/>
                <w:szCs w:val="18"/>
              </w:rPr>
            </w:pPr>
            <w:r w:rsidRPr="00F9037E">
              <w:rPr>
                <w:rFonts w:ascii="Arial" w:hAnsi="Arial" w:cs="Arial"/>
                <w:sz w:val="18"/>
                <w:szCs w:val="18"/>
              </w:rPr>
              <w:t xml:space="preserve">Use of resistant cultivars is also a very effective strategy used to increase yield and manage </w:t>
            </w:r>
            <w:proofErr w:type="spellStart"/>
            <w:r w:rsidRPr="00F9037E">
              <w:rPr>
                <w:rFonts w:ascii="Arial" w:hAnsi="Arial" w:cs="Arial"/>
                <w:sz w:val="18"/>
                <w:szCs w:val="18"/>
              </w:rPr>
              <w:t>soilborne</w:t>
            </w:r>
            <w:proofErr w:type="spellEnd"/>
            <w:r w:rsidRPr="00F9037E">
              <w:rPr>
                <w:rFonts w:ascii="Arial" w:hAnsi="Arial" w:cs="Arial"/>
                <w:sz w:val="18"/>
                <w:szCs w:val="18"/>
              </w:rPr>
              <w:t xml:space="preserve"> diseases and nematodes except </w:t>
            </w:r>
            <w:proofErr w:type="spellStart"/>
            <w:r w:rsidRPr="00F9037E">
              <w:rPr>
                <w:rFonts w:ascii="Arial" w:hAnsi="Arial" w:cs="Arial"/>
                <w:i/>
                <w:sz w:val="18"/>
                <w:szCs w:val="18"/>
              </w:rPr>
              <w:t>Naccobus</w:t>
            </w:r>
            <w:proofErr w:type="spellEnd"/>
            <w:r w:rsidRPr="00F9037E">
              <w:rPr>
                <w:rFonts w:ascii="Arial" w:hAnsi="Arial" w:cs="Arial"/>
                <w:sz w:val="18"/>
                <w:szCs w:val="18"/>
              </w:rPr>
              <w:t>, in vegetables around the world (</w:t>
            </w:r>
            <w:proofErr w:type="spellStart"/>
            <w:r w:rsidRPr="00F9037E">
              <w:rPr>
                <w:rFonts w:ascii="Arial" w:hAnsi="Arial" w:cs="Arial"/>
                <w:sz w:val="18"/>
                <w:szCs w:val="18"/>
              </w:rPr>
              <w:t>Devran</w:t>
            </w:r>
            <w:proofErr w:type="spellEnd"/>
            <w:r w:rsidRPr="00F9037E">
              <w:rPr>
                <w:rFonts w:ascii="Arial" w:hAnsi="Arial" w:cs="Arial"/>
                <w:sz w:val="18"/>
                <w:szCs w:val="18"/>
              </w:rPr>
              <w:t xml:space="preserve"> and </w:t>
            </w:r>
            <w:proofErr w:type="spellStart"/>
            <w:r w:rsidRPr="00F9037E">
              <w:rPr>
                <w:rFonts w:ascii="Arial" w:hAnsi="Arial" w:cs="Arial"/>
                <w:sz w:val="18"/>
                <w:szCs w:val="18"/>
              </w:rPr>
              <w:t>Sogut</w:t>
            </w:r>
            <w:proofErr w:type="spellEnd"/>
            <w:r w:rsidRPr="00F9037E">
              <w:rPr>
                <w:rFonts w:ascii="Arial" w:hAnsi="Arial" w:cs="Arial"/>
                <w:sz w:val="18"/>
                <w:szCs w:val="18"/>
              </w:rPr>
              <w:t xml:space="preserve">, 2010; Christos </w:t>
            </w:r>
            <w:r w:rsidRPr="00F9037E">
              <w:rPr>
                <w:rFonts w:ascii="Arial" w:hAnsi="Arial" w:cs="Arial"/>
                <w:i/>
                <w:sz w:val="18"/>
                <w:szCs w:val="18"/>
              </w:rPr>
              <w:t>et al</w:t>
            </w:r>
            <w:r w:rsidRPr="00F9037E">
              <w:rPr>
                <w:rFonts w:ascii="Arial" w:hAnsi="Arial" w:cs="Arial"/>
                <w:sz w:val="18"/>
                <w:szCs w:val="18"/>
              </w:rPr>
              <w:t xml:space="preserve">., 2011; </w:t>
            </w:r>
            <w:proofErr w:type="spellStart"/>
            <w:r w:rsidRPr="00F9037E">
              <w:rPr>
                <w:rFonts w:ascii="Arial" w:hAnsi="Arial" w:cs="Arial"/>
                <w:sz w:val="18"/>
                <w:szCs w:val="18"/>
              </w:rPr>
              <w:t>Fery</w:t>
            </w:r>
            <w:proofErr w:type="spellEnd"/>
            <w:r w:rsidRPr="00F9037E">
              <w:rPr>
                <w:rFonts w:ascii="Arial" w:hAnsi="Arial" w:cs="Arial"/>
                <w:sz w:val="18"/>
                <w:szCs w:val="18"/>
              </w:rPr>
              <w:t xml:space="preserve"> and </w:t>
            </w:r>
            <w:proofErr w:type="spellStart"/>
            <w:r w:rsidRPr="00F9037E">
              <w:rPr>
                <w:rFonts w:ascii="Arial" w:hAnsi="Arial" w:cs="Arial"/>
                <w:sz w:val="18"/>
                <w:szCs w:val="18"/>
              </w:rPr>
              <w:t>Thies</w:t>
            </w:r>
            <w:proofErr w:type="spellEnd"/>
            <w:r w:rsidRPr="00F9037E">
              <w:rPr>
                <w:rFonts w:ascii="Arial" w:hAnsi="Arial" w:cs="Arial"/>
                <w:sz w:val="18"/>
                <w:szCs w:val="18"/>
              </w:rPr>
              <w:t xml:space="preserve">, 2011; </w:t>
            </w:r>
            <w:proofErr w:type="spellStart"/>
            <w:r w:rsidRPr="00F9037E">
              <w:rPr>
                <w:rFonts w:ascii="Arial" w:hAnsi="Arial" w:cs="Arial"/>
                <w:sz w:val="18"/>
                <w:szCs w:val="18"/>
              </w:rPr>
              <w:t>Jari</w:t>
            </w:r>
            <w:proofErr w:type="spellEnd"/>
            <w:r w:rsidR="000E64F3" w:rsidRPr="00F9037E">
              <w:rPr>
                <w:rFonts w:ascii="Arial" w:hAnsi="Arial" w:cs="Arial"/>
                <w:sz w:val="18"/>
                <w:szCs w:val="18"/>
              </w:rPr>
              <w:t xml:space="preserve"> </w:t>
            </w:r>
            <w:r w:rsidRPr="00F9037E">
              <w:rPr>
                <w:rFonts w:ascii="Arial" w:hAnsi="Arial" w:cs="Arial"/>
                <w:i/>
                <w:sz w:val="18"/>
                <w:szCs w:val="18"/>
              </w:rPr>
              <w:t>et al</w:t>
            </w:r>
            <w:r w:rsidRPr="00F9037E">
              <w:rPr>
                <w:rFonts w:ascii="Arial" w:hAnsi="Arial" w:cs="Arial"/>
                <w:sz w:val="18"/>
                <w:szCs w:val="18"/>
              </w:rPr>
              <w:t>., 2011).</w:t>
            </w:r>
          </w:p>
          <w:p w14:paraId="25C446CB" w14:textId="77777777" w:rsidR="00CB7681" w:rsidRPr="00F9037E" w:rsidRDefault="00CB7681" w:rsidP="000E64F3">
            <w:pPr>
              <w:jc w:val="both"/>
              <w:rPr>
                <w:rFonts w:ascii="Arial" w:hAnsi="Arial" w:cs="Arial"/>
                <w:sz w:val="18"/>
                <w:szCs w:val="18"/>
              </w:rPr>
            </w:pPr>
            <w:r w:rsidRPr="00F9037E">
              <w:rPr>
                <w:rFonts w:ascii="Arial" w:hAnsi="Arial" w:cs="Arial"/>
                <w:sz w:val="18"/>
                <w:szCs w:val="18"/>
              </w:rPr>
              <w:t>1</w:t>
            </w:r>
            <w:proofErr w:type="gramStart"/>
            <w:r w:rsidRPr="00F9037E">
              <w:rPr>
                <w:rFonts w:ascii="Arial" w:hAnsi="Arial" w:cs="Arial"/>
                <w:sz w:val="18"/>
                <w:szCs w:val="18"/>
              </w:rPr>
              <w:t>,3</w:t>
            </w:r>
            <w:proofErr w:type="gramEnd"/>
            <w:r w:rsidRPr="00F9037E">
              <w:rPr>
                <w:rFonts w:ascii="Arial" w:hAnsi="Arial" w:cs="Arial"/>
                <w:sz w:val="18"/>
                <w:szCs w:val="18"/>
              </w:rPr>
              <w:t>-D/Pic is a key alternative to MB, which is widely accepted commercially for controlling soil nematodes and fungi and has consistently shown to be as effective as MB (</w:t>
            </w:r>
            <w:proofErr w:type="spellStart"/>
            <w:r w:rsidRPr="00F9037E">
              <w:rPr>
                <w:rFonts w:ascii="Arial" w:hAnsi="Arial" w:cs="Arial"/>
                <w:sz w:val="18"/>
                <w:szCs w:val="18"/>
              </w:rPr>
              <w:t>Minuto</w:t>
            </w:r>
            <w:proofErr w:type="spellEnd"/>
            <w:r w:rsidR="000E64F3" w:rsidRPr="00F9037E">
              <w:rPr>
                <w:rFonts w:ascii="Arial" w:hAnsi="Arial" w:cs="Arial"/>
                <w:sz w:val="18"/>
                <w:szCs w:val="18"/>
              </w:rPr>
              <w:t xml:space="preserve"> </w:t>
            </w:r>
            <w:r w:rsidRPr="00F9037E">
              <w:rPr>
                <w:rFonts w:ascii="Arial" w:hAnsi="Arial" w:cs="Arial"/>
                <w:i/>
                <w:sz w:val="18"/>
                <w:szCs w:val="18"/>
              </w:rPr>
              <w:t>et al</w:t>
            </w:r>
            <w:r w:rsidRPr="00F9037E">
              <w:rPr>
                <w:rFonts w:ascii="Arial" w:hAnsi="Arial" w:cs="Arial"/>
                <w:sz w:val="18"/>
                <w:szCs w:val="18"/>
              </w:rPr>
              <w:t xml:space="preserve">., 2006; Porter </w:t>
            </w:r>
            <w:r w:rsidRPr="00F9037E">
              <w:rPr>
                <w:rFonts w:ascii="Arial" w:hAnsi="Arial" w:cs="Arial"/>
                <w:i/>
                <w:sz w:val="18"/>
                <w:szCs w:val="18"/>
              </w:rPr>
              <w:t>et al</w:t>
            </w:r>
            <w:r w:rsidRPr="00F9037E">
              <w:rPr>
                <w:rFonts w:ascii="Arial" w:hAnsi="Arial" w:cs="Arial"/>
                <w:sz w:val="18"/>
                <w:szCs w:val="18"/>
              </w:rPr>
              <w:t>., 2006,Ji</w:t>
            </w:r>
            <w:r w:rsidRPr="00F9037E">
              <w:rPr>
                <w:rFonts w:ascii="Arial" w:hAnsi="Arial" w:cs="Arial"/>
                <w:i/>
                <w:sz w:val="18"/>
                <w:szCs w:val="18"/>
              </w:rPr>
              <w:t>et al.</w:t>
            </w:r>
            <w:r w:rsidRPr="00F9037E">
              <w:rPr>
                <w:rFonts w:ascii="Arial" w:hAnsi="Arial" w:cs="Arial"/>
                <w:sz w:val="18"/>
                <w:szCs w:val="18"/>
              </w:rPr>
              <w:t>, 2013). However, according to the party, 1</w:t>
            </w:r>
            <w:proofErr w:type="gramStart"/>
            <w:r w:rsidRPr="00F9037E">
              <w:rPr>
                <w:rFonts w:ascii="Arial" w:hAnsi="Arial" w:cs="Arial"/>
                <w:sz w:val="18"/>
                <w:szCs w:val="18"/>
              </w:rPr>
              <w:t>,3</w:t>
            </w:r>
            <w:proofErr w:type="gramEnd"/>
            <w:r w:rsidRPr="00F9037E">
              <w:rPr>
                <w:rFonts w:ascii="Arial" w:hAnsi="Arial" w:cs="Arial"/>
                <w:sz w:val="18"/>
                <w:szCs w:val="18"/>
              </w:rPr>
              <w:t xml:space="preserve"> D + Chloropicrin did not show stability under Argentinean CUN conditions. Chloropicrin does not control entire soil borne pathogens complex, including nematodes and weeds. This fumigant is not registered as a single product in Argentina. </w:t>
            </w:r>
            <w:proofErr w:type="spellStart"/>
            <w:r w:rsidRPr="00F9037E">
              <w:rPr>
                <w:rFonts w:ascii="Arial" w:hAnsi="Arial" w:cs="Arial"/>
                <w:sz w:val="18"/>
                <w:szCs w:val="18"/>
              </w:rPr>
              <w:t>Metham</w:t>
            </w:r>
            <w:proofErr w:type="spellEnd"/>
            <w:r w:rsidRPr="00F9037E">
              <w:rPr>
                <w:rFonts w:ascii="Arial" w:hAnsi="Arial" w:cs="Arial"/>
                <w:sz w:val="18"/>
                <w:szCs w:val="18"/>
              </w:rPr>
              <w:t xml:space="preserve"> sodium is erratic and insufficient performance for weed control and soil borne pathogens. </w:t>
            </w:r>
            <w:proofErr w:type="spellStart"/>
            <w:r w:rsidRPr="00F9037E">
              <w:rPr>
                <w:rFonts w:ascii="Arial" w:hAnsi="Arial" w:cs="Arial"/>
                <w:sz w:val="18"/>
                <w:szCs w:val="18"/>
              </w:rPr>
              <w:t>Dazomet</w:t>
            </w:r>
            <w:proofErr w:type="spellEnd"/>
            <w:r w:rsidRPr="00F9037E">
              <w:rPr>
                <w:rFonts w:ascii="Arial" w:hAnsi="Arial" w:cs="Arial"/>
                <w:sz w:val="18"/>
                <w:szCs w:val="18"/>
              </w:rPr>
              <w:t xml:space="preserve"> is not registered for edible crops and do not control nematodes. Steam is not available and it is costly. </w:t>
            </w:r>
          </w:p>
          <w:p w14:paraId="1257EC26" w14:textId="77777777" w:rsidR="007F65E8" w:rsidRDefault="00CB7681" w:rsidP="007F65E8">
            <w:pPr>
              <w:jc w:val="both"/>
              <w:rPr>
                <w:rFonts w:ascii="Arial" w:hAnsi="Arial" w:cs="Arial"/>
                <w:sz w:val="18"/>
                <w:szCs w:val="18"/>
              </w:rPr>
            </w:pPr>
            <w:r w:rsidRPr="00F9037E">
              <w:rPr>
                <w:rFonts w:ascii="Arial" w:hAnsi="Arial" w:cs="Arial"/>
                <w:sz w:val="18"/>
                <w:szCs w:val="18"/>
              </w:rPr>
              <w:t xml:space="preserve">MBTOC notes that the Party has been supported by the MLF with a number of demonstration, investment and technical assistance projects since 1997 and that many alternatives have been </w:t>
            </w:r>
            <w:r w:rsidR="00CD3CBD" w:rsidRPr="00CD3CBD">
              <w:rPr>
                <w:rFonts w:ascii="Arial" w:hAnsi="Arial" w:cs="Arial"/>
                <w:sz w:val="18"/>
                <w:szCs w:val="18"/>
              </w:rPr>
              <w:t>trialled</w:t>
            </w:r>
            <w:r w:rsidRPr="00F9037E">
              <w:rPr>
                <w:rFonts w:ascii="Arial" w:hAnsi="Arial" w:cs="Arial"/>
                <w:sz w:val="18"/>
                <w:szCs w:val="18"/>
              </w:rPr>
              <w:t xml:space="preserve"> and found successful in this sector (MLF, 2014 a, b). </w:t>
            </w:r>
          </w:p>
          <w:p w14:paraId="2DFF3D62" w14:textId="520B32F6" w:rsidR="00CB7681" w:rsidRPr="007F65E8" w:rsidRDefault="00CB7681" w:rsidP="007F65E8">
            <w:pPr>
              <w:jc w:val="both"/>
              <w:rPr>
                <w:rFonts w:ascii="Arial" w:hAnsi="Arial" w:cs="Arial"/>
                <w:sz w:val="18"/>
                <w:szCs w:val="18"/>
              </w:rPr>
            </w:pPr>
            <w:r w:rsidRPr="00F9037E">
              <w:rPr>
                <w:rFonts w:ascii="Arial" w:hAnsi="Arial" w:cs="Arial"/>
                <w:b/>
                <w:sz w:val="18"/>
                <w:szCs w:val="18"/>
              </w:rPr>
              <w:t>MBTOC comments on economics in 2016 for 2017:</w:t>
            </w:r>
          </w:p>
          <w:p w14:paraId="33E29E5C" w14:textId="77777777" w:rsidR="00CB7681" w:rsidRPr="00F9037E" w:rsidRDefault="00CB7681" w:rsidP="007F65E8">
            <w:pPr>
              <w:pStyle w:val="ListParagraph"/>
              <w:numPr>
                <w:ilvl w:val="0"/>
                <w:numId w:val="42"/>
              </w:numPr>
              <w:spacing w:after="0"/>
              <w:jc w:val="both"/>
              <w:rPr>
                <w:rFonts w:ascii="Arial" w:eastAsiaTheme="minorHAnsi" w:hAnsi="Arial" w:cs="Arial"/>
                <w:color w:val="auto"/>
                <w:sz w:val="18"/>
                <w:szCs w:val="18"/>
              </w:rPr>
            </w:pPr>
            <w:r w:rsidRPr="00F9037E">
              <w:rPr>
                <w:rFonts w:ascii="Arial" w:eastAsiaTheme="minorHAnsi" w:hAnsi="Arial" w:cs="Arial"/>
                <w:color w:val="auto"/>
                <w:sz w:val="18"/>
                <w:szCs w:val="18"/>
              </w:rPr>
              <w:t>Assumes a substantial yield reduction in both cases while prices and costs remain the same for both treatments for both crops.</w:t>
            </w:r>
          </w:p>
          <w:p w14:paraId="17E20D62" w14:textId="77777777" w:rsidR="00CB7681" w:rsidRPr="00F9037E" w:rsidRDefault="00CB7681" w:rsidP="007F65E8">
            <w:pPr>
              <w:pStyle w:val="ListParagraph"/>
              <w:numPr>
                <w:ilvl w:val="0"/>
                <w:numId w:val="42"/>
              </w:numPr>
              <w:spacing w:after="0"/>
              <w:jc w:val="both"/>
              <w:rPr>
                <w:rFonts w:ascii="Arial" w:eastAsiaTheme="minorHAnsi" w:hAnsi="Arial" w:cs="Arial"/>
                <w:color w:val="auto"/>
                <w:sz w:val="18"/>
                <w:szCs w:val="18"/>
              </w:rPr>
            </w:pPr>
            <w:r w:rsidRPr="00F9037E">
              <w:rPr>
                <w:rFonts w:ascii="Arial" w:eastAsiaTheme="minorHAnsi" w:hAnsi="Arial" w:cs="Arial"/>
                <w:color w:val="auto"/>
                <w:sz w:val="18"/>
                <w:szCs w:val="18"/>
              </w:rPr>
              <w:t>Revenue reduction of 28% results.</w:t>
            </w:r>
          </w:p>
          <w:p w14:paraId="5DC5749A" w14:textId="77777777" w:rsidR="007F65E8" w:rsidRDefault="00CB7681" w:rsidP="007F65E8">
            <w:pPr>
              <w:pStyle w:val="ListParagraph"/>
              <w:numPr>
                <w:ilvl w:val="0"/>
                <w:numId w:val="42"/>
              </w:numPr>
              <w:rPr>
                <w:rFonts w:ascii="Arial" w:hAnsi="Arial" w:cs="Arial"/>
                <w:color w:val="auto"/>
                <w:sz w:val="18"/>
                <w:szCs w:val="18"/>
              </w:rPr>
            </w:pPr>
            <w:r w:rsidRPr="00CD3CBD">
              <w:rPr>
                <w:rFonts w:ascii="Arial" w:hAnsi="Arial" w:cs="Arial"/>
                <w:color w:val="auto"/>
                <w:sz w:val="18"/>
                <w:szCs w:val="18"/>
              </w:rPr>
              <w:t>The reduction in revenue is partly due to a smaller drop in yield on the early crop but mostly due to the impossibility of a late crop because of the waiting time between applications and planting.</w:t>
            </w:r>
            <w:r w:rsidR="007F65E8">
              <w:rPr>
                <w:rFonts w:ascii="Arial" w:hAnsi="Arial" w:cs="Arial"/>
                <w:color w:val="auto"/>
                <w:sz w:val="18"/>
                <w:szCs w:val="18"/>
              </w:rPr>
              <w:br/>
            </w:r>
          </w:p>
          <w:p w14:paraId="60420977" w14:textId="12AEFA4F" w:rsidR="00CB7681" w:rsidRPr="007F65E8" w:rsidRDefault="00CB7681" w:rsidP="007F65E8">
            <w:pPr>
              <w:pStyle w:val="ListParagraph"/>
              <w:ind w:left="0"/>
              <w:rPr>
                <w:rFonts w:ascii="Arial" w:hAnsi="Arial" w:cs="Arial"/>
                <w:b/>
                <w:color w:val="auto"/>
                <w:sz w:val="18"/>
                <w:szCs w:val="18"/>
              </w:rPr>
            </w:pPr>
            <w:r w:rsidRPr="00F9037E">
              <w:rPr>
                <w:rFonts w:ascii="Arial" w:hAnsi="Arial" w:cs="Arial"/>
                <w:b/>
                <w:sz w:val="18"/>
                <w:szCs w:val="18"/>
              </w:rPr>
              <w:t>Comments requested in Dec. XX1/11 (para 9):</w:t>
            </w:r>
          </w:p>
          <w:p w14:paraId="6071FD0F" w14:textId="55B8117E" w:rsidR="00CB7681" w:rsidRPr="00F9037E" w:rsidRDefault="00CB7681" w:rsidP="007F65E8">
            <w:pPr>
              <w:pStyle w:val="ListParagraph"/>
              <w:numPr>
                <w:ilvl w:val="0"/>
                <w:numId w:val="44"/>
              </w:numPr>
              <w:spacing w:after="120"/>
              <w:rPr>
                <w:rFonts w:ascii="Arial" w:eastAsiaTheme="minorHAnsi" w:hAnsi="Arial" w:cs="Arial"/>
                <w:color w:val="auto"/>
                <w:sz w:val="18"/>
                <w:szCs w:val="18"/>
              </w:rPr>
            </w:pPr>
            <w:r w:rsidRPr="00CD3CBD">
              <w:rPr>
                <w:rFonts w:ascii="Arial" w:hAnsi="Arial" w:cs="Arial"/>
                <w:b/>
                <w:color w:val="auto"/>
                <w:sz w:val="18"/>
                <w:szCs w:val="18"/>
              </w:rPr>
              <w:t xml:space="preserve">Dec. IX/6 </w:t>
            </w:r>
            <w:r w:rsidR="00CD3CBD" w:rsidRPr="00CD3CBD">
              <w:rPr>
                <w:rFonts w:ascii="Arial" w:hAnsi="Arial" w:cs="Arial"/>
                <w:b/>
                <w:color w:val="auto"/>
                <w:sz w:val="18"/>
                <w:szCs w:val="18"/>
              </w:rPr>
              <w:t>b (</w:t>
            </w:r>
            <w:proofErr w:type="spellStart"/>
            <w:r w:rsidRPr="00CD3CBD">
              <w:rPr>
                <w:rFonts w:ascii="Arial" w:hAnsi="Arial" w:cs="Arial"/>
                <w:b/>
                <w:color w:val="auto"/>
                <w:sz w:val="18"/>
                <w:szCs w:val="18"/>
              </w:rPr>
              <w:t>i</w:t>
            </w:r>
            <w:proofErr w:type="spellEnd"/>
            <w:r w:rsidRPr="00CD3CBD">
              <w:rPr>
                <w:rFonts w:ascii="Arial" w:hAnsi="Arial" w:cs="Arial"/>
                <w:b/>
                <w:color w:val="auto"/>
                <w:sz w:val="18"/>
                <w:szCs w:val="18"/>
              </w:rPr>
              <w:t xml:space="preserve">) Emission </w:t>
            </w:r>
            <w:r w:rsidR="00CD3CBD" w:rsidRPr="00CD3CBD">
              <w:rPr>
                <w:rFonts w:ascii="Arial" w:hAnsi="Arial" w:cs="Arial"/>
                <w:b/>
                <w:color w:val="auto"/>
                <w:sz w:val="18"/>
                <w:szCs w:val="18"/>
              </w:rPr>
              <w:t>Reduction:</w:t>
            </w:r>
            <w:r w:rsidR="00CD3CBD" w:rsidRPr="00CD3CBD">
              <w:rPr>
                <w:rFonts w:ascii="Arial" w:eastAsiaTheme="minorHAnsi" w:hAnsi="Arial" w:cs="Arial"/>
                <w:color w:val="auto"/>
                <w:sz w:val="18"/>
                <w:szCs w:val="18"/>
              </w:rPr>
              <w:t xml:space="preserve"> Barrier</w:t>
            </w:r>
            <w:r w:rsidRPr="00F9037E">
              <w:rPr>
                <w:rFonts w:ascii="Arial" w:eastAsiaTheme="minorHAnsi" w:hAnsi="Arial" w:cs="Arial"/>
                <w:color w:val="auto"/>
                <w:sz w:val="18"/>
                <w:szCs w:val="18"/>
              </w:rPr>
              <w:t xml:space="preserve"> films are available.</w:t>
            </w:r>
          </w:p>
          <w:p w14:paraId="100618B2" w14:textId="7393B2B5" w:rsidR="00CB7681" w:rsidRPr="00F9037E" w:rsidRDefault="00CB7681" w:rsidP="007F65E8">
            <w:pPr>
              <w:pStyle w:val="ListParagraph"/>
              <w:numPr>
                <w:ilvl w:val="0"/>
                <w:numId w:val="44"/>
              </w:numPr>
              <w:spacing w:after="120"/>
              <w:rPr>
                <w:rFonts w:ascii="Arial" w:eastAsiaTheme="minorHAnsi" w:hAnsi="Arial" w:cs="Arial"/>
                <w:color w:val="auto"/>
                <w:sz w:val="18"/>
                <w:szCs w:val="18"/>
              </w:rPr>
            </w:pPr>
            <w:r w:rsidRPr="00CD3CBD">
              <w:rPr>
                <w:rFonts w:ascii="Arial" w:hAnsi="Arial" w:cs="Arial"/>
                <w:b/>
                <w:color w:val="auto"/>
                <w:sz w:val="18"/>
                <w:szCs w:val="18"/>
              </w:rPr>
              <w:t xml:space="preserve">Dec. IX/6 </w:t>
            </w:r>
            <w:r w:rsidR="00CD3CBD" w:rsidRPr="00CD3CBD">
              <w:rPr>
                <w:rFonts w:ascii="Arial" w:hAnsi="Arial" w:cs="Arial"/>
                <w:b/>
                <w:color w:val="auto"/>
                <w:sz w:val="18"/>
                <w:szCs w:val="18"/>
              </w:rPr>
              <w:t>b (</w:t>
            </w:r>
            <w:r w:rsidRPr="00CD3CBD">
              <w:rPr>
                <w:rFonts w:ascii="Arial" w:hAnsi="Arial" w:cs="Arial"/>
                <w:b/>
                <w:color w:val="auto"/>
                <w:sz w:val="18"/>
                <w:szCs w:val="18"/>
              </w:rPr>
              <w:t xml:space="preserve">iii) MLF Assistance/Adoption of Effective </w:t>
            </w:r>
            <w:r w:rsidR="00CD3CBD" w:rsidRPr="00CD3CBD">
              <w:rPr>
                <w:rFonts w:ascii="Arial" w:hAnsi="Arial" w:cs="Arial"/>
                <w:b/>
                <w:color w:val="auto"/>
                <w:sz w:val="18"/>
                <w:szCs w:val="18"/>
              </w:rPr>
              <w:t>Alternatives:</w:t>
            </w:r>
            <w:r w:rsidR="00CD3CBD" w:rsidRPr="00CD3CBD">
              <w:rPr>
                <w:rFonts w:ascii="Arial" w:eastAsiaTheme="minorHAnsi" w:hAnsi="Arial" w:cs="Arial"/>
                <w:color w:val="auto"/>
                <w:sz w:val="18"/>
                <w:szCs w:val="18"/>
              </w:rPr>
              <w:t xml:space="preserve"> Trials</w:t>
            </w:r>
            <w:r w:rsidRPr="00F9037E">
              <w:rPr>
                <w:rFonts w:ascii="Arial" w:eastAsiaTheme="minorHAnsi" w:hAnsi="Arial" w:cs="Arial"/>
                <w:color w:val="auto"/>
                <w:sz w:val="18"/>
                <w:szCs w:val="18"/>
              </w:rPr>
              <w:t xml:space="preserve"> and research have been conducted through the MLF projects implemented in Argentina and also directly by national institutions (e.g. INTA, EEAOC) and various universities.  </w:t>
            </w:r>
          </w:p>
          <w:p w14:paraId="54EE1BE3" w14:textId="043BC970" w:rsidR="00CB7681" w:rsidRPr="00CD3CBD" w:rsidRDefault="00CB7681" w:rsidP="007F65E8">
            <w:pPr>
              <w:pStyle w:val="ListParagraph"/>
              <w:numPr>
                <w:ilvl w:val="0"/>
                <w:numId w:val="44"/>
              </w:numPr>
              <w:spacing w:after="120"/>
              <w:rPr>
                <w:rFonts w:ascii="Arial" w:hAnsi="Arial" w:cs="Arial"/>
                <w:b/>
                <w:sz w:val="18"/>
                <w:szCs w:val="18"/>
              </w:rPr>
            </w:pPr>
            <w:r w:rsidRPr="00CD3CBD">
              <w:rPr>
                <w:rFonts w:ascii="Arial" w:hAnsi="Arial" w:cs="Arial"/>
                <w:b/>
                <w:color w:val="auto"/>
                <w:sz w:val="18"/>
                <w:szCs w:val="18"/>
              </w:rPr>
              <w:t xml:space="preserve">Dec. IX/6 </w:t>
            </w:r>
            <w:r w:rsidR="00CD3CBD" w:rsidRPr="00CD3CBD">
              <w:rPr>
                <w:rFonts w:ascii="Arial" w:hAnsi="Arial" w:cs="Arial"/>
                <w:b/>
                <w:color w:val="auto"/>
                <w:sz w:val="18"/>
                <w:szCs w:val="18"/>
              </w:rPr>
              <w:t>b (</w:t>
            </w:r>
            <w:r w:rsidRPr="00CD3CBD">
              <w:rPr>
                <w:rFonts w:ascii="Arial" w:hAnsi="Arial" w:cs="Arial"/>
                <w:b/>
                <w:color w:val="auto"/>
                <w:sz w:val="18"/>
                <w:szCs w:val="18"/>
              </w:rPr>
              <w:t>iii) Appropriate Effort:</w:t>
            </w:r>
            <w:r w:rsidR="00CD3CBD">
              <w:rPr>
                <w:rFonts w:ascii="Arial" w:hAnsi="Arial" w:cs="Arial"/>
                <w:b/>
                <w:color w:val="auto"/>
                <w:sz w:val="18"/>
                <w:szCs w:val="18"/>
              </w:rPr>
              <w:t xml:space="preserve"> </w:t>
            </w:r>
            <w:r w:rsidRPr="00F9037E">
              <w:rPr>
                <w:rFonts w:ascii="Arial" w:eastAsiaTheme="minorHAnsi" w:hAnsi="Arial" w:cs="Arial"/>
                <w:color w:val="auto"/>
                <w:sz w:val="18"/>
                <w:szCs w:val="18"/>
              </w:rPr>
              <w:t>MBTOC recognizes that considerable research and commercial trials have been conducted.</w:t>
            </w:r>
          </w:p>
          <w:p w14:paraId="4DB0A848" w14:textId="77777777" w:rsidR="00CB7681" w:rsidRPr="00CD3CBD" w:rsidRDefault="00CB7681" w:rsidP="007F65E8">
            <w:pPr>
              <w:pStyle w:val="ListParagraph"/>
              <w:numPr>
                <w:ilvl w:val="0"/>
                <w:numId w:val="44"/>
              </w:numPr>
              <w:spacing w:after="120"/>
              <w:rPr>
                <w:rFonts w:ascii="Arial" w:hAnsi="Arial"/>
                <w:b/>
                <w:sz w:val="18"/>
              </w:rPr>
            </w:pPr>
            <w:r w:rsidRPr="00F9037E">
              <w:rPr>
                <w:rFonts w:ascii="Arial" w:hAnsi="Arial" w:cs="Arial"/>
                <w:b/>
                <w:sz w:val="18"/>
                <w:szCs w:val="18"/>
              </w:rPr>
              <w:t xml:space="preserve">Dec. Ex 1(4) Annex 1 National Management Strategies: </w:t>
            </w:r>
            <w:r w:rsidRPr="00F9037E">
              <w:rPr>
                <w:rFonts w:ascii="Arial" w:hAnsi="Arial" w:cs="Arial"/>
                <w:sz w:val="18"/>
                <w:szCs w:val="18"/>
              </w:rPr>
              <w:t>MBTOC notes that China provided a summary strategy showing key steps anticipated to phase out MB in 2019.</w:t>
            </w:r>
          </w:p>
        </w:tc>
      </w:tr>
      <w:tr w:rsidR="00CB7681" w:rsidRPr="00F9037E" w14:paraId="2B92A1DD" w14:textId="77777777" w:rsidTr="008C634A">
        <w:trPr>
          <w:trHeight w:val="462"/>
          <w:tblHeader/>
        </w:trPr>
        <w:tc>
          <w:tcPr>
            <w:tcW w:w="1133" w:type="dxa"/>
            <w:vAlign w:val="center"/>
          </w:tcPr>
          <w:p w14:paraId="3C437E71" w14:textId="7B1711DB" w:rsidR="00CB7681" w:rsidRPr="00F9037E" w:rsidRDefault="00CB7681" w:rsidP="000E64F3">
            <w:pPr>
              <w:pageBreakBefore/>
              <w:spacing w:before="40" w:after="40"/>
              <w:rPr>
                <w:rFonts w:ascii="Arial" w:hAnsi="Arial" w:cs="Arial"/>
                <w:b/>
                <w:sz w:val="18"/>
                <w:szCs w:val="18"/>
              </w:rPr>
            </w:pPr>
            <w:r w:rsidRPr="00F9037E">
              <w:rPr>
                <w:rFonts w:ascii="Arial" w:hAnsi="Arial" w:cs="Arial"/>
                <w:b/>
                <w:sz w:val="18"/>
                <w:szCs w:val="18"/>
              </w:rPr>
              <w:lastRenderedPageBreak/>
              <w:t>Country</w:t>
            </w:r>
          </w:p>
        </w:tc>
        <w:tc>
          <w:tcPr>
            <w:tcW w:w="1419" w:type="dxa"/>
            <w:tcBorders>
              <w:top w:val="single" w:sz="6" w:space="0" w:color="auto"/>
              <w:bottom w:val="single" w:sz="6" w:space="0" w:color="auto"/>
            </w:tcBorders>
            <w:shd w:val="clear" w:color="auto" w:fill="auto"/>
            <w:vAlign w:val="center"/>
          </w:tcPr>
          <w:p w14:paraId="0456908B" w14:textId="77777777" w:rsidR="00CB7681" w:rsidRPr="00F9037E" w:rsidRDefault="00CB7681" w:rsidP="000E64F3">
            <w:pPr>
              <w:spacing w:before="40" w:after="40"/>
              <w:rPr>
                <w:rFonts w:ascii="Arial" w:hAnsi="Arial" w:cs="Arial"/>
                <w:b/>
                <w:sz w:val="18"/>
                <w:szCs w:val="18"/>
              </w:rPr>
            </w:pPr>
            <w:r w:rsidRPr="00F9037E">
              <w:rPr>
                <w:rFonts w:ascii="Arial" w:hAnsi="Arial" w:cs="Arial"/>
                <w:b/>
                <w:sz w:val="18"/>
                <w:szCs w:val="18"/>
              </w:rPr>
              <w:t>Industry</w:t>
            </w:r>
          </w:p>
        </w:tc>
        <w:tc>
          <w:tcPr>
            <w:tcW w:w="992" w:type="dxa"/>
            <w:tcBorders>
              <w:top w:val="single" w:sz="6" w:space="0" w:color="auto"/>
              <w:bottom w:val="single" w:sz="6" w:space="0" w:color="auto"/>
            </w:tcBorders>
            <w:shd w:val="clear" w:color="auto" w:fill="auto"/>
            <w:vAlign w:val="center"/>
          </w:tcPr>
          <w:p w14:paraId="07F3CFA9" w14:textId="77777777" w:rsidR="00CB7681" w:rsidRPr="00F9037E" w:rsidRDefault="00CB7681" w:rsidP="000E64F3">
            <w:pPr>
              <w:spacing w:after="0"/>
              <w:jc w:val="center"/>
              <w:rPr>
                <w:rFonts w:ascii="Arial" w:hAnsi="Arial" w:cs="Arial"/>
                <w:b/>
                <w:sz w:val="18"/>
                <w:szCs w:val="18"/>
              </w:rPr>
            </w:pPr>
            <w:r w:rsidRPr="00F9037E">
              <w:rPr>
                <w:rFonts w:ascii="Arial" w:hAnsi="Arial" w:cs="Arial"/>
                <w:b/>
                <w:sz w:val="18"/>
                <w:szCs w:val="18"/>
              </w:rPr>
              <w:t>CUE for 2015</w:t>
            </w:r>
            <w:r w:rsidRPr="00F9037E">
              <w:rPr>
                <w:rFonts w:ascii="Arial" w:hAnsi="Arial" w:cs="Arial"/>
                <w:b/>
                <w:sz w:val="18"/>
                <w:szCs w:val="18"/>
                <w:vertAlign w:val="superscript"/>
              </w:rPr>
              <w:t>1</w:t>
            </w:r>
          </w:p>
        </w:tc>
        <w:tc>
          <w:tcPr>
            <w:tcW w:w="992" w:type="dxa"/>
            <w:tcBorders>
              <w:top w:val="single" w:sz="6" w:space="0" w:color="auto"/>
              <w:bottom w:val="single" w:sz="6" w:space="0" w:color="auto"/>
            </w:tcBorders>
            <w:shd w:val="clear" w:color="auto" w:fill="auto"/>
            <w:vAlign w:val="center"/>
          </w:tcPr>
          <w:p w14:paraId="2F722B7C" w14:textId="77777777" w:rsidR="00CB7681" w:rsidRPr="00F9037E" w:rsidRDefault="00CB7681" w:rsidP="000E64F3">
            <w:pPr>
              <w:spacing w:after="0"/>
              <w:jc w:val="center"/>
              <w:rPr>
                <w:rFonts w:ascii="Arial" w:hAnsi="Arial" w:cs="Arial"/>
                <w:b/>
                <w:sz w:val="18"/>
                <w:szCs w:val="18"/>
              </w:rPr>
            </w:pPr>
            <w:r w:rsidRPr="00F9037E">
              <w:rPr>
                <w:rFonts w:ascii="Arial" w:hAnsi="Arial" w:cs="Arial"/>
                <w:b/>
                <w:sz w:val="18"/>
                <w:szCs w:val="18"/>
              </w:rPr>
              <w:t>CUE for 2016</w:t>
            </w:r>
          </w:p>
        </w:tc>
        <w:tc>
          <w:tcPr>
            <w:tcW w:w="1314" w:type="dxa"/>
            <w:gridSpan w:val="3"/>
            <w:tcBorders>
              <w:top w:val="single" w:sz="6" w:space="0" w:color="auto"/>
              <w:bottom w:val="single" w:sz="6" w:space="0" w:color="auto"/>
            </w:tcBorders>
            <w:shd w:val="clear" w:color="auto" w:fill="auto"/>
            <w:vAlign w:val="center"/>
          </w:tcPr>
          <w:p w14:paraId="49FB0A84" w14:textId="77777777" w:rsidR="00CB7681" w:rsidRPr="00F9037E" w:rsidRDefault="00CB7681" w:rsidP="000E64F3">
            <w:pPr>
              <w:spacing w:after="0"/>
              <w:jc w:val="center"/>
              <w:rPr>
                <w:rFonts w:ascii="Arial" w:hAnsi="Arial" w:cs="Arial"/>
                <w:b/>
                <w:sz w:val="18"/>
                <w:szCs w:val="18"/>
              </w:rPr>
            </w:pPr>
            <w:r w:rsidRPr="00F9037E">
              <w:rPr>
                <w:rFonts w:ascii="Arial" w:hAnsi="Arial" w:cs="Arial"/>
                <w:b/>
                <w:sz w:val="18"/>
                <w:szCs w:val="18"/>
              </w:rPr>
              <w:t>CUN for 2017</w:t>
            </w:r>
          </w:p>
        </w:tc>
        <w:tc>
          <w:tcPr>
            <w:tcW w:w="3870" w:type="dxa"/>
            <w:gridSpan w:val="2"/>
            <w:tcBorders>
              <w:top w:val="single" w:sz="6" w:space="0" w:color="auto"/>
              <w:bottom w:val="single" w:sz="6" w:space="0" w:color="auto"/>
            </w:tcBorders>
            <w:shd w:val="clear" w:color="auto" w:fill="auto"/>
            <w:vAlign w:val="center"/>
          </w:tcPr>
          <w:p w14:paraId="3ECF34F5" w14:textId="77777777" w:rsidR="00CB7681" w:rsidRPr="00F9037E" w:rsidRDefault="00CB7681" w:rsidP="000E64F3">
            <w:pPr>
              <w:spacing w:after="0"/>
              <w:jc w:val="center"/>
              <w:rPr>
                <w:rFonts w:ascii="Arial" w:hAnsi="Arial" w:cs="Arial"/>
                <w:b/>
                <w:sz w:val="18"/>
                <w:szCs w:val="18"/>
              </w:rPr>
            </w:pPr>
            <w:r w:rsidRPr="00F9037E">
              <w:rPr>
                <w:rFonts w:ascii="Arial" w:hAnsi="Arial" w:cs="Arial"/>
                <w:b/>
                <w:sz w:val="18"/>
                <w:szCs w:val="18"/>
              </w:rPr>
              <w:t xml:space="preserve">MBTOC final recommendation for </w:t>
            </w:r>
            <w:r w:rsidRPr="00F9037E">
              <w:rPr>
                <w:rFonts w:ascii="Arial" w:hAnsi="Arial" w:cs="Arial"/>
                <w:b/>
                <w:sz w:val="18"/>
                <w:szCs w:val="18"/>
              </w:rPr>
              <w:br/>
              <w:t>2017</w:t>
            </w:r>
          </w:p>
        </w:tc>
        <w:tc>
          <w:tcPr>
            <w:tcW w:w="345" w:type="dxa"/>
            <w:tcBorders>
              <w:top w:val="single" w:sz="6" w:space="0" w:color="auto"/>
              <w:bottom w:val="single" w:sz="6" w:space="0" w:color="auto"/>
            </w:tcBorders>
            <w:shd w:val="clear" w:color="auto" w:fill="auto"/>
          </w:tcPr>
          <w:p w14:paraId="2E2F6E07" w14:textId="77777777" w:rsidR="00CB7681" w:rsidRPr="00F9037E" w:rsidRDefault="00CB7681" w:rsidP="000E64F3">
            <w:pPr>
              <w:spacing w:before="40" w:after="40"/>
              <w:rPr>
                <w:rFonts w:ascii="Arial" w:hAnsi="Arial" w:cs="Arial"/>
                <w:b/>
                <w:sz w:val="18"/>
                <w:szCs w:val="18"/>
              </w:rPr>
            </w:pPr>
          </w:p>
        </w:tc>
        <w:tc>
          <w:tcPr>
            <w:tcW w:w="850" w:type="dxa"/>
            <w:tcBorders>
              <w:top w:val="single" w:sz="6" w:space="0" w:color="auto"/>
              <w:bottom w:val="single" w:sz="6" w:space="0" w:color="auto"/>
            </w:tcBorders>
            <w:shd w:val="clear" w:color="auto" w:fill="auto"/>
          </w:tcPr>
          <w:p w14:paraId="6C9CBFE8" w14:textId="77777777" w:rsidR="00CB7681" w:rsidRPr="00F9037E" w:rsidRDefault="00CB7681" w:rsidP="000E64F3">
            <w:pPr>
              <w:spacing w:before="40" w:after="40"/>
              <w:rPr>
                <w:rFonts w:ascii="Arial" w:hAnsi="Arial" w:cs="Arial"/>
                <w:b/>
                <w:sz w:val="18"/>
                <w:szCs w:val="18"/>
              </w:rPr>
            </w:pPr>
          </w:p>
        </w:tc>
        <w:tc>
          <w:tcPr>
            <w:tcW w:w="851" w:type="dxa"/>
            <w:tcBorders>
              <w:top w:val="single" w:sz="6" w:space="0" w:color="auto"/>
              <w:bottom w:val="single" w:sz="6" w:space="0" w:color="auto"/>
            </w:tcBorders>
            <w:shd w:val="clear" w:color="auto" w:fill="auto"/>
          </w:tcPr>
          <w:p w14:paraId="547B1E6B" w14:textId="77777777" w:rsidR="00CB7681" w:rsidRPr="00F9037E" w:rsidRDefault="00CB7681" w:rsidP="000E64F3">
            <w:pPr>
              <w:spacing w:before="40" w:after="40"/>
              <w:rPr>
                <w:rFonts w:ascii="Arial" w:hAnsi="Arial" w:cs="Arial"/>
                <w:b/>
                <w:sz w:val="18"/>
                <w:szCs w:val="18"/>
                <w:vertAlign w:val="superscript"/>
              </w:rPr>
            </w:pPr>
          </w:p>
        </w:tc>
        <w:tc>
          <w:tcPr>
            <w:tcW w:w="850" w:type="dxa"/>
            <w:tcBorders>
              <w:top w:val="single" w:sz="6" w:space="0" w:color="auto"/>
              <w:bottom w:val="single" w:sz="6" w:space="0" w:color="auto"/>
            </w:tcBorders>
            <w:shd w:val="clear" w:color="auto" w:fill="auto"/>
          </w:tcPr>
          <w:p w14:paraId="124AC185" w14:textId="77777777" w:rsidR="00CB7681" w:rsidRPr="00F9037E" w:rsidRDefault="00CB7681" w:rsidP="000E64F3">
            <w:pPr>
              <w:spacing w:before="40" w:after="40"/>
              <w:rPr>
                <w:rFonts w:ascii="Arial" w:hAnsi="Arial" w:cs="Arial"/>
                <w:b/>
                <w:sz w:val="18"/>
                <w:szCs w:val="18"/>
              </w:rPr>
            </w:pPr>
          </w:p>
        </w:tc>
        <w:tc>
          <w:tcPr>
            <w:tcW w:w="992" w:type="dxa"/>
            <w:tcBorders>
              <w:top w:val="single" w:sz="6" w:space="0" w:color="auto"/>
              <w:bottom w:val="single" w:sz="6" w:space="0" w:color="auto"/>
            </w:tcBorders>
            <w:shd w:val="clear" w:color="auto" w:fill="auto"/>
          </w:tcPr>
          <w:p w14:paraId="58EECC34" w14:textId="77777777" w:rsidR="00CB7681" w:rsidRPr="00F9037E" w:rsidRDefault="00CB7681" w:rsidP="000E64F3">
            <w:pPr>
              <w:spacing w:before="40" w:after="0"/>
              <w:rPr>
                <w:rFonts w:ascii="Arial" w:hAnsi="Arial" w:cs="Arial"/>
                <w:b/>
                <w:sz w:val="18"/>
                <w:szCs w:val="18"/>
              </w:rPr>
            </w:pPr>
          </w:p>
        </w:tc>
        <w:tc>
          <w:tcPr>
            <w:tcW w:w="780" w:type="dxa"/>
            <w:tcBorders>
              <w:top w:val="single" w:sz="6" w:space="0" w:color="auto"/>
              <w:bottom w:val="single" w:sz="6" w:space="0" w:color="auto"/>
            </w:tcBorders>
            <w:shd w:val="clear" w:color="auto" w:fill="auto"/>
          </w:tcPr>
          <w:p w14:paraId="5C1CCC44" w14:textId="77777777" w:rsidR="00CB7681" w:rsidRPr="00F9037E" w:rsidRDefault="00CB7681" w:rsidP="000E64F3">
            <w:pPr>
              <w:spacing w:before="40" w:after="40"/>
              <w:rPr>
                <w:rFonts w:ascii="Arial" w:hAnsi="Arial" w:cs="Arial"/>
                <w:b/>
                <w:sz w:val="18"/>
                <w:szCs w:val="18"/>
              </w:rPr>
            </w:pPr>
          </w:p>
        </w:tc>
        <w:tc>
          <w:tcPr>
            <w:tcW w:w="1063" w:type="dxa"/>
            <w:tcBorders>
              <w:top w:val="single" w:sz="6" w:space="0" w:color="auto"/>
              <w:bottom w:val="single" w:sz="6" w:space="0" w:color="auto"/>
            </w:tcBorders>
            <w:shd w:val="clear" w:color="auto" w:fill="auto"/>
          </w:tcPr>
          <w:p w14:paraId="57D543B0" w14:textId="77777777" w:rsidR="00CB7681" w:rsidRPr="00F9037E" w:rsidRDefault="00CB7681" w:rsidP="000E64F3">
            <w:pPr>
              <w:spacing w:before="40" w:after="0"/>
              <w:rPr>
                <w:rFonts w:ascii="Arial" w:hAnsi="Arial" w:cs="Arial"/>
                <w:b/>
                <w:sz w:val="18"/>
                <w:szCs w:val="18"/>
              </w:rPr>
            </w:pPr>
          </w:p>
        </w:tc>
      </w:tr>
      <w:tr w:rsidR="00CB7681" w:rsidRPr="00F9037E" w14:paraId="0B948BAF" w14:textId="77777777" w:rsidTr="000633FC">
        <w:trPr>
          <w:trHeight w:val="417"/>
          <w:tblHeader/>
        </w:trPr>
        <w:tc>
          <w:tcPr>
            <w:tcW w:w="1133" w:type="dxa"/>
            <w:vMerge w:val="restart"/>
          </w:tcPr>
          <w:p w14:paraId="3358567B" w14:textId="77777777" w:rsidR="00CB7681" w:rsidRPr="00F9037E" w:rsidRDefault="00CB7681" w:rsidP="000E64F3">
            <w:pPr>
              <w:spacing w:before="40" w:after="40"/>
              <w:rPr>
                <w:rFonts w:ascii="Arial" w:hAnsi="Arial"/>
                <w:sz w:val="18"/>
              </w:rPr>
            </w:pPr>
            <w:r w:rsidRPr="00F9037E">
              <w:rPr>
                <w:rFonts w:ascii="Arial" w:hAnsi="Arial"/>
                <w:sz w:val="18"/>
              </w:rPr>
              <w:t>China</w:t>
            </w:r>
          </w:p>
        </w:tc>
        <w:tc>
          <w:tcPr>
            <w:tcW w:w="1419" w:type="dxa"/>
            <w:tcBorders>
              <w:top w:val="single" w:sz="6" w:space="0" w:color="auto"/>
            </w:tcBorders>
            <w:shd w:val="clear" w:color="auto" w:fill="FFFF99"/>
            <w:vAlign w:val="center"/>
          </w:tcPr>
          <w:p w14:paraId="5EFA7331" w14:textId="77777777" w:rsidR="00CB7681" w:rsidRPr="00F9037E" w:rsidRDefault="00CB7681" w:rsidP="000E64F3">
            <w:pPr>
              <w:spacing w:after="0"/>
              <w:rPr>
                <w:rFonts w:ascii="Arial" w:hAnsi="Arial"/>
                <w:sz w:val="18"/>
              </w:rPr>
            </w:pPr>
            <w:r w:rsidRPr="00F9037E">
              <w:rPr>
                <w:rFonts w:ascii="Arial" w:hAnsi="Arial"/>
                <w:sz w:val="18"/>
              </w:rPr>
              <w:t>Ginger Open field</w:t>
            </w:r>
          </w:p>
        </w:tc>
        <w:tc>
          <w:tcPr>
            <w:tcW w:w="992" w:type="dxa"/>
            <w:tcBorders>
              <w:top w:val="single" w:sz="6" w:space="0" w:color="auto"/>
            </w:tcBorders>
            <w:shd w:val="clear" w:color="auto" w:fill="FFFF99"/>
            <w:vAlign w:val="center"/>
          </w:tcPr>
          <w:p w14:paraId="4921F5B8" w14:textId="77777777" w:rsidR="00CB7681" w:rsidRPr="00F9037E" w:rsidRDefault="00CB7681" w:rsidP="000E64F3">
            <w:pPr>
              <w:spacing w:after="0"/>
              <w:jc w:val="center"/>
              <w:rPr>
                <w:rFonts w:ascii="Arial" w:hAnsi="Arial"/>
                <w:sz w:val="18"/>
              </w:rPr>
            </w:pPr>
            <w:r w:rsidRPr="00F9037E">
              <w:rPr>
                <w:rFonts w:ascii="Arial" w:hAnsi="Arial"/>
                <w:sz w:val="18"/>
              </w:rPr>
              <w:t>90</w:t>
            </w:r>
          </w:p>
        </w:tc>
        <w:tc>
          <w:tcPr>
            <w:tcW w:w="992" w:type="dxa"/>
            <w:tcBorders>
              <w:top w:val="single" w:sz="6" w:space="0" w:color="auto"/>
            </w:tcBorders>
            <w:shd w:val="clear" w:color="auto" w:fill="FFFF99"/>
            <w:vAlign w:val="center"/>
          </w:tcPr>
          <w:p w14:paraId="36DC624B" w14:textId="77777777" w:rsidR="00CB7681" w:rsidRPr="00F9037E" w:rsidRDefault="00CB7681" w:rsidP="000E64F3">
            <w:pPr>
              <w:spacing w:after="0"/>
              <w:jc w:val="center"/>
              <w:rPr>
                <w:rFonts w:ascii="Arial" w:hAnsi="Arial"/>
                <w:sz w:val="18"/>
              </w:rPr>
            </w:pPr>
            <w:r w:rsidRPr="00F9037E">
              <w:rPr>
                <w:rFonts w:ascii="Arial" w:hAnsi="Arial"/>
                <w:sz w:val="18"/>
              </w:rPr>
              <w:t>90</w:t>
            </w:r>
          </w:p>
        </w:tc>
        <w:tc>
          <w:tcPr>
            <w:tcW w:w="1314" w:type="dxa"/>
            <w:gridSpan w:val="3"/>
            <w:tcBorders>
              <w:top w:val="single" w:sz="6" w:space="0" w:color="auto"/>
            </w:tcBorders>
            <w:shd w:val="clear" w:color="auto" w:fill="FFFF99"/>
            <w:vAlign w:val="center"/>
          </w:tcPr>
          <w:p w14:paraId="3FB3B7E7" w14:textId="77777777" w:rsidR="00CB7681" w:rsidRPr="00F9037E" w:rsidRDefault="00CB7681" w:rsidP="000E64F3">
            <w:pPr>
              <w:spacing w:after="0"/>
              <w:jc w:val="center"/>
              <w:rPr>
                <w:rFonts w:ascii="Arial" w:hAnsi="Arial"/>
                <w:sz w:val="18"/>
              </w:rPr>
            </w:pPr>
            <w:r w:rsidRPr="00F9037E">
              <w:rPr>
                <w:rFonts w:ascii="Arial" w:hAnsi="Arial" w:cs="Arial"/>
                <w:sz w:val="20"/>
              </w:rPr>
              <w:t>78.75</w:t>
            </w:r>
          </w:p>
        </w:tc>
        <w:tc>
          <w:tcPr>
            <w:tcW w:w="3870" w:type="dxa"/>
            <w:gridSpan w:val="2"/>
            <w:tcBorders>
              <w:top w:val="single" w:sz="6" w:space="0" w:color="auto"/>
            </w:tcBorders>
            <w:shd w:val="clear" w:color="auto" w:fill="FFFF99"/>
            <w:vAlign w:val="center"/>
          </w:tcPr>
          <w:p w14:paraId="6CA2FEE5" w14:textId="77777777" w:rsidR="00CB7681" w:rsidRPr="00F9037E" w:rsidRDefault="00CB7681" w:rsidP="000E64F3">
            <w:pPr>
              <w:spacing w:after="0"/>
              <w:jc w:val="center"/>
              <w:rPr>
                <w:rFonts w:ascii="Arial" w:hAnsi="Arial"/>
                <w:sz w:val="18"/>
              </w:rPr>
            </w:pPr>
            <w:r w:rsidRPr="00F9037E">
              <w:rPr>
                <w:rFonts w:ascii="Arial" w:hAnsi="Arial" w:cs="Arial"/>
                <w:sz w:val="20"/>
              </w:rPr>
              <w:t>[74.617]</w:t>
            </w:r>
          </w:p>
        </w:tc>
        <w:tc>
          <w:tcPr>
            <w:tcW w:w="345" w:type="dxa"/>
            <w:tcBorders>
              <w:top w:val="single" w:sz="6" w:space="0" w:color="auto"/>
            </w:tcBorders>
            <w:shd w:val="clear" w:color="auto" w:fill="FFFF99"/>
          </w:tcPr>
          <w:p w14:paraId="44197933" w14:textId="77777777" w:rsidR="00CB7681" w:rsidRPr="00F9037E" w:rsidRDefault="00CB7681" w:rsidP="000E64F3">
            <w:pPr>
              <w:spacing w:before="40" w:after="0"/>
              <w:rPr>
                <w:rFonts w:ascii="Arial" w:hAnsi="Arial"/>
                <w:sz w:val="18"/>
              </w:rPr>
            </w:pPr>
          </w:p>
        </w:tc>
        <w:tc>
          <w:tcPr>
            <w:tcW w:w="850" w:type="dxa"/>
            <w:tcBorders>
              <w:top w:val="single" w:sz="6" w:space="0" w:color="auto"/>
            </w:tcBorders>
            <w:shd w:val="clear" w:color="auto" w:fill="FFFF99"/>
          </w:tcPr>
          <w:p w14:paraId="204B637C" w14:textId="77777777" w:rsidR="00CB7681" w:rsidRPr="00F9037E" w:rsidRDefault="00CB7681" w:rsidP="000E64F3">
            <w:pPr>
              <w:spacing w:before="40" w:after="0"/>
              <w:rPr>
                <w:rFonts w:ascii="Arial" w:hAnsi="Arial"/>
                <w:sz w:val="18"/>
              </w:rPr>
            </w:pPr>
          </w:p>
        </w:tc>
        <w:tc>
          <w:tcPr>
            <w:tcW w:w="851" w:type="dxa"/>
            <w:tcBorders>
              <w:top w:val="single" w:sz="6" w:space="0" w:color="auto"/>
            </w:tcBorders>
            <w:shd w:val="clear" w:color="auto" w:fill="FFFF99"/>
          </w:tcPr>
          <w:p w14:paraId="07344A3E" w14:textId="77777777" w:rsidR="00CB7681" w:rsidRPr="00F9037E" w:rsidRDefault="00CB7681" w:rsidP="000E64F3">
            <w:pPr>
              <w:spacing w:before="40" w:after="0"/>
              <w:jc w:val="center"/>
              <w:rPr>
                <w:rFonts w:ascii="Arial" w:hAnsi="Arial"/>
                <w:sz w:val="18"/>
              </w:rPr>
            </w:pPr>
          </w:p>
        </w:tc>
        <w:tc>
          <w:tcPr>
            <w:tcW w:w="850" w:type="dxa"/>
            <w:tcBorders>
              <w:top w:val="single" w:sz="6" w:space="0" w:color="auto"/>
            </w:tcBorders>
            <w:shd w:val="clear" w:color="auto" w:fill="FFFF99"/>
          </w:tcPr>
          <w:p w14:paraId="7C10D6DB" w14:textId="77777777" w:rsidR="00CB7681" w:rsidRPr="00F9037E" w:rsidRDefault="00CB7681" w:rsidP="000E64F3">
            <w:pPr>
              <w:spacing w:before="40" w:after="0"/>
              <w:rPr>
                <w:rFonts w:ascii="Arial" w:hAnsi="Arial"/>
                <w:sz w:val="18"/>
              </w:rPr>
            </w:pPr>
          </w:p>
        </w:tc>
        <w:tc>
          <w:tcPr>
            <w:tcW w:w="992" w:type="dxa"/>
            <w:tcBorders>
              <w:top w:val="single" w:sz="6" w:space="0" w:color="auto"/>
            </w:tcBorders>
            <w:shd w:val="clear" w:color="auto" w:fill="FFFF99"/>
          </w:tcPr>
          <w:p w14:paraId="2D0F8173" w14:textId="77777777" w:rsidR="00CB7681" w:rsidRPr="00F9037E" w:rsidRDefault="00CB7681" w:rsidP="000E64F3">
            <w:pPr>
              <w:spacing w:before="40" w:after="0"/>
              <w:rPr>
                <w:rFonts w:ascii="Arial" w:hAnsi="Arial"/>
                <w:sz w:val="18"/>
              </w:rPr>
            </w:pPr>
          </w:p>
        </w:tc>
        <w:tc>
          <w:tcPr>
            <w:tcW w:w="780" w:type="dxa"/>
            <w:tcBorders>
              <w:top w:val="single" w:sz="6" w:space="0" w:color="auto"/>
            </w:tcBorders>
            <w:shd w:val="clear" w:color="auto" w:fill="FFFF99"/>
          </w:tcPr>
          <w:p w14:paraId="46E5F636" w14:textId="77777777" w:rsidR="00CB7681" w:rsidRPr="00F9037E" w:rsidRDefault="00CB7681" w:rsidP="000E64F3">
            <w:pPr>
              <w:spacing w:before="40" w:after="0"/>
              <w:rPr>
                <w:rFonts w:ascii="Arial" w:hAnsi="Arial"/>
                <w:sz w:val="18"/>
              </w:rPr>
            </w:pPr>
          </w:p>
        </w:tc>
        <w:tc>
          <w:tcPr>
            <w:tcW w:w="1063" w:type="dxa"/>
            <w:tcBorders>
              <w:top w:val="single" w:sz="6" w:space="0" w:color="auto"/>
            </w:tcBorders>
            <w:shd w:val="clear" w:color="auto" w:fill="FFFF99"/>
          </w:tcPr>
          <w:p w14:paraId="7F2362DC" w14:textId="77777777" w:rsidR="00CB7681" w:rsidRPr="00F9037E" w:rsidRDefault="00CB7681" w:rsidP="000E64F3">
            <w:pPr>
              <w:spacing w:before="40" w:after="0"/>
              <w:rPr>
                <w:rFonts w:ascii="Arial" w:hAnsi="Arial"/>
                <w:sz w:val="18"/>
              </w:rPr>
            </w:pPr>
          </w:p>
        </w:tc>
      </w:tr>
      <w:tr w:rsidR="00CB7681" w:rsidRPr="00F9037E" w14:paraId="2FBEADC7" w14:textId="77777777" w:rsidTr="000633FC">
        <w:trPr>
          <w:trHeight w:val="282"/>
        </w:trPr>
        <w:tc>
          <w:tcPr>
            <w:tcW w:w="1133" w:type="dxa"/>
            <w:vMerge/>
            <w:tcBorders>
              <w:bottom w:val="single" w:sz="4" w:space="0" w:color="auto"/>
            </w:tcBorders>
          </w:tcPr>
          <w:p w14:paraId="5CBF727E" w14:textId="77777777" w:rsidR="00CB7681" w:rsidRPr="00F9037E" w:rsidRDefault="00CB7681" w:rsidP="000E64F3">
            <w:pPr>
              <w:spacing w:before="40" w:after="40"/>
              <w:rPr>
                <w:rFonts w:ascii="Arial" w:hAnsi="Arial"/>
                <w:sz w:val="18"/>
              </w:rPr>
            </w:pPr>
          </w:p>
        </w:tc>
        <w:tc>
          <w:tcPr>
            <w:tcW w:w="14318" w:type="dxa"/>
            <w:gridSpan w:val="15"/>
            <w:tcBorders>
              <w:bottom w:val="single" w:sz="4" w:space="0" w:color="auto"/>
            </w:tcBorders>
          </w:tcPr>
          <w:p w14:paraId="37983546" w14:textId="77777777" w:rsidR="00CB7681" w:rsidRPr="00F9037E" w:rsidRDefault="00CB7681" w:rsidP="000E64F3">
            <w:pPr>
              <w:spacing w:before="120" w:after="120"/>
              <w:jc w:val="both"/>
              <w:rPr>
                <w:rFonts w:ascii="Arial" w:hAnsi="Arial"/>
                <w:b/>
                <w:sz w:val="18"/>
              </w:rPr>
            </w:pPr>
            <w:r w:rsidRPr="00F9037E">
              <w:rPr>
                <w:rFonts w:ascii="Arial" w:hAnsi="Arial"/>
                <w:b/>
                <w:sz w:val="18"/>
              </w:rPr>
              <w:t>MBTOC Final</w:t>
            </w:r>
            <w:r w:rsidR="000E64F3" w:rsidRPr="00F9037E">
              <w:rPr>
                <w:rFonts w:ascii="Arial" w:hAnsi="Arial"/>
                <w:b/>
                <w:sz w:val="18"/>
              </w:rPr>
              <w:t xml:space="preserve"> </w:t>
            </w:r>
            <w:r w:rsidRPr="00F9037E">
              <w:rPr>
                <w:rFonts w:ascii="Arial" w:hAnsi="Arial"/>
                <w:b/>
                <w:sz w:val="18"/>
              </w:rPr>
              <w:t xml:space="preserve">Recommendation for 2017: </w:t>
            </w:r>
          </w:p>
          <w:p w14:paraId="65408EAD" w14:textId="503C9F0B" w:rsidR="00CB7681" w:rsidRPr="00F9037E" w:rsidRDefault="00CB7681" w:rsidP="000E64F3">
            <w:pPr>
              <w:spacing w:before="120" w:after="120"/>
              <w:jc w:val="both"/>
              <w:rPr>
                <w:rFonts w:ascii="Arial" w:hAnsi="Arial"/>
                <w:sz w:val="18"/>
              </w:rPr>
            </w:pPr>
            <w:r w:rsidRPr="00F9037E">
              <w:rPr>
                <w:rFonts w:ascii="Arial" w:hAnsi="Arial"/>
                <w:sz w:val="18"/>
              </w:rPr>
              <w:t xml:space="preserve">MBTOC recommends a reduced amount of 74.617 t of MB for this use in 2017. MBTOC has calculated the nomination based on the adoption of barrier films on 50% of the nomination area at the rate of </w:t>
            </w:r>
            <w:r w:rsidR="00CD3CBD" w:rsidRPr="00CD3CBD">
              <w:rPr>
                <w:rFonts w:ascii="Arial" w:hAnsi="Arial"/>
                <w:sz w:val="18"/>
              </w:rPr>
              <w:t>35 g</w:t>
            </w:r>
            <w:r w:rsidRPr="00F9037E">
              <w:rPr>
                <w:rFonts w:ascii="Arial" w:hAnsi="Arial"/>
                <w:sz w:val="18"/>
              </w:rPr>
              <w:t>/m</w:t>
            </w:r>
            <w:r w:rsidRPr="00F9037E">
              <w:rPr>
                <w:rFonts w:ascii="Arial" w:hAnsi="Arial"/>
                <w:sz w:val="18"/>
                <w:vertAlign w:val="superscript"/>
              </w:rPr>
              <w:t>2</w:t>
            </w:r>
            <w:r w:rsidRPr="00F9037E">
              <w:rPr>
                <w:rFonts w:ascii="Arial" w:hAnsi="Arial"/>
                <w:sz w:val="18"/>
              </w:rPr>
              <w:t xml:space="preserve">. </w:t>
            </w:r>
            <w:r w:rsidR="00CD3CBD" w:rsidRPr="00CD3CBD">
              <w:rPr>
                <w:rFonts w:ascii="Arial" w:hAnsi="Arial"/>
                <w:sz w:val="18"/>
              </w:rPr>
              <w:t>Without</w:t>
            </w:r>
            <w:r w:rsidRPr="00F9037E">
              <w:rPr>
                <w:rFonts w:ascii="Arial" w:hAnsi="Arial"/>
                <w:sz w:val="18"/>
              </w:rPr>
              <w:t xml:space="preserve"> VIF (229.59 ha x 0.5 x 35 g/m</w:t>
            </w:r>
            <w:r w:rsidRPr="00F9037E">
              <w:rPr>
                <w:rFonts w:ascii="Arial" w:hAnsi="Arial"/>
                <w:sz w:val="18"/>
                <w:vertAlign w:val="superscript"/>
              </w:rPr>
              <w:t>2</w:t>
            </w:r>
            <w:r w:rsidRPr="00F9037E">
              <w:rPr>
                <w:rFonts w:ascii="Arial" w:hAnsi="Arial"/>
                <w:sz w:val="18"/>
              </w:rPr>
              <w:t xml:space="preserve"> </w:t>
            </w:r>
            <w:r w:rsidR="00CD3CBD" w:rsidRPr="00CD3CBD">
              <w:rPr>
                <w:rFonts w:ascii="Arial" w:hAnsi="Arial"/>
                <w:sz w:val="18"/>
              </w:rPr>
              <w:t>= 40.178</w:t>
            </w:r>
            <w:r w:rsidRPr="00F9037E">
              <w:rPr>
                <w:rFonts w:ascii="Arial" w:hAnsi="Arial"/>
                <w:sz w:val="18"/>
              </w:rPr>
              <w:t xml:space="preserve"> </w:t>
            </w:r>
            <w:r w:rsidR="00CD3CBD" w:rsidRPr="00CD3CBD">
              <w:rPr>
                <w:rFonts w:ascii="Arial" w:hAnsi="Arial"/>
                <w:sz w:val="18"/>
              </w:rPr>
              <w:t>t) and</w:t>
            </w:r>
            <w:r w:rsidRPr="00F9037E">
              <w:rPr>
                <w:rFonts w:ascii="Arial" w:hAnsi="Arial"/>
                <w:sz w:val="18"/>
              </w:rPr>
              <w:t xml:space="preserve"> with VIF (229.59 ha x 0.5 x 30 g/m</w:t>
            </w:r>
            <w:r w:rsidRPr="00F9037E">
              <w:rPr>
                <w:rFonts w:ascii="Arial" w:hAnsi="Arial"/>
                <w:sz w:val="18"/>
                <w:vertAlign w:val="superscript"/>
              </w:rPr>
              <w:t xml:space="preserve">2 </w:t>
            </w:r>
            <w:r w:rsidRPr="00F9037E">
              <w:rPr>
                <w:rFonts w:ascii="Arial" w:hAnsi="Arial"/>
                <w:sz w:val="18"/>
              </w:rPr>
              <w:t xml:space="preserve">= </w:t>
            </w:r>
            <w:r w:rsidR="00CD3CBD" w:rsidRPr="00CD3CBD">
              <w:rPr>
                <w:rFonts w:ascii="Arial" w:hAnsi="Arial"/>
                <w:sz w:val="18"/>
              </w:rPr>
              <w:t>34.439 t)</w:t>
            </w:r>
            <w:r w:rsidRPr="00F9037E">
              <w:rPr>
                <w:rFonts w:ascii="Arial" w:hAnsi="Arial"/>
                <w:sz w:val="18"/>
              </w:rPr>
              <w:t>.</w:t>
            </w:r>
          </w:p>
          <w:p w14:paraId="78AE714A" w14:textId="77777777" w:rsidR="00CB7681" w:rsidRPr="00F9037E" w:rsidRDefault="00CB7681" w:rsidP="000E64F3">
            <w:pPr>
              <w:spacing w:before="120" w:after="120"/>
              <w:jc w:val="both"/>
              <w:rPr>
                <w:rFonts w:ascii="Arial" w:hAnsi="Arial"/>
                <w:sz w:val="18"/>
              </w:rPr>
            </w:pPr>
            <w:r w:rsidRPr="00F9037E">
              <w:rPr>
                <w:rFonts w:ascii="Arial" w:hAnsi="Arial"/>
                <w:sz w:val="18"/>
              </w:rPr>
              <w:t>Barrier films (TIF and VIF) are produced in China. MBTOC considers that can be used in open field. MBTOC considers that barrier films can be used in open field cultivation without any risk of wind degradation and used an average dosage rate (30g/m</w:t>
            </w:r>
            <w:r w:rsidRPr="00F9037E">
              <w:rPr>
                <w:rFonts w:ascii="Arial" w:hAnsi="Arial"/>
                <w:sz w:val="18"/>
                <w:vertAlign w:val="superscript"/>
              </w:rPr>
              <w:t>2</w:t>
            </w:r>
            <w:r w:rsidRPr="00F9037E">
              <w:rPr>
                <w:rFonts w:ascii="Arial" w:hAnsi="Arial"/>
                <w:sz w:val="18"/>
              </w:rPr>
              <w:t>) according to MBTOC’s standard presumptions for sandy and heavy soils and to meet the requirements of Decision IX/6 to minimize emissions.</w:t>
            </w:r>
          </w:p>
          <w:p w14:paraId="573D1A0B" w14:textId="77777777" w:rsidR="00CB7681" w:rsidRPr="00F9037E" w:rsidRDefault="00CB7681" w:rsidP="000E64F3">
            <w:pPr>
              <w:spacing w:after="120"/>
              <w:jc w:val="both"/>
              <w:rPr>
                <w:rFonts w:ascii="Arial" w:hAnsi="Arial"/>
                <w:b/>
                <w:sz w:val="18"/>
              </w:rPr>
            </w:pPr>
            <w:r w:rsidRPr="00F9037E">
              <w:rPr>
                <w:rFonts w:ascii="Arial" w:hAnsi="Arial"/>
                <w:b/>
                <w:sz w:val="18"/>
              </w:rPr>
              <w:t xml:space="preserve">Nomination by the Party for 2017: </w:t>
            </w:r>
          </w:p>
          <w:p w14:paraId="5E1D0311" w14:textId="60469178" w:rsidR="00CB7681" w:rsidRPr="00F9037E" w:rsidRDefault="00CB7681" w:rsidP="000E64F3">
            <w:pPr>
              <w:spacing w:after="120"/>
              <w:jc w:val="both"/>
              <w:rPr>
                <w:rFonts w:ascii="Arial" w:hAnsi="Arial"/>
                <w:sz w:val="18"/>
              </w:rPr>
            </w:pPr>
            <w:r w:rsidRPr="00F9037E">
              <w:rPr>
                <w:rFonts w:ascii="Arial" w:hAnsi="Arial"/>
                <w:sz w:val="18"/>
              </w:rPr>
              <w:t>China nominated 78.75 tonnes of MB as a critical use for 2017, for open field ginger production on an area of 229.59 ha at a rate of 35g/m</w:t>
            </w:r>
            <w:r w:rsidRPr="00F9037E">
              <w:rPr>
                <w:rFonts w:ascii="Arial" w:hAnsi="Arial"/>
                <w:sz w:val="18"/>
                <w:vertAlign w:val="superscript"/>
              </w:rPr>
              <w:t>2</w:t>
            </w:r>
            <w:r w:rsidRPr="00F9037E">
              <w:rPr>
                <w:rFonts w:ascii="Arial" w:hAnsi="Arial"/>
                <w:sz w:val="18"/>
              </w:rPr>
              <w:t xml:space="preserve"> without VIF.</w:t>
            </w:r>
            <w:r w:rsidR="00CD3CBD">
              <w:rPr>
                <w:rFonts w:ascii="Arial" w:hAnsi="Arial"/>
                <w:sz w:val="18"/>
              </w:rPr>
              <w:t xml:space="preserve"> </w:t>
            </w:r>
            <w:r w:rsidRPr="00F9037E">
              <w:rPr>
                <w:rFonts w:ascii="Arial" w:hAnsi="Arial"/>
                <w:sz w:val="18"/>
              </w:rPr>
              <w:t xml:space="preserve">The target pests are, </w:t>
            </w:r>
            <w:proofErr w:type="spellStart"/>
            <w:r w:rsidRPr="00F9037E">
              <w:rPr>
                <w:rFonts w:ascii="Arial" w:hAnsi="Arial"/>
                <w:i/>
                <w:sz w:val="18"/>
              </w:rPr>
              <w:t>Ralstonia</w:t>
            </w:r>
            <w:proofErr w:type="spellEnd"/>
            <w:r w:rsidRPr="00F9037E">
              <w:rPr>
                <w:rFonts w:ascii="Arial" w:hAnsi="Arial"/>
                <w:i/>
                <w:sz w:val="18"/>
              </w:rPr>
              <w:t xml:space="preserve"> </w:t>
            </w:r>
            <w:proofErr w:type="spellStart"/>
            <w:r w:rsidRPr="00F9037E">
              <w:rPr>
                <w:rFonts w:ascii="Arial" w:hAnsi="Arial"/>
                <w:i/>
                <w:sz w:val="18"/>
              </w:rPr>
              <w:t>solanacearum</w:t>
            </w:r>
            <w:proofErr w:type="spellEnd"/>
            <w:r w:rsidRPr="00F9037E">
              <w:rPr>
                <w:rFonts w:ascii="Arial" w:hAnsi="Arial"/>
                <w:sz w:val="18"/>
              </w:rPr>
              <w:t xml:space="preserve">, </w:t>
            </w:r>
            <w:r w:rsidRPr="00F9037E">
              <w:rPr>
                <w:rFonts w:ascii="Arial" w:hAnsi="Arial"/>
                <w:i/>
                <w:sz w:val="18"/>
              </w:rPr>
              <w:t xml:space="preserve">Pythium </w:t>
            </w:r>
            <w:r w:rsidRPr="00A372D3">
              <w:rPr>
                <w:rFonts w:ascii="Arial" w:hAnsi="Arial"/>
                <w:sz w:val="18"/>
              </w:rPr>
              <w:t>spp.</w:t>
            </w:r>
            <w:r w:rsidRPr="00F9037E">
              <w:rPr>
                <w:rFonts w:ascii="Arial" w:hAnsi="Arial"/>
                <w:sz w:val="18"/>
              </w:rPr>
              <w:t xml:space="preserve"> </w:t>
            </w:r>
            <w:proofErr w:type="spellStart"/>
            <w:r w:rsidRPr="00F9037E">
              <w:rPr>
                <w:rFonts w:ascii="Arial" w:hAnsi="Arial"/>
                <w:i/>
                <w:sz w:val="18"/>
              </w:rPr>
              <w:t>Meloidogyne</w:t>
            </w:r>
            <w:proofErr w:type="spellEnd"/>
            <w:r w:rsidRPr="00F9037E">
              <w:rPr>
                <w:rFonts w:ascii="Arial" w:hAnsi="Arial"/>
                <w:i/>
                <w:sz w:val="18"/>
              </w:rPr>
              <w:t xml:space="preserve"> </w:t>
            </w:r>
            <w:r w:rsidRPr="00A372D3">
              <w:rPr>
                <w:rFonts w:ascii="Arial" w:hAnsi="Arial"/>
                <w:sz w:val="18"/>
              </w:rPr>
              <w:t>spp.</w:t>
            </w:r>
            <w:r w:rsidR="00A372D3">
              <w:rPr>
                <w:rFonts w:ascii="Arial" w:hAnsi="Arial"/>
                <w:sz w:val="18"/>
              </w:rPr>
              <w:t xml:space="preserve"> </w:t>
            </w:r>
            <w:r w:rsidRPr="00F9037E">
              <w:rPr>
                <w:rFonts w:ascii="Arial" w:hAnsi="Arial"/>
                <w:sz w:val="18"/>
              </w:rPr>
              <w:t>and</w:t>
            </w:r>
            <w:r w:rsidR="00A372D3">
              <w:rPr>
                <w:rFonts w:ascii="Arial" w:hAnsi="Arial"/>
                <w:sz w:val="18"/>
              </w:rPr>
              <w:t xml:space="preserve"> </w:t>
            </w:r>
            <w:proofErr w:type="spellStart"/>
            <w:r w:rsidRPr="00F9037E">
              <w:rPr>
                <w:rFonts w:ascii="Arial" w:hAnsi="Arial"/>
                <w:i/>
                <w:sz w:val="18"/>
              </w:rPr>
              <w:t>Cyperus</w:t>
            </w:r>
            <w:proofErr w:type="spellEnd"/>
            <w:r w:rsidRPr="00F9037E">
              <w:rPr>
                <w:rFonts w:ascii="Arial" w:hAnsi="Arial"/>
                <w:i/>
                <w:sz w:val="18"/>
              </w:rPr>
              <w:t xml:space="preserve"> </w:t>
            </w:r>
            <w:proofErr w:type="spellStart"/>
            <w:r w:rsidRPr="00F9037E">
              <w:rPr>
                <w:rFonts w:ascii="Arial" w:hAnsi="Arial"/>
                <w:i/>
                <w:sz w:val="18"/>
              </w:rPr>
              <w:t>rotundus</w:t>
            </w:r>
            <w:proofErr w:type="spellEnd"/>
            <w:r w:rsidRPr="00F9037E">
              <w:rPr>
                <w:rFonts w:ascii="Arial" w:hAnsi="Arial"/>
                <w:sz w:val="18"/>
              </w:rPr>
              <w:t xml:space="preserve">. MB is used in regions where soil-borne pathogen pressure is high and this only represents a small percentage (0.30%) of the total ginger cropping area. The request is only for ginger grown in the Shandong region where this crop is grown continuously and where pest pressure is high. </w:t>
            </w:r>
          </w:p>
          <w:p w14:paraId="1A0B92AC" w14:textId="77777777" w:rsidR="00CB7681" w:rsidRPr="00F9037E" w:rsidRDefault="00CB7681" w:rsidP="000E64F3">
            <w:pPr>
              <w:spacing w:after="120"/>
              <w:jc w:val="both"/>
              <w:rPr>
                <w:rFonts w:ascii="Arial" w:hAnsi="Arial"/>
                <w:b/>
                <w:sz w:val="18"/>
              </w:rPr>
            </w:pPr>
            <w:r w:rsidRPr="00F9037E">
              <w:rPr>
                <w:rFonts w:ascii="Arial" w:hAnsi="Arial"/>
                <w:b/>
                <w:sz w:val="18"/>
              </w:rPr>
              <w:t xml:space="preserve">Circumstances of the nomination by the Party: </w:t>
            </w:r>
          </w:p>
          <w:p w14:paraId="49068EC0" w14:textId="77777777" w:rsidR="00CB7681" w:rsidRPr="00F9037E" w:rsidRDefault="00CB7681" w:rsidP="000E64F3">
            <w:pPr>
              <w:spacing w:after="120"/>
              <w:jc w:val="both"/>
              <w:rPr>
                <w:rFonts w:ascii="Arial" w:hAnsi="Arial"/>
                <w:sz w:val="18"/>
              </w:rPr>
            </w:pPr>
            <w:r w:rsidRPr="00F9037E">
              <w:rPr>
                <w:rFonts w:ascii="Arial" w:hAnsi="Arial"/>
                <w:sz w:val="18"/>
              </w:rPr>
              <w:t xml:space="preserve">China submitted a National Management Strategy to completely phase out MB in 2019. The Chinese government is encouraging research and development of new MB alternatives, speeding the registration process for chemical to completely phase out MB by 2019. </w:t>
            </w:r>
          </w:p>
          <w:p w14:paraId="1B9F336B" w14:textId="77777777" w:rsidR="00CB7681" w:rsidRPr="00F9037E" w:rsidRDefault="00CB7681" w:rsidP="000E64F3">
            <w:pPr>
              <w:spacing w:after="120"/>
              <w:jc w:val="both"/>
              <w:rPr>
                <w:rFonts w:ascii="Arial" w:hAnsi="Arial"/>
                <w:sz w:val="18"/>
              </w:rPr>
            </w:pPr>
            <w:r w:rsidRPr="00F9037E">
              <w:rPr>
                <w:rFonts w:ascii="Arial" w:hAnsi="Arial"/>
                <w:sz w:val="18"/>
              </w:rPr>
              <w:t>China is using small disposable canisters of MB (681 g/canister), using standard polyethylene films. MB is applied in canisters (98:2), as cold gas at a rate of 35g/m</w:t>
            </w:r>
            <w:r w:rsidRPr="00F9037E">
              <w:rPr>
                <w:rFonts w:ascii="Arial" w:hAnsi="Arial"/>
                <w:sz w:val="18"/>
                <w:vertAlign w:val="superscript"/>
              </w:rPr>
              <w:t>2</w:t>
            </w:r>
            <w:r w:rsidRPr="00F9037E">
              <w:rPr>
                <w:rFonts w:ascii="Arial" w:hAnsi="Arial"/>
                <w:sz w:val="18"/>
              </w:rPr>
              <w:t xml:space="preserve">, which is below the rate registered in China. According to the Party, chloropicrin is the only chemical alternative registered in China for this sector. Chloropicrin did not provide effective control of </w:t>
            </w:r>
            <w:proofErr w:type="spellStart"/>
            <w:r w:rsidRPr="00F9037E">
              <w:rPr>
                <w:rFonts w:ascii="Arial" w:hAnsi="Arial"/>
                <w:i/>
                <w:sz w:val="18"/>
              </w:rPr>
              <w:t>Meloidogyne</w:t>
            </w:r>
            <w:proofErr w:type="spellEnd"/>
            <w:r w:rsidRPr="00F9037E">
              <w:rPr>
                <w:rFonts w:ascii="Arial" w:hAnsi="Arial"/>
                <w:i/>
                <w:sz w:val="18"/>
              </w:rPr>
              <w:t xml:space="preserve"> </w:t>
            </w:r>
            <w:proofErr w:type="spellStart"/>
            <w:r w:rsidRPr="00F9037E">
              <w:rPr>
                <w:rFonts w:ascii="Arial" w:hAnsi="Arial"/>
                <w:i/>
                <w:sz w:val="18"/>
              </w:rPr>
              <w:t>spp</w:t>
            </w:r>
            <w:proofErr w:type="spellEnd"/>
            <w:r w:rsidRPr="00F9037E">
              <w:rPr>
                <w:rFonts w:ascii="Arial" w:hAnsi="Arial"/>
                <w:sz w:val="18"/>
              </w:rPr>
              <w:t xml:space="preserve"> and </w:t>
            </w:r>
            <w:proofErr w:type="spellStart"/>
            <w:r w:rsidRPr="00F9037E">
              <w:rPr>
                <w:rFonts w:ascii="Arial" w:hAnsi="Arial"/>
                <w:i/>
                <w:sz w:val="18"/>
              </w:rPr>
              <w:t>Cyperus</w:t>
            </w:r>
            <w:proofErr w:type="spellEnd"/>
            <w:r w:rsidRPr="00F9037E">
              <w:rPr>
                <w:rFonts w:ascii="Arial" w:hAnsi="Arial"/>
                <w:i/>
                <w:sz w:val="18"/>
              </w:rPr>
              <w:t xml:space="preserve"> </w:t>
            </w:r>
            <w:proofErr w:type="spellStart"/>
            <w:r w:rsidRPr="00F9037E">
              <w:rPr>
                <w:rFonts w:ascii="Arial" w:hAnsi="Arial"/>
                <w:i/>
                <w:sz w:val="18"/>
              </w:rPr>
              <w:t>rotundus</w:t>
            </w:r>
            <w:proofErr w:type="spellEnd"/>
            <w:r w:rsidRPr="00F9037E">
              <w:rPr>
                <w:rFonts w:ascii="Arial" w:hAnsi="Arial"/>
                <w:sz w:val="18"/>
              </w:rPr>
              <w:t xml:space="preserve">. In addition, chloropicrin causes </w:t>
            </w:r>
            <w:proofErr w:type="spellStart"/>
            <w:r w:rsidRPr="00F9037E">
              <w:rPr>
                <w:rFonts w:ascii="Arial" w:hAnsi="Arial"/>
                <w:sz w:val="18"/>
              </w:rPr>
              <w:t>phytotoxicity</w:t>
            </w:r>
            <w:proofErr w:type="spellEnd"/>
            <w:r w:rsidRPr="00F9037E">
              <w:rPr>
                <w:rFonts w:ascii="Arial" w:hAnsi="Arial"/>
                <w:sz w:val="18"/>
              </w:rPr>
              <w:t xml:space="preserve"> and needs longer fumigation time forcing farmers to postpone the planting time which affects yield, quality and market windows. However a recent study confirms that chloropicrin is a promising alternative with good efficacy against </w:t>
            </w:r>
            <w:proofErr w:type="spellStart"/>
            <w:r w:rsidRPr="00F9037E">
              <w:rPr>
                <w:rFonts w:ascii="Arial" w:hAnsi="Arial"/>
                <w:i/>
                <w:sz w:val="18"/>
              </w:rPr>
              <w:t>Ralstonia</w:t>
            </w:r>
            <w:proofErr w:type="spellEnd"/>
            <w:r w:rsidR="00CD3CBD" w:rsidRPr="00F9037E">
              <w:rPr>
                <w:rFonts w:ascii="Arial" w:hAnsi="Arial"/>
                <w:i/>
                <w:sz w:val="18"/>
              </w:rPr>
              <w:t xml:space="preserve"> </w:t>
            </w:r>
            <w:proofErr w:type="spellStart"/>
            <w:r w:rsidRPr="00F9037E">
              <w:rPr>
                <w:rFonts w:ascii="Arial" w:hAnsi="Arial"/>
                <w:i/>
                <w:sz w:val="18"/>
              </w:rPr>
              <w:t>solanacearum</w:t>
            </w:r>
            <w:proofErr w:type="spellEnd"/>
            <w:r w:rsidRPr="00F9037E">
              <w:rPr>
                <w:rFonts w:ascii="Arial" w:hAnsi="Arial"/>
                <w:sz w:val="18"/>
              </w:rPr>
              <w:t>, which can be used successfully in integrated pest management programmes in China (Mao</w:t>
            </w:r>
            <w:r w:rsidRPr="00F9037E">
              <w:rPr>
                <w:rFonts w:ascii="Arial" w:hAnsi="Arial"/>
                <w:i/>
                <w:sz w:val="18"/>
              </w:rPr>
              <w:t xml:space="preserve"> et al.,</w:t>
            </w:r>
            <w:r w:rsidRPr="00F9037E">
              <w:rPr>
                <w:rFonts w:ascii="Arial" w:hAnsi="Arial"/>
                <w:sz w:val="18"/>
              </w:rPr>
              <w:t xml:space="preserve"> 2014). </w:t>
            </w:r>
          </w:p>
          <w:p w14:paraId="45845747" w14:textId="531439D1" w:rsidR="00CB7681" w:rsidRPr="00F9037E" w:rsidRDefault="00CB7681" w:rsidP="000E64F3">
            <w:pPr>
              <w:jc w:val="both"/>
              <w:rPr>
                <w:rFonts w:ascii="Arial" w:hAnsi="Arial"/>
                <w:sz w:val="18"/>
              </w:rPr>
            </w:pPr>
            <w:r w:rsidRPr="00F9037E">
              <w:rPr>
                <w:rFonts w:ascii="Arial" w:hAnsi="Arial"/>
                <w:sz w:val="18"/>
              </w:rPr>
              <w:t>In spite of their proven efficacy, other chemical alternatives, 1</w:t>
            </w:r>
            <w:proofErr w:type="gramStart"/>
            <w:r w:rsidRPr="00F9037E">
              <w:rPr>
                <w:rFonts w:ascii="Arial" w:hAnsi="Arial"/>
                <w:sz w:val="18"/>
              </w:rPr>
              <w:t>,3</w:t>
            </w:r>
            <w:proofErr w:type="gramEnd"/>
            <w:r w:rsidRPr="00F9037E">
              <w:rPr>
                <w:rFonts w:ascii="Arial" w:hAnsi="Arial"/>
                <w:sz w:val="18"/>
              </w:rPr>
              <w:t xml:space="preserve">-dichloropropene, </w:t>
            </w:r>
            <w:proofErr w:type="spellStart"/>
            <w:r w:rsidRPr="00F9037E">
              <w:rPr>
                <w:rFonts w:ascii="Arial" w:hAnsi="Arial"/>
                <w:sz w:val="18"/>
              </w:rPr>
              <w:t>dazomet</w:t>
            </w:r>
            <w:proofErr w:type="spellEnd"/>
            <w:r w:rsidRPr="00F9037E">
              <w:rPr>
                <w:rFonts w:ascii="Arial" w:hAnsi="Arial"/>
                <w:sz w:val="18"/>
              </w:rPr>
              <w:t xml:space="preserve">, </w:t>
            </w:r>
            <w:proofErr w:type="spellStart"/>
            <w:r w:rsidRPr="00F9037E">
              <w:rPr>
                <w:rFonts w:ascii="Arial" w:hAnsi="Arial"/>
                <w:sz w:val="18"/>
              </w:rPr>
              <w:t>iodomethane</w:t>
            </w:r>
            <w:proofErr w:type="spellEnd"/>
            <w:r w:rsidRPr="00F9037E">
              <w:rPr>
                <w:rFonts w:ascii="Arial" w:hAnsi="Arial"/>
                <w:sz w:val="18"/>
              </w:rPr>
              <w:t xml:space="preserve">, </w:t>
            </w:r>
            <w:proofErr w:type="spellStart"/>
            <w:r w:rsidRPr="00F9037E">
              <w:rPr>
                <w:rFonts w:ascii="Arial" w:hAnsi="Arial"/>
                <w:sz w:val="18"/>
              </w:rPr>
              <w:t>metham</w:t>
            </w:r>
            <w:proofErr w:type="spellEnd"/>
            <w:r w:rsidRPr="00F9037E">
              <w:rPr>
                <w:rFonts w:ascii="Arial" w:hAnsi="Arial"/>
                <w:sz w:val="18"/>
              </w:rPr>
              <w:t xml:space="preserve"> sodium, dimethyl </w:t>
            </w:r>
            <w:proofErr w:type="spellStart"/>
            <w:r w:rsidRPr="00F9037E">
              <w:rPr>
                <w:rFonts w:ascii="Arial" w:hAnsi="Arial"/>
                <w:sz w:val="18"/>
              </w:rPr>
              <w:t>disulfide</w:t>
            </w:r>
            <w:proofErr w:type="spellEnd"/>
            <w:r w:rsidRPr="00F9037E">
              <w:rPr>
                <w:rFonts w:ascii="Arial" w:hAnsi="Arial"/>
                <w:sz w:val="18"/>
              </w:rPr>
              <w:t xml:space="preserve"> and </w:t>
            </w:r>
            <w:proofErr w:type="spellStart"/>
            <w:r w:rsidRPr="00F9037E">
              <w:rPr>
                <w:rFonts w:ascii="Arial" w:hAnsi="Arial"/>
                <w:sz w:val="18"/>
              </w:rPr>
              <w:t>sulfuryl</w:t>
            </w:r>
            <w:proofErr w:type="spellEnd"/>
            <w:r w:rsidRPr="00F9037E">
              <w:rPr>
                <w:rFonts w:ascii="Arial" w:hAnsi="Arial"/>
                <w:sz w:val="18"/>
              </w:rPr>
              <w:t xml:space="preserve"> fluoride are not registered for use in this sector in China. SF however has been shown to control root-knot nematodes and to reduce the levels of key soil pathogens in research trials (Cao</w:t>
            </w:r>
            <w:r w:rsidRPr="00F9037E">
              <w:rPr>
                <w:rFonts w:ascii="Arial" w:hAnsi="Arial"/>
                <w:i/>
                <w:sz w:val="18"/>
              </w:rPr>
              <w:t xml:space="preserve"> et al.,</w:t>
            </w:r>
            <w:r w:rsidRPr="00F9037E">
              <w:rPr>
                <w:rFonts w:ascii="Arial" w:hAnsi="Arial"/>
                <w:sz w:val="18"/>
              </w:rPr>
              <w:t xml:space="preserve"> 2014). Chloropicrin and 1</w:t>
            </w:r>
            <w:proofErr w:type="gramStart"/>
            <w:r w:rsidRPr="00F9037E">
              <w:rPr>
                <w:rFonts w:ascii="Arial" w:hAnsi="Arial"/>
                <w:sz w:val="18"/>
              </w:rPr>
              <w:t>,3</w:t>
            </w:r>
            <w:proofErr w:type="gramEnd"/>
            <w:r w:rsidRPr="00F9037E">
              <w:rPr>
                <w:rFonts w:ascii="Arial" w:hAnsi="Arial"/>
                <w:sz w:val="18"/>
              </w:rPr>
              <w:t xml:space="preserve">- D have been formulated in capsules for trial work (Wang </w:t>
            </w:r>
            <w:r w:rsidRPr="00F9037E">
              <w:rPr>
                <w:rFonts w:ascii="Arial" w:hAnsi="Arial"/>
                <w:i/>
                <w:sz w:val="18"/>
              </w:rPr>
              <w:t>et al.,</w:t>
            </w:r>
            <w:r w:rsidRPr="00F9037E">
              <w:rPr>
                <w:rFonts w:ascii="Arial" w:hAnsi="Arial"/>
                <w:sz w:val="18"/>
              </w:rPr>
              <w:t xml:space="preserve"> 2013). Trials with Pic are encouraging (Mao </w:t>
            </w:r>
            <w:r w:rsidRPr="00F9037E">
              <w:rPr>
                <w:rFonts w:ascii="Arial" w:hAnsi="Arial"/>
                <w:i/>
                <w:sz w:val="18"/>
              </w:rPr>
              <w:t>et al.,</w:t>
            </w:r>
            <w:r w:rsidRPr="00F9037E">
              <w:rPr>
                <w:rFonts w:ascii="Arial" w:hAnsi="Arial"/>
                <w:sz w:val="18"/>
              </w:rPr>
              <w:t xml:space="preserve"> 2014). The tested 1</w:t>
            </w:r>
            <w:proofErr w:type="gramStart"/>
            <w:r w:rsidRPr="00F9037E">
              <w:rPr>
                <w:rFonts w:ascii="Arial" w:hAnsi="Arial"/>
                <w:sz w:val="18"/>
              </w:rPr>
              <w:t>,3</w:t>
            </w:r>
            <w:proofErr w:type="gramEnd"/>
            <w:r w:rsidRPr="00F9037E">
              <w:rPr>
                <w:rFonts w:ascii="Arial" w:hAnsi="Arial"/>
                <w:sz w:val="18"/>
              </w:rPr>
              <w:t xml:space="preserve">-D/Pic capsule formulation provides a promising method for soil pest and disease control, which at the same </w:t>
            </w:r>
            <w:r w:rsidR="00CD3CBD" w:rsidRPr="00CD3CBD">
              <w:rPr>
                <w:rFonts w:ascii="Arial" w:hAnsi="Arial"/>
                <w:sz w:val="18"/>
              </w:rPr>
              <w:t>time reduces</w:t>
            </w:r>
            <w:r w:rsidRPr="00F9037E">
              <w:rPr>
                <w:rFonts w:ascii="Arial" w:hAnsi="Arial"/>
                <w:sz w:val="18"/>
              </w:rPr>
              <w:t xml:space="preserve"> environmental emissions and potential human exposure in greenhouse production of vegetables (Wang </w:t>
            </w:r>
            <w:r w:rsidRPr="00F9037E">
              <w:rPr>
                <w:rFonts w:ascii="Arial" w:hAnsi="Arial"/>
                <w:i/>
                <w:sz w:val="18"/>
              </w:rPr>
              <w:t>et al.,</w:t>
            </w:r>
            <w:r w:rsidRPr="00F9037E">
              <w:rPr>
                <w:rFonts w:ascii="Arial" w:hAnsi="Arial"/>
                <w:sz w:val="18"/>
              </w:rPr>
              <w:t xml:space="preserve"> 2013). </w:t>
            </w:r>
            <w:proofErr w:type="spellStart"/>
            <w:r w:rsidRPr="00F9037E">
              <w:rPr>
                <w:rFonts w:ascii="Arial" w:hAnsi="Arial"/>
                <w:sz w:val="18"/>
              </w:rPr>
              <w:t>Telone</w:t>
            </w:r>
            <w:proofErr w:type="spellEnd"/>
            <w:r w:rsidRPr="00F9037E">
              <w:rPr>
                <w:rFonts w:ascii="Arial" w:hAnsi="Arial"/>
                <w:sz w:val="18"/>
              </w:rPr>
              <w:t xml:space="preserve"> C-35 is an excellent MB alternative and has provided acceptable weed control efficacy (</w:t>
            </w:r>
            <w:proofErr w:type="spellStart"/>
            <w:r w:rsidRPr="00F9037E">
              <w:rPr>
                <w:rFonts w:ascii="Arial" w:hAnsi="Arial"/>
                <w:sz w:val="18"/>
              </w:rPr>
              <w:t>Jiet</w:t>
            </w:r>
            <w:proofErr w:type="spellEnd"/>
            <w:r w:rsidR="00CD3CBD">
              <w:rPr>
                <w:rFonts w:ascii="Arial" w:hAnsi="Arial"/>
                <w:sz w:val="18"/>
              </w:rPr>
              <w:t xml:space="preserve"> </w:t>
            </w:r>
            <w:r w:rsidRPr="00F9037E">
              <w:rPr>
                <w:rFonts w:ascii="Arial" w:hAnsi="Arial"/>
                <w:i/>
                <w:sz w:val="18"/>
              </w:rPr>
              <w:t>et al.,</w:t>
            </w:r>
            <w:r w:rsidRPr="00F9037E">
              <w:rPr>
                <w:rFonts w:ascii="Arial" w:hAnsi="Arial"/>
                <w:sz w:val="18"/>
              </w:rPr>
              <w:t xml:space="preserve"> 2013, </w:t>
            </w:r>
            <w:proofErr w:type="spellStart"/>
            <w:r w:rsidRPr="00F9037E">
              <w:rPr>
                <w:rFonts w:ascii="Arial" w:hAnsi="Arial"/>
                <w:i/>
                <w:sz w:val="18"/>
              </w:rPr>
              <w:t>Qiao</w:t>
            </w:r>
            <w:proofErr w:type="spellEnd"/>
            <w:r w:rsidR="00CD3CBD">
              <w:rPr>
                <w:rFonts w:ascii="Arial" w:hAnsi="Arial"/>
                <w:i/>
                <w:sz w:val="18"/>
              </w:rPr>
              <w:t xml:space="preserve"> </w:t>
            </w:r>
            <w:r w:rsidRPr="00F9037E">
              <w:rPr>
                <w:rFonts w:ascii="Arial" w:hAnsi="Arial"/>
                <w:i/>
                <w:sz w:val="18"/>
              </w:rPr>
              <w:t>et al.</w:t>
            </w:r>
            <w:r w:rsidRPr="00F9037E">
              <w:rPr>
                <w:rFonts w:ascii="Arial" w:hAnsi="Arial"/>
                <w:sz w:val="18"/>
              </w:rPr>
              <w:t xml:space="preserve"> 2012), but this formulation is not registered. Results of the experiment on Pic + 1,3-D conducted in 2015 and reported in 2016 CUN shows that the marketable yield obtained with </w:t>
            </w:r>
            <w:proofErr w:type="spellStart"/>
            <w:r w:rsidRPr="00F9037E">
              <w:rPr>
                <w:rFonts w:ascii="Arial" w:hAnsi="Arial"/>
                <w:sz w:val="18"/>
              </w:rPr>
              <w:t>Telone</w:t>
            </w:r>
            <w:proofErr w:type="spellEnd"/>
            <w:r w:rsidRPr="00F9037E">
              <w:rPr>
                <w:rFonts w:ascii="Arial" w:hAnsi="Arial"/>
                <w:sz w:val="18"/>
              </w:rPr>
              <w:t xml:space="preserve"> </w:t>
            </w:r>
            <w:r w:rsidR="00CD3CBD" w:rsidRPr="00CD3CBD">
              <w:rPr>
                <w:rFonts w:ascii="Arial" w:hAnsi="Arial"/>
                <w:sz w:val="18"/>
              </w:rPr>
              <w:t>C35 is</w:t>
            </w:r>
            <w:r w:rsidRPr="00F9037E">
              <w:rPr>
                <w:rFonts w:ascii="Arial" w:hAnsi="Arial"/>
                <w:sz w:val="18"/>
              </w:rPr>
              <w:t xml:space="preserve"> lower that the yield obtained with MB</w:t>
            </w:r>
          </w:p>
          <w:p w14:paraId="01151C9B" w14:textId="3A621BCC" w:rsidR="00CB7681" w:rsidRPr="00F9037E" w:rsidRDefault="00CB7681" w:rsidP="000E64F3">
            <w:pPr>
              <w:jc w:val="both"/>
              <w:rPr>
                <w:rFonts w:ascii="Arial" w:hAnsi="Arial"/>
                <w:sz w:val="18"/>
              </w:rPr>
            </w:pPr>
            <w:r w:rsidRPr="00F9037E">
              <w:rPr>
                <w:rFonts w:ascii="Arial" w:hAnsi="Arial"/>
                <w:sz w:val="18"/>
              </w:rPr>
              <w:t xml:space="preserve">According to the Party, non-chemical alternatives (crop rotation, bio-fumigation, </w:t>
            </w:r>
            <w:r w:rsidR="00CD3CBD" w:rsidRPr="00CD3CBD">
              <w:rPr>
                <w:rFonts w:ascii="Arial" w:hAnsi="Arial"/>
                <w:sz w:val="18"/>
              </w:rPr>
              <w:t>solarisation</w:t>
            </w:r>
            <w:r w:rsidRPr="00F9037E">
              <w:rPr>
                <w:rFonts w:ascii="Arial" w:hAnsi="Arial"/>
                <w:sz w:val="18"/>
              </w:rPr>
              <w:t xml:space="preserve">, steaming, </w:t>
            </w:r>
            <w:proofErr w:type="gramStart"/>
            <w:r w:rsidRPr="00F9037E">
              <w:rPr>
                <w:rFonts w:ascii="Arial" w:hAnsi="Arial"/>
                <w:sz w:val="18"/>
              </w:rPr>
              <w:t>soil</w:t>
            </w:r>
            <w:proofErr w:type="gramEnd"/>
            <w:r w:rsidRPr="00F9037E">
              <w:rPr>
                <w:rFonts w:ascii="Arial" w:hAnsi="Arial"/>
                <w:sz w:val="18"/>
              </w:rPr>
              <w:t xml:space="preserve"> less) are not technically and economically feasible when used alone but may be useful in an IPM program.  Preliminary results obtained when using soilless cultures have shown that the marketable yields obtained are lower that the yields obtained with MB. </w:t>
            </w:r>
          </w:p>
          <w:p w14:paraId="21F729AC" w14:textId="52CFD07A" w:rsidR="00CB7681" w:rsidRPr="00F9037E" w:rsidRDefault="00CB7681" w:rsidP="000E64F3">
            <w:pPr>
              <w:jc w:val="both"/>
              <w:rPr>
                <w:rFonts w:ascii="Arial" w:hAnsi="Arial"/>
                <w:sz w:val="18"/>
              </w:rPr>
            </w:pPr>
            <w:r w:rsidRPr="00F9037E">
              <w:rPr>
                <w:rFonts w:ascii="Arial" w:hAnsi="Arial"/>
                <w:sz w:val="18"/>
              </w:rPr>
              <w:t xml:space="preserve">Barrier films are produced in China but are not used. MBTOC considers that their use is possible in ginger open </w:t>
            </w:r>
            <w:r w:rsidR="00CD3CBD" w:rsidRPr="00CD3CBD">
              <w:rPr>
                <w:rFonts w:ascii="Arial" w:hAnsi="Arial"/>
                <w:sz w:val="18"/>
              </w:rPr>
              <w:t>field cultivation</w:t>
            </w:r>
            <w:r w:rsidRPr="00F9037E">
              <w:rPr>
                <w:rFonts w:ascii="Arial" w:hAnsi="Arial"/>
                <w:sz w:val="18"/>
              </w:rPr>
              <w:t>.</w:t>
            </w:r>
          </w:p>
          <w:p w14:paraId="4160DAD7" w14:textId="77777777" w:rsidR="0082102E" w:rsidRDefault="0082102E" w:rsidP="0082102E">
            <w:pPr>
              <w:keepNext/>
              <w:keepLines/>
              <w:spacing w:after="120"/>
              <w:jc w:val="both"/>
              <w:rPr>
                <w:rFonts w:ascii="Arial" w:hAnsi="Arial"/>
                <w:b/>
                <w:sz w:val="18"/>
              </w:rPr>
            </w:pPr>
          </w:p>
          <w:p w14:paraId="3BB838B5" w14:textId="77777777" w:rsidR="0082102E" w:rsidRDefault="0082102E" w:rsidP="0082102E">
            <w:pPr>
              <w:keepNext/>
              <w:keepLines/>
              <w:spacing w:after="120"/>
              <w:jc w:val="both"/>
              <w:rPr>
                <w:rFonts w:ascii="Arial" w:hAnsi="Arial"/>
                <w:b/>
                <w:sz w:val="18"/>
              </w:rPr>
            </w:pPr>
          </w:p>
          <w:p w14:paraId="22066A47" w14:textId="2D696014" w:rsidR="00CB7681" w:rsidRPr="00F9037E" w:rsidRDefault="0082102E" w:rsidP="0082102E">
            <w:pPr>
              <w:keepNext/>
              <w:keepLines/>
              <w:spacing w:before="120" w:after="120"/>
              <w:jc w:val="both"/>
              <w:rPr>
                <w:rFonts w:ascii="Arial" w:hAnsi="Arial"/>
                <w:b/>
                <w:sz w:val="18"/>
              </w:rPr>
            </w:pPr>
            <w:r>
              <w:rPr>
                <w:rFonts w:ascii="Arial" w:hAnsi="Arial"/>
                <w:b/>
                <w:sz w:val="18"/>
              </w:rPr>
              <w:br/>
            </w:r>
            <w:r w:rsidR="00CB7681" w:rsidRPr="00F9037E">
              <w:rPr>
                <w:rFonts w:ascii="Arial" w:hAnsi="Arial"/>
                <w:b/>
                <w:sz w:val="18"/>
              </w:rPr>
              <w:t>MBTOC final assessment for MB use in this sector in 2017:</w:t>
            </w:r>
          </w:p>
          <w:p w14:paraId="6B27ED03" w14:textId="3A029435" w:rsidR="00CB7681" w:rsidRPr="00F9037E" w:rsidRDefault="00CB7681" w:rsidP="0082102E">
            <w:pPr>
              <w:keepNext/>
              <w:keepLines/>
              <w:spacing w:after="120"/>
              <w:jc w:val="both"/>
              <w:rPr>
                <w:rFonts w:ascii="Arial" w:hAnsi="Arial"/>
                <w:sz w:val="18"/>
              </w:rPr>
            </w:pPr>
            <w:r w:rsidRPr="00F9037E">
              <w:rPr>
                <w:rFonts w:ascii="Arial" w:hAnsi="Arial"/>
                <w:sz w:val="18"/>
              </w:rPr>
              <w:t>The Party states that alternatives are not available for this nomination, particularly 1</w:t>
            </w:r>
            <w:proofErr w:type="gramStart"/>
            <w:r w:rsidRPr="00F9037E">
              <w:rPr>
                <w:rFonts w:ascii="Arial" w:hAnsi="Arial"/>
                <w:sz w:val="18"/>
              </w:rPr>
              <w:t>,3</w:t>
            </w:r>
            <w:proofErr w:type="gramEnd"/>
            <w:r w:rsidRPr="00F9037E">
              <w:rPr>
                <w:rFonts w:ascii="Arial" w:hAnsi="Arial"/>
                <w:sz w:val="18"/>
              </w:rPr>
              <w:t>-D/Pic, which is not registered in China. MBTOC notes that other countries</w:t>
            </w:r>
            <w:r w:rsidR="00CD3CBD">
              <w:rPr>
                <w:rFonts w:ascii="Arial" w:hAnsi="Arial"/>
                <w:sz w:val="18"/>
              </w:rPr>
              <w:t>,</w:t>
            </w:r>
            <w:r w:rsidRPr="00F9037E">
              <w:rPr>
                <w:rFonts w:ascii="Arial" w:hAnsi="Arial"/>
                <w:sz w:val="18"/>
              </w:rPr>
              <w:t xml:space="preserve"> which in the past applied MB canisters on a </w:t>
            </w:r>
            <w:r w:rsidR="00CD3CBD" w:rsidRPr="00CD3CBD">
              <w:rPr>
                <w:rFonts w:ascii="Arial" w:hAnsi="Arial"/>
                <w:sz w:val="18"/>
              </w:rPr>
              <w:t>small-scale</w:t>
            </w:r>
            <w:r w:rsidRPr="00F9037E">
              <w:rPr>
                <w:rFonts w:ascii="Arial" w:hAnsi="Arial"/>
                <w:sz w:val="18"/>
              </w:rPr>
              <w:t xml:space="preserve"> basis have phased out for this sector (e.g. Japan). In China the registered dosage rate for MB varies between 50 and 75g/m</w:t>
            </w:r>
            <w:r w:rsidRPr="00F9037E">
              <w:rPr>
                <w:rFonts w:ascii="Arial" w:hAnsi="Arial"/>
                <w:sz w:val="18"/>
                <w:vertAlign w:val="superscript"/>
              </w:rPr>
              <w:t>2</w:t>
            </w:r>
            <w:r w:rsidRPr="00F9037E">
              <w:rPr>
                <w:rFonts w:ascii="Arial" w:hAnsi="Arial"/>
                <w:sz w:val="18"/>
              </w:rPr>
              <w:t xml:space="preserve"> (Cao, pers. com 2014)</w:t>
            </w:r>
            <w:r w:rsidR="00CD3CBD" w:rsidRPr="00CD3CBD">
              <w:rPr>
                <w:rFonts w:ascii="Arial" w:hAnsi="Arial"/>
                <w:sz w:val="18"/>
              </w:rPr>
              <w:t>. The</w:t>
            </w:r>
            <w:r w:rsidRPr="00F9037E">
              <w:rPr>
                <w:rFonts w:ascii="Arial" w:hAnsi="Arial"/>
                <w:sz w:val="18"/>
              </w:rPr>
              <w:t xml:space="preserve"> amount requested in the nomination is based on a dosage rate of 35g/m</w:t>
            </w:r>
            <w:r w:rsidRPr="00F9037E">
              <w:rPr>
                <w:rFonts w:ascii="Arial" w:hAnsi="Arial"/>
                <w:sz w:val="18"/>
                <w:vertAlign w:val="superscript"/>
              </w:rPr>
              <w:t>2</w:t>
            </w:r>
            <w:r w:rsidRPr="00F9037E">
              <w:rPr>
                <w:rFonts w:ascii="Arial" w:hAnsi="Arial"/>
                <w:sz w:val="18"/>
              </w:rPr>
              <w:t xml:space="preserve"> (without VIF or TIF) applied with MB canisters. </w:t>
            </w:r>
          </w:p>
          <w:p w14:paraId="75BC6BA8" w14:textId="77777777" w:rsidR="00CB7681" w:rsidRPr="00F9037E" w:rsidRDefault="00CB7681" w:rsidP="000E64F3">
            <w:pPr>
              <w:jc w:val="both"/>
              <w:rPr>
                <w:rFonts w:ascii="Arial" w:hAnsi="Arial"/>
                <w:sz w:val="18"/>
              </w:rPr>
            </w:pPr>
            <w:r w:rsidRPr="00F9037E">
              <w:rPr>
                <w:rFonts w:ascii="Arial" w:hAnsi="Arial"/>
                <w:sz w:val="18"/>
              </w:rPr>
              <w:t>MBTOC considers that in the absence of effective alternatives, MB/Pic 50:50 can be suitable for this sector, but China would need to develop technology to formulate and apply this formulation. MBTOC considers that barrier films should be used in the future and urges the Party to consider accessing these films. MBTOC is also aware that Pic combined with DMDS or Pic +</w:t>
            </w:r>
            <w:proofErr w:type="spellStart"/>
            <w:r w:rsidRPr="00F9037E">
              <w:rPr>
                <w:rFonts w:ascii="Arial" w:hAnsi="Arial"/>
                <w:sz w:val="18"/>
              </w:rPr>
              <w:t>fosthiazate</w:t>
            </w:r>
            <w:proofErr w:type="spellEnd"/>
            <w:r w:rsidRPr="00F9037E">
              <w:rPr>
                <w:rFonts w:ascii="Arial" w:hAnsi="Arial"/>
                <w:sz w:val="18"/>
              </w:rPr>
              <w:t xml:space="preserve"> have shown promising results in China (Cao, 2014, pers. comm.). The Ministry of Environmental Protection (MEP) has funded nine companies to register and develop MB alternatives and one company to carry out the commercial demonstration of anaerobic disinfection technology. MBTOC expects that the results obtained will be rapidly made available for adoption. </w:t>
            </w:r>
          </w:p>
          <w:p w14:paraId="587B1347" w14:textId="67DC33F3" w:rsidR="00CB7681" w:rsidRPr="00F9037E" w:rsidRDefault="00CB7681" w:rsidP="000E64F3">
            <w:pPr>
              <w:jc w:val="both"/>
              <w:rPr>
                <w:rFonts w:ascii="Arial" w:hAnsi="Arial"/>
                <w:sz w:val="18"/>
              </w:rPr>
            </w:pPr>
            <w:r w:rsidRPr="00F9037E">
              <w:rPr>
                <w:rFonts w:ascii="Arial" w:hAnsi="Arial"/>
                <w:sz w:val="18"/>
              </w:rPr>
              <w:t xml:space="preserve">MBTOC notes that since 1994 the Party has been supported by the MLF with one demonstration project, three project preparation grants and one investment project comprising eight tranches and that many alternatives have been </w:t>
            </w:r>
            <w:r w:rsidR="00CD3CBD" w:rsidRPr="00CD3CBD">
              <w:rPr>
                <w:rFonts w:ascii="Arial" w:hAnsi="Arial"/>
                <w:sz w:val="18"/>
              </w:rPr>
              <w:t xml:space="preserve">tried. </w:t>
            </w:r>
            <w:r w:rsidRPr="00F9037E">
              <w:rPr>
                <w:rFonts w:ascii="Arial" w:hAnsi="Arial"/>
                <w:sz w:val="18"/>
              </w:rPr>
              <w:t xml:space="preserve">Funding from the MLF committed the Party to phase out its whole MB consumption for controlled uses by the end of 2014 (MLF, 2014 ab). </w:t>
            </w:r>
            <w:r w:rsidRPr="00F9037E">
              <w:rPr>
                <w:rFonts w:ascii="Arial" w:hAnsi="Arial" w:cs="Arial"/>
                <w:sz w:val="18"/>
                <w:szCs w:val="18"/>
              </w:rPr>
              <w:t xml:space="preserve">According to reports presented to the ExCom, satisfactory pest and disease control has been obtained in ginger crops with the combination of high dosages of chloropicrin, improved application methods of this fumigant and </w:t>
            </w:r>
            <w:proofErr w:type="spellStart"/>
            <w:r w:rsidRPr="00F9037E">
              <w:rPr>
                <w:rFonts w:ascii="Arial" w:hAnsi="Arial" w:cs="Arial"/>
                <w:sz w:val="18"/>
                <w:szCs w:val="18"/>
              </w:rPr>
              <w:t>dazomet</w:t>
            </w:r>
            <w:proofErr w:type="spellEnd"/>
            <w:r w:rsidRPr="00F9037E">
              <w:rPr>
                <w:rFonts w:ascii="Arial" w:hAnsi="Arial" w:cs="Arial"/>
                <w:sz w:val="18"/>
                <w:szCs w:val="18"/>
              </w:rPr>
              <w:t xml:space="preserve">, other chemicals and biological </w:t>
            </w:r>
            <w:proofErr w:type="spellStart"/>
            <w:r w:rsidRPr="00F9037E">
              <w:rPr>
                <w:rFonts w:ascii="Arial" w:hAnsi="Arial" w:cs="Arial"/>
                <w:sz w:val="18"/>
                <w:szCs w:val="18"/>
              </w:rPr>
              <w:t>nematicides</w:t>
            </w:r>
            <w:proofErr w:type="spellEnd"/>
            <w:r w:rsidRPr="00F9037E">
              <w:rPr>
                <w:rFonts w:ascii="Arial" w:hAnsi="Arial" w:cs="Arial"/>
                <w:sz w:val="18"/>
                <w:szCs w:val="18"/>
              </w:rPr>
              <w:t xml:space="preserve">, in an IPM approach. Pic is used for soil fumigation in areas where the main ginger soil-borne pathogens </w:t>
            </w:r>
            <w:r w:rsidRPr="00F9037E">
              <w:rPr>
                <w:rFonts w:ascii="Arial" w:hAnsi="Arial" w:cs="Arial"/>
                <w:i/>
                <w:sz w:val="18"/>
                <w:szCs w:val="18"/>
              </w:rPr>
              <w:t>Pythium</w:t>
            </w:r>
            <w:r w:rsidR="00CD3CBD">
              <w:rPr>
                <w:rFonts w:ascii="Arial" w:hAnsi="Arial" w:cs="Arial"/>
                <w:i/>
                <w:sz w:val="18"/>
                <w:szCs w:val="18"/>
              </w:rPr>
              <w:t xml:space="preserve"> </w:t>
            </w:r>
            <w:r w:rsidRPr="000F08B5">
              <w:rPr>
                <w:rFonts w:ascii="Arial" w:hAnsi="Arial" w:cs="Arial"/>
                <w:i/>
                <w:sz w:val="18"/>
                <w:szCs w:val="18"/>
              </w:rPr>
              <w:t>spp</w:t>
            </w:r>
            <w:r w:rsidRPr="000F08B5">
              <w:rPr>
                <w:rFonts w:ascii="Arial" w:hAnsi="Arial" w:cs="Arial"/>
                <w:sz w:val="18"/>
                <w:szCs w:val="18"/>
              </w:rPr>
              <w:t xml:space="preserve">. </w:t>
            </w:r>
            <w:r w:rsidR="00CD3CBD">
              <w:rPr>
                <w:rFonts w:ascii="Arial" w:hAnsi="Arial" w:cs="Arial"/>
                <w:sz w:val="18"/>
                <w:szCs w:val="18"/>
              </w:rPr>
              <w:t>a</w:t>
            </w:r>
            <w:r w:rsidRPr="000F08B5">
              <w:rPr>
                <w:rFonts w:ascii="Arial" w:hAnsi="Arial" w:cs="Arial"/>
                <w:sz w:val="18"/>
                <w:szCs w:val="18"/>
              </w:rPr>
              <w:t>nd</w:t>
            </w:r>
            <w:r w:rsidR="00CD3CBD">
              <w:rPr>
                <w:rFonts w:ascii="Arial" w:hAnsi="Arial" w:cs="Arial"/>
                <w:sz w:val="18"/>
                <w:szCs w:val="18"/>
              </w:rPr>
              <w:t xml:space="preserve"> </w:t>
            </w:r>
            <w:proofErr w:type="spellStart"/>
            <w:r w:rsidRPr="00F9037E">
              <w:rPr>
                <w:rFonts w:ascii="Arial" w:hAnsi="Arial" w:cs="Arial"/>
                <w:i/>
                <w:sz w:val="18"/>
                <w:szCs w:val="18"/>
              </w:rPr>
              <w:t>Ralstonia</w:t>
            </w:r>
            <w:proofErr w:type="spellEnd"/>
            <w:r w:rsidRPr="00F9037E">
              <w:rPr>
                <w:rFonts w:ascii="Arial" w:hAnsi="Arial" w:cs="Arial"/>
                <w:i/>
                <w:sz w:val="18"/>
                <w:szCs w:val="18"/>
              </w:rPr>
              <w:t xml:space="preserve"> </w:t>
            </w:r>
            <w:proofErr w:type="spellStart"/>
            <w:r w:rsidRPr="00F9037E">
              <w:rPr>
                <w:rFonts w:ascii="Arial" w:hAnsi="Arial" w:cs="Arial"/>
                <w:i/>
                <w:sz w:val="18"/>
                <w:szCs w:val="18"/>
              </w:rPr>
              <w:t>solanacerum</w:t>
            </w:r>
            <w:proofErr w:type="spellEnd"/>
            <w:r w:rsidRPr="00F9037E">
              <w:rPr>
                <w:rFonts w:ascii="Arial" w:hAnsi="Arial" w:cs="Arial"/>
                <w:sz w:val="18"/>
                <w:szCs w:val="18"/>
              </w:rPr>
              <w:t xml:space="preserve"> are main pests.</w:t>
            </w:r>
          </w:p>
          <w:p w14:paraId="049F5F64" w14:textId="77777777" w:rsidR="00CB7681" w:rsidRPr="00F9037E" w:rsidRDefault="00CB7681" w:rsidP="000E64F3">
            <w:pPr>
              <w:jc w:val="both"/>
              <w:rPr>
                <w:rFonts w:ascii="Arial" w:hAnsi="Arial"/>
                <w:sz w:val="18"/>
              </w:rPr>
            </w:pPr>
            <w:r w:rsidRPr="00F9037E">
              <w:rPr>
                <w:rFonts w:ascii="Arial" w:hAnsi="Arial"/>
                <w:sz w:val="18"/>
              </w:rPr>
              <w:t>MB canisters are used because they provide small-scale farmers with an easy application method and the ability to apply targeted amounts of MB to small areas where injection machinery may be difficult to use (TEAP, 2008). However, MB canisters have been banned for soil use in many Article 5 countries, as this application is considered less efficient than injection methods and more dangerous to workers since trained contractors are not required for their</w:t>
            </w:r>
            <w:r w:rsidR="00CD3CBD">
              <w:rPr>
                <w:rFonts w:ascii="Arial" w:hAnsi="Arial"/>
                <w:sz w:val="18"/>
              </w:rPr>
              <w:t xml:space="preserve"> </w:t>
            </w:r>
            <w:r w:rsidRPr="00F9037E">
              <w:rPr>
                <w:rFonts w:ascii="Arial" w:hAnsi="Arial"/>
                <w:sz w:val="18"/>
              </w:rPr>
              <w:t>application. This practice also leads to high emissions of MB. In some situations, MB gas has been found to leak during storage because of poor air tightness of canisters.</w:t>
            </w:r>
          </w:p>
          <w:p w14:paraId="711B3593" w14:textId="77777777" w:rsidR="00CB7681" w:rsidRPr="00F9037E" w:rsidRDefault="00CB7681" w:rsidP="000E64F3">
            <w:pPr>
              <w:jc w:val="both"/>
              <w:rPr>
                <w:rFonts w:ascii="Arial" w:hAnsi="Arial"/>
                <w:sz w:val="18"/>
              </w:rPr>
            </w:pPr>
            <w:r w:rsidRPr="00F9037E">
              <w:rPr>
                <w:rFonts w:ascii="Arial" w:hAnsi="Arial"/>
                <w:sz w:val="18"/>
              </w:rPr>
              <w:t>MBTOC suggests that DMDS and Pic may be useful to consider for this nomination.</w:t>
            </w:r>
          </w:p>
          <w:p w14:paraId="3BE335B9" w14:textId="77777777" w:rsidR="00CB7681" w:rsidRPr="00F9037E" w:rsidRDefault="00CB7681" w:rsidP="000E64F3">
            <w:pPr>
              <w:spacing w:after="120"/>
              <w:jc w:val="both"/>
              <w:rPr>
                <w:rFonts w:ascii="Arial" w:hAnsi="Arial"/>
                <w:b/>
                <w:sz w:val="18"/>
              </w:rPr>
            </w:pPr>
            <w:r w:rsidRPr="00F9037E">
              <w:rPr>
                <w:rFonts w:ascii="Arial" w:hAnsi="Arial"/>
                <w:b/>
                <w:sz w:val="18"/>
              </w:rPr>
              <w:t xml:space="preserve">MBTOC comments on economics in 2016 for 2017: </w:t>
            </w:r>
          </w:p>
          <w:p w14:paraId="1690D4A6" w14:textId="77777777" w:rsidR="00CB7681" w:rsidRPr="00F9037E" w:rsidRDefault="00CB7681" w:rsidP="000E64F3">
            <w:pPr>
              <w:spacing w:after="120"/>
              <w:jc w:val="both"/>
              <w:rPr>
                <w:rFonts w:ascii="Arial" w:hAnsi="Arial"/>
                <w:sz w:val="18"/>
              </w:rPr>
            </w:pPr>
            <w:r w:rsidRPr="00F9037E">
              <w:rPr>
                <w:rFonts w:ascii="Arial" w:hAnsi="Arial"/>
                <w:sz w:val="18"/>
              </w:rPr>
              <w:t>The price of ginger is lower with chloropicrin (MB: $1.31/kg, Pic: $0.65/kg) because of the impact of root-knot nematodes on quality. Yield with MB is 96.45 t/ha, while with Pic is 86.22 t/ha, again because of the effect of root-knot nematodes.</w:t>
            </w:r>
          </w:p>
          <w:p w14:paraId="4D3AA0FF" w14:textId="77777777" w:rsidR="00CB7681" w:rsidRPr="00F9037E" w:rsidRDefault="00CB7681" w:rsidP="000E64F3">
            <w:pPr>
              <w:spacing w:after="120"/>
              <w:jc w:val="both"/>
              <w:rPr>
                <w:rFonts w:ascii="Arial" w:hAnsi="Arial"/>
                <w:sz w:val="18"/>
              </w:rPr>
            </w:pPr>
            <w:r w:rsidRPr="00F9037E">
              <w:rPr>
                <w:rFonts w:ascii="Arial" w:hAnsi="Arial"/>
                <w:sz w:val="18"/>
              </w:rPr>
              <w:t>Gross revenue with Pic is 44% of that of MB (because of the yield and price difference). Net revenue is 25% of that of methyl bromide</w:t>
            </w:r>
          </w:p>
          <w:p w14:paraId="5D3F356B" w14:textId="77777777" w:rsidR="00CB7681" w:rsidRPr="00F9037E" w:rsidRDefault="00CB7681" w:rsidP="000E64F3">
            <w:pPr>
              <w:spacing w:after="120"/>
              <w:jc w:val="both"/>
              <w:rPr>
                <w:rFonts w:ascii="Arial" w:hAnsi="Arial"/>
                <w:sz w:val="18"/>
              </w:rPr>
            </w:pPr>
            <w:r w:rsidRPr="00F9037E">
              <w:rPr>
                <w:rFonts w:ascii="Arial" w:hAnsi="Arial"/>
                <w:b/>
                <w:sz w:val="18"/>
              </w:rPr>
              <w:t>Comments requested in Dec. XX1/11 (para 9)</w:t>
            </w:r>
          </w:p>
          <w:p w14:paraId="5CF14175" w14:textId="05C1D0BD" w:rsidR="00CB7681" w:rsidRPr="00F9037E" w:rsidRDefault="00CB7681" w:rsidP="000E64F3">
            <w:pPr>
              <w:pStyle w:val="ListParagraph"/>
              <w:numPr>
                <w:ilvl w:val="0"/>
                <w:numId w:val="17"/>
              </w:numPr>
              <w:spacing w:after="120"/>
              <w:ind w:left="0" w:firstLine="0"/>
              <w:jc w:val="both"/>
              <w:rPr>
                <w:rFonts w:ascii="Arial" w:eastAsiaTheme="minorHAnsi" w:hAnsi="Arial"/>
                <w:sz w:val="18"/>
              </w:rPr>
            </w:pPr>
            <w:r w:rsidRPr="00F9037E">
              <w:rPr>
                <w:rFonts w:ascii="Arial" w:eastAsiaTheme="minorHAnsi" w:hAnsi="Arial"/>
                <w:b/>
                <w:sz w:val="18"/>
              </w:rPr>
              <w:t xml:space="preserve">Dec. IX/6 </w:t>
            </w:r>
            <w:r w:rsidR="00CD3CBD" w:rsidRPr="00CD3CBD">
              <w:rPr>
                <w:rFonts w:ascii="Arial" w:eastAsiaTheme="minorHAnsi" w:hAnsi="Arial"/>
                <w:b/>
                <w:sz w:val="18"/>
              </w:rPr>
              <w:t>b (</w:t>
            </w:r>
            <w:proofErr w:type="spellStart"/>
            <w:r w:rsidRPr="00F9037E">
              <w:rPr>
                <w:rFonts w:ascii="Arial" w:eastAsiaTheme="minorHAnsi" w:hAnsi="Arial"/>
                <w:b/>
                <w:sz w:val="18"/>
              </w:rPr>
              <w:t>i</w:t>
            </w:r>
            <w:proofErr w:type="spellEnd"/>
            <w:r w:rsidRPr="00F9037E">
              <w:rPr>
                <w:rFonts w:ascii="Arial" w:eastAsiaTheme="minorHAnsi" w:hAnsi="Arial"/>
                <w:b/>
                <w:sz w:val="18"/>
              </w:rPr>
              <w:t>) Emission Reduction:</w:t>
            </w:r>
            <w:r w:rsidRPr="00F9037E">
              <w:rPr>
                <w:rFonts w:ascii="Arial" w:eastAsiaTheme="minorHAnsi" w:hAnsi="Arial"/>
                <w:sz w:val="18"/>
              </w:rPr>
              <w:t xml:space="preserve"> VIF and TIF are produced in China, but are not used for ginger production due to very high cost and low efficacy under low temperatures. MB is applied every year during early spring or late autumn. </w:t>
            </w:r>
          </w:p>
          <w:p w14:paraId="2E68FB73" w14:textId="7771A5DE" w:rsidR="00CB7681" w:rsidRPr="000F08B5" w:rsidRDefault="00CB7681" w:rsidP="000E64F3">
            <w:pPr>
              <w:pStyle w:val="ListParagraph"/>
              <w:numPr>
                <w:ilvl w:val="0"/>
                <w:numId w:val="17"/>
              </w:numPr>
              <w:spacing w:after="120"/>
              <w:ind w:left="0" w:firstLine="0"/>
              <w:jc w:val="both"/>
              <w:rPr>
                <w:rFonts w:ascii="Arial" w:eastAsiaTheme="minorHAnsi" w:hAnsi="Arial"/>
                <w:sz w:val="18"/>
              </w:rPr>
            </w:pPr>
            <w:r w:rsidRPr="00F9037E">
              <w:rPr>
                <w:rFonts w:ascii="Arial" w:eastAsiaTheme="minorHAnsi" w:hAnsi="Arial"/>
                <w:b/>
                <w:sz w:val="18"/>
              </w:rPr>
              <w:t xml:space="preserve">Dec. IX/6 </w:t>
            </w:r>
            <w:r w:rsidR="00CD3CBD" w:rsidRPr="00CD3CBD">
              <w:rPr>
                <w:rFonts w:ascii="Arial" w:eastAsiaTheme="minorHAnsi" w:hAnsi="Arial"/>
                <w:b/>
                <w:sz w:val="18"/>
              </w:rPr>
              <w:t>b (</w:t>
            </w:r>
            <w:r w:rsidRPr="000F08B5">
              <w:rPr>
                <w:rFonts w:ascii="Arial" w:eastAsiaTheme="minorHAnsi" w:hAnsi="Arial"/>
                <w:b/>
                <w:sz w:val="18"/>
              </w:rPr>
              <w:t>iii) MLF Assistance/Adoption of Effective Alternatives:</w:t>
            </w:r>
            <w:r w:rsidRPr="000F08B5">
              <w:rPr>
                <w:rFonts w:ascii="Arial" w:eastAsiaTheme="minorHAnsi" w:hAnsi="Arial"/>
                <w:sz w:val="18"/>
              </w:rPr>
              <w:t xml:space="preserve"> Research trials within the MLF-funded investment project commenced in this sector in 2008 Progressive results of the experiments which Ministry of Environmental Protection (MEP) has funded are expected to be available and adopted. Results are also expected from the nine companies responsible of registering and </w:t>
            </w:r>
            <w:r w:rsidR="00CD3CBD" w:rsidRPr="00CD3CBD">
              <w:rPr>
                <w:rFonts w:ascii="Arial" w:eastAsiaTheme="minorHAnsi" w:hAnsi="Arial"/>
                <w:sz w:val="18"/>
              </w:rPr>
              <w:t>developing MB</w:t>
            </w:r>
            <w:r w:rsidRPr="000F08B5">
              <w:rPr>
                <w:rFonts w:ascii="Arial" w:eastAsiaTheme="minorHAnsi" w:hAnsi="Arial"/>
                <w:sz w:val="18"/>
              </w:rPr>
              <w:t xml:space="preserve"> alternatives and from the company carrying out the commercial demonstration of anaerobic disinfection technology</w:t>
            </w:r>
          </w:p>
          <w:p w14:paraId="0C832B5E" w14:textId="5FB5D4EF" w:rsidR="00CB7681" w:rsidRPr="000F08B5" w:rsidRDefault="00CB7681" w:rsidP="000E64F3">
            <w:pPr>
              <w:pStyle w:val="ListParagraph"/>
              <w:numPr>
                <w:ilvl w:val="0"/>
                <w:numId w:val="17"/>
              </w:numPr>
              <w:ind w:left="0" w:firstLine="0"/>
              <w:jc w:val="both"/>
              <w:rPr>
                <w:rFonts w:ascii="Arial" w:eastAsiaTheme="minorHAnsi" w:hAnsi="Arial"/>
                <w:sz w:val="18"/>
              </w:rPr>
            </w:pPr>
            <w:r w:rsidRPr="000F08B5">
              <w:rPr>
                <w:rFonts w:ascii="Arial" w:eastAsiaTheme="minorHAnsi" w:hAnsi="Arial"/>
                <w:b/>
                <w:sz w:val="18"/>
              </w:rPr>
              <w:t xml:space="preserve">Dec. IX/6 </w:t>
            </w:r>
            <w:r w:rsidR="00CD3CBD" w:rsidRPr="00CD3CBD">
              <w:rPr>
                <w:rFonts w:ascii="Arial" w:eastAsiaTheme="minorHAnsi" w:hAnsi="Arial"/>
                <w:b/>
                <w:sz w:val="18"/>
              </w:rPr>
              <w:t>b (</w:t>
            </w:r>
            <w:r w:rsidRPr="000F08B5">
              <w:rPr>
                <w:rFonts w:ascii="Arial" w:eastAsiaTheme="minorHAnsi" w:hAnsi="Arial"/>
                <w:b/>
                <w:sz w:val="18"/>
              </w:rPr>
              <w:t>iii) Appropriate Effort:</w:t>
            </w:r>
            <w:r w:rsidRPr="000F08B5">
              <w:rPr>
                <w:rFonts w:ascii="Arial" w:eastAsiaTheme="minorHAnsi" w:hAnsi="Arial"/>
                <w:sz w:val="18"/>
              </w:rPr>
              <w:t xml:space="preserve"> Yes, considered appropriate as experiments are being conducted to phase out MB by 2019. </w:t>
            </w:r>
          </w:p>
          <w:p w14:paraId="1F237EA8" w14:textId="77777777" w:rsidR="00CB7681" w:rsidRPr="00CD3CBD" w:rsidRDefault="00CB7681" w:rsidP="000E64F3">
            <w:pPr>
              <w:pStyle w:val="ListParagraph"/>
              <w:numPr>
                <w:ilvl w:val="0"/>
                <w:numId w:val="17"/>
              </w:numPr>
              <w:spacing w:after="120"/>
              <w:ind w:left="0" w:firstLine="0"/>
              <w:jc w:val="both"/>
              <w:rPr>
                <w:rFonts w:ascii="Arial" w:hAnsi="Arial"/>
                <w:sz w:val="18"/>
              </w:rPr>
            </w:pPr>
            <w:r w:rsidRPr="000F08B5">
              <w:rPr>
                <w:rFonts w:ascii="Arial" w:hAnsi="Arial"/>
                <w:b/>
                <w:sz w:val="18"/>
              </w:rPr>
              <w:t xml:space="preserve">Dec. Ex 1(4) Annex 1 National Management Strategy: </w:t>
            </w:r>
            <w:r w:rsidRPr="000F08B5">
              <w:rPr>
                <w:rFonts w:ascii="Arial" w:eastAsiaTheme="minorHAnsi" w:hAnsi="Arial" w:cs="Arial"/>
                <w:sz w:val="18"/>
                <w:szCs w:val="18"/>
              </w:rPr>
              <w:t xml:space="preserve">MBTOC notes that China provided a summary strategy showing plans to phase </w:t>
            </w:r>
            <w:r w:rsidRPr="000F08B5">
              <w:rPr>
                <w:rFonts w:ascii="Arial" w:eastAsiaTheme="minorHAnsi" w:hAnsi="Arial" w:cs="Arial" w:hint="eastAsia"/>
                <w:sz w:val="18"/>
                <w:szCs w:val="18"/>
              </w:rPr>
              <w:t>the</w:t>
            </w:r>
            <w:r w:rsidRPr="000F08B5">
              <w:rPr>
                <w:rFonts w:ascii="Arial" w:eastAsiaTheme="minorHAnsi" w:hAnsi="Arial" w:cs="Arial"/>
                <w:sz w:val="18"/>
                <w:szCs w:val="18"/>
              </w:rPr>
              <w:t xml:space="preserve"> Critical-Use Exemption of Methyl Bromide on ginger</w:t>
            </w:r>
            <w:r w:rsidRPr="000F08B5">
              <w:rPr>
                <w:rFonts w:ascii="Arial" w:eastAsiaTheme="minorHAnsi" w:hAnsi="Arial" w:cs="Arial" w:hint="eastAsia"/>
                <w:sz w:val="18"/>
                <w:szCs w:val="18"/>
              </w:rPr>
              <w:t xml:space="preserve"> in 2019</w:t>
            </w:r>
            <w:r w:rsidRPr="000F08B5">
              <w:rPr>
                <w:rFonts w:ascii="Arial" w:eastAsiaTheme="minorHAnsi" w:hAnsi="Arial" w:cs="Arial"/>
                <w:sz w:val="18"/>
                <w:szCs w:val="18"/>
              </w:rPr>
              <w:t>.</w:t>
            </w:r>
          </w:p>
        </w:tc>
      </w:tr>
      <w:tr w:rsidR="00CB7681" w:rsidRPr="00F9037E" w14:paraId="1A218F06" w14:textId="77777777" w:rsidTr="000633FC">
        <w:trPr>
          <w:trHeight w:val="440"/>
        </w:trPr>
        <w:tc>
          <w:tcPr>
            <w:tcW w:w="1133" w:type="dxa"/>
            <w:tcBorders>
              <w:top w:val="single" w:sz="4" w:space="0" w:color="auto"/>
            </w:tcBorders>
            <w:vAlign w:val="center"/>
          </w:tcPr>
          <w:p w14:paraId="411D6E5B" w14:textId="77777777" w:rsidR="00CB7681" w:rsidRPr="00F9037E" w:rsidRDefault="00CB7681" w:rsidP="000E64F3">
            <w:pPr>
              <w:pageBreakBefore/>
              <w:spacing w:before="40" w:after="40"/>
              <w:rPr>
                <w:rFonts w:ascii="Arial" w:hAnsi="Arial" w:cs="Arial"/>
                <w:b/>
                <w:sz w:val="18"/>
                <w:szCs w:val="18"/>
              </w:rPr>
            </w:pPr>
            <w:r w:rsidRPr="00F9037E">
              <w:rPr>
                <w:rFonts w:ascii="Arial" w:hAnsi="Arial" w:cs="Arial"/>
                <w:b/>
                <w:sz w:val="18"/>
                <w:szCs w:val="18"/>
              </w:rPr>
              <w:lastRenderedPageBreak/>
              <w:t>Country</w:t>
            </w:r>
          </w:p>
        </w:tc>
        <w:tc>
          <w:tcPr>
            <w:tcW w:w="1419" w:type="dxa"/>
            <w:tcBorders>
              <w:top w:val="single" w:sz="4" w:space="0" w:color="auto"/>
            </w:tcBorders>
            <w:vAlign w:val="center"/>
          </w:tcPr>
          <w:p w14:paraId="211F6257" w14:textId="77777777" w:rsidR="00CB7681" w:rsidRPr="00F9037E" w:rsidRDefault="00CB7681" w:rsidP="000E64F3">
            <w:pPr>
              <w:pageBreakBefore/>
              <w:spacing w:before="40" w:after="40"/>
              <w:rPr>
                <w:rFonts w:ascii="Arial" w:hAnsi="Arial" w:cs="Arial"/>
                <w:b/>
                <w:sz w:val="18"/>
                <w:szCs w:val="18"/>
              </w:rPr>
            </w:pPr>
            <w:r w:rsidRPr="00F9037E">
              <w:rPr>
                <w:rFonts w:ascii="Arial" w:hAnsi="Arial" w:cs="Arial"/>
                <w:b/>
                <w:sz w:val="18"/>
                <w:szCs w:val="18"/>
              </w:rPr>
              <w:t>Industry</w:t>
            </w:r>
          </w:p>
        </w:tc>
        <w:tc>
          <w:tcPr>
            <w:tcW w:w="992" w:type="dxa"/>
            <w:tcBorders>
              <w:top w:val="single" w:sz="4" w:space="0" w:color="auto"/>
            </w:tcBorders>
            <w:vAlign w:val="center"/>
          </w:tcPr>
          <w:p w14:paraId="4C0C6FCF" w14:textId="77777777" w:rsidR="00CB7681" w:rsidRPr="00F9037E" w:rsidRDefault="00CB7681" w:rsidP="000E64F3">
            <w:pPr>
              <w:pageBreakBefore/>
              <w:spacing w:before="40" w:after="40"/>
              <w:jc w:val="center"/>
              <w:rPr>
                <w:rFonts w:ascii="Arial" w:hAnsi="Arial" w:cs="Arial"/>
                <w:b/>
                <w:sz w:val="18"/>
                <w:szCs w:val="18"/>
              </w:rPr>
            </w:pPr>
            <w:r w:rsidRPr="00F9037E">
              <w:rPr>
                <w:rFonts w:ascii="Arial" w:hAnsi="Arial" w:cs="Arial"/>
                <w:b/>
                <w:sz w:val="18"/>
                <w:szCs w:val="18"/>
              </w:rPr>
              <w:t>CUE for 2015</w:t>
            </w:r>
            <w:r w:rsidRPr="00F9037E">
              <w:rPr>
                <w:rFonts w:ascii="Arial" w:hAnsi="Arial" w:cs="Arial"/>
                <w:b/>
                <w:sz w:val="18"/>
                <w:szCs w:val="18"/>
                <w:vertAlign w:val="superscript"/>
              </w:rPr>
              <w:t>1</w:t>
            </w:r>
          </w:p>
        </w:tc>
        <w:tc>
          <w:tcPr>
            <w:tcW w:w="992" w:type="dxa"/>
            <w:tcBorders>
              <w:top w:val="single" w:sz="4" w:space="0" w:color="auto"/>
            </w:tcBorders>
            <w:vAlign w:val="center"/>
          </w:tcPr>
          <w:p w14:paraId="142A27A0" w14:textId="77777777" w:rsidR="00CB7681" w:rsidRPr="00F9037E" w:rsidRDefault="00CB7681" w:rsidP="000E64F3">
            <w:pPr>
              <w:pageBreakBefore/>
              <w:spacing w:after="0"/>
              <w:jc w:val="center"/>
              <w:rPr>
                <w:rFonts w:ascii="Arial" w:hAnsi="Arial" w:cs="Arial"/>
                <w:b/>
                <w:sz w:val="18"/>
                <w:szCs w:val="18"/>
              </w:rPr>
            </w:pPr>
            <w:r w:rsidRPr="00F9037E">
              <w:rPr>
                <w:rFonts w:ascii="Arial" w:hAnsi="Arial" w:cs="Arial"/>
                <w:b/>
                <w:sz w:val="18"/>
                <w:szCs w:val="18"/>
              </w:rPr>
              <w:t>CUE for 2016</w:t>
            </w:r>
          </w:p>
        </w:tc>
        <w:tc>
          <w:tcPr>
            <w:tcW w:w="954" w:type="dxa"/>
            <w:tcBorders>
              <w:top w:val="single" w:sz="4" w:space="0" w:color="auto"/>
            </w:tcBorders>
            <w:vAlign w:val="center"/>
          </w:tcPr>
          <w:p w14:paraId="303EED48" w14:textId="77777777" w:rsidR="00CB7681" w:rsidRPr="00F9037E" w:rsidRDefault="00CB7681" w:rsidP="000E64F3">
            <w:pPr>
              <w:pageBreakBefore/>
              <w:spacing w:before="40" w:after="40"/>
              <w:jc w:val="center"/>
              <w:rPr>
                <w:rFonts w:ascii="Arial" w:hAnsi="Arial" w:cs="Arial"/>
                <w:b/>
                <w:sz w:val="18"/>
                <w:szCs w:val="18"/>
              </w:rPr>
            </w:pPr>
            <w:r w:rsidRPr="00F9037E">
              <w:rPr>
                <w:rFonts w:ascii="Arial" w:hAnsi="Arial" w:cs="Arial"/>
                <w:b/>
                <w:sz w:val="18"/>
                <w:szCs w:val="18"/>
              </w:rPr>
              <w:t>CUN for 2017</w:t>
            </w:r>
          </w:p>
        </w:tc>
        <w:tc>
          <w:tcPr>
            <w:tcW w:w="3724" w:type="dxa"/>
            <w:gridSpan w:val="3"/>
            <w:tcBorders>
              <w:top w:val="single" w:sz="4" w:space="0" w:color="auto"/>
            </w:tcBorders>
            <w:vAlign w:val="center"/>
          </w:tcPr>
          <w:p w14:paraId="7921B9EC" w14:textId="77777777" w:rsidR="00CB7681" w:rsidRPr="00F9037E" w:rsidRDefault="00CB7681" w:rsidP="000E64F3">
            <w:pPr>
              <w:pageBreakBefore/>
              <w:spacing w:before="40" w:after="40"/>
              <w:jc w:val="center"/>
              <w:rPr>
                <w:rFonts w:ascii="Arial" w:hAnsi="Arial" w:cs="Arial"/>
                <w:b/>
                <w:sz w:val="18"/>
                <w:szCs w:val="18"/>
              </w:rPr>
            </w:pPr>
            <w:r w:rsidRPr="00F9037E">
              <w:rPr>
                <w:rFonts w:ascii="Arial" w:hAnsi="Arial" w:cs="Arial"/>
                <w:b/>
                <w:sz w:val="18"/>
                <w:szCs w:val="18"/>
              </w:rPr>
              <w:t>MBTOC final recommendation for 2017</w:t>
            </w:r>
          </w:p>
        </w:tc>
        <w:tc>
          <w:tcPr>
            <w:tcW w:w="851" w:type="dxa"/>
            <w:gridSpan w:val="2"/>
            <w:tcBorders>
              <w:top w:val="single" w:sz="4" w:space="0" w:color="auto"/>
            </w:tcBorders>
            <w:vAlign w:val="center"/>
          </w:tcPr>
          <w:p w14:paraId="1DE6799D" w14:textId="77777777" w:rsidR="00CB7681" w:rsidRPr="00F9037E" w:rsidRDefault="00CB7681" w:rsidP="000E64F3">
            <w:pPr>
              <w:pageBreakBefore/>
              <w:spacing w:before="40" w:after="40"/>
              <w:jc w:val="center"/>
              <w:rPr>
                <w:rFonts w:ascii="Arial" w:hAnsi="Arial" w:cs="Arial"/>
                <w:b/>
                <w:sz w:val="18"/>
                <w:szCs w:val="18"/>
              </w:rPr>
            </w:pPr>
          </w:p>
        </w:tc>
        <w:tc>
          <w:tcPr>
            <w:tcW w:w="850" w:type="dxa"/>
            <w:tcBorders>
              <w:top w:val="single" w:sz="4" w:space="0" w:color="auto"/>
            </w:tcBorders>
            <w:vAlign w:val="center"/>
          </w:tcPr>
          <w:p w14:paraId="2DD43EA6" w14:textId="77777777" w:rsidR="00CB7681" w:rsidRPr="00F9037E" w:rsidRDefault="00CB7681" w:rsidP="000E64F3">
            <w:pPr>
              <w:pageBreakBefore/>
              <w:spacing w:before="40" w:after="40"/>
              <w:jc w:val="center"/>
              <w:rPr>
                <w:rFonts w:ascii="Arial" w:hAnsi="Arial" w:cs="Arial"/>
                <w:b/>
                <w:sz w:val="18"/>
                <w:szCs w:val="18"/>
              </w:rPr>
            </w:pPr>
          </w:p>
        </w:tc>
        <w:tc>
          <w:tcPr>
            <w:tcW w:w="851" w:type="dxa"/>
            <w:tcBorders>
              <w:top w:val="single" w:sz="4" w:space="0" w:color="auto"/>
            </w:tcBorders>
            <w:vAlign w:val="center"/>
          </w:tcPr>
          <w:p w14:paraId="42742C23" w14:textId="77777777" w:rsidR="00CB7681" w:rsidRPr="00F9037E" w:rsidRDefault="00CB7681" w:rsidP="000E64F3">
            <w:pPr>
              <w:pageBreakBefore/>
              <w:spacing w:before="40" w:after="40"/>
              <w:jc w:val="center"/>
              <w:rPr>
                <w:rFonts w:ascii="Arial" w:hAnsi="Arial" w:cs="Arial"/>
                <w:b/>
                <w:sz w:val="18"/>
                <w:szCs w:val="18"/>
                <w:vertAlign w:val="superscript"/>
              </w:rPr>
            </w:pPr>
          </w:p>
        </w:tc>
        <w:tc>
          <w:tcPr>
            <w:tcW w:w="850" w:type="dxa"/>
            <w:tcBorders>
              <w:top w:val="single" w:sz="4" w:space="0" w:color="auto"/>
            </w:tcBorders>
            <w:vAlign w:val="center"/>
          </w:tcPr>
          <w:p w14:paraId="7DCE1FA4" w14:textId="77777777" w:rsidR="00CB7681" w:rsidRPr="00F9037E" w:rsidRDefault="00CB7681" w:rsidP="000E64F3">
            <w:pPr>
              <w:pageBreakBefore/>
              <w:spacing w:before="40" w:after="40"/>
              <w:jc w:val="center"/>
              <w:rPr>
                <w:rFonts w:ascii="Arial" w:hAnsi="Arial" w:cs="Arial"/>
                <w:b/>
                <w:sz w:val="18"/>
                <w:szCs w:val="18"/>
              </w:rPr>
            </w:pPr>
          </w:p>
        </w:tc>
        <w:tc>
          <w:tcPr>
            <w:tcW w:w="992" w:type="dxa"/>
            <w:tcBorders>
              <w:top w:val="single" w:sz="4" w:space="0" w:color="auto"/>
            </w:tcBorders>
            <w:vAlign w:val="center"/>
          </w:tcPr>
          <w:p w14:paraId="67A0CA1E" w14:textId="77777777" w:rsidR="00CB7681" w:rsidRPr="00F9037E" w:rsidRDefault="00CB7681" w:rsidP="000E64F3">
            <w:pPr>
              <w:pageBreakBefore/>
              <w:spacing w:before="40" w:after="0"/>
              <w:jc w:val="center"/>
              <w:rPr>
                <w:rFonts w:ascii="Arial" w:hAnsi="Arial" w:cs="Arial"/>
                <w:b/>
                <w:sz w:val="18"/>
                <w:szCs w:val="18"/>
              </w:rPr>
            </w:pPr>
          </w:p>
        </w:tc>
        <w:tc>
          <w:tcPr>
            <w:tcW w:w="780" w:type="dxa"/>
            <w:tcBorders>
              <w:top w:val="single" w:sz="4" w:space="0" w:color="auto"/>
            </w:tcBorders>
            <w:vAlign w:val="center"/>
          </w:tcPr>
          <w:p w14:paraId="1E76BE56" w14:textId="77777777" w:rsidR="00CB7681" w:rsidRPr="00F9037E" w:rsidRDefault="00CB7681" w:rsidP="000E64F3">
            <w:pPr>
              <w:pageBreakBefore/>
              <w:spacing w:before="40" w:after="40"/>
              <w:jc w:val="center"/>
              <w:rPr>
                <w:rFonts w:ascii="Arial" w:hAnsi="Arial" w:cs="Arial"/>
                <w:b/>
                <w:sz w:val="18"/>
                <w:szCs w:val="18"/>
              </w:rPr>
            </w:pPr>
          </w:p>
        </w:tc>
        <w:tc>
          <w:tcPr>
            <w:tcW w:w="1063" w:type="dxa"/>
            <w:tcBorders>
              <w:top w:val="single" w:sz="4" w:space="0" w:color="auto"/>
            </w:tcBorders>
            <w:vAlign w:val="center"/>
          </w:tcPr>
          <w:p w14:paraId="4C70B020" w14:textId="77777777" w:rsidR="00CB7681" w:rsidRPr="00F9037E" w:rsidRDefault="00CB7681" w:rsidP="000E64F3">
            <w:pPr>
              <w:pageBreakBefore/>
              <w:spacing w:before="40" w:after="0"/>
              <w:jc w:val="center"/>
              <w:rPr>
                <w:rFonts w:ascii="Arial" w:hAnsi="Arial" w:cs="Arial"/>
                <w:b/>
                <w:sz w:val="18"/>
                <w:szCs w:val="18"/>
              </w:rPr>
            </w:pPr>
          </w:p>
        </w:tc>
      </w:tr>
      <w:tr w:rsidR="00CB7681" w:rsidRPr="00F9037E" w14:paraId="7CF4AB7A" w14:textId="77777777" w:rsidTr="000633FC">
        <w:trPr>
          <w:trHeight w:val="417"/>
        </w:trPr>
        <w:tc>
          <w:tcPr>
            <w:tcW w:w="1133" w:type="dxa"/>
            <w:vMerge w:val="restart"/>
          </w:tcPr>
          <w:p w14:paraId="14789307" w14:textId="77777777" w:rsidR="00CB7681" w:rsidRPr="00F9037E" w:rsidRDefault="00CB7681" w:rsidP="000E64F3">
            <w:pPr>
              <w:spacing w:before="40" w:after="40"/>
              <w:rPr>
                <w:rFonts w:ascii="Arial" w:hAnsi="Arial"/>
                <w:sz w:val="18"/>
              </w:rPr>
            </w:pPr>
            <w:r w:rsidRPr="00F9037E">
              <w:rPr>
                <w:rFonts w:ascii="Arial" w:hAnsi="Arial"/>
                <w:sz w:val="18"/>
              </w:rPr>
              <w:t>China</w:t>
            </w:r>
          </w:p>
        </w:tc>
        <w:tc>
          <w:tcPr>
            <w:tcW w:w="1419" w:type="dxa"/>
            <w:shd w:val="clear" w:color="auto" w:fill="FFFF99"/>
            <w:vAlign w:val="center"/>
          </w:tcPr>
          <w:p w14:paraId="70AD2FB5" w14:textId="77777777" w:rsidR="00CB7681" w:rsidRPr="00F9037E" w:rsidRDefault="00CB7681" w:rsidP="000E64F3">
            <w:pPr>
              <w:spacing w:before="40" w:after="40"/>
              <w:rPr>
                <w:rFonts w:ascii="Arial" w:hAnsi="Arial"/>
                <w:sz w:val="18"/>
              </w:rPr>
            </w:pPr>
            <w:r w:rsidRPr="00F9037E">
              <w:rPr>
                <w:rFonts w:ascii="Arial" w:hAnsi="Arial"/>
                <w:sz w:val="18"/>
              </w:rPr>
              <w:t>Ginger Protected</w:t>
            </w:r>
          </w:p>
        </w:tc>
        <w:tc>
          <w:tcPr>
            <w:tcW w:w="992" w:type="dxa"/>
            <w:shd w:val="clear" w:color="auto" w:fill="FFFF99"/>
            <w:vAlign w:val="center"/>
          </w:tcPr>
          <w:p w14:paraId="3F0C2D7D" w14:textId="77777777" w:rsidR="00CB7681" w:rsidRPr="00F9037E" w:rsidRDefault="00CB7681" w:rsidP="000E64F3">
            <w:pPr>
              <w:spacing w:before="40" w:after="40"/>
              <w:jc w:val="center"/>
              <w:rPr>
                <w:rFonts w:ascii="Arial" w:hAnsi="Arial"/>
                <w:sz w:val="18"/>
              </w:rPr>
            </w:pPr>
            <w:r w:rsidRPr="00F9037E">
              <w:rPr>
                <w:rFonts w:ascii="Arial" w:hAnsi="Arial"/>
                <w:sz w:val="18"/>
              </w:rPr>
              <w:t>24</w:t>
            </w:r>
          </w:p>
        </w:tc>
        <w:tc>
          <w:tcPr>
            <w:tcW w:w="992" w:type="dxa"/>
            <w:shd w:val="clear" w:color="auto" w:fill="FFFF99"/>
            <w:vAlign w:val="center"/>
          </w:tcPr>
          <w:p w14:paraId="5139DC44" w14:textId="77777777" w:rsidR="00CB7681" w:rsidRPr="00F9037E" w:rsidRDefault="00CB7681" w:rsidP="000E64F3">
            <w:pPr>
              <w:spacing w:before="40" w:after="40"/>
              <w:jc w:val="center"/>
              <w:rPr>
                <w:rFonts w:ascii="Arial" w:hAnsi="Arial"/>
                <w:sz w:val="18"/>
              </w:rPr>
            </w:pPr>
            <w:r w:rsidRPr="00F9037E">
              <w:rPr>
                <w:rFonts w:ascii="Arial" w:hAnsi="Arial"/>
                <w:sz w:val="18"/>
              </w:rPr>
              <w:t>21</w:t>
            </w:r>
          </w:p>
        </w:tc>
        <w:tc>
          <w:tcPr>
            <w:tcW w:w="954" w:type="dxa"/>
            <w:shd w:val="clear" w:color="auto" w:fill="FFFF99"/>
            <w:vAlign w:val="center"/>
          </w:tcPr>
          <w:p w14:paraId="33C3FDF6" w14:textId="77777777" w:rsidR="00CB7681" w:rsidRPr="00F9037E" w:rsidRDefault="00CB7681" w:rsidP="000E64F3">
            <w:pPr>
              <w:spacing w:before="40" w:after="0"/>
              <w:jc w:val="center"/>
              <w:rPr>
                <w:rFonts w:ascii="Arial" w:hAnsi="Arial"/>
                <w:sz w:val="18"/>
              </w:rPr>
            </w:pPr>
            <w:r w:rsidRPr="00F9037E">
              <w:rPr>
                <w:rFonts w:ascii="Arial" w:hAnsi="Arial"/>
                <w:sz w:val="18"/>
              </w:rPr>
              <w:t>21</w:t>
            </w:r>
          </w:p>
        </w:tc>
        <w:tc>
          <w:tcPr>
            <w:tcW w:w="3724" w:type="dxa"/>
            <w:gridSpan w:val="3"/>
            <w:shd w:val="clear" w:color="auto" w:fill="FFFF99"/>
            <w:vAlign w:val="center"/>
          </w:tcPr>
          <w:p w14:paraId="00F2975E" w14:textId="77777777" w:rsidR="00CB7681" w:rsidRPr="00F9037E" w:rsidRDefault="00CB7681" w:rsidP="000E64F3">
            <w:pPr>
              <w:spacing w:before="40" w:after="0"/>
              <w:jc w:val="center"/>
              <w:rPr>
                <w:rFonts w:ascii="Arial" w:hAnsi="Arial"/>
                <w:sz w:val="18"/>
              </w:rPr>
            </w:pPr>
            <w:r w:rsidRPr="00F9037E">
              <w:rPr>
                <w:rFonts w:ascii="Arial" w:hAnsi="Arial"/>
                <w:sz w:val="18"/>
              </w:rPr>
              <w:t>[18.360]</w:t>
            </w:r>
          </w:p>
        </w:tc>
        <w:tc>
          <w:tcPr>
            <w:tcW w:w="851" w:type="dxa"/>
            <w:gridSpan w:val="2"/>
            <w:shd w:val="clear" w:color="auto" w:fill="FFFF99"/>
            <w:vAlign w:val="center"/>
          </w:tcPr>
          <w:p w14:paraId="75A5B22F" w14:textId="77777777" w:rsidR="00CB7681" w:rsidRPr="00F9037E" w:rsidRDefault="00CB7681" w:rsidP="000E64F3">
            <w:pPr>
              <w:spacing w:before="40" w:after="0"/>
              <w:jc w:val="center"/>
              <w:rPr>
                <w:rFonts w:ascii="Arial" w:hAnsi="Arial"/>
                <w:sz w:val="18"/>
              </w:rPr>
            </w:pPr>
          </w:p>
        </w:tc>
        <w:tc>
          <w:tcPr>
            <w:tcW w:w="850" w:type="dxa"/>
            <w:shd w:val="clear" w:color="auto" w:fill="FFFF99"/>
            <w:vAlign w:val="center"/>
          </w:tcPr>
          <w:p w14:paraId="70B1A863" w14:textId="77777777" w:rsidR="00CB7681" w:rsidRPr="00F9037E" w:rsidRDefault="00CB7681" w:rsidP="000E64F3">
            <w:pPr>
              <w:spacing w:before="40" w:after="0"/>
              <w:jc w:val="center"/>
              <w:rPr>
                <w:rFonts w:ascii="Arial" w:hAnsi="Arial"/>
                <w:sz w:val="18"/>
              </w:rPr>
            </w:pPr>
          </w:p>
        </w:tc>
        <w:tc>
          <w:tcPr>
            <w:tcW w:w="851" w:type="dxa"/>
            <w:shd w:val="clear" w:color="auto" w:fill="FFFF99"/>
            <w:vAlign w:val="center"/>
          </w:tcPr>
          <w:p w14:paraId="6A95D852" w14:textId="77777777" w:rsidR="00CB7681" w:rsidRPr="00F9037E" w:rsidRDefault="00CB7681" w:rsidP="000E64F3">
            <w:pPr>
              <w:spacing w:before="40" w:after="0"/>
              <w:jc w:val="center"/>
              <w:rPr>
                <w:rFonts w:ascii="Arial" w:hAnsi="Arial"/>
                <w:sz w:val="18"/>
              </w:rPr>
            </w:pPr>
          </w:p>
        </w:tc>
        <w:tc>
          <w:tcPr>
            <w:tcW w:w="850" w:type="dxa"/>
            <w:shd w:val="clear" w:color="auto" w:fill="FFFF99"/>
            <w:vAlign w:val="center"/>
          </w:tcPr>
          <w:p w14:paraId="1198B375" w14:textId="77777777" w:rsidR="00CB7681" w:rsidRPr="00F9037E" w:rsidRDefault="00CB7681" w:rsidP="000E64F3">
            <w:pPr>
              <w:spacing w:before="40" w:after="0"/>
              <w:jc w:val="center"/>
              <w:rPr>
                <w:rFonts w:ascii="Arial" w:hAnsi="Arial"/>
                <w:sz w:val="18"/>
              </w:rPr>
            </w:pPr>
          </w:p>
        </w:tc>
        <w:tc>
          <w:tcPr>
            <w:tcW w:w="992" w:type="dxa"/>
            <w:shd w:val="clear" w:color="auto" w:fill="FFFF99"/>
            <w:vAlign w:val="center"/>
          </w:tcPr>
          <w:p w14:paraId="2A295809" w14:textId="77777777" w:rsidR="00CB7681" w:rsidRPr="00F9037E" w:rsidRDefault="00CB7681" w:rsidP="000E64F3">
            <w:pPr>
              <w:spacing w:before="40" w:after="0"/>
              <w:jc w:val="center"/>
              <w:rPr>
                <w:rFonts w:ascii="Arial" w:hAnsi="Arial"/>
                <w:sz w:val="18"/>
              </w:rPr>
            </w:pPr>
          </w:p>
        </w:tc>
        <w:tc>
          <w:tcPr>
            <w:tcW w:w="780" w:type="dxa"/>
            <w:shd w:val="clear" w:color="auto" w:fill="FFFF99"/>
            <w:vAlign w:val="center"/>
          </w:tcPr>
          <w:p w14:paraId="0F232485" w14:textId="77777777" w:rsidR="00CB7681" w:rsidRPr="00F9037E" w:rsidRDefault="00CB7681" w:rsidP="000E64F3">
            <w:pPr>
              <w:spacing w:before="40" w:after="0"/>
              <w:jc w:val="center"/>
              <w:rPr>
                <w:rFonts w:ascii="Arial" w:hAnsi="Arial"/>
                <w:sz w:val="18"/>
              </w:rPr>
            </w:pPr>
          </w:p>
        </w:tc>
        <w:tc>
          <w:tcPr>
            <w:tcW w:w="1063" w:type="dxa"/>
            <w:shd w:val="clear" w:color="auto" w:fill="FFFF99"/>
            <w:vAlign w:val="center"/>
          </w:tcPr>
          <w:p w14:paraId="523CAE39" w14:textId="77777777" w:rsidR="00CB7681" w:rsidRPr="00F9037E" w:rsidRDefault="00CB7681" w:rsidP="000E64F3">
            <w:pPr>
              <w:spacing w:before="40" w:after="0"/>
              <w:jc w:val="center"/>
              <w:rPr>
                <w:rFonts w:ascii="Arial" w:hAnsi="Arial"/>
                <w:sz w:val="18"/>
              </w:rPr>
            </w:pPr>
          </w:p>
        </w:tc>
      </w:tr>
      <w:tr w:rsidR="00CB7681" w:rsidRPr="00F9037E" w14:paraId="7E84283C" w14:textId="77777777" w:rsidTr="000633FC">
        <w:trPr>
          <w:trHeight w:val="282"/>
        </w:trPr>
        <w:tc>
          <w:tcPr>
            <w:tcW w:w="1133" w:type="dxa"/>
            <w:vMerge/>
            <w:tcBorders>
              <w:bottom w:val="single" w:sz="4" w:space="0" w:color="auto"/>
            </w:tcBorders>
          </w:tcPr>
          <w:p w14:paraId="5163614E" w14:textId="77777777" w:rsidR="00CB7681" w:rsidRPr="00F9037E" w:rsidRDefault="00CB7681" w:rsidP="000E64F3">
            <w:pPr>
              <w:spacing w:before="40" w:after="40"/>
              <w:rPr>
                <w:rFonts w:ascii="Arial" w:hAnsi="Arial"/>
                <w:sz w:val="18"/>
              </w:rPr>
            </w:pPr>
          </w:p>
        </w:tc>
        <w:tc>
          <w:tcPr>
            <w:tcW w:w="14318" w:type="dxa"/>
            <w:gridSpan w:val="15"/>
            <w:tcBorders>
              <w:bottom w:val="single" w:sz="4" w:space="0" w:color="auto"/>
            </w:tcBorders>
          </w:tcPr>
          <w:p w14:paraId="6C98BC15" w14:textId="77777777" w:rsidR="00CB7681" w:rsidRPr="00F9037E" w:rsidRDefault="00CB7681" w:rsidP="000E64F3">
            <w:pPr>
              <w:spacing w:before="60" w:after="120"/>
              <w:jc w:val="both"/>
              <w:rPr>
                <w:rFonts w:ascii="Arial" w:hAnsi="Arial"/>
                <w:b/>
                <w:sz w:val="18"/>
              </w:rPr>
            </w:pPr>
            <w:r w:rsidRPr="00F9037E">
              <w:rPr>
                <w:rFonts w:ascii="Arial" w:hAnsi="Arial"/>
                <w:b/>
                <w:sz w:val="18"/>
              </w:rPr>
              <w:t xml:space="preserve">MBTOC final recommendation for 2017: </w:t>
            </w:r>
          </w:p>
          <w:p w14:paraId="3A746E29" w14:textId="77777777" w:rsidR="00CB7681" w:rsidRPr="00F9037E" w:rsidRDefault="00CB7681" w:rsidP="000E64F3">
            <w:pPr>
              <w:spacing w:before="120" w:after="120"/>
              <w:jc w:val="both"/>
              <w:rPr>
                <w:rFonts w:ascii="Arial" w:hAnsi="Arial"/>
                <w:sz w:val="18"/>
              </w:rPr>
            </w:pPr>
            <w:r w:rsidRPr="00F9037E">
              <w:rPr>
                <w:rFonts w:ascii="Arial" w:hAnsi="Arial"/>
                <w:sz w:val="18"/>
              </w:rPr>
              <w:t>MBTOC recommends a reduced amount of 18.360 tonnes of MB for this use in 2017 (61.2 ha x 30g/m</w:t>
            </w:r>
            <w:r w:rsidRPr="00F9037E">
              <w:rPr>
                <w:rFonts w:ascii="Arial" w:hAnsi="Arial"/>
                <w:sz w:val="18"/>
                <w:vertAlign w:val="superscript"/>
              </w:rPr>
              <w:t>2</w:t>
            </w:r>
            <w:r w:rsidRPr="00F9037E">
              <w:rPr>
                <w:rFonts w:ascii="Arial" w:hAnsi="Arial"/>
                <w:sz w:val="18"/>
              </w:rPr>
              <w:t>=18.360t) based on 100% adoption of barrier films</w:t>
            </w:r>
            <w:r w:rsidRPr="00F9037E">
              <w:rPr>
                <w:rFonts w:ascii="Arial" w:hAnsi="Arial" w:cs="Arial"/>
                <w:sz w:val="18"/>
                <w:szCs w:val="18"/>
              </w:rPr>
              <w:t>,</w:t>
            </w:r>
            <w:r w:rsidRPr="00F9037E">
              <w:rPr>
                <w:rFonts w:ascii="Arial" w:hAnsi="Arial"/>
                <w:sz w:val="18"/>
              </w:rPr>
              <w:t xml:space="preserve"> which MBTOC considers are suitable for the nomination and meet the requirements of Decision IX/6 to minimize emissions. </w:t>
            </w:r>
          </w:p>
          <w:p w14:paraId="1FB2F08A" w14:textId="77777777" w:rsidR="00CB7681" w:rsidRPr="00F9037E" w:rsidRDefault="00CB7681" w:rsidP="000E64F3">
            <w:pPr>
              <w:spacing w:before="120" w:after="120"/>
              <w:jc w:val="both"/>
              <w:rPr>
                <w:rFonts w:ascii="Arial" w:hAnsi="Arial"/>
                <w:sz w:val="18"/>
              </w:rPr>
            </w:pPr>
            <w:r w:rsidRPr="00F9037E">
              <w:rPr>
                <w:rFonts w:ascii="Arial" w:hAnsi="Arial"/>
                <w:sz w:val="18"/>
              </w:rPr>
              <w:t>Barrier films (VIF and TIF) are produced in China. MBTOC considers that barrier films can be used in protected cultivation without any risk of wind degradation and used an average dosage rate (30 g/m</w:t>
            </w:r>
            <w:r w:rsidRPr="00F9037E">
              <w:rPr>
                <w:rFonts w:ascii="Arial" w:hAnsi="Arial"/>
                <w:sz w:val="18"/>
                <w:vertAlign w:val="superscript"/>
              </w:rPr>
              <w:t>2</w:t>
            </w:r>
            <w:r w:rsidRPr="00F9037E">
              <w:rPr>
                <w:rFonts w:ascii="Arial" w:hAnsi="Arial"/>
                <w:sz w:val="18"/>
              </w:rPr>
              <w:t>) according to MBTOC’s standard presumptions for sandy and heavy soils.</w:t>
            </w:r>
          </w:p>
          <w:p w14:paraId="2EC2A936" w14:textId="77777777" w:rsidR="00CB7681" w:rsidRPr="00F9037E" w:rsidRDefault="00CB7681" w:rsidP="000E64F3">
            <w:pPr>
              <w:spacing w:after="120"/>
              <w:jc w:val="both"/>
              <w:rPr>
                <w:rFonts w:ascii="Arial" w:hAnsi="Arial"/>
                <w:b/>
                <w:sz w:val="18"/>
              </w:rPr>
            </w:pPr>
            <w:r w:rsidRPr="00F9037E">
              <w:rPr>
                <w:rFonts w:ascii="Arial" w:hAnsi="Arial"/>
                <w:b/>
                <w:sz w:val="18"/>
              </w:rPr>
              <w:t xml:space="preserve">Nomination by the Party for 2017: </w:t>
            </w:r>
          </w:p>
          <w:p w14:paraId="7CE2569A" w14:textId="2BBD40C7" w:rsidR="00CB7681" w:rsidRPr="003A30C7" w:rsidRDefault="00CB7681" w:rsidP="000E64F3">
            <w:pPr>
              <w:spacing w:after="120"/>
              <w:jc w:val="both"/>
              <w:rPr>
                <w:rFonts w:ascii="Arial" w:hAnsi="Arial"/>
                <w:sz w:val="18"/>
              </w:rPr>
            </w:pPr>
            <w:r w:rsidRPr="00F9037E">
              <w:rPr>
                <w:rFonts w:ascii="Arial" w:hAnsi="Arial"/>
                <w:sz w:val="18"/>
              </w:rPr>
              <w:t>China nominated 21 t of MB as a critical use for protected ginger production on 61.2 ha at a rate of 35 g/m</w:t>
            </w:r>
            <w:r w:rsidRPr="00F9037E">
              <w:rPr>
                <w:rFonts w:ascii="Arial" w:hAnsi="Arial"/>
                <w:sz w:val="18"/>
                <w:vertAlign w:val="superscript"/>
              </w:rPr>
              <w:t>2</w:t>
            </w:r>
            <w:r w:rsidRPr="00F9037E">
              <w:rPr>
                <w:rFonts w:ascii="Arial" w:hAnsi="Arial"/>
                <w:sz w:val="18"/>
              </w:rPr>
              <w:t xml:space="preserve"> for use in 2017.The target pests are </w:t>
            </w:r>
            <w:proofErr w:type="spellStart"/>
            <w:r w:rsidRPr="00F9037E">
              <w:rPr>
                <w:rFonts w:ascii="Arial" w:hAnsi="Arial" w:cs="Arial"/>
                <w:i/>
                <w:sz w:val="18"/>
                <w:szCs w:val="18"/>
              </w:rPr>
              <w:t>Ralstonia</w:t>
            </w:r>
            <w:proofErr w:type="spellEnd"/>
            <w:r w:rsidR="000E64F3" w:rsidRPr="00F9037E">
              <w:rPr>
                <w:rFonts w:ascii="Arial" w:hAnsi="Arial" w:cs="Arial"/>
                <w:i/>
                <w:sz w:val="18"/>
                <w:szCs w:val="18"/>
              </w:rPr>
              <w:t xml:space="preserve"> </w:t>
            </w:r>
            <w:proofErr w:type="spellStart"/>
            <w:r w:rsidRPr="00F9037E">
              <w:rPr>
                <w:rFonts w:ascii="Arial" w:hAnsi="Arial" w:cs="Arial"/>
                <w:i/>
                <w:sz w:val="18"/>
                <w:szCs w:val="18"/>
              </w:rPr>
              <w:t>solanacearum</w:t>
            </w:r>
            <w:proofErr w:type="spellEnd"/>
            <w:r w:rsidRPr="00F9037E">
              <w:rPr>
                <w:rFonts w:ascii="Arial" w:hAnsi="Arial"/>
                <w:sz w:val="18"/>
              </w:rPr>
              <w:t xml:space="preserve">, </w:t>
            </w:r>
            <w:r w:rsidRPr="000F08B5">
              <w:rPr>
                <w:rFonts w:ascii="Arial" w:hAnsi="Arial"/>
                <w:i/>
                <w:sz w:val="18"/>
              </w:rPr>
              <w:t>Pythium</w:t>
            </w:r>
            <w:r w:rsidR="000E64F3" w:rsidRPr="00365366">
              <w:rPr>
                <w:rFonts w:ascii="Arial" w:hAnsi="Arial"/>
                <w:i/>
                <w:sz w:val="18"/>
              </w:rPr>
              <w:t xml:space="preserve"> </w:t>
            </w:r>
            <w:r w:rsidRPr="002F7462">
              <w:rPr>
                <w:rFonts w:ascii="Arial" w:hAnsi="Arial"/>
                <w:sz w:val="18"/>
              </w:rPr>
              <w:t>spp.</w:t>
            </w:r>
            <w:r w:rsidR="002F7462">
              <w:rPr>
                <w:rFonts w:ascii="Arial" w:hAnsi="Arial"/>
                <w:sz w:val="18"/>
              </w:rPr>
              <w:t>,</w:t>
            </w:r>
            <w:r w:rsidRPr="00F9037E">
              <w:rPr>
                <w:rFonts w:ascii="Arial" w:hAnsi="Arial"/>
                <w:i/>
                <w:sz w:val="18"/>
              </w:rPr>
              <w:t xml:space="preserve"> </w:t>
            </w:r>
            <w:proofErr w:type="spellStart"/>
            <w:r w:rsidRPr="00F9037E">
              <w:rPr>
                <w:rFonts w:ascii="Arial" w:hAnsi="Arial"/>
                <w:i/>
                <w:sz w:val="18"/>
              </w:rPr>
              <w:t>Meloidogyne</w:t>
            </w:r>
            <w:proofErr w:type="spellEnd"/>
            <w:r w:rsidR="000E64F3" w:rsidRPr="00CD3CBD">
              <w:rPr>
                <w:rFonts w:ascii="Arial" w:hAnsi="Arial"/>
                <w:sz w:val="18"/>
              </w:rPr>
              <w:t xml:space="preserve"> </w:t>
            </w:r>
            <w:r w:rsidRPr="002F7462">
              <w:rPr>
                <w:rFonts w:ascii="Arial" w:hAnsi="Arial"/>
                <w:sz w:val="18"/>
              </w:rPr>
              <w:t>spp.</w:t>
            </w:r>
            <w:r w:rsidRPr="00CD3CBD">
              <w:rPr>
                <w:rFonts w:ascii="Arial" w:hAnsi="Arial"/>
                <w:sz w:val="18"/>
              </w:rPr>
              <w:t xml:space="preserve"> and </w:t>
            </w:r>
            <w:proofErr w:type="spellStart"/>
            <w:r w:rsidRPr="00CD3CBD">
              <w:rPr>
                <w:rFonts w:ascii="Arial" w:hAnsi="Arial" w:cs="Arial"/>
                <w:i/>
                <w:sz w:val="18"/>
                <w:szCs w:val="18"/>
              </w:rPr>
              <w:t>Cyperus</w:t>
            </w:r>
            <w:proofErr w:type="spellEnd"/>
            <w:r w:rsidR="000E64F3" w:rsidRPr="00CD3CBD">
              <w:rPr>
                <w:rFonts w:ascii="Arial" w:hAnsi="Arial" w:cs="Arial"/>
                <w:i/>
                <w:sz w:val="18"/>
                <w:szCs w:val="18"/>
              </w:rPr>
              <w:t xml:space="preserve"> </w:t>
            </w:r>
            <w:proofErr w:type="spellStart"/>
            <w:r w:rsidRPr="00CD3CBD">
              <w:rPr>
                <w:rFonts w:ascii="Arial" w:hAnsi="Arial" w:cs="Arial"/>
                <w:i/>
                <w:sz w:val="18"/>
                <w:szCs w:val="18"/>
              </w:rPr>
              <w:t>rotundus</w:t>
            </w:r>
            <w:proofErr w:type="spellEnd"/>
            <w:r w:rsidRPr="00501812">
              <w:rPr>
                <w:rFonts w:ascii="Arial" w:hAnsi="Arial"/>
                <w:sz w:val="18"/>
              </w:rPr>
              <w:t>. MB is used in regions where soil borne pathogen pressure is high and this only represents a small percentage</w:t>
            </w:r>
            <w:r w:rsidRPr="003A30C7">
              <w:rPr>
                <w:rFonts w:ascii="Arial" w:hAnsi="Arial"/>
                <w:sz w:val="18"/>
              </w:rPr>
              <w:t xml:space="preserve"> of the total ginger cropping area 12.24%). The request is only for ginger grown in the Shandong region where this crop is grown continuously and where pressure from the target pests is high. </w:t>
            </w:r>
          </w:p>
          <w:p w14:paraId="122157EC" w14:textId="77777777" w:rsidR="00CB7681" w:rsidRPr="00082015" w:rsidRDefault="00CB7681" w:rsidP="000E64F3">
            <w:pPr>
              <w:spacing w:after="120"/>
              <w:jc w:val="both"/>
              <w:rPr>
                <w:rFonts w:ascii="Arial" w:hAnsi="Arial"/>
                <w:b/>
                <w:sz w:val="18"/>
              </w:rPr>
            </w:pPr>
            <w:r w:rsidRPr="00082015">
              <w:rPr>
                <w:rFonts w:ascii="Arial" w:hAnsi="Arial"/>
                <w:b/>
                <w:sz w:val="18"/>
              </w:rPr>
              <w:t xml:space="preserve">Circumstances of the nomination by the Party: </w:t>
            </w:r>
          </w:p>
          <w:p w14:paraId="2436A385" w14:textId="77777777" w:rsidR="00CB7681" w:rsidRPr="00082015" w:rsidRDefault="00CB7681" w:rsidP="000E64F3">
            <w:pPr>
              <w:spacing w:after="120"/>
              <w:jc w:val="both"/>
              <w:rPr>
                <w:rFonts w:ascii="Arial" w:hAnsi="Arial"/>
                <w:sz w:val="18"/>
              </w:rPr>
            </w:pPr>
            <w:r w:rsidRPr="00082015">
              <w:rPr>
                <w:rFonts w:ascii="Arial" w:hAnsi="Arial"/>
                <w:sz w:val="18"/>
              </w:rPr>
              <w:t xml:space="preserve">China submitted a National Management Strategy to completely phase out MB in 2019. The Chinese government is supporting research and development of new MB alternatives and speeding up the registration process for chemical to completely phase out MB by 2019. </w:t>
            </w:r>
          </w:p>
          <w:p w14:paraId="5F2BF44A" w14:textId="166ACFD0" w:rsidR="00CB7681" w:rsidRPr="000F08B5" w:rsidRDefault="00CB7681" w:rsidP="000E64F3">
            <w:pPr>
              <w:spacing w:before="120"/>
              <w:jc w:val="both"/>
              <w:rPr>
                <w:rFonts w:ascii="Arial" w:hAnsi="Arial"/>
                <w:sz w:val="18"/>
              </w:rPr>
            </w:pPr>
            <w:r w:rsidRPr="00F5313E">
              <w:rPr>
                <w:rFonts w:ascii="Arial" w:hAnsi="Arial"/>
                <w:sz w:val="18"/>
              </w:rPr>
              <w:t>China is using small disposable canisters of MB/Pic (681 g/canister), using standard polyethylene films. MB/Pic is applied in canisters (98:2), as cold gas at a rate of 35 g/m</w:t>
            </w:r>
            <w:r w:rsidRPr="00220275">
              <w:rPr>
                <w:rFonts w:ascii="Arial" w:hAnsi="Arial"/>
                <w:sz w:val="18"/>
                <w:vertAlign w:val="superscript"/>
              </w:rPr>
              <w:t>2</w:t>
            </w:r>
            <w:r w:rsidRPr="00220275">
              <w:rPr>
                <w:rFonts w:ascii="Arial" w:hAnsi="Arial"/>
                <w:sz w:val="18"/>
              </w:rPr>
              <w:t xml:space="preserve">. According to the Party, chloropicrin is the only chemical alternative registered in China for this sector. Pic alone did not provide effective control of </w:t>
            </w:r>
            <w:proofErr w:type="spellStart"/>
            <w:r w:rsidRPr="00220275">
              <w:rPr>
                <w:rFonts w:ascii="Arial" w:hAnsi="Arial" w:cs="Arial"/>
                <w:i/>
                <w:sz w:val="18"/>
                <w:szCs w:val="18"/>
              </w:rPr>
              <w:t>Meloidogyne</w:t>
            </w:r>
            <w:proofErr w:type="spellEnd"/>
            <w:r w:rsidR="000E64F3" w:rsidRPr="00220275">
              <w:rPr>
                <w:rFonts w:ascii="Arial" w:hAnsi="Arial" w:cs="Arial"/>
                <w:i/>
                <w:sz w:val="18"/>
                <w:szCs w:val="18"/>
              </w:rPr>
              <w:t xml:space="preserve"> </w:t>
            </w:r>
            <w:r w:rsidRPr="002F7462">
              <w:rPr>
                <w:rFonts w:ascii="Arial" w:hAnsi="Arial" w:cs="Arial"/>
                <w:sz w:val="18"/>
                <w:szCs w:val="18"/>
              </w:rPr>
              <w:t>spp</w:t>
            </w:r>
            <w:r w:rsidR="002F7462">
              <w:rPr>
                <w:rFonts w:ascii="Arial" w:hAnsi="Arial"/>
                <w:sz w:val="18"/>
              </w:rPr>
              <w:t>.</w:t>
            </w:r>
            <w:r w:rsidRPr="002F7462">
              <w:rPr>
                <w:rFonts w:ascii="Arial" w:hAnsi="Arial"/>
                <w:sz w:val="18"/>
              </w:rPr>
              <w:t xml:space="preserve"> </w:t>
            </w:r>
            <w:r w:rsidRPr="00B87B95">
              <w:rPr>
                <w:rFonts w:ascii="Arial" w:hAnsi="Arial"/>
                <w:sz w:val="18"/>
              </w:rPr>
              <w:t xml:space="preserve">and </w:t>
            </w:r>
            <w:proofErr w:type="spellStart"/>
            <w:r w:rsidRPr="00B87B95">
              <w:rPr>
                <w:rFonts w:ascii="Arial" w:hAnsi="Arial" w:cs="Arial"/>
                <w:i/>
                <w:sz w:val="18"/>
                <w:szCs w:val="18"/>
              </w:rPr>
              <w:t>Cyperus</w:t>
            </w:r>
            <w:proofErr w:type="spellEnd"/>
            <w:r w:rsidR="000E64F3" w:rsidRPr="00B87B95">
              <w:rPr>
                <w:rFonts w:ascii="Arial" w:hAnsi="Arial" w:cs="Arial"/>
                <w:i/>
                <w:sz w:val="18"/>
                <w:szCs w:val="18"/>
              </w:rPr>
              <w:t xml:space="preserve"> </w:t>
            </w:r>
            <w:proofErr w:type="spellStart"/>
            <w:r w:rsidRPr="00B87B95">
              <w:rPr>
                <w:rFonts w:ascii="Arial" w:hAnsi="Arial" w:cs="Arial"/>
                <w:i/>
                <w:sz w:val="18"/>
                <w:szCs w:val="18"/>
              </w:rPr>
              <w:t>rotundus</w:t>
            </w:r>
            <w:proofErr w:type="spellEnd"/>
            <w:r w:rsidRPr="00B87B95">
              <w:rPr>
                <w:rFonts w:ascii="Arial" w:hAnsi="Arial"/>
                <w:sz w:val="18"/>
              </w:rPr>
              <w:t xml:space="preserve">. In addition, Pic causes </w:t>
            </w:r>
            <w:proofErr w:type="spellStart"/>
            <w:r w:rsidRPr="00B87B95">
              <w:rPr>
                <w:rFonts w:ascii="Arial" w:hAnsi="Arial"/>
                <w:sz w:val="18"/>
              </w:rPr>
              <w:t>phytotoxicity</w:t>
            </w:r>
            <w:proofErr w:type="spellEnd"/>
            <w:r w:rsidRPr="00B87B95">
              <w:rPr>
                <w:rFonts w:ascii="Arial" w:hAnsi="Arial"/>
                <w:sz w:val="18"/>
              </w:rPr>
              <w:t xml:space="preserve"> and needs a longer fumigation time than MB obliging farmers to postpone </w:t>
            </w:r>
            <w:r w:rsidRPr="00563BC0">
              <w:rPr>
                <w:rFonts w:ascii="Arial" w:hAnsi="Arial"/>
                <w:sz w:val="18"/>
              </w:rPr>
              <w:t xml:space="preserve">the planting time which affects yield, quality and marketing. However, a recent study confirms that Pic is a promising alternative with similar effectiveness to MB against </w:t>
            </w:r>
            <w:proofErr w:type="spellStart"/>
            <w:r w:rsidRPr="00563BC0">
              <w:rPr>
                <w:rFonts w:ascii="Arial" w:hAnsi="Arial" w:cs="Arial"/>
                <w:i/>
                <w:sz w:val="18"/>
                <w:szCs w:val="18"/>
              </w:rPr>
              <w:t>Ralstonia</w:t>
            </w:r>
            <w:proofErr w:type="spellEnd"/>
            <w:r w:rsidR="000E64F3" w:rsidRPr="00563BC0">
              <w:rPr>
                <w:rFonts w:ascii="Arial" w:hAnsi="Arial" w:cs="Arial"/>
                <w:i/>
                <w:sz w:val="18"/>
                <w:szCs w:val="18"/>
              </w:rPr>
              <w:t xml:space="preserve"> </w:t>
            </w:r>
            <w:proofErr w:type="spellStart"/>
            <w:r w:rsidRPr="00563BC0">
              <w:rPr>
                <w:rFonts w:ascii="Arial" w:hAnsi="Arial" w:cs="Arial"/>
                <w:i/>
                <w:sz w:val="18"/>
                <w:szCs w:val="18"/>
              </w:rPr>
              <w:t>solanacearum</w:t>
            </w:r>
            <w:proofErr w:type="spellEnd"/>
            <w:r w:rsidRPr="00563BC0">
              <w:rPr>
                <w:rFonts w:ascii="Arial" w:hAnsi="Arial"/>
                <w:sz w:val="18"/>
              </w:rPr>
              <w:t>, which can be used successfully in integrated pest management programmes in China (Mao</w:t>
            </w:r>
            <w:r w:rsidRPr="000F08B5">
              <w:rPr>
                <w:rFonts w:ascii="Arial" w:hAnsi="Arial"/>
                <w:i/>
                <w:sz w:val="18"/>
              </w:rPr>
              <w:t xml:space="preserve"> et al.,</w:t>
            </w:r>
            <w:r w:rsidRPr="000F08B5">
              <w:rPr>
                <w:rFonts w:ascii="Arial" w:hAnsi="Arial"/>
                <w:sz w:val="18"/>
              </w:rPr>
              <w:t xml:space="preserve"> 2014). </w:t>
            </w:r>
          </w:p>
          <w:p w14:paraId="3447A5F5" w14:textId="22BB2265" w:rsidR="00CB7681" w:rsidRPr="00F9037E" w:rsidRDefault="00CB7681" w:rsidP="000E64F3">
            <w:pPr>
              <w:jc w:val="both"/>
              <w:rPr>
                <w:rFonts w:ascii="Arial" w:hAnsi="Arial"/>
                <w:sz w:val="18"/>
              </w:rPr>
            </w:pPr>
            <w:r w:rsidRPr="000F08B5">
              <w:rPr>
                <w:rFonts w:ascii="Arial" w:hAnsi="Arial"/>
                <w:sz w:val="18"/>
              </w:rPr>
              <w:t>In spite of their proven efficacy, other chemical alternatives such as 1</w:t>
            </w:r>
            <w:proofErr w:type="gramStart"/>
            <w:r w:rsidRPr="000F08B5">
              <w:rPr>
                <w:rFonts w:ascii="Arial" w:hAnsi="Arial"/>
                <w:sz w:val="18"/>
              </w:rPr>
              <w:t>,3</w:t>
            </w:r>
            <w:proofErr w:type="gramEnd"/>
            <w:r w:rsidRPr="000F08B5">
              <w:rPr>
                <w:rFonts w:ascii="Arial" w:hAnsi="Arial"/>
                <w:sz w:val="18"/>
              </w:rPr>
              <w:t xml:space="preserve">-dichloropropene, </w:t>
            </w:r>
            <w:proofErr w:type="spellStart"/>
            <w:r w:rsidRPr="000F08B5">
              <w:rPr>
                <w:rFonts w:ascii="Arial" w:hAnsi="Arial"/>
                <w:sz w:val="18"/>
              </w:rPr>
              <w:t>dazomet</w:t>
            </w:r>
            <w:proofErr w:type="spellEnd"/>
            <w:r w:rsidRPr="000F08B5">
              <w:rPr>
                <w:rFonts w:ascii="Arial" w:hAnsi="Arial"/>
                <w:sz w:val="18"/>
              </w:rPr>
              <w:t xml:space="preserve">, </w:t>
            </w:r>
            <w:proofErr w:type="spellStart"/>
            <w:r w:rsidRPr="000F08B5">
              <w:rPr>
                <w:rFonts w:ascii="Arial" w:hAnsi="Arial"/>
                <w:sz w:val="18"/>
              </w:rPr>
              <w:t>iodomethane</w:t>
            </w:r>
            <w:proofErr w:type="spellEnd"/>
            <w:r w:rsidRPr="000F08B5">
              <w:rPr>
                <w:rFonts w:ascii="Arial" w:hAnsi="Arial"/>
                <w:sz w:val="18"/>
              </w:rPr>
              <w:t xml:space="preserve">, </w:t>
            </w:r>
            <w:proofErr w:type="spellStart"/>
            <w:r w:rsidRPr="000F08B5">
              <w:rPr>
                <w:rFonts w:ascii="Arial" w:hAnsi="Arial"/>
                <w:sz w:val="18"/>
              </w:rPr>
              <w:t>metham</w:t>
            </w:r>
            <w:proofErr w:type="spellEnd"/>
            <w:r w:rsidRPr="000F08B5">
              <w:rPr>
                <w:rFonts w:ascii="Arial" w:hAnsi="Arial"/>
                <w:sz w:val="18"/>
              </w:rPr>
              <w:t xml:space="preserve"> sodium, dimethyl </w:t>
            </w:r>
            <w:proofErr w:type="spellStart"/>
            <w:r w:rsidRPr="000F08B5">
              <w:rPr>
                <w:rFonts w:ascii="Arial" w:hAnsi="Arial"/>
                <w:sz w:val="18"/>
              </w:rPr>
              <w:t>disulfide</w:t>
            </w:r>
            <w:proofErr w:type="spellEnd"/>
            <w:r w:rsidRPr="000F08B5">
              <w:rPr>
                <w:rFonts w:ascii="Arial" w:hAnsi="Arial"/>
                <w:sz w:val="18"/>
              </w:rPr>
              <w:t xml:space="preserve"> and </w:t>
            </w:r>
            <w:proofErr w:type="spellStart"/>
            <w:r w:rsidRPr="000F08B5">
              <w:rPr>
                <w:rFonts w:ascii="Arial" w:hAnsi="Arial"/>
                <w:sz w:val="18"/>
              </w:rPr>
              <w:t>sulfuryl</w:t>
            </w:r>
            <w:proofErr w:type="spellEnd"/>
            <w:r w:rsidRPr="000F08B5">
              <w:rPr>
                <w:rFonts w:ascii="Arial" w:hAnsi="Arial"/>
                <w:sz w:val="18"/>
              </w:rPr>
              <w:t xml:space="preserve"> fluoride are not registered for use in ginger in China. In research trials, SF has been shown to control root-knot nematodes and reduce the levels of key soil pathogens (Cao</w:t>
            </w:r>
            <w:r w:rsidRPr="00365366">
              <w:rPr>
                <w:rFonts w:ascii="Arial" w:hAnsi="Arial"/>
                <w:i/>
                <w:sz w:val="18"/>
              </w:rPr>
              <w:t xml:space="preserve"> et al.,</w:t>
            </w:r>
            <w:r w:rsidRPr="00F9037E">
              <w:rPr>
                <w:rFonts w:ascii="Arial" w:hAnsi="Arial"/>
                <w:sz w:val="18"/>
              </w:rPr>
              <w:t xml:space="preserve"> 2014). Pic and 1</w:t>
            </w:r>
            <w:proofErr w:type="gramStart"/>
            <w:r w:rsidRPr="00F9037E">
              <w:rPr>
                <w:rFonts w:ascii="Arial" w:hAnsi="Arial"/>
                <w:sz w:val="18"/>
              </w:rPr>
              <w:t>,3</w:t>
            </w:r>
            <w:proofErr w:type="gramEnd"/>
            <w:r w:rsidRPr="00F9037E">
              <w:rPr>
                <w:rFonts w:ascii="Arial" w:hAnsi="Arial"/>
                <w:sz w:val="18"/>
              </w:rPr>
              <w:t xml:space="preserve"> D have been formulated in capsules for trial work and results are encouraging (Mao</w:t>
            </w:r>
            <w:r w:rsidRPr="00F9037E">
              <w:rPr>
                <w:rFonts w:ascii="Arial" w:hAnsi="Arial"/>
                <w:i/>
                <w:sz w:val="18"/>
              </w:rPr>
              <w:t xml:space="preserve"> et al.,</w:t>
            </w:r>
            <w:r w:rsidRPr="00F9037E">
              <w:rPr>
                <w:rFonts w:ascii="Arial" w:hAnsi="Arial"/>
                <w:sz w:val="18"/>
              </w:rPr>
              <w:t xml:space="preserve"> 2014). The 1</w:t>
            </w:r>
            <w:proofErr w:type="gramStart"/>
            <w:r w:rsidRPr="00F9037E">
              <w:rPr>
                <w:rFonts w:ascii="Arial" w:hAnsi="Arial"/>
                <w:sz w:val="18"/>
              </w:rPr>
              <w:t>,3</w:t>
            </w:r>
            <w:proofErr w:type="gramEnd"/>
            <w:r w:rsidRPr="00F9037E">
              <w:rPr>
                <w:rFonts w:ascii="Arial" w:hAnsi="Arial"/>
                <w:sz w:val="18"/>
              </w:rPr>
              <w:t>-D/Pic capsule formulation provides a promising method for soil pest and disease control, reducing both environmental emissions and potential human exposure in greenhouse vegetable cultivation (Wang</w:t>
            </w:r>
            <w:r w:rsidRPr="00F9037E">
              <w:rPr>
                <w:rFonts w:ascii="Arial" w:hAnsi="Arial"/>
                <w:i/>
                <w:sz w:val="18"/>
              </w:rPr>
              <w:t xml:space="preserve"> et al</w:t>
            </w:r>
            <w:r w:rsidRPr="00F9037E">
              <w:rPr>
                <w:rFonts w:ascii="Arial" w:hAnsi="Arial"/>
                <w:sz w:val="18"/>
              </w:rPr>
              <w:t xml:space="preserve">., 2013). </w:t>
            </w:r>
            <w:proofErr w:type="spellStart"/>
            <w:r w:rsidRPr="00F9037E">
              <w:rPr>
                <w:rFonts w:ascii="Arial" w:hAnsi="Arial"/>
                <w:sz w:val="18"/>
              </w:rPr>
              <w:t>Telone</w:t>
            </w:r>
            <w:proofErr w:type="spellEnd"/>
            <w:r w:rsidRPr="00F9037E">
              <w:rPr>
                <w:rFonts w:ascii="Arial" w:hAnsi="Arial"/>
                <w:sz w:val="18"/>
              </w:rPr>
              <w:t xml:space="preserve"> C35 is an excellent MB alternative and has provided acceptable weed control efficacy (Ji</w:t>
            </w:r>
            <w:r w:rsidR="000E64F3" w:rsidRPr="00F9037E">
              <w:rPr>
                <w:rFonts w:ascii="Arial" w:hAnsi="Arial"/>
                <w:sz w:val="18"/>
              </w:rPr>
              <w:t xml:space="preserve"> </w:t>
            </w:r>
            <w:r w:rsidRPr="00F9037E">
              <w:rPr>
                <w:rFonts w:ascii="Arial" w:hAnsi="Arial"/>
                <w:i/>
                <w:sz w:val="18"/>
              </w:rPr>
              <w:t>et al.,</w:t>
            </w:r>
            <w:r w:rsidRPr="00F9037E">
              <w:rPr>
                <w:rFonts w:ascii="Arial" w:hAnsi="Arial"/>
                <w:sz w:val="18"/>
              </w:rPr>
              <w:t xml:space="preserve"> 2013, </w:t>
            </w:r>
            <w:proofErr w:type="spellStart"/>
            <w:r w:rsidRPr="00F9037E">
              <w:rPr>
                <w:rFonts w:ascii="Arial" w:hAnsi="Arial"/>
                <w:sz w:val="18"/>
              </w:rPr>
              <w:t>Qiao</w:t>
            </w:r>
            <w:proofErr w:type="spellEnd"/>
            <w:r w:rsidR="000E64F3" w:rsidRPr="00F9037E">
              <w:rPr>
                <w:rFonts w:ascii="Arial" w:hAnsi="Arial"/>
                <w:sz w:val="18"/>
              </w:rPr>
              <w:t xml:space="preserve"> </w:t>
            </w:r>
            <w:r w:rsidRPr="00F9037E">
              <w:rPr>
                <w:rFonts w:ascii="Arial" w:hAnsi="Arial"/>
                <w:i/>
                <w:sz w:val="18"/>
              </w:rPr>
              <w:t>et al.,</w:t>
            </w:r>
            <w:r w:rsidRPr="00F9037E">
              <w:rPr>
                <w:rFonts w:ascii="Arial" w:hAnsi="Arial"/>
                <w:sz w:val="18"/>
              </w:rPr>
              <w:t xml:space="preserve"> 2012), but this formulation is not registered. Results of the experiment on Pic + 1,3-D </w:t>
            </w:r>
            <w:r w:rsidR="00CD3CBD" w:rsidRPr="00F9037E">
              <w:rPr>
                <w:rFonts w:ascii="Arial" w:hAnsi="Arial"/>
                <w:sz w:val="18"/>
              </w:rPr>
              <w:t>conducted in</w:t>
            </w:r>
            <w:r w:rsidRPr="00F9037E">
              <w:rPr>
                <w:rFonts w:ascii="Arial" w:hAnsi="Arial"/>
                <w:sz w:val="18"/>
              </w:rPr>
              <w:t xml:space="preserve"> 2015 and reported in 2016 </w:t>
            </w:r>
            <w:r w:rsidR="00CD3CBD" w:rsidRPr="00F9037E">
              <w:rPr>
                <w:rFonts w:ascii="Arial" w:hAnsi="Arial"/>
                <w:sz w:val="18"/>
              </w:rPr>
              <w:t>CUN shows</w:t>
            </w:r>
            <w:r w:rsidRPr="00F9037E">
              <w:rPr>
                <w:rFonts w:ascii="Arial" w:hAnsi="Arial"/>
                <w:sz w:val="18"/>
              </w:rPr>
              <w:t xml:space="preserve"> that the marketable yield obtained with </w:t>
            </w:r>
            <w:proofErr w:type="spellStart"/>
            <w:r w:rsidRPr="00F9037E">
              <w:rPr>
                <w:rFonts w:ascii="Arial" w:hAnsi="Arial"/>
                <w:sz w:val="18"/>
              </w:rPr>
              <w:t>Telone</w:t>
            </w:r>
            <w:proofErr w:type="spellEnd"/>
            <w:r w:rsidRPr="00F9037E">
              <w:rPr>
                <w:rFonts w:ascii="Arial" w:hAnsi="Arial"/>
                <w:sz w:val="18"/>
              </w:rPr>
              <w:t xml:space="preserve"> C35 is lower that the yield obtained with MB. </w:t>
            </w:r>
          </w:p>
          <w:p w14:paraId="3BB67122" w14:textId="77777777" w:rsidR="00CB7681" w:rsidRPr="00F9037E" w:rsidRDefault="00CB7681" w:rsidP="000E64F3">
            <w:pPr>
              <w:jc w:val="both"/>
              <w:rPr>
                <w:rFonts w:ascii="Arial" w:hAnsi="Arial"/>
                <w:sz w:val="18"/>
              </w:rPr>
            </w:pPr>
            <w:r w:rsidRPr="00F9037E">
              <w:rPr>
                <w:rFonts w:ascii="Arial" w:hAnsi="Arial"/>
                <w:sz w:val="18"/>
              </w:rPr>
              <w:t xml:space="preserve">According to the Party, non-chemical alternatives (crop rotation, bio-fumigation, solarisation, steaming, </w:t>
            </w:r>
            <w:proofErr w:type="gramStart"/>
            <w:r w:rsidRPr="00F9037E">
              <w:rPr>
                <w:rFonts w:ascii="Arial" w:hAnsi="Arial"/>
                <w:sz w:val="18"/>
              </w:rPr>
              <w:t>soil</w:t>
            </w:r>
            <w:proofErr w:type="gramEnd"/>
            <w:r w:rsidRPr="00F9037E">
              <w:rPr>
                <w:rFonts w:ascii="Arial" w:hAnsi="Arial"/>
                <w:sz w:val="18"/>
              </w:rPr>
              <w:t xml:space="preserve"> less) are not technically and economically feasible when used alone but may be useful in an IPM program.  Preliminary results obtained when using soilless</w:t>
            </w:r>
            <w:r w:rsidR="000E64F3" w:rsidRPr="00F9037E">
              <w:rPr>
                <w:rFonts w:ascii="Arial" w:hAnsi="Arial"/>
                <w:sz w:val="18"/>
              </w:rPr>
              <w:t xml:space="preserve"> </w:t>
            </w:r>
            <w:r w:rsidRPr="00F9037E">
              <w:rPr>
                <w:rFonts w:ascii="Arial" w:hAnsi="Arial"/>
                <w:sz w:val="18"/>
              </w:rPr>
              <w:t xml:space="preserve">cultures have shown that the marketable yields obtained are lower that the yields obtained with MB. </w:t>
            </w:r>
          </w:p>
          <w:p w14:paraId="611F09FB" w14:textId="77777777" w:rsidR="00CB7681" w:rsidRPr="00F9037E" w:rsidRDefault="00CB7681" w:rsidP="000E64F3">
            <w:pPr>
              <w:spacing w:after="120"/>
              <w:jc w:val="both"/>
              <w:rPr>
                <w:rFonts w:ascii="Arial" w:hAnsi="Arial"/>
                <w:sz w:val="18"/>
              </w:rPr>
            </w:pPr>
            <w:r w:rsidRPr="00F9037E">
              <w:rPr>
                <w:rFonts w:ascii="Arial" w:hAnsi="Arial"/>
                <w:sz w:val="18"/>
              </w:rPr>
              <w:t xml:space="preserve">Barrier films are produced in China but are not used. MBTOC considers that their use is possible in ginger protected cultivation. </w:t>
            </w:r>
          </w:p>
          <w:p w14:paraId="7ECEB9D9" w14:textId="77777777" w:rsidR="00CB7681" w:rsidRPr="00F9037E" w:rsidRDefault="00CB7681" w:rsidP="000E64F3">
            <w:pPr>
              <w:spacing w:after="120"/>
              <w:jc w:val="both"/>
              <w:rPr>
                <w:rFonts w:ascii="Arial" w:hAnsi="Arial"/>
                <w:b/>
                <w:sz w:val="18"/>
              </w:rPr>
            </w:pPr>
            <w:r w:rsidRPr="00F9037E">
              <w:rPr>
                <w:rFonts w:ascii="Arial" w:hAnsi="Arial"/>
                <w:b/>
                <w:sz w:val="18"/>
              </w:rPr>
              <w:t xml:space="preserve">MBTOC final assessment for MB use in this sector in 2017: </w:t>
            </w:r>
          </w:p>
          <w:p w14:paraId="5BBCA79A" w14:textId="6548A1C2" w:rsidR="00CB7681" w:rsidRPr="00B87B95" w:rsidRDefault="00CB7681" w:rsidP="000E64F3">
            <w:pPr>
              <w:spacing w:before="120" w:after="120"/>
              <w:jc w:val="both"/>
              <w:rPr>
                <w:rFonts w:ascii="Arial" w:hAnsi="Arial"/>
                <w:sz w:val="18"/>
              </w:rPr>
            </w:pPr>
            <w:r w:rsidRPr="00F9037E">
              <w:rPr>
                <w:rFonts w:ascii="Arial" w:hAnsi="Arial"/>
                <w:sz w:val="18"/>
              </w:rPr>
              <w:t>MBTOC recommends a reduced amount of 18.360 t of MB for this use in 2017 (61.2 ha X 30 g /m</w:t>
            </w:r>
            <w:r w:rsidRPr="00F9037E">
              <w:rPr>
                <w:rFonts w:ascii="Arial" w:hAnsi="Arial"/>
                <w:sz w:val="18"/>
                <w:vertAlign w:val="superscript"/>
              </w:rPr>
              <w:t>2</w:t>
            </w:r>
            <w:r w:rsidRPr="00F9037E">
              <w:rPr>
                <w:rFonts w:ascii="Arial" w:hAnsi="Arial"/>
                <w:sz w:val="18"/>
              </w:rPr>
              <w:t>= 18.360 t with barrier films. The Party states that alternatives are not available for this nomination, particularly as 1</w:t>
            </w:r>
            <w:proofErr w:type="gramStart"/>
            <w:r w:rsidRPr="00F9037E">
              <w:rPr>
                <w:rFonts w:ascii="Arial" w:hAnsi="Arial"/>
                <w:sz w:val="18"/>
              </w:rPr>
              <w:t>,3</w:t>
            </w:r>
            <w:proofErr w:type="gramEnd"/>
            <w:r w:rsidRPr="00F9037E">
              <w:rPr>
                <w:rFonts w:ascii="Arial" w:hAnsi="Arial"/>
                <w:sz w:val="18"/>
              </w:rPr>
              <w:t>-D is unavailable for use in China. MBTOC however notes that other countries</w:t>
            </w:r>
            <w:r w:rsidR="00CD3CBD">
              <w:rPr>
                <w:rFonts w:ascii="Arial" w:hAnsi="Arial"/>
                <w:sz w:val="18"/>
              </w:rPr>
              <w:t>,</w:t>
            </w:r>
            <w:r w:rsidRPr="00CD3CBD">
              <w:rPr>
                <w:rFonts w:ascii="Arial" w:hAnsi="Arial"/>
                <w:sz w:val="18"/>
              </w:rPr>
              <w:t xml:space="preserve"> which applied MB using canisters on a </w:t>
            </w:r>
            <w:r w:rsidR="00CD3CBD" w:rsidRPr="00501812">
              <w:rPr>
                <w:rFonts w:ascii="Arial" w:hAnsi="Arial"/>
                <w:sz w:val="18"/>
              </w:rPr>
              <w:t>small-scale</w:t>
            </w:r>
            <w:r w:rsidRPr="003A30C7">
              <w:rPr>
                <w:rFonts w:ascii="Arial" w:hAnsi="Arial"/>
                <w:sz w:val="18"/>
              </w:rPr>
              <w:t xml:space="preserve"> basis have phased out for this sector (e.g. Japan). In China the registered MB ap</w:t>
            </w:r>
            <w:r w:rsidRPr="00082015">
              <w:rPr>
                <w:rFonts w:ascii="Arial" w:hAnsi="Arial"/>
                <w:sz w:val="18"/>
              </w:rPr>
              <w:t>plication rate varies between 50 and 75 g/m</w:t>
            </w:r>
            <w:r w:rsidRPr="00082015">
              <w:rPr>
                <w:rFonts w:ascii="Arial" w:hAnsi="Arial"/>
                <w:sz w:val="18"/>
                <w:vertAlign w:val="superscript"/>
              </w:rPr>
              <w:t>2</w:t>
            </w:r>
            <w:r w:rsidRPr="00082015">
              <w:rPr>
                <w:rFonts w:ascii="Arial" w:hAnsi="Arial"/>
                <w:sz w:val="18"/>
              </w:rPr>
              <w:t xml:space="preserve"> (Cao, pers. com 2014). Although the amount requested is based on a use rate </w:t>
            </w:r>
            <w:r w:rsidR="00CD3CBD" w:rsidRPr="00220275">
              <w:rPr>
                <w:rFonts w:ascii="Arial" w:hAnsi="Arial"/>
                <w:sz w:val="18"/>
              </w:rPr>
              <w:t>of 35</w:t>
            </w:r>
            <w:r w:rsidRPr="00220275">
              <w:rPr>
                <w:rFonts w:ascii="Arial" w:hAnsi="Arial"/>
                <w:sz w:val="18"/>
              </w:rPr>
              <w:t xml:space="preserve"> g/m</w:t>
            </w:r>
            <w:r w:rsidRPr="00220275">
              <w:rPr>
                <w:rFonts w:ascii="Arial" w:hAnsi="Arial"/>
                <w:sz w:val="18"/>
                <w:vertAlign w:val="superscript"/>
              </w:rPr>
              <w:t>2</w:t>
            </w:r>
            <w:r w:rsidRPr="00220275">
              <w:rPr>
                <w:rFonts w:ascii="Arial" w:hAnsi="Arial"/>
                <w:sz w:val="18"/>
              </w:rPr>
              <w:t xml:space="preserve"> (without VIF or TIF), the application is based on the use of canisters of MB which are less efficient than soil injection methods and thus the rate proposed </w:t>
            </w:r>
            <w:r w:rsidRPr="00220275">
              <w:rPr>
                <w:rFonts w:ascii="Arial" w:hAnsi="Arial"/>
                <w:sz w:val="18"/>
              </w:rPr>
              <w:lastRenderedPageBreak/>
              <w:t xml:space="preserve">is considered appropriate. MBTOC considers that in the absence of effective alternatives, MB/Pic 50:50 can be suitable for this sector, but China would need to develop technology to formulate and apply this formulation. MBTOC considers that barrier films could be used because it is available in China. MBTOC is also aware that Pic + DMDS or Pic + </w:t>
            </w:r>
            <w:proofErr w:type="spellStart"/>
            <w:r w:rsidRPr="00220275">
              <w:rPr>
                <w:rFonts w:ascii="Arial" w:hAnsi="Arial"/>
                <w:sz w:val="18"/>
              </w:rPr>
              <w:t>fosthiazate</w:t>
            </w:r>
            <w:proofErr w:type="spellEnd"/>
            <w:r w:rsidRPr="00220275">
              <w:rPr>
                <w:rFonts w:ascii="Arial" w:hAnsi="Arial"/>
                <w:sz w:val="18"/>
              </w:rPr>
              <w:t xml:space="preserve"> have shown promising results (Cao, 2014, pers. comm.). The Ministry of Environmental </w:t>
            </w:r>
            <w:r w:rsidRPr="00B87B95">
              <w:rPr>
                <w:rFonts w:ascii="Arial" w:hAnsi="Arial"/>
                <w:sz w:val="18"/>
              </w:rPr>
              <w:t xml:space="preserve">Protection (MEP) has funded nine companies to register and develop MB alternatives and one company to carry out the commercial demonstration of anaerobic disinfection technology. MBTOC expects that the results obtained will be rapidly made available for adoption. </w:t>
            </w:r>
          </w:p>
          <w:p w14:paraId="6F769CD4" w14:textId="77777777" w:rsidR="00CB7681" w:rsidRPr="00B87B95" w:rsidRDefault="00CB7681" w:rsidP="000E64F3">
            <w:pPr>
              <w:jc w:val="both"/>
              <w:rPr>
                <w:rFonts w:ascii="Arial" w:hAnsi="Arial"/>
                <w:sz w:val="18"/>
              </w:rPr>
            </w:pPr>
            <w:r w:rsidRPr="00B87B95">
              <w:rPr>
                <w:rFonts w:ascii="Arial" w:hAnsi="Arial"/>
                <w:sz w:val="18"/>
              </w:rPr>
              <w:t xml:space="preserve">MBTOC notes that since 1994, the Party has been supported by the MLF with one demonstration project, three project preparation grants and one investment project comprising of eight tranches and that many alternatives have been tried. Funding from the MLF committed the Party to phase out its entire MB consumption for controlled uses by the end of 2014 (MLF, 2014 ab). </w:t>
            </w:r>
          </w:p>
          <w:p w14:paraId="346B61B5" w14:textId="2E7289C3" w:rsidR="00CB7681" w:rsidRPr="00563BC0" w:rsidRDefault="00CB7681" w:rsidP="000E64F3">
            <w:pPr>
              <w:jc w:val="both"/>
              <w:rPr>
                <w:rFonts w:ascii="Arial" w:hAnsi="Arial"/>
                <w:sz w:val="18"/>
              </w:rPr>
            </w:pPr>
            <w:r w:rsidRPr="00B87B95">
              <w:rPr>
                <w:rFonts w:ascii="Arial" w:hAnsi="Arial"/>
                <w:sz w:val="18"/>
              </w:rPr>
              <w:t xml:space="preserve">MB canisters are used because they provide small-scale farmers with an easy application method and the ability to apply targeted amounts of MB to small areas where injection </w:t>
            </w:r>
            <w:r w:rsidRPr="00220275">
              <w:rPr>
                <w:rFonts w:ascii="Arial" w:hAnsi="Arial"/>
                <w:sz w:val="18"/>
              </w:rPr>
              <w:t xml:space="preserve">machinery may be difficult to use (TEAP, 2008). However, they have been banned in many Article 5 </w:t>
            </w:r>
            <w:r w:rsidR="00CD3CBD" w:rsidRPr="00220275">
              <w:rPr>
                <w:rFonts w:ascii="Arial" w:hAnsi="Arial"/>
                <w:sz w:val="18"/>
              </w:rPr>
              <w:t>countries,</w:t>
            </w:r>
            <w:r w:rsidRPr="00B87B95">
              <w:rPr>
                <w:rFonts w:ascii="Arial" w:hAnsi="Arial"/>
                <w:sz w:val="18"/>
              </w:rPr>
              <w:t xml:space="preserve"> as this application is considered less efficient for soil-borne pathogen control than injection methods. Use of canisters is also considered more dangerous to workers because trained contractors are not involved in its application. This practice also leads to high emissions of MB. According to reports presented to the ExCom, satisfactory pest and disease control has been achieved in ginger crops with the combination of high dosages of chloropicrin, improved application methods of this fumigant and </w:t>
            </w:r>
            <w:proofErr w:type="spellStart"/>
            <w:r w:rsidRPr="00B87B95">
              <w:rPr>
                <w:rFonts w:ascii="Arial" w:hAnsi="Arial"/>
                <w:sz w:val="18"/>
              </w:rPr>
              <w:t>dazomet</w:t>
            </w:r>
            <w:proofErr w:type="spellEnd"/>
            <w:r w:rsidRPr="00B87B95">
              <w:rPr>
                <w:rFonts w:ascii="Arial" w:hAnsi="Arial"/>
                <w:sz w:val="18"/>
              </w:rPr>
              <w:t xml:space="preserve">, plus other chemicals and biological </w:t>
            </w:r>
            <w:proofErr w:type="spellStart"/>
            <w:r w:rsidRPr="00B87B95">
              <w:rPr>
                <w:rFonts w:ascii="Arial" w:hAnsi="Arial"/>
                <w:sz w:val="18"/>
              </w:rPr>
              <w:t>nematicides</w:t>
            </w:r>
            <w:proofErr w:type="spellEnd"/>
            <w:r w:rsidRPr="00B87B95">
              <w:rPr>
                <w:rFonts w:ascii="Arial" w:hAnsi="Arial"/>
                <w:sz w:val="18"/>
              </w:rPr>
              <w:t xml:space="preserve"> within an IPM approach. Pic is used for soil fumigation in areas where the main ginger soil-borne pathogens </w:t>
            </w:r>
            <w:r w:rsidRPr="00B87B95">
              <w:rPr>
                <w:rFonts w:ascii="Arial" w:hAnsi="Arial"/>
                <w:i/>
                <w:sz w:val="18"/>
              </w:rPr>
              <w:t>Pythium</w:t>
            </w:r>
            <w:r w:rsidR="00DC4FD9" w:rsidRPr="00B87B95">
              <w:rPr>
                <w:rFonts w:ascii="Arial" w:hAnsi="Arial"/>
                <w:i/>
                <w:sz w:val="18"/>
              </w:rPr>
              <w:t xml:space="preserve"> </w:t>
            </w:r>
            <w:r w:rsidRPr="00B87B95">
              <w:rPr>
                <w:rFonts w:ascii="Arial" w:hAnsi="Arial"/>
                <w:i/>
                <w:sz w:val="18"/>
              </w:rPr>
              <w:t>spp.</w:t>
            </w:r>
            <w:r w:rsidRPr="00563BC0">
              <w:rPr>
                <w:rFonts w:ascii="Arial" w:hAnsi="Arial"/>
                <w:sz w:val="18"/>
              </w:rPr>
              <w:t xml:space="preserve"> and </w:t>
            </w:r>
            <w:proofErr w:type="spellStart"/>
            <w:r w:rsidRPr="00563BC0">
              <w:rPr>
                <w:rFonts w:ascii="Arial" w:hAnsi="Arial" w:cs="Arial"/>
                <w:i/>
                <w:sz w:val="18"/>
                <w:szCs w:val="18"/>
              </w:rPr>
              <w:t>Ralstonia</w:t>
            </w:r>
            <w:proofErr w:type="spellEnd"/>
            <w:r w:rsidR="00DC4FD9" w:rsidRPr="00563BC0">
              <w:rPr>
                <w:rFonts w:ascii="Arial" w:hAnsi="Arial" w:cs="Arial"/>
                <w:i/>
                <w:sz w:val="18"/>
                <w:szCs w:val="18"/>
              </w:rPr>
              <w:t xml:space="preserve"> </w:t>
            </w:r>
            <w:proofErr w:type="spellStart"/>
            <w:r w:rsidRPr="00563BC0">
              <w:rPr>
                <w:rFonts w:ascii="Arial" w:hAnsi="Arial" w:cs="Arial"/>
                <w:i/>
                <w:sz w:val="18"/>
                <w:szCs w:val="18"/>
              </w:rPr>
              <w:t>solanacerum</w:t>
            </w:r>
            <w:proofErr w:type="spellEnd"/>
            <w:r w:rsidRPr="00563BC0">
              <w:rPr>
                <w:rFonts w:ascii="Arial" w:hAnsi="Arial"/>
                <w:sz w:val="18"/>
              </w:rPr>
              <w:t xml:space="preserve"> are main pests. </w:t>
            </w:r>
          </w:p>
          <w:p w14:paraId="16903DCA" w14:textId="77777777" w:rsidR="00CB7681" w:rsidRPr="00563BC0" w:rsidRDefault="00CB7681" w:rsidP="000E64F3">
            <w:pPr>
              <w:spacing w:after="120"/>
              <w:jc w:val="both"/>
              <w:rPr>
                <w:rFonts w:ascii="Arial" w:hAnsi="Arial"/>
                <w:b/>
                <w:sz w:val="18"/>
              </w:rPr>
            </w:pPr>
            <w:r w:rsidRPr="00563BC0">
              <w:rPr>
                <w:rFonts w:ascii="Arial" w:hAnsi="Arial"/>
                <w:b/>
                <w:sz w:val="18"/>
              </w:rPr>
              <w:t>MBTOC comments on economics for 2017:</w:t>
            </w:r>
          </w:p>
          <w:p w14:paraId="369F2A7A" w14:textId="77777777" w:rsidR="00CB7681" w:rsidRPr="00F9037E" w:rsidRDefault="00CB7681" w:rsidP="000E64F3">
            <w:pPr>
              <w:spacing w:after="120"/>
              <w:jc w:val="both"/>
              <w:rPr>
                <w:rFonts w:ascii="Arial" w:hAnsi="Arial"/>
                <w:sz w:val="18"/>
              </w:rPr>
            </w:pPr>
            <w:r w:rsidRPr="000F08B5">
              <w:rPr>
                <w:rFonts w:ascii="Arial" w:hAnsi="Arial"/>
                <w:sz w:val="18"/>
              </w:rPr>
              <w:t>The price of ginger is lower with chloropicrin (MB: $1.31/kg, Pic: $0.65/kg) because of quality impact of root-knot nematodes. Yield with MB is 96.45 t/ha, while with Pic</w:t>
            </w:r>
            <w:r w:rsidR="00DC4FD9" w:rsidRPr="000F08B5">
              <w:rPr>
                <w:rFonts w:ascii="Arial" w:hAnsi="Arial"/>
                <w:sz w:val="18"/>
              </w:rPr>
              <w:t xml:space="preserve"> </w:t>
            </w:r>
            <w:r w:rsidRPr="000F08B5">
              <w:rPr>
                <w:rFonts w:ascii="Arial" w:hAnsi="Arial"/>
                <w:sz w:val="18"/>
              </w:rPr>
              <w:t>it is 86.22 t/ha, again because of the effect of root-knot nematodes.</w:t>
            </w:r>
            <w:r w:rsidR="00DC4FD9" w:rsidRPr="000F08B5">
              <w:rPr>
                <w:rFonts w:ascii="Arial" w:hAnsi="Arial"/>
                <w:sz w:val="18"/>
              </w:rPr>
              <w:t xml:space="preserve"> </w:t>
            </w:r>
            <w:r w:rsidRPr="000F08B5">
              <w:rPr>
                <w:rFonts w:ascii="Arial" w:hAnsi="Arial"/>
                <w:sz w:val="18"/>
              </w:rPr>
              <w:t xml:space="preserve">Gross revenue with Pic is 44% </w:t>
            </w:r>
            <w:r w:rsidRPr="00365366">
              <w:rPr>
                <w:rFonts w:ascii="Arial" w:hAnsi="Arial"/>
                <w:sz w:val="18"/>
              </w:rPr>
              <w:t>of that of MB</w:t>
            </w:r>
            <w:r w:rsidRPr="00F9037E">
              <w:rPr>
                <w:rFonts w:ascii="Arial" w:hAnsi="Arial"/>
                <w:sz w:val="18"/>
              </w:rPr>
              <w:t xml:space="preserve"> (because of the yield and price difference). Net revenue is 25% of that of methyl bromide.</w:t>
            </w:r>
          </w:p>
          <w:p w14:paraId="132D57B9" w14:textId="77777777" w:rsidR="00CB7681" w:rsidRPr="00F9037E" w:rsidRDefault="00CB7681" w:rsidP="000E64F3">
            <w:pPr>
              <w:spacing w:after="120"/>
              <w:jc w:val="both"/>
              <w:rPr>
                <w:rFonts w:ascii="Arial" w:hAnsi="Arial"/>
                <w:b/>
                <w:sz w:val="18"/>
              </w:rPr>
            </w:pPr>
            <w:r w:rsidRPr="00F9037E">
              <w:rPr>
                <w:rFonts w:ascii="Arial" w:hAnsi="Arial"/>
                <w:b/>
                <w:sz w:val="18"/>
              </w:rPr>
              <w:t>Comments requested in Dec. XX1/11 (para 9):</w:t>
            </w:r>
          </w:p>
          <w:p w14:paraId="4D8B2009" w14:textId="7B1BD07C" w:rsidR="00CB7681" w:rsidRPr="00F9037E" w:rsidRDefault="00CB7681" w:rsidP="000E64F3">
            <w:pPr>
              <w:pStyle w:val="ListParagraph"/>
              <w:numPr>
                <w:ilvl w:val="0"/>
                <w:numId w:val="18"/>
              </w:numPr>
              <w:spacing w:after="120"/>
              <w:ind w:left="0" w:firstLine="0"/>
              <w:jc w:val="both"/>
              <w:rPr>
                <w:rFonts w:ascii="Arial" w:hAnsi="Arial"/>
                <w:sz w:val="18"/>
              </w:rPr>
            </w:pPr>
            <w:r w:rsidRPr="00F9037E">
              <w:rPr>
                <w:rFonts w:ascii="Arial" w:hAnsi="Arial"/>
                <w:b/>
                <w:sz w:val="18"/>
              </w:rPr>
              <w:t xml:space="preserve">Dec. IX/6 </w:t>
            </w:r>
            <w:r w:rsidR="00CD3CBD" w:rsidRPr="00F9037E">
              <w:rPr>
                <w:rFonts w:ascii="Arial" w:hAnsi="Arial"/>
                <w:b/>
                <w:sz w:val="18"/>
              </w:rPr>
              <w:t>b (</w:t>
            </w:r>
            <w:proofErr w:type="spellStart"/>
            <w:r w:rsidRPr="00F9037E">
              <w:rPr>
                <w:rFonts w:ascii="Arial" w:hAnsi="Arial"/>
                <w:b/>
                <w:sz w:val="18"/>
              </w:rPr>
              <w:t>i</w:t>
            </w:r>
            <w:proofErr w:type="spellEnd"/>
            <w:r w:rsidRPr="00F9037E">
              <w:rPr>
                <w:rFonts w:ascii="Arial" w:hAnsi="Arial"/>
                <w:b/>
                <w:sz w:val="18"/>
              </w:rPr>
              <w:t xml:space="preserve">) Emission Reduction: </w:t>
            </w:r>
            <w:r w:rsidRPr="00F9037E">
              <w:rPr>
                <w:rFonts w:ascii="Arial" w:hAnsi="Arial"/>
                <w:sz w:val="18"/>
              </w:rPr>
              <w:t xml:space="preserve">VIF and TIF are produced in China, but are not used for ginger production due to very high cost and low efficacy under low temperatures. MB is applied every year during early spring or late autumn. </w:t>
            </w:r>
          </w:p>
          <w:p w14:paraId="6D58CC36" w14:textId="751A0C4C" w:rsidR="00CB7681" w:rsidRPr="00F9037E" w:rsidRDefault="00CB7681" w:rsidP="000E64F3">
            <w:pPr>
              <w:pStyle w:val="ListParagraph"/>
              <w:numPr>
                <w:ilvl w:val="0"/>
                <w:numId w:val="18"/>
              </w:numPr>
              <w:spacing w:after="120"/>
              <w:ind w:left="0" w:firstLine="0"/>
              <w:jc w:val="both"/>
              <w:rPr>
                <w:rFonts w:ascii="Arial" w:hAnsi="Arial"/>
                <w:sz w:val="18"/>
              </w:rPr>
            </w:pPr>
            <w:r w:rsidRPr="00F9037E">
              <w:rPr>
                <w:rFonts w:ascii="Arial" w:hAnsi="Arial"/>
                <w:b/>
                <w:sz w:val="18"/>
              </w:rPr>
              <w:t xml:space="preserve">Dec. IX/6 </w:t>
            </w:r>
            <w:r w:rsidR="00CD3CBD" w:rsidRPr="00F9037E">
              <w:rPr>
                <w:rFonts w:ascii="Arial" w:hAnsi="Arial"/>
                <w:b/>
                <w:sz w:val="18"/>
              </w:rPr>
              <w:t>b (</w:t>
            </w:r>
            <w:r w:rsidRPr="00F9037E">
              <w:rPr>
                <w:rFonts w:ascii="Arial" w:hAnsi="Arial"/>
                <w:b/>
                <w:sz w:val="18"/>
              </w:rPr>
              <w:t xml:space="preserve">iii) MLF Assistance/Adoption of Effective Alternatives: </w:t>
            </w:r>
            <w:r w:rsidRPr="00F9037E">
              <w:rPr>
                <w:rFonts w:ascii="Arial" w:hAnsi="Arial"/>
                <w:sz w:val="18"/>
              </w:rPr>
              <w:t>Research trials within the MLF-funded investment project commenced in this sector in 2008 Progressive results of the experiments which Ministry of Environmental Protection (MEP) has funded are expected to be available and adopted. Results are also expected from the nine companies responsible of registering and developing MB alternatives and from the company carrying out the commercial demonstration of anaerobic disinfection technology</w:t>
            </w:r>
          </w:p>
          <w:p w14:paraId="029F36BF" w14:textId="0356A524" w:rsidR="00CB7681" w:rsidRPr="00F9037E" w:rsidRDefault="00CB7681" w:rsidP="000E64F3">
            <w:pPr>
              <w:pStyle w:val="ListParagraph"/>
              <w:numPr>
                <w:ilvl w:val="0"/>
                <w:numId w:val="18"/>
              </w:numPr>
              <w:ind w:left="0" w:firstLine="0"/>
              <w:jc w:val="both"/>
              <w:rPr>
                <w:rFonts w:ascii="Arial" w:hAnsi="Arial"/>
                <w:sz w:val="18"/>
              </w:rPr>
            </w:pPr>
            <w:r w:rsidRPr="00F9037E">
              <w:rPr>
                <w:rFonts w:ascii="Arial" w:hAnsi="Arial"/>
                <w:b/>
                <w:sz w:val="18"/>
              </w:rPr>
              <w:t xml:space="preserve">Dec. IX/6 </w:t>
            </w:r>
            <w:r w:rsidR="00CD3CBD" w:rsidRPr="00F9037E">
              <w:rPr>
                <w:rFonts w:ascii="Arial" w:hAnsi="Arial"/>
                <w:b/>
                <w:sz w:val="18"/>
              </w:rPr>
              <w:t>b (</w:t>
            </w:r>
            <w:r w:rsidRPr="00F9037E">
              <w:rPr>
                <w:rFonts w:ascii="Arial" w:hAnsi="Arial"/>
                <w:b/>
                <w:sz w:val="18"/>
              </w:rPr>
              <w:t xml:space="preserve">iii) Appropriate Effort: </w:t>
            </w:r>
            <w:r w:rsidRPr="00F9037E">
              <w:rPr>
                <w:rFonts w:ascii="Arial" w:hAnsi="Arial"/>
                <w:sz w:val="18"/>
              </w:rPr>
              <w:t>Yes, considered appropriate as experiments are being conducted to phase out MB by 2019.</w:t>
            </w:r>
          </w:p>
          <w:p w14:paraId="3103EC11" w14:textId="77777777" w:rsidR="00CB7681" w:rsidRPr="00CD3CBD" w:rsidRDefault="00CB7681" w:rsidP="000E64F3">
            <w:pPr>
              <w:pStyle w:val="ListParagraph"/>
              <w:numPr>
                <w:ilvl w:val="0"/>
                <w:numId w:val="18"/>
              </w:numPr>
              <w:ind w:left="0" w:firstLine="0"/>
              <w:jc w:val="both"/>
              <w:rPr>
                <w:rFonts w:ascii="Arial" w:hAnsi="Arial"/>
                <w:sz w:val="18"/>
              </w:rPr>
            </w:pPr>
            <w:r w:rsidRPr="000F08B5">
              <w:rPr>
                <w:rFonts w:ascii="Arial" w:hAnsi="Arial"/>
                <w:b/>
                <w:sz w:val="18"/>
              </w:rPr>
              <w:t xml:space="preserve">Dec. Ex 1(4) Annex 1 National Management Strategy: </w:t>
            </w:r>
            <w:r w:rsidRPr="000F08B5">
              <w:rPr>
                <w:rFonts w:ascii="Arial" w:eastAsiaTheme="minorHAnsi" w:hAnsi="Arial" w:cs="Arial"/>
                <w:sz w:val="18"/>
                <w:szCs w:val="18"/>
              </w:rPr>
              <w:t xml:space="preserve">MBTOC notes that China provided a summary strategy showing plans to phase </w:t>
            </w:r>
            <w:r w:rsidRPr="000F08B5">
              <w:rPr>
                <w:rFonts w:ascii="Arial" w:eastAsiaTheme="minorHAnsi" w:hAnsi="Arial" w:cs="Arial" w:hint="eastAsia"/>
                <w:sz w:val="18"/>
                <w:szCs w:val="18"/>
              </w:rPr>
              <w:t>the</w:t>
            </w:r>
            <w:r w:rsidRPr="000F08B5">
              <w:rPr>
                <w:rFonts w:ascii="Arial" w:eastAsiaTheme="minorHAnsi" w:hAnsi="Arial" w:cs="Arial"/>
                <w:sz w:val="18"/>
                <w:szCs w:val="18"/>
              </w:rPr>
              <w:t xml:space="preserve"> Critical-Use Exemption of Methyl Bromide on ginger</w:t>
            </w:r>
            <w:r w:rsidRPr="000F08B5">
              <w:rPr>
                <w:rFonts w:ascii="Arial" w:eastAsiaTheme="minorHAnsi" w:hAnsi="Arial" w:cs="Arial" w:hint="eastAsia"/>
                <w:sz w:val="18"/>
                <w:szCs w:val="18"/>
              </w:rPr>
              <w:t xml:space="preserve"> in 2019</w:t>
            </w:r>
            <w:r w:rsidRPr="000F08B5">
              <w:rPr>
                <w:rFonts w:ascii="Arial" w:eastAsiaTheme="minorHAnsi" w:hAnsi="Arial" w:cs="Arial"/>
                <w:sz w:val="18"/>
                <w:szCs w:val="18"/>
              </w:rPr>
              <w:t>.</w:t>
            </w:r>
          </w:p>
        </w:tc>
      </w:tr>
    </w:tbl>
    <w:p w14:paraId="2F087165" w14:textId="5D505C5E" w:rsidR="00CB7681" w:rsidRPr="00F9037E" w:rsidRDefault="00CB7681" w:rsidP="000E64F3">
      <w:pPr>
        <w:spacing w:before="120" w:after="120"/>
        <w:rPr>
          <w:rFonts w:ascii="Arial" w:hAnsi="Arial" w:cs="Arial"/>
          <w:b/>
          <w:bCs/>
          <w:sz w:val="18"/>
          <w:szCs w:val="18"/>
        </w:rPr>
      </w:pPr>
      <w:r w:rsidRPr="00F9037E">
        <w:rPr>
          <w:rFonts w:ascii="Arial" w:hAnsi="Arial" w:cs="Arial"/>
          <w:sz w:val="18"/>
          <w:szCs w:val="18"/>
          <w:vertAlign w:val="superscript"/>
        </w:rPr>
        <w:lastRenderedPageBreak/>
        <w:t>1</w:t>
      </w:r>
      <w:r w:rsidRPr="00F9037E">
        <w:rPr>
          <w:rFonts w:ascii="Arial" w:hAnsi="Arial" w:cs="Arial"/>
          <w:sz w:val="18"/>
          <w:szCs w:val="18"/>
        </w:rPr>
        <w:t xml:space="preserve">1ExMOP and 16MOP; </w:t>
      </w:r>
      <w:r w:rsidRPr="00F9037E">
        <w:rPr>
          <w:rFonts w:ascii="Arial" w:hAnsi="Arial" w:cs="Arial"/>
          <w:sz w:val="18"/>
          <w:szCs w:val="18"/>
          <w:vertAlign w:val="superscript"/>
        </w:rPr>
        <w:t>2</w:t>
      </w:r>
      <w:r w:rsidRPr="00F9037E">
        <w:rPr>
          <w:rFonts w:ascii="Arial" w:hAnsi="Arial" w:cs="Arial"/>
          <w:sz w:val="18"/>
          <w:szCs w:val="18"/>
        </w:rPr>
        <w:t xml:space="preserve">16MOP+2ExMOP+17MOP; </w:t>
      </w:r>
      <w:r w:rsidRPr="00F9037E">
        <w:rPr>
          <w:rFonts w:ascii="Arial" w:hAnsi="Arial" w:cs="Arial"/>
          <w:sz w:val="18"/>
          <w:szCs w:val="18"/>
          <w:vertAlign w:val="superscript"/>
        </w:rPr>
        <w:t>3</w:t>
      </w:r>
      <w:r w:rsidRPr="00F9037E">
        <w:rPr>
          <w:rFonts w:ascii="Arial" w:hAnsi="Arial" w:cs="Arial"/>
          <w:sz w:val="18"/>
          <w:szCs w:val="18"/>
        </w:rPr>
        <w:t xml:space="preserve">MOP17+MOP18; </w:t>
      </w:r>
      <w:r w:rsidRPr="00F9037E">
        <w:rPr>
          <w:rFonts w:ascii="Arial" w:hAnsi="Arial" w:cs="Arial"/>
          <w:sz w:val="18"/>
          <w:szCs w:val="18"/>
          <w:vertAlign w:val="superscript"/>
        </w:rPr>
        <w:t>4</w:t>
      </w:r>
      <w:r w:rsidRPr="00F9037E">
        <w:rPr>
          <w:rFonts w:ascii="Arial" w:hAnsi="Arial" w:cs="Arial"/>
          <w:sz w:val="18"/>
          <w:szCs w:val="18"/>
        </w:rPr>
        <w:t xml:space="preserve">MOP18+MOP19; </w:t>
      </w:r>
      <w:r w:rsidRPr="00F9037E">
        <w:rPr>
          <w:rFonts w:ascii="Arial" w:hAnsi="Arial" w:cs="Arial"/>
          <w:sz w:val="18"/>
          <w:szCs w:val="18"/>
          <w:vertAlign w:val="superscript"/>
        </w:rPr>
        <w:t>5</w:t>
      </w:r>
      <w:r w:rsidRPr="00F9037E">
        <w:rPr>
          <w:rFonts w:ascii="Arial" w:hAnsi="Arial" w:cs="Arial"/>
          <w:sz w:val="18"/>
          <w:szCs w:val="18"/>
        </w:rPr>
        <w:t xml:space="preserve">MOP19+MOP20; </w:t>
      </w:r>
      <w:r w:rsidRPr="00F9037E">
        <w:rPr>
          <w:rFonts w:ascii="Arial" w:hAnsi="Arial" w:cs="Arial"/>
          <w:sz w:val="18"/>
          <w:szCs w:val="18"/>
          <w:vertAlign w:val="superscript"/>
        </w:rPr>
        <w:t>6</w:t>
      </w:r>
      <w:r w:rsidRPr="00F9037E">
        <w:rPr>
          <w:rFonts w:ascii="Arial" w:hAnsi="Arial" w:cs="Arial"/>
          <w:sz w:val="18"/>
          <w:szCs w:val="18"/>
        </w:rPr>
        <w:t xml:space="preserve">MOP20+MOP21; </w:t>
      </w:r>
      <w:r w:rsidRPr="00F9037E">
        <w:rPr>
          <w:rFonts w:ascii="Arial" w:hAnsi="Arial" w:cs="Arial"/>
          <w:sz w:val="18"/>
          <w:szCs w:val="18"/>
          <w:vertAlign w:val="superscript"/>
        </w:rPr>
        <w:t>7</w:t>
      </w:r>
      <w:r w:rsidRPr="00F9037E">
        <w:rPr>
          <w:rFonts w:ascii="Arial" w:hAnsi="Arial" w:cs="Arial"/>
          <w:sz w:val="18"/>
          <w:szCs w:val="18"/>
        </w:rPr>
        <w:t xml:space="preserve">MOP21+MOP22; </w:t>
      </w:r>
      <w:r w:rsidRPr="00F9037E">
        <w:rPr>
          <w:rFonts w:ascii="Arial" w:hAnsi="Arial" w:cs="Arial"/>
          <w:sz w:val="18"/>
          <w:szCs w:val="18"/>
          <w:vertAlign w:val="superscript"/>
        </w:rPr>
        <w:t>8</w:t>
      </w:r>
      <w:r w:rsidRPr="00F9037E">
        <w:rPr>
          <w:rFonts w:ascii="Arial" w:hAnsi="Arial" w:cs="Arial"/>
          <w:sz w:val="18"/>
          <w:szCs w:val="18"/>
        </w:rPr>
        <w:t xml:space="preserve">MOP22, </w:t>
      </w:r>
      <w:r w:rsidRPr="00F9037E">
        <w:rPr>
          <w:rFonts w:ascii="Arial" w:hAnsi="Arial" w:cs="Arial"/>
          <w:sz w:val="18"/>
          <w:szCs w:val="18"/>
          <w:vertAlign w:val="superscript"/>
        </w:rPr>
        <w:t>9</w:t>
      </w:r>
      <w:r w:rsidRPr="00F9037E">
        <w:rPr>
          <w:rFonts w:ascii="Arial" w:hAnsi="Arial" w:cs="Arial"/>
          <w:sz w:val="18"/>
          <w:szCs w:val="18"/>
        </w:rPr>
        <w:t xml:space="preserve">MOP23, </w:t>
      </w:r>
      <w:r w:rsidRPr="00F9037E">
        <w:rPr>
          <w:rFonts w:ascii="Arial" w:hAnsi="Arial" w:cs="Arial"/>
          <w:sz w:val="18"/>
          <w:szCs w:val="18"/>
          <w:vertAlign w:val="superscript"/>
        </w:rPr>
        <w:t>10</w:t>
      </w:r>
      <w:r w:rsidRPr="00F9037E">
        <w:rPr>
          <w:rFonts w:ascii="Arial" w:hAnsi="Arial" w:cs="Arial"/>
          <w:sz w:val="18"/>
          <w:szCs w:val="18"/>
        </w:rPr>
        <w:t>MOP24</w:t>
      </w:r>
      <w:r w:rsidR="00CD3CBD" w:rsidRPr="00F9037E">
        <w:rPr>
          <w:rFonts w:ascii="Arial" w:hAnsi="Arial" w:cs="Arial"/>
          <w:sz w:val="18"/>
          <w:szCs w:val="18"/>
        </w:rPr>
        <w:t>,</w:t>
      </w:r>
      <w:r w:rsidR="00CD3CBD" w:rsidRPr="00F9037E">
        <w:rPr>
          <w:rFonts w:ascii="Arial" w:hAnsi="Arial" w:cs="Arial"/>
          <w:sz w:val="18"/>
          <w:szCs w:val="18"/>
          <w:vertAlign w:val="superscript"/>
        </w:rPr>
        <w:t xml:space="preserve"> 11MOP25</w:t>
      </w:r>
    </w:p>
    <w:p w14:paraId="71F3033C" w14:textId="77777777" w:rsidR="002C37CE" w:rsidRPr="00F9037E" w:rsidRDefault="002C37CE" w:rsidP="00CB7681">
      <w:pPr>
        <w:rPr>
          <w:b/>
          <w:bCs/>
        </w:rPr>
        <w:sectPr w:rsidR="002C37CE" w:rsidRPr="00F9037E" w:rsidSect="000E64F3">
          <w:footerReference w:type="even" r:id="rId37"/>
          <w:footerReference w:type="default" r:id="rId38"/>
          <w:pgSz w:w="16834" w:h="11909" w:orient="landscape" w:code="9"/>
          <w:pgMar w:top="720" w:right="720" w:bottom="720" w:left="720" w:header="720" w:footer="720" w:gutter="0"/>
          <w:cols w:space="720"/>
          <w:docGrid w:linePitch="360"/>
        </w:sectPr>
      </w:pPr>
    </w:p>
    <w:p w14:paraId="12D002F2" w14:textId="05E6F85B" w:rsidR="007869DD" w:rsidRPr="003655C2" w:rsidRDefault="000F08B5" w:rsidP="006A54A1">
      <w:pPr>
        <w:pStyle w:val="Heading2"/>
        <w:rPr>
          <w:rStyle w:val="Heading2Char"/>
          <w:b w:val="0"/>
        </w:rPr>
      </w:pPr>
      <w:bookmarkStart w:id="101" w:name="_Toc304129062"/>
      <w:bookmarkStart w:id="102" w:name="_Toc461183778"/>
      <w:bookmarkStart w:id="103" w:name="_Toc180140155"/>
      <w:bookmarkStart w:id="104" w:name="_Toc321116350"/>
      <w:bookmarkStart w:id="105" w:name="_Toc102710566"/>
      <w:bookmarkStart w:id="106" w:name="_Toc324255717"/>
      <w:bookmarkStart w:id="107" w:name="_Toc293054755"/>
      <w:r w:rsidRPr="003655C2">
        <w:rPr>
          <w:rStyle w:val="Heading2Char"/>
          <w:b w:val="0"/>
        </w:rPr>
        <w:lastRenderedPageBreak/>
        <w:t>3.10</w:t>
      </w:r>
      <w:r w:rsidR="007869DD" w:rsidRPr="003655C2">
        <w:rPr>
          <w:rStyle w:val="Heading2Char"/>
          <w:b w:val="0"/>
        </w:rPr>
        <w:t xml:space="preserve">. </w:t>
      </w:r>
      <w:bookmarkEnd w:id="101"/>
      <w:r w:rsidR="006B71CA" w:rsidRPr="003655C2">
        <w:rPr>
          <w:rStyle w:val="Heading2Char"/>
          <w:b w:val="0"/>
        </w:rPr>
        <w:tab/>
      </w:r>
      <w:r w:rsidR="000633FC" w:rsidRPr="003655C2">
        <w:rPr>
          <w:rStyle w:val="Heading2Char"/>
          <w:b w:val="0"/>
        </w:rPr>
        <w:t>Final</w:t>
      </w:r>
      <w:r w:rsidR="00B04349" w:rsidRPr="003655C2">
        <w:rPr>
          <w:rStyle w:val="Heading2Char"/>
          <w:b w:val="0"/>
        </w:rPr>
        <w:t xml:space="preserve"> Evaluation of Critical Use Nominations of Methyl Bromide for Commodities and Structures </w:t>
      </w:r>
      <w:r w:rsidR="005E16D1" w:rsidRPr="003655C2">
        <w:rPr>
          <w:rStyle w:val="Heading2Char"/>
          <w:b w:val="0"/>
        </w:rPr>
        <w:t xml:space="preserve">for </w:t>
      </w:r>
      <w:r w:rsidR="00B04349" w:rsidRPr="003655C2">
        <w:rPr>
          <w:rStyle w:val="Heading2Char"/>
          <w:b w:val="0"/>
        </w:rPr>
        <w:t>2017</w:t>
      </w:r>
      <w:bookmarkEnd w:id="102"/>
    </w:p>
    <w:p w14:paraId="510DB1FD" w14:textId="794E70FE" w:rsidR="007869DD" w:rsidRPr="00F9037E" w:rsidRDefault="000F08B5" w:rsidP="006A54A1">
      <w:pPr>
        <w:pStyle w:val="Heading2"/>
        <w:rPr>
          <w:rStyle w:val="Heading311ptBoldChar"/>
        </w:rPr>
      </w:pPr>
      <w:bookmarkStart w:id="108" w:name="_Toc321116351"/>
      <w:bookmarkStart w:id="109" w:name="_Toc304129063"/>
      <w:bookmarkStart w:id="110" w:name="_Toc461183779"/>
      <w:r>
        <w:rPr>
          <w:rStyle w:val="Heading311ptBoldChar"/>
        </w:rPr>
        <w:t>3.10</w:t>
      </w:r>
      <w:r w:rsidR="007869DD" w:rsidRPr="00F9037E">
        <w:rPr>
          <w:rStyle w:val="Heading311ptBoldChar"/>
        </w:rPr>
        <w:t>.1</w:t>
      </w:r>
      <w:r w:rsidR="007869DD" w:rsidRPr="00F9037E">
        <w:rPr>
          <w:rStyle w:val="Heading311ptBoldChar"/>
        </w:rPr>
        <w:tab/>
        <w:t>Standard rate presumptions</w:t>
      </w:r>
      <w:bookmarkEnd w:id="108"/>
      <w:bookmarkEnd w:id="109"/>
      <w:bookmarkEnd w:id="110"/>
    </w:p>
    <w:p w14:paraId="157219F8" w14:textId="77777777" w:rsidR="007869DD" w:rsidRPr="00B87B95" w:rsidRDefault="00E750EB" w:rsidP="009446BE">
      <w:pPr>
        <w:jc w:val="both"/>
      </w:pPr>
      <w:r w:rsidRPr="00CD3CBD">
        <w:t xml:space="preserve">Upon the Party’s request, </w:t>
      </w:r>
      <w:r w:rsidR="007869DD" w:rsidRPr="00CD3CBD">
        <w:t xml:space="preserve">MBTOC </w:t>
      </w:r>
      <w:r w:rsidRPr="00CD3CBD">
        <w:t>re</w:t>
      </w:r>
      <w:r w:rsidR="007869DD" w:rsidRPr="00501812">
        <w:t>assessed the SC CUNs</w:t>
      </w:r>
      <w:r w:rsidR="00DC4FD9" w:rsidRPr="003A30C7">
        <w:t xml:space="preserve"> </w:t>
      </w:r>
      <w:r w:rsidR="007869DD" w:rsidRPr="00082015">
        <w:t>from South Africa</w:t>
      </w:r>
      <w:r w:rsidR="00F01FB5" w:rsidRPr="00082015">
        <w:t>,</w:t>
      </w:r>
      <w:r w:rsidR="00DC4FD9" w:rsidRPr="00082015">
        <w:t xml:space="preserve"> </w:t>
      </w:r>
      <w:r w:rsidRPr="00082015">
        <w:t>consisting</w:t>
      </w:r>
      <w:r w:rsidR="007869DD" w:rsidRPr="00F5313E">
        <w:t xml:space="preserve"> of </w:t>
      </w:r>
      <w:r w:rsidRPr="00220275">
        <w:t xml:space="preserve">one </w:t>
      </w:r>
      <w:r w:rsidR="007869DD" w:rsidRPr="00220275">
        <w:t xml:space="preserve">request for two sectors </w:t>
      </w:r>
      <w:r w:rsidR="00B66635" w:rsidRPr="00220275">
        <w:t>in</w:t>
      </w:r>
      <w:r w:rsidR="00DC4FD9" w:rsidRPr="00220275">
        <w:t xml:space="preserve"> </w:t>
      </w:r>
      <w:r w:rsidRPr="00220275">
        <w:t xml:space="preserve">a single </w:t>
      </w:r>
      <w:r w:rsidR="007869DD" w:rsidRPr="00220275">
        <w:t xml:space="preserve">nomination.  These two sectors were disaggregated by MBTOC and </w:t>
      </w:r>
      <w:r w:rsidRPr="00B87B95">
        <w:t>re</w:t>
      </w:r>
      <w:r w:rsidR="007869DD" w:rsidRPr="00B87B95">
        <w:t>assessed for appropriate MB dosage rates and deployment of MB emission/use reduction technologies, such as</w:t>
      </w:r>
      <w:r w:rsidRPr="00B87B95">
        <w:t xml:space="preserve"> strict sanitation and</w:t>
      </w:r>
      <w:r w:rsidR="007869DD" w:rsidRPr="00B87B95">
        <w:t xml:space="preserve"> appropriate sealing techniques. </w:t>
      </w:r>
    </w:p>
    <w:p w14:paraId="555AF784" w14:textId="77777777" w:rsidR="007869DD" w:rsidRPr="000F08B5" w:rsidRDefault="007869DD" w:rsidP="009446BE">
      <w:pPr>
        <w:jc w:val="both"/>
      </w:pPr>
      <w:r w:rsidRPr="00B87B95">
        <w:t>De</w:t>
      </w:r>
      <w:r w:rsidRPr="00563BC0">
        <w:t>cision IX/6 requires that critical uses should be permitted only if ‘</w:t>
      </w:r>
      <w:r w:rsidRPr="00563BC0">
        <w:rPr>
          <w:i/>
          <w:iCs/>
        </w:rPr>
        <w:t>all technically and economically feasible steps have been taken to minimise the critical use and any associated emission of methyl bromide</w:t>
      </w:r>
      <w:r w:rsidRPr="00563BC0">
        <w:t xml:space="preserve">’.  Decision </w:t>
      </w:r>
      <w:proofErr w:type="spellStart"/>
      <w:r w:rsidRPr="00563BC0">
        <w:t>Ex.II</w:t>
      </w:r>
      <w:proofErr w:type="spellEnd"/>
      <w:r w:rsidRPr="00563BC0">
        <w:t>/1 also mentions emission minimisation techniques, requesting Parties “…</w:t>
      </w:r>
      <w:r w:rsidRPr="00563BC0">
        <w:rPr>
          <w:i/>
          <w:iCs/>
        </w:rPr>
        <w:t>to ensure, wherever methyl bromide is authorised for critical-use exemptions, the use of emission minimisation techniques that improve gas tightness or the use equipment that captures, destroys and/or reuses the methyl bromide and other techniques that promote environmental protection, whenever technically and economically feasible.</w:t>
      </w:r>
      <w:r w:rsidRPr="000F08B5">
        <w:t xml:space="preserve">”  </w:t>
      </w:r>
    </w:p>
    <w:p w14:paraId="1DD6542E" w14:textId="77777777" w:rsidR="007869DD" w:rsidRPr="00F9037E" w:rsidRDefault="007869DD" w:rsidP="009446BE">
      <w:pPr>
        <w:jc w:val="both"/>
      </w:pPr>
      <w:r w:rsidRPr="000F08B5">
        <w:t>With the beginning of the CUN process in 2005, MBTOC published its standard presumptions for structures (</w:t>
      </w:r>
      <w:r w:rsidR="00E750EB" w:rsidRPr="00365366">
        <w:t>dosage rate of 20g/</w:t>
      </w:r>
      <w:r w:rsidRPr="00F9037E">
        <w:t>m</w:t>
      </w:r>
      <w:r w:rsidRPr="00F9037E">
        <w:rPr>
          <w:vertAlign w:val="superscript"/>
        </w:rPr>
        <w:t>-3</w:t>
      </w:r>
      <w:r w:rsidR="00E750EB" w:rsidRPr="00F9037E">
        <w:t xml:space="preserve"> of methyl bromide)</w:t>
      </w:r>
      <w:r w:rsidRPr="00F9037E">
        <w:t xml:space="preserve"> and indicated that the European Plant Protection Organization’s (EPPO) published dosage rates for commodities should be considered standard best practice for fumigation worldwide. Since that time all Parties submitting CUNs stated their adherence to those practices. The EPPO dosage rates for commodity treatment vary by commodity, sorption rate and environmental conditions. They can be found in annexes to the MBTOC 2006 Assessment Report (MBTOC, 2007). Where possible, reduced dosages, combined with longer exposure periods, can reduce MB consumption, while maintaining efficacy (MBTOC 2007).</w:t>
      </w:r>
    </w:p>
    <w:p w14:paraId="4268184A" w14:textId="5151BD2E" w:rsidR="007869DD" w:rsidRPr="00F9037E" w:rsidRDefault="000F08B5" w:rsidP="006A54A1">
      <w:pPr>
        <w:pStyle w:val="Heading2"/>
        <w:rPr>
          <w:rStyle w:val="Heading311ptBoldChar"/>
        </w:rPr>
      </w:pPr>
      <w:bookmarkStart w:id="111" w:name="_Toc321116352"/>
      <w:bookmarkStart w:id="112" w:name="_Toc304129064"/>
      <w:bookmarkStart w:id="113" w:name="_Toc461183780"/>
      <w:r>
        <w:rPr>
          <w:rStyle w:val="Heading311ptBoldChar"/>
        </w:rPr>
        <w:t>3.10</w:t>
      </w:r>
      <w:r w:rsidR="007869DD" w:rsidRPr="00F9037E">
        <w:rPr>
          <w:rStyle w:val="Heading311ptBoldChar"/>
        </w:rPr>
        <w:t>.2.</w:t>
      </w:r>
      <w:r w:rsidR="007869DD" w:rsidRPr="00F9037E">
        <w:rPr>
          <w:rStyle w:val="Heading311ptBoldChar"/>
        </w:rPr>
        <w:tab/>
        <w:t>Details of the evaluation</w:t>
      </w:r>
      <w:bookmarkEnd w:id="111"/>
      <w:bookmarkEnd w:id="112"/>
      <w:bookmarkEnd w:id="113"/>
    </w:p>
    <w:p w14:paraId="2E78B5D6" w14:textId="77777777" w:rsidR="007869DD" w:rsidRPr="00082015" w:rsidRDefault="007869DD" w:rsidP="007869DD">
      <w:r w:rsidRPr="00CD3CBD">
        <w:t>The total MB volume nominated in 2016 for post-harvest uses in 201</w:t>
      </w:r>
      <w:r w:rsidRPr="00501812">
        <w:t>7 was 83 tonnes. MBTOC recommended 45.223 tonnes for South Africa in 2017 (Table 1</w:t>
      </w:r>
      <w:r w:rsidR="00651F65" w:rsidRPr="003A30C7">
        <w:t>.</w:t>
      </w:r>
      <w:r w:rsidRPr="00082015">
        <w:t>11). Table 1-12 provides MBTOC-SC final recommendation for the CUN submitted.</w:t>
      </w:r>
    </w:p>
    <w:p w14:paraId="67E49C3F" w14:textId="77777777" w:rsidR="007869DD" w:rsidRPr="00F5313E" w:rsidRDefault="007869DD" w:rsidP="007869DD">
      <w:pPr>
        <w:pStyle w:val="Tableheading0"/>
        <w:ind w:left="0" w:firstLine="0"/>
        <w:rPr>
          <w:b/>
          <w:bCs/>
        </w:rPr>
      </w:pPr>
      <w:r w:rsidRPr="00082015">
        <w:rPr>
          <w:b/>
          <w:bCs/>
        </w:rPr>
        <w:t>Table 1</w:t>
      </w:r>
      <w:r w:rsidR="00651F65" w:rsidRPr="00082015">
        <w:rPr>
          <w:b/>
          <w:bCs/>
        </w:rPr>
        <w:t>.</w:t>
      </w:r>
      <w:r w:rsidRPr="00F5313E">
        <w:rPr>
          <w:b/>
          <w:bCs/>
        </w:rPr>
        <w:t xml:space="preserve">11.    Summary of the final recommendations for a CUE for postharvest uses of MB (tonnes) for 2017 submitted in the 2016 round.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6"/>
        <w:gridCol w:w="3003"/>
        <w:gridCol w:w="3040"/>
      </w:tblGrid>
      <w:tr w:rsidR="007869DD" w:rsidRPr="00F9037E" w14:paraId="239DC10E" w14:textId="77777777" w:rsidTr="00FC4A53">
        <w:tc>
          <w:tcPr>
            <w:tcW w:w="3065" w:type="dxa"/>
            <w:shd w:val="clear" w:color="auto" w:fill="auto"/>
            <w:vAlign w:val="center"/>
          </w:tcPr>
          <w:p w14:paraId="484AFDFE" w14:textId="77777777" w:rsidR="007869DD" w:rsidRPr="00082015" w:rsidRDefault="007869DD" w:rsidP="00FC4A53">
            <w:pPr>
              <w:spacing w:before="40" w:after="40"/>
              <w:rPr>
                <w:rFonts w:cs="Arial"/>
                <w:b/>
                <w:sz w:val="20"/>
              </w:rPr>
            </w:pPr>
            <w:r w:rsidRPr="00082015">
              <w:rPr>
                <w:rFonts w:cs="Arial"/>
                <w:b/>
                <w:sz w:val="20"/>
              </w:rPr>
              <w:t>Country and Sector</w:t>
            </w:r>
          </w:p>
        </w:tc>
        <w:tc>
          <w:tcPr>
            <w:tcW w:w="3080" w:type="dxa"/>
            <w:shd w:val="clear" w:color="auto" w:fill="auto"/>
            <w:vAlign w:val="center"/>
          </w:tcPr>
          <w:p w14:paraId="7FFEE2B2" w14:textId="77777777" w:rsidR="007869DD" w:rsidRPr="00F5313E" w:rsidRDefault="007869DD" w:rsidP="00FC4A53">
            <w:pPr>
              <w:spacing w:before="40" w:after="40"/>
              <w:jc w:val="center"/>
              <w:rPr>
                <w:rFonts w:cs="Arial"/>
                <w:b/>
                <w:sz w:val="20"/>
              </w:rPr>
            </w:pPr>
            <w:r w:rsidRPr="00082015">
              <w:rPr>
                <w:rFonts w:cs="Arial"/>
                <w:b/>
                <w:sz w:val="20"/>
              </w:rPr>
              <w:t>Nomination</w:t>
            </w:r>
            <w:r w:rsidR="00ED5758" w:rsidRPr="00082015">
              <w:rPr>
                <w:rFonts w:cs="Arial"/>
                <w:b/>
                <w:sz w:val="20"/>
              </w:rPr>
              <w:t xml:space="preserve"> for 2017</w:t>
            </w:r>
            <w:r w:rsidRPr="00F5313E">
              <w:rPr>
                <w:rFonts w:cs="Arial"/>
                <w:b/>
                <w:sz w:val="20"/>
              </w:rPr>
              <w:t>(tonnes)</w:t>
            </w:r>
          </w:p>
        </w:tc>
        <w:tc>
          <w:tcPr>
            <w:tcW w:w="3100" w:type="dxa"/>
            <w:shd w:val="clear" w:color="auto" w:fill="auto"/>
            <w:vAlign w:val="center"/>
          </w:tcPr>
          <w:p w14:paraId="704BB64E" w14:textId="77777777" w:rsidR="007869DD" w:rsidRPr="00B87B95" w:rsidRDefault="00E750EB" w:rsidP="00FC4A53">
            <w:pPr>
              <w:spacing w:before="40" w:after="40"/>
              <w:jc w:val="center"/>
              <w:rPr>
                <w:rFonts w:cs="Arial"/>
                <w:b/>
                <w:sz w:val="20"/>
              </w:rPr>
            </w:pPr>
            <w:r w:rsidRPr="00220275">
              <w:rPr>
                <w:rFonts w:cs="Arial"/>
                <w:b/>
                <w:sz w:val="20"/>
              </w:rPr>
              <w:t>Final</w:t>
            </w:r>
            <w:r w:rsidR="00EE728F" w:rsidRPr="00220275">
              <w:rPr>
                <w:rFonts w:cs="Arial"/>
                <w:b/>
                <w:sz w:val="20"/>
              </w:rPr>
              <w:t xml:space="preserve"> </w:t>
            </w:r>
            <w:r w:rsidR="00ED5758" w:rsidRPr="00220275">
              <w:rPr>
                <w:rFonts w:cs="Arial"/>
                <w:b/>
                <w:sz w:val="20"/>
              </w:rPr>
              <w:t>Re</w:t>
            </w:r>
            <w:r w:rsidR="007869DD" w:rsidRPr="00220275">
              <w:rPr>
                <w:rFonts w:cs="Arial"/>
                <w:b/>
                <w:sz w:val="20"/>
              </w:rPr>
              <w:t xml:space="preserve">commendation </w:t>
            </w:r>
            <w:r w:rsidR="00ED5758" w:rsidRPr="00220275">
              <w:rPr>
                <w:rFonts w:cs="Arial"/>
                <w:b/>
                <w:sz w:val="20"/>
              </w:rPr>
              <w:t>for 2017</w:t>
            </w:r>
            <w:r w:rsidR="007869DD" w:rsidRPr="00B87B95">
              <w:rPr>
                <w:rFonts w:cs="Arial"/>
                <w:b/>
                <w:sz w:val="20"/>
              </w:rPr>
              <w:t>(tonnes)</w:t>
            </w:r>
          </w:p>
        </w:tc>
      </w:tr>
      <w:tr w:rsidR="007869DD" w:rsidRPr="00F9037E" w14:paraId="12BE14E4" w14:textId="77777777" w:rsidTr="007869DD">
        <w:trPr>
          <w:trHeight w:val="307"/>
        </w:trPr>
        <w:tc>
          <w:tcPr>
            <w:tcW w:w="3065" w:type="dxa"/>
            <w:shd w:val="clear" w:color="auto" w:fill="auto"/>
          </w:tcPr>
          <w:p w14:paraId="7603ED28" w14:textId="77777777" w:rsidR="007869DD" w:rsidRPr="00F9037E" w:rsidRDefault="007869DD" w:rsidP="00FC4A53">
            <w:pPr>
              <w:spacing w:before="40" w:after="40"/>
              <w:rPr>
                <w:rFonts w:cs="Arial"/>
                <w:sz w:val="20"/>
              </w:rPr>
            </w:pPr>
          </w:p>
        </w:tc>
        <w:tc>
          <w:tcPr>
            <w:tcW w:w="3080" w:type="dxa"/>
            <w:shd w:val="clear" w:color="auto" w:fill="auto"/>
          </w:tcPr>
          <w:p w14:paraId="0FAE04C8" w14:textId="77777777" w:rsidR="007869DD" w:rsidRPr="00F9037E" w:rsidRDefault="007869DD" w:rsidP="00FC4A53">
            <w:pPr>
              <w:spacing w:before="40" w:after="40"/>
              <w:jc w:val="center"/>
              <w:rPr>
                <w:rFonts w:cs="Arial"/>
                <w:b/>
                <w:sz w:val="20"/>
              </w:rPr>
            </w:pPr>
            <w:r w:rsidRPr="00F9037E">
              <w:rPr>
                <w:rFonts w:cs="Arial"/>
                <w:b/>
                <w:sz w:val="20"/>
              </w:rPr>
              <w:t>2017</w:t>
            </w:r>
          </w:p>
        </w:tc>
        <w:tc>
          <w:tcPr>
            <w:tcW w:w="3100" w:type="dxa"/>
            <w:shd w:val="clear" w:color="auto" w:fill="auto"/>
          </w:tcPr>
          <w:p w14:paraId="21FA19D7" w14:textId="77777777" w:rsidR="007869DD" w:rsidRPr="00F9037E" w:rsidRDefault="007869DD" w:rsidP="00FC4A53">
            <w:pPr>
              <w:spacing w:before="40" w:after="40"/>
              <w:jc w:val="center"/>
              <w:rPr>
                <w:rFonts w:cs="Arial"/>
                <w:b/>
                <w:sz w:val="20"/>
              </w:rPr>
            </w:pPr>
            <w:r w:rsidRPr="00F9037E">
              <w:rPr>
                <w:rFonts w:cs="Arial"/>
                <w:b/>
                <w:sz w:val="20"/>
              </w:rPr>
              <w:t>2017</w:t>
            </w:r>
          </w:p>
        </w:tc>
      </w:tr>
      <w:tr w:rsidR="007869DD" w:rsidRPr="00F9037E" w14:paraId="3912B857" w14:textId="77777777" w:rsidTr="007869DD">
        <w:tc>
          <w:tcPr>
            <w:tcW w:w="3065" w:type="dxa"/>
            <w:shd w:val="clear" w:color="auto" w:fill="auto"/>
          </w:tcPr>
          <w:p w14:paraId="213422C1" w14:textId="77777777" w:rsidR="007869DD" w:rsidRPr="00F9037E" w:rsidRDefault="007869DD" w:rsidP="00FC4A53">
            <w:pPr>
              <w:spacing w:before="40" w:after="40"/>
              <w:rPr>
                <w:rFonts w:cs="Arial"/>
                <w:sz w:val="20"/>
              </w:rPr>
            </w:pPr>
            <w:r w:rsidRPr="00F9037E">
              <w:rPr>
                <w:rFonts w:cs="Arial"/>
                <w:sz w:val="20"/>
              </w:rPr>
              <w:t>South Africa - Mills</w:t>
            </w:r>
          </w:p>
        </w:tc>
        <w:tc>
          <w:tcPr>
            <w:tcW w:w="3080" w:type="dxa"/>
            <w:shd w:val="clear" w:color="auto" w:fill="auto"/>
          </w:tcPr>
          <w:p w14:paraId="68261B3B" w14:textId="77777777" w:rsidR="007869DD" w:rsidRPr="00F9037E" w:rsidRDefault="007869DD" w:rsidP="00FC4A53">
            <w:pPr>
              <w:spacing w:before="40" w:after="40"/>
              <w:jc w:val="center"/>
              <w:rPr>
                <w:rFonts w:cs="Arial"/>
                <w:sz w:val="20"/>
              </w:rPr>
            </w:pPr>
            <w:r w:rsidRPr="00F9037E">
              <w:rPr>
                <w:rFonts w:cs="Arial"/>
                <w:sz w:val="20"/>
              </w:rPr>
              <w:t>13</w:t>
            </w:r>
          </w:p>
        </w:tc>
        <w:tc>
          <w:tcPr>
            <w:tcW w:w="3100" w:type="dxa"/>
            <w:shd w:val="clear" w:color="auto" w:fill="auto"/>
          </w:tcPr>
          <w:p w14:paraId="18EF8D76" w14:textId="77777777" w:rsidR="007869DD" w:rsidRPr="00F9037E" w:rsidRDefault="00E750EB" w:rsidP="00FC4A53">
            <w:pPr>
              <w:spacing w:before="40" w:after="40"/>
              <w:jc w:val="center"/>
              <w:rPr>
                <w:rFonts w:cs="Arial"/>
                <w:sz w:val="20"/>
              </w:rPr>
            </w:pPr>
            <w:r w:rsidRPr="00F9037E">
              <w:rPr>
                <w:rFonts w:cs="Arial"/>
                <w:sz w:val="20"/>
              </w:rPr>
              <w:t>4.1</w:t>
            </w:r>
          </w:p>
        </w:tc>
      </w:tr>
      <w:tr w:rsidR="007869DD" w:rsidRPr="00F9037E" w14:paraId="112B1D59" w14:textId="77777777" w:rsidTr="007869DD">
        <w:tc>
          <w:tcPr>
            <w:tcW w:w="3065" w:type="dxa"/>
            <w:shd w:val="clear" w:color="auto" w:fill="auto"/>
          </w:tcPr>
          <w:p w14:paraId="1E36BE98" w14:textId="77777777" w:rsidR="007869DD" w:rsidRPr="00F9037E" w:rsidRDefault="007869DD" w:rsidP="00FC4A53">
            <w:pPr>
              <w:spacing w:before="40" w:after="40"/>
              <w:rPr>
                <w:rFonts w:cs="Arial"/>
                <w:sz w:val="20"/>
              </w:rPr>
            </w:pPr>
            <w:r w:rsidRPr="00F9037E">
              <w:rPr>
                <w:rFonts w:cs="Arial"/>
                <w:sz w:val="20"/>
              </w:rPr>
              <w:t>South Africa - Structures</w:t>
            </w:r>
          </w:p>
        </w:tc>
        <w:tc>
          <w:tcPr>
            <w:tcW w:w="3080" w:type="dxa"/>
            <w:shd w:val="clear" w:color="auto" w:fill="auto"/>
          </w:tcPr>
          <w:p w14:paraId="353A90A8" w14:textId="77777777" w:rsidR="007869DD" w:rsidRPr="00F9037E" w:rsidRDefault="007869DD" w:rsidP="00FC4A53">
            <w:pPr>
              <w:spacing w:before="40" w:after="40"/>
              <w:jc w:val="center"/>
              <w:rPr>
                <w:rFonts w:cs="Arial"/>
                <w:sz w:val="20"/>
              </w:rPr>
            </w:pPr>
            <w:r w:rsidRPr="00F9037E">
              <w:rPr>
                <w:rFonts w:cs="Arial"/>
                <w:sz w:val="20"/>
              </w:rPr>
              <w:t>70</w:t>
            </w:r>
          </w:p>
        </w:tc>
        <w:tc>
          <w:tcPr>
            <w:tcW w:w="3100" w:type="dxa"/>
            <w:shd w:val="clear" w:color="auto" w:fill="auto"/>
          </w:tcPr>
          <w:p w14:paraId="22CC42CB" w14:textId="77777777" w:rsidR="007869DD" w:rsidRPr="00F9037E" w:rsidRDefault="00E750EB" w:rsidP="00FC4A53">
            <w:pPr>
              <w:spacing w:before="40" w:after="40"/>
              <w:jc w:val="center"/>
              <w:rPr>
                <w:rFonts w:cs="Arial"/>
                <w:sz w:val="20"/>
              </w:rPr>
            </w:pPr>
            <w:r w:rsidRPr="00F9037E">
              <w:rPr>
                <w:rFonts w:cs="Arial"/>
                <w:sz w:val="20"/>
              </w:rPr>
              <w:t>55</w:t>
            </w:r>
          </w:p>
        </w:tc>
      </w:tr>
      <w:tr w:rsidR="007869DD" w:rsidRPr="00F9037E" w14:paraId="03D81A88" w14:textId="77777777" w:rsidTr="007869DD">
        <w:tc>
          <w:tcPr>
            <w:tcW w:w="3065" w:type="dxa"/>
            <w:shd w:val="clear" w:color="auto" w:fill="auto"/>
          </w:tcPr>
          <w:p w14:paraId="3E118A44" w14:textId="77777777" w:rsidR="007869DD" w:rsidRPr="00F9037E" w:rsidRDefault="007869DD" w:rsidP="00FC4A53">
            <w:pPr>
              <w:spacing w:before="40" w:after="40"/>
              <w:rPr>
                <w:rFonts w:cs="Arial"/>
                <w:b/>
                <w:sz w:val="20"/>
              </w:rPr>
            </w:pPr>
            <w:r w:rsidRPr="00F9037E">
              <w:rPr>
                <w:rFonts w:cs="Arial"/>
                <w:b/>
                <w:sz w:val="20"/>
              </w:rPr>
              <w:t>Total</w:t>
            </w:r>
          </w:p>
        </w:tc>
        <w:tc>
          <w:tcPr>
            <w:tcW w:w="3080" w:type="dxa"/>
            <w:shd w:val="clear" w:color="auto" w:fill="auto"/>
          </w:tcPr>
          <w:p w14:paraId="41F22F9D" w14:textId="77777777" w:rsidR="007869DD" w:rsidRPr="00F9037E" w:rsidRDefault="007869DD" w:rsidP="00FC4A53">
            <w:pPr>
              <w:spacing w:before="40" w:after="40"/>
              <w:jc w:val="center"/>
              <w:rPr>
                <w:rFonts w:cs="Arial"/>
                <w:b/>
                <w:sz w:val="20"/>
              </w:rPr>
            </w:pPr>
            <w:r w:rsidRPr="00F9037E">
              <w:rPr>
                <w:rFonts w:cs="Arial"/>
                <w:b/>
                <w:sz w:val="20"/>
              </w:rPr>
              <w:t>83</w:t>
            </w:r>
          </w:p>
        </w:tc>
        <w:tc>
          <w:tcPr>
            <w:tcW w:w="3100" w:type="dxa"/>
            <w:shd w:val="clear" w:color="auto" w:fill="auto"/>
          </w:tcPr>
          <w:p w14:paraId="03197CDF" w14:textId="77777777" w:rsidR="007869DD" w:rsidRPr="00F9037E" w:rsidRDefault="00E750EB" w:rsidP="00FC4A53">
            <w:pPr>
              <w:spacing w:before="40" w:after="40"/>
              <w:jc w:val="center"/>
              <w:rPr>
                <w:rFonts w:cs="Arial"/>
                <w:b/>
                <w:sz w:val="20"/>
              </w:rPr>
            </w:pPr>
            <w:r w:rsidRPr="00F9037E">
              <w:rPr>
                <w:rFonts w:cs="Arial"/>
                <w:b/>
                <w:sz w:val="20"/>
              </w:rPr>
              <w:t>59.1</w:t>
            </w:r>
          </w:p>
        </w:tc>
      </w:tr>
    </w:tbl>
    <w:p w14:paraId="147E8AA2" w14:textId="77777777" w:rsidR="007869DD" w:rsidRPr="00F9037E" w:rsidRDefault="007869DD" w:rsidP="007869DD">
      <w:pPr>
        <w:spacing w:after="0"/>
        <w:rPr>
          <w:rFonts w:ascii="Calibri" w:hAnsi="Calibri"/>
          <w:vanish/>
          <w:color w:val="auto"/>
          <w:szCs w:val="22"/>
          <w:lang w:eastAsia="en-AU"/>
        </w:rPr>
      </w:pPr>
    </w:p>
    <w:p w14:paraId="55992E4D" w14:textId="77777777" w:rsidR="007869DD" w:rsidRPr="00F9037E" w:rsidRDefault="007869DD" w:rsidP="007869DD">
      <w:pPr>
        <w:spacing w:after="0"/>
        <w:sectPr w:rsidR="007869DD" w:rsidRPr="00F9037E" w:rsidSect="00DC4FD9">
          <w:headerReference w:type="default" r:id="rId39"/>
          <w:footerReference w:type="even" r:id="rId40"/>
          <w:footerReference w:type="default" r:id="rId41"/>
          <w:headerReference w:type="first" r:id="rId42"/>
          <w:pgSz w:w="11909" w:h="16834" w:code="9"/>
          <w:pgMar w:top="1168" w:right="1440" w:bottom="1134" w:left="1440" w:header="720" w:footer="720" w:gutter="0"/>
          <w:cols w:space="720"/>
        </w:sectPr>
      </w:pPr>
    </w:p>
    <w:p w14:paraId="7092192C" w14:textId="77777777" w:rsidR="000633FC" w:rsidRPr="00F9037E" w:rsidRDefault="00210905" w:rsidP="00F9037E">
      <w:pPr>
        <w:pStyle w:val="Tableandfigureheadings"/>
      </w:pPr>
      <w:r w:rsidRPr="00F9037E">
        <w:lastRenderedPageBreak/>
        <w:t xml:space="preserve">Table 1-12.  </w:t>
      </w:r>
      <w:r w:rsidR="000633FC" w:rsidRPr="00F9037E">
        <w:t>Final evaluation of CUNs from A5 Parties for structures and commodities submitted in 2016 for 2017.</w:t>
      </w:r>
    </w:p>
    <w:tbl>
      <w:tblPr>
        <w:tblpPr w:leftFromText="180" w:rightFromText="180" w:vertAnchor="text" w:tblpX="108" w:tblpY="1"/>
        <w:tblOverlap w:val="never"/>
        <w:tblW w:w="146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3"/>
        <w:gridCol w:w="1134"/>
        <w:gridCol w:w="1041"/>
        <w:gridCol w:w="900"/>
        <w:gridCol w:w="1080"/>
        <w:gridCol w:w="1056"/>
        <w:gridCol w:w="2585"/>
        <w:gridCol w:w="958"/>
        <w:gridCol w:w="993"/>
        <w:gridCol w:w="850"/>
        <w:gridCol w:w="3025"/>
      </w:tblGrid>
      <w:tr w:rsidR="000633FC" w:rsidRPr="00F9037E" w14:paraId="06660EBB" w14:textId="77777777" w:rsidTr="008C634A">
        <w:trPr>
          <w:trHeight w:val="533"/>
          <w:tblHeader/>
        </w:trPr>
        <w:tc>
          <w:tcPr>
            <w:tcW w:w="993" w:type="dxa"/>
            <w:tcBorders>
              <w:top w:val="single" w:sz="4" w:space="0" w:color="auto"/>
            </w:tcBorders>
            <w:vAlign w:val="center"/>
          </w:tcPr>
          <w:p w14:paraId="2FDCA35F" w14:textId="77777777" w:rsidR="000633FC" w:rsidRPr="00B87B95" w:rsidRDefault="000633FC" w:rsidP="000633FC">
            <w:pPr>
              <w:spacing w:after="0"/>
              <w:rPr>
                <w:rFonts w:ascii="Arial" w:hAnsi="Arial"/>
                <w:b/>
                <w:sz w:val="18"/>
              </w:rPr>
            </w:pPr>
            <w:r w:rsidRPr="00B87B95">
              <w:rPr>
                <w:rFonts w:ascii="Arial" w:hAnsi="Arial"/>
                <w:b/>
                <w:sz w:val="18"/>
              </w:rPr>
              <w:t>Country</w:t>
            </w:r>
          </w:p>
        </w:tc>
        <w:tc>
          <w:tcPr>
            <w:tcW w:w="1134" w:type="dxa"/>
            <w:tcBorders>
              <w:top w:val="single" w:sz="4" w:space="0" w:color="auto"/>
              <w:bottom w:val="single" w:sz="6" w:space="0" w:color="auto"/>
            </w:tcBorders>
            <w:vAlign w:val="center"/>
          </w:tcPr>
          <w:p w14:paraId="3E744D0D" w14:textId="77777777" w:rsidR="000633FC" w:rsidRPr="00B87B95" w:rsidRDefault="000633FC" w:rsidP="000633FC">
            <w:pPr>
              <w:spacing w:after="0"/>
              <w:rPr>
                <w:rFonts w:ascii="Arial" w:hAnsi="Arial"/>
                <w:b/>
                <w:sz w:val="18"/>
              </w:rPr>
            </w:pPr>
            <w:r w:rsidRPr="00B87B95">
              <w:rPr>
                <w:rFonts w:ascii="Arial" w:hAnsi="Arial"/>
                <w:b/>
                <w:sz w:val="18"/>
              </w:rPr>
              <w:t>Industry</w:t>
            </w:r>
          </w:p>
        </w:tc>
        <w:tc>
          <w:tcPr>
            <w:tcW w:w="1041" w:type="dxa"/>
            <w:tcBorders>
              <w:top w:val="single" w:sz="4" w:space="0" w:color="auto"/>
              <w:bottom w:val="single" w:sz="6" w:space="0" w:color="auto"/>
            </w:tcBorders>
            <w:vAlign w:val="center"/>
          </w:tcPr>
          <w:p w14:paraId="0EBCC7E3" w14:textId="77777777" w:rsidR="000633FC" w:rsidRPr="00563BC0" w:rsidRDefault="000633FC" w:rsidP="000633FC">
            <w:pPr>
              <w:spacing w:after="0"/>
              <w:jc w:val="center"/>
              <w:rPr>
                <w:rFonts w:ascii="Arial" w:hAnsi="Arial"/>
                <w:b/>
                <w:sz w:val="18"/>
              </w:rPr>
            </w:pPr>
            <w:r w:rsidRPr="00563BC0">
              <w:rPr>
                <w:rFonts w:ascii="Arial" w:hAnsi="Arial"/>
                <w:b/>
                <w:sz w:val="18"/>
              </w:rPr>
              <w:t>CUE for 2015</w:t>
            </w:r>
            <w:r w:rsidRPr="00563BC0">
              <w:rPr>
                <w:rFonts w:ascii="Arial" w:hAnsi="Arial"/>
                <w:b/>
                <w:sz w:val="18"/>
                <w:vertAlign w:val="superscript"/>
              </w:rPr>
              <w:t>11</w:t>
            </w:r>
          </w:p>
        </w:tc>
        <w:tc>
          <w:tcPr>
            <w:tcW w:w="900" w:type="dxa"/>
            <w:tcBorders>
              <w:top w:val="single" w:sz="4" w:space="0" w:color="auto"/>
              <w:bottom w:val="single" w:sz="6" w:space="0" w:color="auto"/>
            </w:tcBorders>
            <w:vAlign w:val="center"/>
          </w:tcPr>
          <w:p w14:paraId="7B4D12F9" w14:textId="77777777" w:rsidR="000633FC" w:rsidRPr="00563BC0" w:rsidRDefault="000633FC" w:rsidP="000633FC">
            <w:pPr>
              <w:spacing w:after="0"/>
              <w:jc w:val="center"/>
              <w:rPr>
                <w:rFonts w:ascii="Arial" w:hAnsi="Arial"/>
                <w:b/>
                <w:sz w:val="18"/>
              </w:rPr>
            </w:pPr>
            <w:r w:rsidRPr="00563BC0">
              <w:rPr>
                <w:rFonts w:ascii="Arial" w:hAnsi="Arial"/>
                <w:b/>
                <w:sz w:val="18"/>
              </w:rPr>
              <w:t>CUN for 2016</w:t>
            </w:r>
          </w:p>
        </w:tc>
        <w:tc>
          <w:tcPr>
            <w:tcW w:w="1080" w:type="dxa"/>
            <w:tcBorders>
              <w:top w:val="single" w:sz="4" w:space="0" w:color="auto"/>
              <w:bottom w:val="single" w:sz="6" w:space="0" w:color="auto"/>
            </w:tcBorders>
            <w:vAlign w:val="center"/>
          </w:tcPr>
          <w:p w14:paraId="56DDCD8C" w14:textId="47D35FC2" w:rsidR="000633FC" w:rsidRPr="000F08B5" w:rsidRDefault="000633FC" w:rsidP="000633FC">
            <w:pPr>
              <w:spacing w:after="0"/>
              <w:jc w:val="center"/>
              <w:rPr>
                <w:rFonts w:ascii="Arial" w:hAnsi="Arial"/>
                <w:b/>
                <w:sz w:val="18"/>
              </w:rPr>
            </w:pPr>
            <w:r w:rsidRPr="00563BC0">
              <w:rPr>
                <w:rFonts w:ascii="Arial" w:hAnsi="Arial"/>
                <w:b/>
                <w:sz w:val="18"/>
              </w:rPr>
              <w:t xml:space="preserve">CUE </w:t>
            </w:r>
            <w:r w:rsidR="00CD3CBD" w:rsidRPr="00563BC0">
              <w:rPr>
                <w:rFonts w:ascii="Arial" w:hAnsi="Arial"/>
                <w:b/>
                <w:sz w:val="18"/>
              </w:rPr>
              <w:t>for 2016</w:t>
            </w:r>
          </w:p>
        </w:tc>
        <w:tc>
          <w:tcPr>
            <w:tcW w:w="1056" w:type="dxa"/>
            <w:tcBorders>
              <w:top w:val="single" w:sz="4" w:space="0" w:color="auto"/>
              <w:bottom w:val="single" w:sz="6" w:space="0" w:color="auto"/>
            </w:tcBorders>
            <w:vAlign w:val="center"/>
          </w:tcPr>
          <w:p w14:paraId="16234DB4" w14:textId="77777777" w:rsidR="000633FC" w:rsidRPr="000F08B5" w:rsidRDefault="000633FC" w:rsidP="000633FC">
            <w:pPr>
              <w:spacing w:after="0"/>
              <w:jc w:val="center"/>
              <w:rPr>
                <w:rFonts w:ascii="Arial" w:hAnsi="Arial"/>
                <w:b/>
                <w:sz w:val="18"/>
              </w:rPr>
            </w:pPr>
            <w:r w:rsidRPr="000F08B5">
              <w:rPr>
                <w:rFonts w:ascii="Arial" w:hAnsi="Arial"/>
                <w:b/>
                <w:sz w:val="18"/>
              </w:rPr>
              <w:t>CUN for 2017</w:t>
            </w:r>
          </w:p>
        </w:tc>
        <w:tc>
          <w:tcPr>
            <w:tcW w:w="2585" w:type="dxa"/>
            <w:tcBorders>
              <w:top w:val="single" w:sz="4" w:space="0" w:color="auto"/>
              <w:bottom w:val="single" w:sz="6" w:space="0" w:color="auto"/>
            </w:tcBorders>
            <w:vAlign w:val="center"/>
          </w:tcPr>
          <w:p w14:paraId="63689DB3" w14:textId="77777777" w:rsidR="000633FC" w:rsidRPr="00365366" w:rsidRDefault="000633FC" w:rsidP="000633FC">
            <w:pPr>
              <w:spacing w:after="0"/>
              <w:jc w:val="center"/>
              <w:rPr>
                <w:rFonts w:ascii="Arial" w:hAnsi="Arial"/>
                <w:b/>
                <w:sz w:val="18"/>
              </w:rPr>
            </w:pPr>
            <w:r w:rsidRPr="00365366">
              <w:rPr>
                <w:rFonts w:ascii="Arial" w:hAnsi="Arial"/>
                <w:b/>
                <w:sz w:val="18"/>
              </w:rPr>
              <w:t>MBTOC final recommendation for 2017</w:t>
            </w:r>
          </w:p>
        </w:tc>
        <w:tc>
          <w:tcPr>
            <w:tcW w:w="958" w:type="dxa"/>
            <w:tcBorders>
              <w:top w:val="single" w:sz="4" w:space="0" w:color="auto"/>
              <w:bottom w:val="single" w:sz="6" w:space="0" w:color="auto"/>
            </w:tcBorders>
            <w:vAlign w:val="center"/>
          </w:tcPr>
          <w:p w14:paraId="3F76B56B" w14:textId="77777777" w:rsidR="000633FC" w:rsidRPr="00F9037E" w:rsidRDefault="000633FC" w:rsidP="000633FC">
            <w:pPr>
              <w:spacing w:after="0"/>
              <w:jc w:val="center"/>
              <w:rPr>
                <w:rFonts w:ascii="Arial" w:hAnsi="Arial"/>
                <w:b/>
                <w:sz w:val="18"/>
              </w:rPr>
            </w:pPr>
          </w:p>
        </w:tc>
        <w:tc>
          <w:tcPr>
            <w:tcW w:w="993" w:type="dxa"/>
            <w:tcBorders>
              <w:top w:val="single" w:sz="4" w:space="0" w:color="auto"/>
              <w:bottom w:val="single" w:sz="6" w:space="0" w:color="auto"/>
            </w:tcBorders>
            <w:vAlign w:val="center"/>
          </w:tcPr>
          <w:p w14:paraId="481A9819" w14:textId="77777777" w:rsidR="000633FC" w:rsidRPr="00F9037E" w:rsidRDefault="000633FC" w:rsidP="000633FC">
            <w:pPr>
              <w:spacing w:after="0"/>
              <w:jc w:val="center"/>
              <w:rPr>
                <w:rFonts w:ascii="Arial" w:hAnsi="Arial"/>
                <w:b/>
                <w:sz w:val="18"/>
              </w:rPr>
            </w:pPr>
          </w:p>
        </w:tc>
        <w:tc>
          <w:tcPr>
            <w:tcW w:w="850" w:type="dxa"/>
            <w:tcBorders>
              <w:top w:val="single" w:sz="4" w:space="0" w:color="auto"/>
              <w:bottom w:val="single" w:sz="6" w:space="0" w:color="auto"/>
            </w:tcBorders>
            <w:vAlign w:val="center"/>
          </w:tcPr>
          <w:p w14:paraId="3F49C2D6" w14:textId="77777777" w:rsidR="000633FC" w:rsidRPr="00F9037E" w:rsidRDefault="000633FC" w:rsidP="000633FC">
            <w:pPr>
              <w:spacing w:after="0"/>
              <w:jc w:val="center"/>
              <w:rPr>
                <w:rFonts w:ascii="Arial" w:hAnsi="Arial" w:cs="Arial"/>
                <w:b/>
                <w:bCs/>
                <w:sz w:val="20"/>
              </w:rPr>
            </w:pPr>
          </w:p>
        </w:tc>
        <w:tc>
          <w:tcPr>
            <w:tcW w:w="3025" w:type="dxa"/>
            <w:tcBorders>
              <w:top w:val="single" w:sz="4" w:space="0" w:color="auto"/>
              <w:bottom w:val="single" w:sz="6" w:space="0" w:color="auto"/>
            </w:tcBorders>
            <w:vAlign w:val="center"/>
          </w:tcPr>
          <w:p w14:paraId="0BC457B9" w14:textId="77777777" w:rsidR="000633FC" w:rsidRPr="00F9037E" w:rsidRDefault="000633FC" w:rsidP="000633FC">
            <w:pPr>
              <w:spacing w:after="0"/>
              <w:jc w:val="center"/>
              <w:rPr>
                <w:rFonts w:ascii="Arial" w:hAnsi="Arial" w:cs="Arial"/>
                <w:b/>
                <w:bCs/>
                <w:sz w:val="20"/>
              </w:rPr>
            </w:pPr>
          </w:p>
        </w:tc>
      </w:tr>
      <w:tr w:rsidR="000633FC" w:rsidRPr="00F9037E" w14:paraId="751067EC" w14:textId="77777777" w:rsidTr="000633FC">
        <w:trPr>
          <w:trHeight w:val="656"/>
        </w:trPr>
        <w:tc>
          <w:tcPr>
            <w:tcW w:w="993" w:type="dxa"/>
            <w:vAlign w:val="center"/>
          </w:tcPr>
          <w:p w14:paraId="144FCA18" w14:textId="77777777" w:rsidR="000633FC" w:rsidRPr="00F9037E" w:rsidRDefault="000633FC" w:rsidP="000633FC">
            <w:pPr>
              <w:spacing w:after="0"/>
              <w:rPr>
                <w:rFonts w:ascii="Arial" w:hAnsi="Arial"/>
                <w:sz w:val="18"/>
              </w:rPr>
            </w:pPr>
            <w:r w:rsidRPr="00F9037E">
              <w:rPr>
                <w:rFonts w:ascii="Arial" w:hAnsi="Arial"/>
                <w:sz w:val="18"/>
              </w:rPr>
              <w:t>South Africa</w:t>
            </w:r>
          </w:p>
        </w:tc>
        <w:tc>
          <w:tcPr>
            <w:tcW w:w="1134" w:type="dxa"/>
            <w:tcBorders>
              <w:top w:val="single" w:sz="6" w:space="0" w:color="auto"/>
              <w:bottom w:val="single" w:sz="6" w:space="0" w:color="auto"/>
            </w:tcBorders>
            <w:shd w:val="clear" w:color="auto" w:fill="FFFF99"/>
            <w:vAlign w:val="center"/>
          </w:tcPr>
          <w:p w14:paraId="5408A9FF" w14:textId="77777777" w:rsidR="000633FC" w:rsidRPr="00F9037E" w:rsidRDefault="000633FC" w:rsidP="000633FC">
            <w:pPr>
              <w:spacing w:after="0"/>
              <w:rPr>
                <w:rFonts w:ascii="Arial" w:hAnsi="Arial"/>
                <w:sz w:val="18"/>
              </w:rPr>
            </w:pPr>
            <w:r w:rsidRPr="00F9037E">
              <w:rPr>
                <w:rFonts w:ascii="Arial" w:hAnsi="Arial"/>
                <w:sz w:val="18"/>
              </w:rPr>
              <w:t>Mills</w:t>
            </w:r>
          </w:p>
        </w:tc>
        <w:tc>
          <w:tcPr>
            <w:tcW w:w="1041" w:type="dxa"/>
            <w:tcBorders>
              <w:top w:val="single" w:sz="6" w:space="0" w:color="auto"/>
              <w:bottom w:val="single" w:sz="6" w:space="0" w:color="auto"/>
            </w:tcBorders>
            <w:shd w:val="clear" w:color="auto" w:fill="FFFF99"/>
            <w:vAlign w:val="center"/>
          </w:tcPr>
          <w:p w14:paraId="6B6E8D13" w14:textId="77777777" w:rsidR="000633FC" w:rsidRPr="00F9037E" w:rsidRDefault="000633FC" w:rsidP="000633FC">
            <w:pPr>
              <w:tabs>
                <w:tab w:val="right" w:pos="635"/>
              </w:tabs>
              <w:spacing w:after="0"/>
              <w:jc w:val="center"/>
              <w:rPr>
                <w:rFonts w:ascii="Arial" w:hAnsi="Arial"/>
                <w:b/>
                <w:sz w:val="18"/>
              </w:rPr>
            </w:pPr>
            <w:r w:rsidRPr="00F9037E">
              <w:rPr>
                <w:rFonts w:ascii="Arial" w:hAnsi="Arial"/>
                <w:b/>
                <w:sz w:val="18"/>
              </w:rPr>
              <w:t>--</w:t>
            </w:r>
          </w:p>
        </w:tc>
        <w:tc>
          <w:tcPr>
            <w:tcW w:w="900" w:type="dxa"/>
            <w:tcBorders>
              <w:top w:val="single" w:sz="6" w:space="0" w:color="auto"/>
              <w:bottom w:val="single" w:sz="6" w:space="0" w:color="auto"/>
            </w:tcBorders>
            <w:shd w:val="clear" w:color="auto" w:fill="FFFF99"/>
            <w:vAlign w:val="center"/>
          </w:tcPr>
          <w:p w14:paraId="0B271242" w14:textId="77777777" w:rsidR="000633FC" w:rsidRPr="00F9037E" w:rsidRDefault="000633FC" w:rsidP="000633FC">
            <w:pPr>
              <w:spacing w:after="0"/>
              <w:jc w:val="center"/>
              <w:rPr>
                <w:rFonts w:ascii="Arial" w:hAnsi="Arial"/>
                <w:b/>
                <w:sz w:val="18"/>
              </w:rPr>
            </w:pPr>
            <w:r w:rsidRPr="00F9037E">
              <w:rPr>
                <w:rFonts w:ascii="Arial" w:hAnsi="Arial"/>
                <w:b/>
                <w:sz w:val="18"/>
              </w:rPr>
              <w:t>13.0</w:t>
            </w:r>
          </w:p>
        </w:tc>
        <w:tc>
          <w:tcPr>
            <w:tcW w:w="1080" w:type="dxa"/>
            <w:tcBorders>
              <w:top w:val="single" w:sz="6" w:space="0" w:color="auto"/>
              <w:bottom w:val="single" w:sz="6" w:space="0" w:color="auto"/>
            </w:tcBorders>
            <w:shd w:val="clear" w:color="auto" w:fill="FFFF99"/>
            <w:vAlign w:val="center"/>
          </w:tcPr>
          <w:p w14:paraId="74F4274B" w14:textId="77777777" w:rsidR="000633FC" w:rsidRPr="00F9037E" w:rsidRDefault="000633FC" w:rsidP="000633FC">
            <w:pPr>
              <w:spacing w:after="0"/>
              <w:jc w:val="center"/>
              <w:rPr>
                <w:rFonts w:ascii="Arial" w:hAnsi="Arial"/>
                <w:b/>
                <w:sz w:val="18"/>
              </w:rPr>
            </w:pPr>
            <w:r w:rsidRPr="00F9037E">
              <w:rPr>
                <w:rFonts w:ascii="Arial" w:hAnsi="Arial"/>
                <w:sz w:val="18"/>
              </w:rPr>
              <w:t>5.462</w:t>
            </w:r>
          </w:p>
        </w:tc>
        <w:tc>
          <w:tcPr>
            <w:tcW w:w="1056" w:type="dxa"/>
            <w:tcBorders>
              <w:top w:val="single" w:sz="6" w:space="0" w:color="auto"/>
              <w:bottom w:val="single" w:sz="6" w:space="0" w:color="auto"/>
            </w:tcBorders>
            <w:shd w:val="clear" w:color="auto" w:fill="FFFF99"/>
            <w:vAlign w:val="center"/>
          </w:tcPr>
          <w:p w14:paraId="559466B9" w14:textId="77777777" w:rsidR="000633FC" w:rsidRPr="00F9037E" w:rsidRDefault="000633FC" w:rsidP="000633FC">
            <w:pPr>
              <w:spacing w:after="0"/>
              <w:jc w:val="center"/>
              <w:rPr>
                <w:rFonts w:ascii="Arial" w:hAnsi="Arial"/>
                <w:sz w:val="18"/>
              </w:rPr>
            </w:pPr>
            <w:r w:rsidRPr="00F9037E">
              <w:rPr>
                <w:rFonts w:ascii="Arial" w:hAnsi="Arial"/>
                <w:b/>
                <w:sz w:val="18"/>
              </w:rPr>
              <w:t>13.0</w:t>
            </w:r>
          </w:p>
        </w:tc>
        <w:tc>
          <w:tcPr>
            <w:tcW w:w="2585" w:type="dxa"/>
            <w:tcBorders>
              <w:top w:val="single" w:sz="6" w:space="0" w:color="auto"/>
              <w:bottom w:val="single" w:sz="6" w:space="0" w:color="auto"/>
            </w:tcBorders>
            <w:shd w:val="clear" w:color="auto" w:fill="FFFF99"/>
            <w:vAlign w:val="center"/>
          </w:tcPr>
          <w:p w14:paraId="3935B86D" w14:textId="77777777" w:rsidR="000633FC" w:rsidRPr="00F9037E" w:rsidRDefault="000633FC" w:rsidP="000633FC">
            <w:pPr>
              <w:spacing w:after="0"/>
              <w:jc w:val="center"/>
              <w:rPr>
                <w:rFonts w:ascii="Arial" w:hAnsi="Arial"/>
                <w:b/>
                <w:sz w:val="18"/>
              </w:rPr>
            </w:pPr>
            <w:r w:rsidRPr="00F9037E">
              <w:rPr>
                <w:rFonts w:ascii="Arial" w:hAnsi="Arial"/>
                <w:color w:val="000000" w:themeColor="text1"/>
                <w:sz w:val="18"/>
              </w:rPr>
              <w:t>[4.1]</w:t>
            </w:r>
          </w:p>
        </w:tc>
        <w:tc>
          <w:tcPr>
            <w:tcW w:w="958" w:type="dxa"/>
            <w:tcBorders>
              <w:top w:val="single" w:sz="6" w:space="0" w:color="auto"/>
              <w:bottom w:val="single" w:sz="6" w:space="0" w:color="auto"/>
            </w:tcBorders>
            <w:shd w:val="clear" w:color="auto" w:fill="FFFF99"/>
            <w:vAlign w:val="center"/>
          </w:tcPr>
          <w:p w14:paraId="5CF0F2AE" w14:textId="77777777" w:rsidR="000633FC" w:rsidRPr="00F9037E" w:rsidRDefault="000633FC" w:rsidP="000633FC">
            <w:pPr>
              <w:spacing w:after="0"/>
              <w:jc w:val="center"/>
              <w:rPr>
                <w:rFonts w:ascii="Arial" w:hAnsi="Arial"/>
                <w:sz w:val="18"/>
              </w:rPr>
            </w:pPr>
          </w:p>
        </w:tc>
        <w:tc>
          <w:tcPr>
            <w:tcW w:w="993" w:type="dxa"/>
            <w:tcBorders>
              <w:top w:val="single" w:sz="6" w:space="0" w:color="auto"/>
              <w:bottom w:val="single" w:sz="6" w:space="0" w:color="auto"/>
            </w:tcBorders>
            <w:shd w:val="clear" w:color="auto" w:fill="FFFF99"/>
            <w:vAlign w:val="center"/>
          </w:tcPr>
          <w:p w14:paraId="229AE92F" w14:textId="77777777" w:rsidR="000633FC" w:rsidRPr="00F9037E" w:rsidRDefault="000633FC" w:rsidP="000633FC">
            <w:pPr>
              <w:tabs>
                <w:tab w:val="right" w:pos="635"/>
              </w:tabs>
              <w:spacing w:after="0"/>
              <w:jc w:val="center"/>
              <w:rPr>
                <w:rFonts w:ascii="Arial" w:hAnsi="Arial"/>
                <w:b/>
                <w:sz w:val="18"/>
              </w:rPr>
            </w:pPr>
          </w:p>
        </w:tc>
        <w:tc>
          <w:tcPr>
            <w:tcW w:w="850" w:type="dxa"/>
            <w:tcBorders>
              <w:top w:val="single" w:sz="6" w:space="0" w:color="auto"/>
              <w:bottom w:val="single" w:sz="6" w:space="0" w:color="auto"/>
            </w:tcBorders>
            <w:shd w:val="clear" w:color="auto" w:fill="FFFF99"/>
            <w:vAlign w:val="center"/>
          </w:tcPr>
          <w:p w14:paraId="2BF08019" w14:textId="77777777" w:rsidR="000633FC" w:rsidRPr="00F9037E" w:rsidRDefault="000633FC" w:rsidP="000633FC">
            <w:pPr>
              <w:spacing w:after="0"/>
              <w:jc w:val="center"/>
              <w:rPr>
                <w:rFonts w:ascii="Arial" w:hAnsi="Arial" w:cs="Arial"/>
                <w:b/>
                <w:bCs/>
                <w:sz w:val="20"/>
              </w:rPr>
            </w:pPr>
          </w:p>
        </w:tc>
        <w:tc>
          <w:tcPr>
            <w:tcW w:w="3025" w:type="dxa"/>
            <w:tcBorders>
              <w:top w:val="single" w:sz="6" w:space="0" w:color="auto"/>
              <w:bottom w:val="single" w:sz="6" w:space="0" w:color="auto"/>
            </w:tcBorders>
            <w:shd w:val="clear" w:color="auto" w:fill="FFFF99"/>
            <w:vAlign w:val="center"/>
          </w:tcPr>
          <w:p w14:paraId="446F189F" w14:textId="77777777" w:rsidR="000633FC" w:rsidRPr="00F9037E" w:rsidRDefault="000633FC" w:rsidP="000633FC">
            <w:pPr>
              <w:spacing w:after="0"/>
              <w:jc w:val="center"/>
              <w:rPr>
                <w:rFonts w:ascii="Arial" w:hAnsi="Arial" w:cs="Arial"/>
                <w:b/>
                <w:bCs/>
                <w:sz w:val="20"/>
              </w:rPr>
            </w:pPr>
          </w:p>
        </w:tc>
      </w:tr>
      <w:tr w:rsidR="000633FC" w:rsidRPr="00F9037E" w14:paraId="2FBDA57A" w14:textId="77777777" w:rsidTr="000633FC">
        <w:trPr>
          <w:trHeight w:val="495"/>
        </w:trPr>
        <w:tc>
          <w:tcPr>
            <w:tcW w:w="993" w:type="dxa"/>
          </w:tcPr>
          <w:p w14:paraId="116FB29C" w14:textId="77777777" w:rsidR="000633FC" w:rsidRPr="00F9037E" w:rsidRDefault="000633FC" w:rsidP="000633FC">
            <w:pPr>
              <w:spacing w:before="60" w:after="60"/>
              <w:jc w:val="center"/>
              <w:rPr>
                <w:rFonts w:ascii="Arial" w:hAnsi="Arial" w:cs="Arial"/>
                <w:sz w:val="20"/>
              </w:rPr>
            </w:pPr>
          </w:p>
        </w:tc>
        <w:tc>
          <w:tcPr>
            <w:tcW w:w="13622" w:type="dxa"/>
            <w:gridSpan w:val="10"/>
            <w:tcBorders>
              <w:top w:val="single" w:sz="6" w:space="0" w:color="auto"/>
              <w:bottom w:val="single" w:sz="6" w:space="0" w:color="auto"/>
            </w:tcBorders>
            <w:shd w:val="clear" w:color="auto" w:fill="FFFFFF" w:themeFill="background1"/>
          </w:tcPr>
          <w:p w14:paraId="0523D77A" w14:textId="77777777" w:rsidR="000633FC" w:rsidRPr="00F9037E" w:rsidRDefault="000633FC" w:rsidP="000633FC">
            <w:pPr>
              <w:spacing w:before="120" w:after="120"/>
              <w:jc w:val="both"/>
              <w:rPr>
                <w:b/>
                <w:sz w:val="20"/>
                <w:lang w:eastAsia="he-IL"/>
              </w:rPr>
            </w:pPr>
            <w:r w:rsidRPr="00F9037E">
              <w:rPr>
                <w:rFonts w:ascii="Arial" w:hAnsi="Arial"/>
                <w:b/>
                <w:sz w:val="18"/>
              </w:rPr>
              <w:t>MBTOC final recommendation for 2017:</w:t>
            </w:r>
          </w:p>
          <w:p w14:paraId="7798B5C0" w14:textId="6A4CD1F3" w:rsidR="000633FC" w:rsidRPr="007F65E8" w:rsidRDefault="000633FC" w:rsidP="007F65E8">
            <w:pPr>
              <w:rPr>
                <w:sz w:val="20"/>
                <w:lang w:eastAsia="he-IL"/>
              </w:rPr>
            </w:pPr>
            <w:r w:rsidRPr="00CD3CBD">
              <w:rPr>
                <w:rFonts w:ascii="Arial" w:hAnsi="Arial"/>
                <w:sz w:val="18"/>
              </w:rPr>
              <w:t xml:space="preserve">MBTOC recommends a reduced amount of </w:t>
            </w:r>
            <w:r w:rsidRPr="00F9037E">
              <w:rPr>
                <w:rFonts w:ascii="Arial" w:hAnsi="Arial"/>
                <w:sz w:val="18"/>
              </w:rPr>
              <w:t xml:space="preserve">4.1 </w:t>
            </w:r>
            <w:r w:rsidRPr="00CD3CBD">
              <w:rPr>
                <w:rFonts w:ascii="Arial" w:hAnsi="Arial"/>
                <w:sz w:val="18"/>
              </w:rPr>
              <w:t xml:space="preserve">tonnes for 2017, for pest control by fumigation in specific mills/food processing facilities. </w:t>
            </w:r>
            <w:r w:rsidRPr="00F9037E">
              <w:rPr>
                <w:rFonts w:ascii="Arial" w:hAnsi="Arial"/>
                <w:sz w:val="18"/>
              </w:rPr>
              <w:t>This recommendation is based on an amount of MB sufficient for one fumigation per year per mill as a transitional measure to allow time for adoption and optimisation of alternatives plus an additional 40% for contingencies. The recommendation is based on a dosage of 20 g/m³ (MBTOC standard presumptions) applied to well-sealed structures.</w:t>
            </w:r>
          </w:p>
          <w:p w14:paraId="5C203097" w14:textId="6AB9FA64" w:rsidR="000633FC" w:rsidRPr="007F65E8" w:rsidRDefault="000633FC" w:rsidP="007F65E8">
            <w:pPr>
              <w:rPr>
                <w:b/>
                <w:sz w:val="20"/>
                <w:lang w:eastAsia="he-IL"/>
              </w:rPr>
            </w:pPr>
            <w:r w:rsidRPr="00CD3CBD">
              <w:rPr>
                <w:rFonts w:ascii="Arial" w:hAnsi="Arial"/>
                <w:b/>
                <w:sz w:val="18"/>
              </w:rPr>
              <w:t xml:space="preserve">Nomination by the Party for 2017: </w:t>
            </w:r>
            <w:r w:rsidR="007F65E8">
              <w:rPr>
                <w:b/>
                <w:sz w:val="20"/>
                <w:lang w:eastAsia="he-IL"/>
              </w:rPr>
              <w:br/>
            </w:r>
            <w:r w:rsidRPr="00CD3CBD">
              <w:rPr>
                <w:rFonts w:ascii="Arial" w:hAnsi="Arial"/>
                <w:sz w:val="18"/>
              </w:rPr>
              <w:t>This nomination forms part of the initial CUN for 83 tonnes covering both fumigation of specific flour and grit mills against stored product insect pests (13 t) and domestic and industrial premises for control of wood destroying insect pests (70 t)</w:t>
            </w:r>
            <w:r w:rsidR="00CD3CBD" w:rsidRPr="00CD3CBD">
              <w:rPr>
                <w:rFonts w:ascii="Arial" w:hAnsi="Arial"/>
                <w:sz w:val="18"/>
              </w:rPr>
              <w:t>. Being</w:t>
            </w:r>
            <w:r w:rsidRPr="00CD3CBD">
              <w:rPr>
                <w:rFonts w:ascii="Arial" w:hAnsi="Arial"/>
                <w:sz w:val="18"/>
              </w:rPr>
              <w:t xml:space="preserve"> distinct uses with specif</w:t>
            </w:r>
            <w:r w:rsidRPr="00501812">
              <w:rPr>
                <w:rFonts w:ascii="Arial" w:hAnsi="Arial"/>
                <w:sz w:val="18"/>
              </w:rPr>
              <w:t>ic issues each, MBTOC has disaggregated into two separate CUNs.</w:t>
            </w:r>
          </w:p>
          <w:p w14:paraId="59F4FC4D" w14:textId="77777777" w:rsidR="000633FC" w:rsidRPr="00082015" w:rsidRDefault="000633FC" w:rsidP="000633FC">
            <w:pPr>
              <w:jc w:val="both"/>
              <w:rPr>
                <w:rFonts w:ascii="Arial" w:hAnsi="Arial"/>
                <w:sz w:val="18"/>
              </w:rPr>
            </w:pPr>
            <w:r w:rsidRPr="003A30C7">
              <w:rPr>
                <w:rFonts w:ascii="Arial" w:hAnsi="Arial"/>
                <w:sz w:val="18"/>
              </w:rPr>
              <w:t>After the OEWG, the Party requested a reassessment of the CUN following MBTOC’s interim recommendation</w:t>
            </w:r>
            <w:r w:rsidR="00EE728F" w:rsidRPr="00082015">
              <w:rPr>
                <w:rFonts w:ascii="Arial" w:hAnsi="Arial"/>
                <w:sz w:val="18"/>
              </w:rPr>
              <w:t xml:space="preserve"> </w:t>
            </w:r>
            <w:r w:rsidRPr="00082015">
              <w:rPr>
                <w:rFonts w:ascii="Arial" w:hAnsi="Arial"/>
                <w:sz w:val="18"/>
              </w:rPr>
              <w:t>to allow additional time to make the required changes and carry out test treatments at the recommended reduced dosa</w:t>
            </w:r>
            <w:r w:rsidR="00EE728F" w:rsidRPr="00082015">
              <w:rPr>
                <w:rFonts w:ascii="Arial" w:hAnsi="Arial"/>
                <w:sz w:val="18"/>
              </w:rPr>
              <w:t>g</w:t>
            </w:r>
            <w:r w:rsidRPr="00082015">
              <w:rPr>
                <w:rFonts w:ascii="Arial" w:hAnsi="Arial"/>
                <w:sz w:val="18"/>
              </w:rPr>
              <w:t>e rate.</w:t>
            </w:r>
          </w:p>
          <w:p w14:paraId="17D770F1" w14:textId="39F7D857" w:rsidR="000633FC" w:rsidRPr="007F65E8" w:rsidRDefault="000633FC" w:rsidP="007F65E8">
            <w:pPr>
              <w:widowControl w:val="0"/>
              <w:autoSpaceDE w:val="0"/>
              <w:autoSpaceDN w:val="0"/>
              <w:adjustRightInd w:val="0"/>
              <w:rPr>
                <w:b/>
                <w:sz w:val="20"/>
                <w:lang w:eastAsia="he-IL"/>
              </w:rPr>
            </w:pPr>
            <w:r w:rsidRPr="00F5313E">
              <w:rPr>
                <w:rFonts w:ascii="Arial" w:hAnsi="Arial"/>
                <w:b/>
                <w:sz w:val="18"/>
              </w:rPr>
              <w:t>Circumstances of the nomination</w:t>
            </w:r>
            <w:proofErr w:type="gramStart"/>
            <w:r w:rsidRPr="00F5313E">
              <w:rPr>
                <w:rFonts w:ascii="Arial" w:hAnsi="Arial"/>
                <w:b/>
                <w:sz w:val="18"/>
              </w:rPr>
              <w:t>:</w:t>
            </w:r>
            <w:proofErr w:type="gramEnd"/>
            <w:r w:rsidR="007F65E8">
              <w:rPr>
                <w:b/>
                <w:sz w:val="20"/>
                <w:lang w:eastAsia="he-IL"/>
              </w:rPr>
              <w:br/>
            </w:r>
            <w:r w:rsidRPr="00CD3CBD">
              <w:rPr>
                <w:rFonts w:ascii="Arial" w:hAnsi="Arial"/>
                <w:sz w:val="18"/>
              </w:rPr>
              <w:t xml:space="preserve">The Party nominated 13 tonnes of MB for the fumigation of 9 grain mills, total capacity of </w:t>
            </w:r>
            <w:r w:rsidRPr="00F9037E">
              <w:rPr>
                <w:rFonts w:ascii="Arial" w:hAnsi="Arial"/>
                <w:sz w:val="18"/>
              </w:rPr>
              <w:t xml:space="preserve">146,130 </w:t>
            </w:r>
            <w:r w:rsidRPr="00CD3CBD">
              <w:rPr>
                <w:rFonts w:ascii="Arial" w:hAnsi="Arial"/>
                <w:sz w:val="18"/>
              </w:rPr>
              <w:t>m³, for pest control against common stored product insect pests. Individual mills are cur</w:t>
            </w:r>
            <w:r w:rsidRPr="00501812">
              <w:rPr>
                <w:rFonts w:ascii="Arial" w:hAnsi="Arial"/>
                <w:sz w:val="18"/>
              </w:rPr>
              <w:t>rently treated either two or three times a year at a calculated average rate of 37 g/m</w:t>
            </w:r>
            <w:r w:rsidRPr="00501812">
              <w:rPr>
                <w:rFonts w:ascii="Arial" w:hAnsi="Arial"/>
                <w:sz w:val="18"/>
                <w:vertAlign w:val="superscript"/>
              </w:rPr>
              <w:t>3</w:t>
            </w:r>
            <w:r w:rsidRPr="003A30C7">
              <w:rPr>
                <w:rFonts w:ascii="Arial" w:hAnsi="Arial"/>
                <w:sz w:val="18"/>
              </w:rPr>
              <w:t xml:space="preserve"> per mill. Methyl bromide fumigation on a calendar basis and not according to prevalence of pests has been a routine part of pest control in the specific mills to ensure output of </w:t>
            </w:r>
            <w:proofErr w:type="spellStart"/>
            <w:r w:rsidRPr="003A30C7">
              <w:rPr>
                <w:rFonts w:ascii="Arial" w:hAnsi="Arial"/>
                <w:sz w:val="18"/>
              </w:rPr>
              <w:t>uninfested</w:t>
            </w:r>
            <w:proofErr w:type="spellEnd"/>
            <w:r w:rsidRPr="003A30C7">
              <w:rPr>
                <w:rFonts w:ascii="Arial" w:hAnsi="Arial"/>
                <w:sz w:val="18"/>
              </w:rPr>
              <w:t xml:space="preserve"> product from the mills. </w:t>
            </w:r>
          </w:p>
          <w:p w14:paraId="3F1480BA" w14:textId="61693045" w:rsidR="000633FC" w:rsidRPr="00B87B95" w:rsidRDefault="000633FC" w:rsidP="000633FC">
            <w:pPr>
              <w:jc w:val="both"/>
              <w:rPr>
                <w:rFonts w:ascii="Arial" w:hAnsi="Arial"/>
                <w:sz w:val="18"/>
              </w:rPr>
            </w:pPr>
            <w:r w:rsidRPr="00082015">
              <w:rPr>
                <w:rFonts w:ascii="Arial" w:hAnsi="Arial"/>
                <w:sz w:val="18"/>
              </w:rPr>
              <w:t xml:space="preserve">Grain mills in South Africa have to comply with stringent requirements relating to hygiene and the associated insect and pest free production and storage facilities. These relate to both local and international insect control and quality assurance standards. Full site treatments </w:t>
            </w:r>
            <w:r w:rsidR="00CD3CBD" w:rsidRPr="00220275">
              <w:rPr>
                <w:rFonts w:ascii="Arial" w:hAnsi="Arial"/>
                <w:sz w:val="18"/>
              </w:rPr>
              <w:t>with</w:t>
            </w:r>
            <w:r w:rsidRPr="00220275">
              <w:rPr>
                <w:rFonts w:ascii="Arial" w:hAnsi="Arial"/>
                <w:sz w:val="18"/>
              </w:rPr>
              <w:t xml:space="preserve"> heat, </w:t>
            </w:r>
            <w:proofErr w:type="spellStart"/>
            <w:r w:rsidRPr="00220275">
              <w:rPr>
                <w:rFonts w:ascii="Arial" w:hAnsi="Arial"/>
                <w:sz w:val="18"/>
              </w:rPr>
              <w:t>sulfuryl</w:t>
            </w:r>
            <w:proofErr w:type="spellEnd"/>
            <w:r w:rsidRPr="00220275">
              <w:rPr>
                <w:rFonts w:ascii="Arial" w:hAnsi="Arial"/>
                <w:sz w:val="18"/>
              </w:rPr>
              <w:t xml:space="preserve"> fluoride or phosphine were considered as alternatives by the Party, but were found not feasible. </w:t>
            </w:r>
            <w:proofErr w:type="spellStart"/>
            <w:r w:rsidRPr="00220275">
              <w:rPr>
                <w:rFonts w:ascii="Arial" w:hAnsi="Arial"/>
                <w:sz w:val="18"/>
              </w:rPr>
              <w:t>Sulfuryl</w:t>
            </w:r>
            <w:proofErr w:type="spellEnd"/>
            <w:r w:rsidRPr="00220275">
              <w:rPr>
                <w:rFonts w:ascii="Arial" w:hAnsi="Arial"/>
                <w:sz w:val="18"/>
              </w:rPr>
              <w:t xml:space="preserve"> fluoride is not currently registered, though registration is under consideration. Phosphine fumigation was considered inappropriate because of cost of downtime, the associated corrosion and risk of damage to sensitive electrical and electronic apparatus in mill machinery. Heat treatment was considered not feasible because of the capital cost of imported equipment needed to carry out the heating. The Party noted that there </w:t>
            </w:r>
            <w:r w:rsidR="00501812" w:rsidRPr="00B87B95">
              <w:rPr>
                <w:rFonts w:ascii="Arial" w:hAnsi="Arial"/>
                <w:sz w:val="18"/>
              </w:rPr>
              <w:t>might</w:t>
            </w:r>
            <w:r w:rsidRPr="00B87B95">
              <w:rPr>
                <w:rFonts w:ascii="Arial" w:hAnsi="Arial"/>
                <w:sz w:val="18"/>
              </w:rPr>
              <w:t xml:space="preserve"> be insecticide resistance in sprays that may be used for mill hygiene.</w:t>
            </w:r>
          </w:p>
          <w:p w14:paraId="2E4F5ECF" w14:textId="6F598C54" w:rsidR="00A55D53" w:rsidRPr="007F65E8" w:rsidRDefault="000633FC" w:rsidP="007F65E8">
            <w:pPr>
              <w:rPr>
                <w:b/>
                <w:sz w:val="20"/>
                <w:lang w:eastAsia="he-IL"/>
              </w:rPr>
            </w:pPr>
            <w:r w:rsidRPr="00B87B95">
              <w:rPr>
                <w:rFonts w:ascii="Arial" w:hAnsi="Arial"/>
                <w:b/>
                <w:sz w:val="18"/>
              </w:rPr>
              <w:t>MBTOC final assessment for MB use in this sector in 201</w:t>
            </w:r>
            <w:r w:rsidRPr="00563BC0">
              <w:rPr>
                <w:rFonts w:ascii="Arial" w:hAnsi="Arial"/>
                <w:b/>
                <w:sz w:val="18"/>
              </w:rPr>
              <w:t>7</w:t>
            </w:r>
            <w:proofErr w:type="gramStart"/>
            <w:r w:rsidRPr="00563BC0">
              <w:rPr>
                <w:rFonts w:ascii="Arial" w:hAnsi="Arial"/>
                <w:b/>
                <w:sz w:val="18"/>
              </w:rPr>
              <w:t>:</w:t>
            </w:r>
            <w:proofErr w:type="gramEnd"/>
            <w:r w:rsidR="007F65E8">
              <w:rPr>
                <w:b/>
                <w:sz w:val="20"/>
                <w:lang w:eastAsia="he-IL"/>
              </w:rPr>
              <w:br/>
            </w:r>
            <w:r w:rsidRPr="00F9037E">
              <w:rPr>
                <w:rFonts w:ascii="Arial" w:hAnsi="Arial"/>
                <w:sz w:val="18"/>
              </w:rPr>
              <w:t xml:space="preserve">MBTOC considers that various suitable alternatives are available or feasible for the necessary disinfestation of all mills in this </w:t>
            </w:r>
            <w:r w:rsidRPr="00F9037E">
              <w:rPr>
                <w:rFonts w:ascii="Arial" w:hAnsi="Arial" w:cs="Arial"/>
                <w:sz w:val="18"/>
                <w:szCs w:val="18"/>
              </w:rPr>
              <w:t>CUN (</w:t>
            </w:r>
            <w:r w:rsidRPr="00CD3CBD">
              <w:rPr>
                <w:rFonts w:ascii="Arial" w:hAnsi="Arial" w:cs="Arial"/>
                <w:sz w:val="18"/>
                <w:szCs w:val="18"/>
              </w:rPr>
              <w:t xml:space="preserve">Bell and </w:t>
            </w:r>
            <w:proofErr w:type="spellStart"/>
            <w:r w:rsidRPr="00CD3CBD">
              <w:rPr>
                <w:rFonts w:ascii="Arial" w:hAnsi="Arial" w:cs="Arial"/>
                <w:sz w:val="18"/>
                <w:szCs w:val="18"/>
              </w:rPr>
              <w:t>Savvidou</w:t>
            </w:r>
            <w:proofErr w:type="spellEnd"/>
            <w:r w:rsidRPr="00CD3CBD">
              <w:rPr>
                <w:rFonts w:ascii="Arial" w:hAnsi="Arial" w:cs="Arial"/>
                <w:sz w:val="18"/>
                <w:szCs w:val="18"/>
              </w:rPr>
              <w:t>, 1999;</w:t>
            </w:r>
            <w:r w:rsidR="00F372C4" w:rsidRPr="00CD3CBD">
              <w:rPr>
                <w:rFonts w:ascii="Arial" w:hAnsi="Arial" w:cs="Arial"/>
                <w:sz w:val="18"/>
                <w:szCs w:val="18"/>
              </w:rPr>
              <w:t xml:space="preserve"> </w:t>
            </w:r>
            <w:r w:rsidRPr="00CD3CBD">
              <w:rPr>
                <w:rFonts w:ascii="Arial" w:hAnsi="Arial" w:cs="Arial"/>
                <w:sz w:val="18"/>
                <w:szCs w:val="18"/>
              </w:rPr>
              <w:t xml:space="preserve">Bell </w:t>
            </w:r>
            <w:r w:rsidRPr="00CD3CBD">
              <w:rPr>
                <w:rFonts w:ascii="Arial" w:hAnsi="Arial" w:cs="Arial"/>
                <w:i/>
                <w:sz w:val="18"/>
                <w:szCs w:val="18"/>
              </w:rPr>
              <w:t>et al.,</w:t>
            </w:r>
            <w:r w:rsidRPr="00CD3CBD">
              <w:rPr>
                <w:rFonts w:ascii="Arial" w:hAnsi="Arial" w:cs="Arial"/>
                <w:sz w:val="18"/>
                <w:szCs w:val="18"/>
              </w:rPr>
              <w:t xml:space="preserve"> 2003; </w:t>
            </w:r>
            <w:proofErr w:type="spellStart"/>
            <w:r w:rsidRPr="00CD3CBD">
              <w:rPr>
                <w:rFonts w:ascii="Arial" w:hAnsi="Arial" w:cs="Arial"/>
                <w:sz w:val="18"/>
                <w:szCs w:val="18"/>
              </w:rPr>
              <w:t>Drinkall</w:t>
            </w:r>
            <w:proofErr w:type="spellEnd"/>
            <w:r w:rsidR="00DC4FD9" w:rsidRPr="00CD3CBD">
              <w:rPr>
                <w:rFonts w:ascii="Arial" w:hAnsi="Arial" w:cs="Arial"/>
                <w:sz w:val="18"/>
                <w:szCs w:val="18"/>
              </w:rPr>
              <w:t xml:space="preserve"> </w:t>
            </w:r>
            <w:r w:rsidRPr="00501812">
              <w:rPr>
                <w:rFonts w:ascii="Arial" w:hAnsi="Arial" w:cs="Arial"/>
                <w:i/>
                <w:sz w:val="18"/>
                <w:szCs w:val="18"/>
              </w:rPr>
              <w:t>et al.,</w:t>
            </w:r>
            <w:r w:rsidRPr="00501812">
              <w:rPr>
                <w:rFonts w:ascii="Arial" w:hAnsi="Arial" w:cs="Arial"/>
                <w:sz w:val="18"/>
                <w:szCs w:val="18"/>
              </w:rPr>
              <w:t xml:space="preserve"> 1996; </w:t>
            </w:r>
            <w:proofErr w:type="spellStart"/>
            <w:r w:rsidRPr="00501812">
              <w:rPr>
                <w:rFonts w:ascii="Arial" w:hAnsi="Arial" w:cs="Arial"/>
                <w:sz w:val="18"/>
                <w:szCs w:val="18"/>
              </w:rPr>
              <w:t>Drinkall</w:t>
            </w:r>
            <w:proofErr w:type="spellEnd"/>
            <w:r w:rsidR="00DC4FD9" w:rsidRPr="00501812">
              <w:rPr>
                <w:rFonts w:ascii="Arial" w:hAnsi="Arial" w:cs="Arial"/>
                <w:sz w:val="18"/>
                <w:szCs w:val="18"/>
              </w:rPr>
              <w:t xml:space="preserve"> </w:t>
            </w:r>
            <w:r w:rsidRPr="003A30C7">
              <w:rPr>
                <w:rFonts w:ascii="Arial" w:hAnsi="Arial" w:cs="Arial"/>
                <w:i/>
                <w:sz w:val="18"/>
                <w:szCs w:val="18"/>
              </w:rPr>
              <w:t>et al.,</w:t>
            </w:r>
            <w:r w:rsidRPr="00082015">
              <w:rPr>
                <w:rFonts w:ascii="Arial" w:hAnsi="Arial" w:cs="Arial"/>
                <w:sz w:val="18"/>
                <w:szCs w:val="18"/>
              </w:rPr>
              <w:t xml:space="preserve"> 2003; </w:t>
            </w:r>
            <w:proofErr w:type="spellStart"/>
            <w:r w:rsidRPr="00082015">
              <w:rPr>
                <w:rFonts w:ascii="Arial" w:hAnsi="Arial" w:cs="Arial"/>
                <w:sz w:val="18"/>
                <w:szCs w:val="18"/>
              </w:rPr>
              <w:t>Ducom</w:t>
            </w:r>
            <w:proofErr w:type="spellEnd"/>
            <w:r w:rsidR="00DC4FD9" w:rsidRPr="00082015">
              <w:rPr>
                <w:rFonts w:ascii="Arial" w:hAnsi="Arial" w:cs="Arial"/>
                <w:sz w:val="18"/>
                <w:szCs w:val="18"/>
              </w:rPr>
              <w:t xml:space="preserve"> </w:t>
            </w:r>
            <w:r w:rsidRPr="00082015">
              <w:rPr>
                <w:rFonts w:ascii="Arial" w:hAnsi="Arial" w:cs="Arial"/>
                <w:i/>
                <w:sz w:val="18"/>
                <w:szCs w:val="18"/>
              </w:rPr>
              <w:t>et al.,</w:t>
            </w:r>
            <w:r w:rsidRPr="00082015">
              <w:rPr>
                <w:rFonts w:ascii="Arial" w:hAnsi="Arial" w:cs="Arial"/>
                <w:sz w:val="18"/>
                <w:szCs w:val="18"/>
              </w:rPr>
              <w:t xml:space="preserve"> 2003; </w:t>
            </w:r>
            <w:r w:rsidRPr="00F9037E">
              <w:rPr>
                <w:rFonts w:ascii="Arial" w:hAnsi="Arial" w:cs="Arial"/>
                <w:sz w:val="18"/>
                <w:szCs w:val="18"/>
              </w:rPr>
              <w:t>MBTOC Assessment reports</w:t>
            </w:r>
            <w:r w:rsidRPr="00F9037E">
              <w:rPr>
                <w:rFonts w:ascii="Arial" w:hAnsi="Arial" w:cs="Arial"/>
                <w:sz w:val="18"/>
                <w:szCs w:val="18"/>
                <w:lang w:eastAsia="he-IL"/>
              </w:rPr>
              <w:t xml:space="preserve"> 1998, 2002, 2006</w:t>
            </w:r>
            <w:r w:rsidRPr="00F9037E">
              <w:rPr>
                <w:rFonts w:ascii="Arial" w:hAnsi="Arial" w:cs="Arial"/>
                <w:sz w:val="18"/>
                <w:szCs w:val="18"/>
              </w:rPr>
              <w:t>, 2010, 2014</w:t>
            </w:r>
            <w:r w:rsidRPr="00F9037E">
              <w:rPr>
                <w:rFonts w:ascii="Arial" w:hAnsi="Arial" w:cs="Arial"/>
                <w:sz w:val="18"/>
                <w:szCs w:val="18"/>
                <w:lang w:eastAsia="he-IL"/>
              </w:rPr>
              <w:t xml:space="preserve">; </w:t>
            </w:r>
            <w:proofErr w:type="spellStart"/>
            <w:r w:rsidRPr="00CD3CBD">
              <w:rPr>
                <w:rFonts w:ascii="Arial" w:hAnsi="Arial" w:cs="Arial"/>
                <w:sz w:val="18"/>
                <w:szCs w:val="18"/>
              </w:rPr>
              <w:t>Reichmuth</w:t>
            </w:r>
            <w:proofErr w:type="spellEnd"/>
            <w:r w:rsidR="00DC4FD9" w:rsidRPr="00CD3CBD">
              <w:rPr>
                <w:rFonts w:ascii="Arial" w:hAnsi="Arial" w:cs="Arial"/>
                <w:sz w:val="18"/>
                <w:szCs w:val="18"/>
              </w:rPr>
              <w:t xml:space="preserve"> </w:t>
            </w:r>
            <w:r w:rsidRPr="00CD3CBD">
              <w:rPr>
                <w:rFonts w:ascii="Arial" w:hAnsi="Arial" w:cs="Arial"/>
                <w:i/>
                <w:sz w:val="18"/>
                <w:szCs w:val="18"/>
              </w:rPr>
              <w:t>et al.,</w:t>
            </w:r>
            <w:r w:rsidRPr="00CD3CBD">
              <w:rPr>
                <w:rFonts w:ascii="Arial" w:hAnsi="Arial" w:cs="Arial"/>
                <w:sz w:val="18"/>
                <w:szCs w:val="18"/>
              </w:rPr>
              <w:t xml:space="preserve"> 2003; Schneider </w:t>
            </w:r>
            <w:r w:rsidRPr="00CD3CBD">
              <w:rPr>
                <w:rFonts w:ascii="Arial" w:hAnsi="Arial" w:cs="Arial"/>
                <w:i/>
                <w:sz w:val="18"/>
                <w:szCs w:val="18"/>
              </w:rPr>
              <w:t>et al.</w:t>
            </w:r>
            <w:r w:rsidRPr="00CD3CBD">
              <w:rPr>
                <w:rFonts w:ascii="Arial" w:hAnsi="Arial" w:cs="Arial"/>
                <w:sz w:val="18"/>
                <w:szCs w:val="18"/>
              </w:rPr>
              <w:t>, 2003</w:t>
            </w:r>
            <w:r w:rsidRPr="00F9037E">
              <w:rPr>
                <w:rFonts w:ascii="Arial" w:hAnsi="Arial" w:cs="Arial"/>
                <w:sz w:val="18"/>
                <w:szCs w:val="18"/>
              </w:rPr>
              <w:t xml:space="preserve">). </w:t>
            </w:r>
            <w:r w:rsidRPr="00CD3CBD">
              <w:rPr>
                <w:rFonts w:ascii="Arial" w:hAnsi="Arial" w:cs="Arial"/>
                <w:sz w:val="18"/>
                <w:szCs w:val="18"/>
              </w:rPr>
              <w:t xml:space="preserve">Whole site fumigation of flourmills with methyl bromide has been discontinued in other countries. </w:t>
            </w:r>
            <w:r w:rsidRPr="00CD3CBD">
              <w:rPr>
                <w:rFonts w:ascii="Arial" w:hAnsi="Arial" w:cs="Arial"/>
                <w:sz w:val="18"/>
                <w:szCs w:val="18"/>
                <w:lang w:eastAsia="he-IL"/>
              </w:rPr>
              <w:t>Where whole site treatment is still practiced, periodic</w:t>
            </w:r>
            <w:r w:rsidR="00EE728F" w:rsidRPr="00CD3CBD">
              <w:rPr>
                <w:rFonts w:ascii="Arial" w:hAnsi="Arial" w:cs="Arial"/>
                <w:sz w:val="18"/>
                <w:szCs w:val="18"/>
                <w:lang w:eastAsia="he-IL"/>
              </w:rPr>
              <w:t xml:space="preserve"> </w:t>
            </w:r>
            <w:r w:rsidRPr="00501812">
              <w:rPr>
                <w:rFonts w:ascii="Arial" w:hAnsi="Arial" w:cs="Arial"/>
                <w:sz w:val="18"/>
                <w:szCs w:val="18"/>
                <w:lang w:eastAsia="he-IL"/>
              </w:rPr>
              <w:t>applications have been carried out with heat or various other fumigants (</w:t>
            </w:r>
            <w:proofErr w:type="spellStart"/>
            <w:r w:rsidRPr="00501812">
              <w:rPr>
                <w:rFonts w:ascii="Arial" w:hAnsi="Arial" w:cs="Arial"/>
                <w:sz w:val="18"/>
                <w:szCs w:val="18"/>
                <w:lang w:eastAsia="he-IL"/>
              </w:rPr>
              <w:t>sulfuryl</w:t>
            </w:r>
            <w:proofErr w:type="spellEnd"/>
            <w:r w:rsidRPr="00501812">
              <w:rPr>
                <w:rFonts w:ascii="Arial" w:hAnsi="Arial" w:cs="Arial"/>
                <w:sz w:val="18"/>
                <w:szCs w:val="18"/>
                <w:lang w:eastAsia="he-IL"/>
              </w:rPr>
              <w:t xml:space="preserve"> fluoride, hydrogen cyanide, </w:t>
            </w:r>
            <w:proofErr w:type="gramStart"/>
            <w:r w:rsidRPr="00501812">
              <w:rPr>
                <w:rFonts w:ascii="Arial" w:hAnsi="Arial" w:cs="Arial"/>
                <w:sz w:val="18"/>
                <w:szCs w:val="18"/>
                <w:lang w:eastAsia="he-IL"/>
              </w:rPr>
              <w:t>phosphine</w:t>
            </w:r>
            <w:proofErr w:type="gramEnd"/>
            <w:r w:rsidRPr="00501812">
              <w:rPr>
                <w:rFonts w:ascii="Arial" w:hAnsi="Arial" w:cs="Arial"/>
                <w:sz w:val="18"/>
                <w:szCs w:val="18"/>
                <w:lang w:eastAsia="he-IL"/>
              </w:rPr>
              <w:t xml:space="preserve">). </w:t>
            </w:r>
            <w:r w:rsidRPr="00501812">
              <w:rPr>
                <w:rFonts w:ascii="Arial" w:hAnsi="Arial"/>
                <w:sz w:val="18"/>
              </w:rPr>
              <w:t>Some mills have never been fumigated with methyl bromide as whole site fumigations. Alternative targeted approaches provide adequate insect infestation control. Effective pest control in mi</w:t>
            </w:r>
            <w:r w:rsidRPr="003A30C7">
              <w:rPr>
                <w:rFonts w:ascii="Arial" w:hAnsi="Arial"/>
                <w:sz w:val="18"/>
              </w:rPr>
              <w:t xml:space="preserve">lls in general requires a combination of measures </w:t>
            </w:r>
            <w:r w:rsidRPr="00082015">
              <w:rPr>
                <w:rFonts w:ascii="Arial" w:hAnsi="Arial" w:cs="Arial"/>
                <w:sz w:val="18"/>
                <w:szCs w:val="18"/>
                <w:lang w:eastAsia="he-IL"/>
              </w:rPr>
              <w:t>applied rationally</w:t>
            </w:r>
            <w:r w:rsidRPr="00082015">
              <w:rPr>
                <w:rFonts w:ascii="Arial" w:hAnsi="Arial"/>
                <w:sz w:val="18"/>
              </w:rPr>
              <w:t xml:space="preserve"> including, as circumstances and registration </w:t>
            </w:r>
            <w:r w:rsidRPr="00F9037E">
              <w:rPr>
                <w:rFonts w:ascii="Arial" w:hAnsi="Arial" w:cs="Arial"/>
                <w:sz w:val="18"/>
                <w:szCs w:val="18"/>
                <w:lang w:eastAsia="he-IL"/>
              </w:rPr>
              <w:t>permit</w:t>
            </w:r>
            <w:r w:rsidRPr="00CD3CBD">
              <w:rPr>
                <w:rFonts w:ascii="Arial" w:hAnsi="Arial"/>
                <w:sz w:val="18"/>
              </w:rPr>
              <w:t xml:space="preserve">, localised heat treatment, fumigation with hydrogen cyanide, phosphine or </w:t>
            </w:r>
            <w:proofErr w:type="spellStart"/>
            <w:r w:rsidRPr="00CD3CBD">
              <w:rPr>
                <w:rFonts w:ascii="Arial" w:hAnsi="Arial"/>
                <w:sz w:val="18"/>
              </w:rPr>
              <w:t>sulfuryl</w:t>
            </w:r>
            <w:proofErr w:type="spellEnd"/>
            <w:r w:rsidRPr="00CD3CBD">
              <w:rPr>
                <w:rFonts w:ascii="Arial" w:hAnsi="Arial"/>
                <w:sz w:val="18"/>
              </w:rPr>
              <w:t xml:space="preserve"> fluoride, </w:t>
            </w:r>
            <w:r w:rsidRPr="00501812">
              <w:rPr>
                <w:rFonts w:ascii="Arial" w:hAnsi="Arial"/>
                <w:sz w:val="18"/>
              </w:rPr>
              <w:t xml:space="preserve">as possible according to local registration and circumstances, and various diverse insect control measures applied as an IPM system. Pest control </w:t>
            </w:r>
            <w:r w:rsidRPr="00501812">
              <w:rPr>
                <w:rFonts w:ascii="Arial" w:hAnsi="Arial"/>
                <w:sz w:val="18"/>
              </w:rPr>
              <w:lastRenderedPageBreak/>
              <w:t xml:space="preserve">intervention may be guided by appropriate pest monitoring. Change from an established system of periodic routine methyl bromide treatment requires some </w:t>
            </w:r>
            <w:r w:rsidRPr="003A30C7">
              <w:rPr>
                <w:rFonts w:ascii="Arial" w:hAnsi="Arial"/>
                <w:sz w:val="18"/>
              </w:rPr>
              <w:t>time to trial, refine and implement, hence the partial MBTOC recommendation for the nominated CUE, despite the general availability of alternatives for this situation. Changes to the mill and machinery structure may be needed to remove pest harbourage as p</w:t>
            </w:r>
            <w:r w:rsidRPr="00082015">
              <w:rPr>
                <w:rFonts w:ascii="Arial" w:hAnsi="Arial"/>
                <w:sz w:val="18"/>
              </w:rPr>
              <w:t xml:space="preserve">art of the IPM system. </w:t>
            </w:r>
            <w:r w:rsidRPr="00F9037E">
              <w:rPr>
                <w:rFonts w:ascii="Arial" w:hAnsi="Arial"/>
                <w:sz w:val="18"/>
              </w:rPr>
              <w:t>IPM measures, cleaning and sanitation, as well as spraying of insecticides, full site heat disinfestation of the mills smaller than 10,000 m</w:t>
            </w:r>
            <w:r w:rsidRPr="00F9037E">
              <w:rPr>
                <w:rFonts w:ascii="Arial" w:hAnsi="Arial"/>
                <w:sz w:val="18"/>
                <w:vertAlign w:val="superscript"/>
              </w:rPr>
              <w:t>3</w:t>
            </w:r>
            <w:r w:rsidRPr="00F9037E">
              <w:rPr>
                <w:rFonts w:ascii="Arial" w:hAnsi="Arial"/>
                <w:sz w:val="18"/>
              </w:rPr>
              <w:t xml:space="preserve">, and localised heat treatment of infested machinery in larger mills, should lead to a reduced requirement for, or elimination of, full site fumigations. </w:t>
            </w:r>
            <w:r w:rsidR="00501812" w:rsidRPr="00501812">
              <w:rPr>
                <w:rFonts w:ascii="Arial" w:hAnsi="Arial"/>
                <w:sz w:val="18"/>
              </w:rPr>
              <w:t>I</w:t>
            </w:r>
            <w:r w:rsidR="00501812" w:rsidRPr="00501812">
              <w:rPr>
                <w:rFonts w:ascii="Arial" w:hAnsi="Arial" w:cs="Arial"/>
                <w:color w:val="auto"/>
                <w:sz w:val="18"/>
                <w:szCs w:val="18"/>
                <w:lang w:eastAsia="en-AU"/>
              </w:rPr>
              <w:t>mproved inspection</w:t>
            </w:r>
            <w:r w:rsidR="000D114C" w:rsidRPr="00F9037E">
              <w:rPr>
                <w:rFonts w:ascii="Arial" w:hAnsi="Arial" w:cs="Arial"/>
                <w:color w:val="auto"/>
                <w:sz w:val="18"/>
                <w:szCs w:val="18"/>
                <w:lang w:eastAsia="en-AU"/>
              </w:rPr>
              <w:t xml:space="preserve"> of </w:t>
            </w:r>
            <w:r w:rsidR="00A55D53" w:rsidRPr="00F9037E">
              <w:rPr>
                <w:rFonts w:ascii="Arial" w:hAnsi="Arial" w:cs="Arial"/>
                <w:color w:val="auto"/>
                <w:sz w:val="18"/>
                <w:szCs w:val="18"/>
                <w:lang w:eastAsia="en-AU"/>
              </w:rPr>
              <w:t xml:space="preserve">imported </w:t>
            </w:r>
            <w:r w:rsidR="000D114C" w:rsidRPr="00F9037E">
              <w:rPr>
                <w:rFonts w:ascii="Arial" w:hAnsi="Arial" w:cs="Arial"/>
                <w:color w:val="auto"/>
                <w:sz w:val="18"/>
                <w:szCs w:val="18"/>
                <w:lang w:eastAsia="en-AU"/>
              </w:rPr>
              <w:t>grain</w:t>
            </w:r>
            <w:r w:rsidR="00A55D53" w:rsidRPr="00F9037E">
              <w:rPr>
                <w:rFonts w:ascii="Arial" w:hAnsi="Arial" w:cs="Arial"/>
                <w:color w:val="auto"/>
                <w:sz w:val="18"/>
                <w:szCs w:val="18"/>
                <w:lang w:eastAsia="en-AU"/>
              </w:rPr>
              <w:t xml:space="preserve"> is essential;</w:t>
            </w:r>
            <w:r w:rsidR="000D114C" w:rsidRPr="00F9037E">
              <w:rPr>
                <w:rFonts w:ascii="Arial" w:hAnsi="Arial" w:cs="Arial"/>
                <w:color w:val="auto"/>
                <w:sz w:val="18"/>
                <w:szCs w:val="18"/>
                <w:lang w:eastAsia="en-AU"/>
              </w:rPr>
              <w:t xml:space="preserve"> if insects are intercepted separate phosphine fumigation</w:t>
            </w:r>
            <w:r w:rsidR="00A55D53" w:rsidRPr="00F9037E">
              <w:rPr>
                <w:rFonts w:ascii="Arial" w:hAnsi="Arial" w:cs="Arial"/>
                <w:color w:val="auto"/>
                <w:sz w:val="18"/>
                <w:szCs w:val="18"/>
                <w:lang w:eastAsia="en-AU"/>
              </w:rPr>
              <w:t xml:space="preserve"> should be conducted,</w:t>
            </w:r>
            <w:r w:rsidR="000D114C" w:rsidRPr="00F9037E">
              <w:rPr>
                <w:rFonts w:ascii="Arial" w:hAnsi="Arial" w:cs="Arial"/>
                <w:color w:val="auto"/>
                <w:sz w:val="18"/>
                <w:szCs w:val="18"/>
                <w:lang w:eastAsia="en-AU"/>
              </w:rPr>
              <w:t xml:space="preserve"> in sufficiently gas tight silo bins prior to i</w:t>
            </w:r>
            <w:r w:rsidR="00A55D53" w:rsidRPr="00F9037E">
              <w:rPr>
                <w:rFonts w:ascii="Arial" w:hAnsi="Arial" w:cs="Arial"/>
                <w:color w:val="auto"/>
                <w:sz w:val="18"/>
                <w:szCs w:val="18"/>
                <w:lang w:eastAsia="en-AU"/>
              </w:rPr>
              <w:t>ntroducing</w:t>
            </w:r>
            <w:r w:rsidR="000D114C" w:rsidRPr="00F9037E">
              <w:rPr>
                <w:rFonts w:ascii="Arial" w:hAnsi="Arial" w:cs="Arial"/>
                <w:color w:val="auto"/>
                <w:sz w:val="18"/>
                <w:szCs w:val="18"/>
                <w:lang w:eastAsia="en-AU"/>
              </w:rPr>
              <w:t xml:space="preserve"> this grain into the </w:t>
            </w:r>
            <w:r w:rsidR="00A55D53" w:rsidRPr="00F9037E">
              <w:rPr>
                <w:rFonts w:ascii="Arial" w:hAnsi="Arial" w:cs="Arial"/>
                <w:color w:val="auto"/>
                <w:sz w:val="18"/>
                <w:szCs w:val="18"/>
                <w:lang w:eastAsia="en-AU"/>
              </w:rPr>
              <w:t xml:space="preserve">mills and the </w:t>
            </w:r>
            <w:r w:rsidR="000D114C" w:rsidRPr="00F9037E">
              <w:rPr>
                <w:rFonts w:ascii="Arial" w:hAnsi="Arial" w:cs="Arial"/>
                <w:color w:val="auto"/>
                <w:sz w:val="18"/>
                <w:szCs w:val="18"/>
                <w:lang w:eastAsia="en-AU"/>
              </w:rPr>
              <w:t>milling process</w:t>
            </w:r>
            <w:r w:rsidR="00A55D53" w:rsidRPr="00F9037E">
              <w:rPr>
                <w:rFonts w:ascii="Arial" w:hAnsi="Arial" w:cs="Arial"/>
                <w:color w:val="auto"/>
                <w:sz w:val="18"/>
                <w:szCs w:val="18"/>
                <w:lang w:eastAsia="en-AU"/>
              </w:rPr>
              <w:t>.</w:t>
            </w:r>
          </w:p>
          <w:p w14:paraId="35F4F7ED" w14:textId="4F4668BC" w:rsidR="000633FC" w:rsidRPr="00CD3CBD" w:rsidRDefault="000633FC" w:rsidP="000633FC">
            <w:pPr>
              <w:jc w:val="both"/>
              <w:rPr>
                <w:rFonts w:ascii="Arial" w:hAnsi="Arial"/>
                <w:b/>
                <w:sz w:val="18"/>
              </w:rPr>
            </w:pPr>
            <w:r w:rsidRPr="00F9037E">
              <w:rPr>
                <w:rFonts w:ascii="Arial" w:hAnsi="Arial"/>
                <w:sz w:val="18"/>
              </w:rPr>
              <w:t xml:space="preserve">This recommendation is based on MB sufficient for one fumigation per year per mill as a transitional measure to allow timely optimisation of alternatives. The recommendation is based on a dosage of 20 g/m³ (MBTOC standard presumptions) applied to well-sealed structures.  </w:t>
            </w:r>
            <w:r w:rsidRPr="00F9037E">
              <w:rPr>
                <w:rFonts w:ascii="Arial" w:hAnsi="Arial" w:cs="Arial"/>
                <w:sz w:val="18"/>
                <w:szCs w:val="18"/>
              </w:rPr>
              <w:t>The indicated need to fumigate several times per year reveals deficiencies in the RSA mill sanitation system. If fumigations are not sufficiently effective, survivors will multiply quickly into high new numbers</w:t>
            </w:r>
            <w:r w:rsidR="00501812">
              <w:rPr>
                <w:rFonts w:ascii="Arial" w:hAnsi="Arial" w:cs="Arial"/>
                <w:sz w:val="18"/>
                <w:szCs w:val="18"/>
              </w:rPr>
              <w:t>.</w:t>
            </w:r>
            <w:r w:rsidRPr="00F9037E">
              <w:rPr>
                <w:rFonts w:ascii="Arial" w:hAnsi="Arial" w:cs="Arial"/>
                <w:sz w:val="18"/>
                <w:szCs w:val="18"/>
              </w:rPr>
              <w:t xml:space="preserve"> The result may be improved with appropriate sealing, which would further to avoid high losses of MB into the environment. Sealing can be checked and locally improved with the use of a gas loss test prior to fumigation (MBTOC 2002, 2006, 2010, 2014, 1990</w:t>
            </w:r>
            <w:proofErr w:type="gramStart"/>
            <w:r w:rsidRPr="00F9037E">
              <w:rPr>
                <w:rFonts w:ascii="Arial" w:hAnsi="Arial" w:cs="Arial"/>
                <w:sz w:val="18"/>
                <w:szCs w:val="18"/>
              </w:rPr>
              <w:t>;Reichmuth</w:t>
            </w:r>
            <w:proofErr w:type="gramEnd"/>
            <w:r w:rsidRPr="00F9037E">
              <w:rPr>
                <w:rFonts w:ascii="Arial" w:hAnsi="Arial" w:cs="Arial"/>
                <w:sz w:val="18"/>
                <w:szCs w:val="18"/>
              </w:rPr>
              <w:t xml:space="preserve">, 1990). Dosage and overall use of methyl bromide can be reduced by this approach, keeping in mind that MB can be fully effective at concentrations as low as 5 g/m³ when kept for enough time (Bell and </w:t>
            </w:r>
            <w:proofErr w:type="spellStart"/>
            <w:r w:rsidRPr="00F9037E">
              <w:rPr>
                <w:rFonts w:ascii="Arial" w:hAnsi="Arial" w:cs="Arial"/>
                <w:sz w:val="18"/>
                <w:szCs w:val="18"/>
              </w:rPr>
              <w:t>Reichmuth</w:t>
            </w:r>
            <w:proofErr w:type="spellEnd"/>
            <w:r w:rsidRPr="00F9037E">
              <w:rPr>
                <w:rFonts w:ascii="Arial" w:hAnsi="Arial" w:cs="Arial"/>
                <w:sz w:val="18"/>
                <w:szCs w:val="18"/>
              </w:rPr>
              <w:t>, 1990).</w:t>
            </w:r>
          </w:p>
          <w:p w14:paraId="11D818F1" w14:textId="5B2CC73E" w:rsidR="000633FC" w:rsidRPr="00F9037E" w:rsidRDefault="000633FC" w:rsidP="000633FC">
            <w:pPr>
              <w:spacing w:after="120"/>
              <w:jc w:val="both"/>
              <w:rPr>
                <w:rFonts w:ascii="Arial" w:hAnsi="Arial"/>
                <w:sz w:val="18"/>
              </w:rPr>
            </w:pPr>
            <w:r w:rsidRPr="00F9037E">
              <w:rPr>
                <w:rFonts w:ascii="Arial" w:hAnsi="Arial"/>
                <w:sz w:val="18"/>
              </w:rPr>
              <w:t>MBTOC appreciates however that the Party may need more time to implement these measures and has adjusted the interim recommended CUE by +40% as a contingency (total mill volume of 146,130 m³ at 20 g/m³, plus 40%). This is a reduction of 25% of the approved CUE (5.462 t) by the Parties for 2016.</w:t>
            </w:r>
          </w:p>
          <w:p w14:paraId="2A4180DC" w14:textId="77777777" w:rsidR="000633FC" w:rsidRPr="00F9037E" w:rsidRDefault="000633FC" w:rsidP="000633FC">
            <w:pPr>
              <w:jc w:val="both"/>
              <w:rPr>
                <w:rFonts w:ascii="Arial" w:hAnsi="Arial"/>
                <w:sz w:val="18"/>
              </w:rPr>
            </w:pPr>
            <w:r w:rsidRPr="00CD3CBD">
              <w:rPr>
                <w:rFonts w:ascii="Arial" w:hAnsi="Arial"/>
                <w:sz w:val="18"/>
              </w:rPr>
              <w:t xml:space="preserve">As stated in MBTOC recommendations for the CUN submitted in 2015, MBTOC notes that there is scope for a further reduction in frequency of fumigations, combined with implementation of </w:t>
            </w:r>
            <w:r w:rsidRPr="00501812">
              <w:rPr>
                <w:rFonts w:ascii="Arial" w:hAnsi="Arial"/>
                <w:sz w:val="18"/>
              </w:rPr>
              <w:t>alternative measures.  It urges that a development program is continued or put in place immediately to address alternatives, and results submitted to MBTOC as required under Decision IX/6(1</w:t>
            </w:r>
            <w:proofErr w:type="gramStart"/>
            <w:r w:rsidRPr="00501812">
              <w:rPr>
                <w:rFonts w:ascii="Arial" w:hAnsi="Arial"/>
                <w:sz w:val="18"/>
              </w:rPr>
              <w:t>,b,ii</w:t>
            </w:r>
            <w:proofErr w:type="gramEnd"/>
            <w:r w:rsidRPr="00501812">
              <w:rPr>
                <w:rFonts w:ascii="Arial" w:hAnsi="Arial"/>
                <w:sz w:val="18"/>
              </w:rPr>
              <w:t>).</w:t>
            </w:r>
          </w:p>
          <w:p w14:paraId="2DF95150" w14:textId="77777777" w:rsidR="000633FC" w:rsidRPr="00220275" w:rsidRDefault="000633FC" w:rsidP="000633FC">
            <w:pPr>
              <w:jc w:val="both"/>
              <w:rPr>
                <w:rFonts w:ascii="Arial" w:hAnsi="Arial"/>
                <w:sz w:val="18"/>
              </w:rPr>
            </w:pPr>
            <w:r w:rsidRPr="00F9037E">
              <w:rPr>
                <w:rFonts w:ascii="Arial" w:hAnsi="Arial"/>
                <w:sz w:val="18"/>
              </w:rPr>
              <w:t xml:space="preserve">MBTOC notes that the interception and control of the quarantine pest insects </w:t>
            </w:r>
            <w:proofErr w:type="spellStart"/>
            <w:r w:rsidRPr="00F9037E">
              <w:rPr>
                <w:rFonts w:ascii="Arial" w:hAnsi="Arial"/>
                <w:sz w:val="18"/>
              </w:rPr>
              <w:t>Khapra</w:t>
            </w:r>
            <w:proofErr w:type="spellEnd"/>
            <w:r w:rsidRPr="00F9037E">
              <w:rPr>
                <w:rFonts w:ascii="Arial" w:hAnsi="Arial"/>
                <w:sz w:val="18"/>
              </w:rPr>
              <w:t xml:space="preserve"> beetle </w:t>
            </w:r>
            <w:proofErr w:type="spellStart"/>
            <w:r w:rsidRPr="00F9037E">
              <w:rPr>
                <w:rFonts w:ascii="Arial" w:hAnsi="Arial" w:cs="Arial"/>
                <w:i/>
                <w:sz w:val="18"/>
                <w:szCs w:val="18"/>
                <w:lang w:eastAsia="he-IL"/>
              </w:rPr>
              <w:t>Trogoderma</w:t>
            </w:r>
            <w:proofErr w:type="spellEnd"/>
            <w:r w:rsidR="00EE728F" w:rsidRPr="00F9037E">
              <w:rPr>
                <w:rFonts w:ascii="Arial" w:hAnsi="Arial" w:cs="Arial"/>
                <w:i/>
                <w:sz w:val="18"/>
                <w:szCs w:val="18"/>
                <w:lang w:eastAsia="he-IL"/>
              </w:rPr>
              <w:t xml:space="preserve"> </w:t>
            </w:r>
            <w:proofErr w:type="spellStart"/>
            <w:r w:rsidRPr="00F9037E">
              <w:rPr>
                <w:rFonts w:ascii="Arial" w:hAnsi="Arial" w:cs="Arial"/>
                <w:i/>
                <w:sz w:val="18"/>
                <w:szCs w:val="18"/>
                <w:lang w:eastAsia="he-IL"/>
              </w:rPr>
              <w:t>granarium</w:t>
            </w:r>
            <w:proofErr w:type="spellEnd"/>
            <w:r w:rsidRPr="00F9037E">
              <w:rPr>
                <w:rFonts w:ascii="Arial" w:hAnsi="Arial"/>
                <w:sz w:val="18"/>
              </w:rPr>
              <w:t xml:space="preserve"> and Larger Grain Borer </w:t>
            </w:r>
            <w:proofErr w:type="spellStart"/>
            <w:r w:rsidRPr="00F9037E">
              <w:rPr>
                <w:rFonts w:ascii="Arial" w:hAnsi="Arial" w:cs="Arial"/>
                <w:i/>
                <w:sz w:val="18"/>
                <w:szCs w:val="18"/>
                <w:lang w:eastAsia="he-IL"/>
              </w:rPr>
              <w:t>Prostephanus</w:t>
            </w:r>
            <w:proofErr w:type="spellEnd"/>
            <w:r w:rsidR="00EE728F" w:rsidRPr="00F9037E">
              <w:rPr>
                <w:rFonts w:ascii="Arial" w:hAnsi="Arial" w:cs="Arial"/>
                <w:i/>
                <w:sz w:val="18"/>
                <w:szCs w:val="18"/>
                <w:lang w:eastAsia="he-IL"/>
              </w:rPr>
              <w:t xml:space="preserve"> </w:t>
            </w:r>
            <w:proofErr w:type="spellStart"/>
            <w:r w:rsidR="00A65125" w:rsidRPr="00F9037E">
              <w:rPr>
                <w:rFonts w:ascii="Arial" w:hAnsi="Arial" w:cs="Arial"/>
                <w:i/>
                <w:sz w:val="18"/>
                <w:szCs w:val="18"/>
                <w:lang w:eastAsia="he-IL"/>
              </w:rPr>
              <w:t>truncatus</w:t>
            </w:r>
            <w:proofErr w:type="spellEnd"/>
            <w:r w:rsidR="00A65125" w:rsidRPr="00F9037E">
              <w:rPr>
                <w:rFonts w:ascii="Arial" w:hAnsi="Arial" w:cs="Arial"/>
                <w:i/>
                <w:sz w:val="18"/>
                <w:szCs w:val="18"/>
                <w:lang w:eastAsia="he-IL"/>
              </w:rPr>
              <w:t xml:space="preserve"> </w:t>
            </w:r>
            <w:r w:rsidRPr="00F9037E">
              <w:rPr>
                <w:rFonts w:ascii="Arial" w:hAnsi="Arial" w:cs="Arial"/>
                <w:sz w:val="18"/>
                <w:szCs w:val="18"/>
                <w:lang w:eastAsia="he-IL"/>
              </w:rPr>
              <w:t>would</w:t>
            </w:r>
            <w:r w:rsidRPr="00F9037E">
              <w:rPr>
                <w:rFonts w:ascii="Arial" w:hAnsi="Arial"/>
                <w:sz w:val="18"/>
              </w:rPr>
              <w:t xml:space="preserve"> likely fall under QPS provisions of the Montreal Protocol control measures</w:t>
            </w:r>
            <w:r w:rsidRPr="00CD3CBD">
              <w:rPr>
                <w:rFonts w:ascii="Arial" w:hAnsi="Arial"/>
                <w:sz w:val="18"/>
              </w:rPr>
              <w:t xml:space="preserve"> and corresponding actions as described in the legislation of the RSA.</w:t>
            </w:r>
            <w:r w:rsidRPr="00CD3CBD">
              <w:rPr>
                <w:rFonts w:ascii="Arial" w:hAnsi="Arial" w:cs="Arial"/>
                <w:sz w:val="18"/>
                <w:szCs w:val="18"/>
              </w:rPr>
              <w:t xml:space="preserve"> The Pa</w:t>
            </w:r>
            <w:r w:rsidRPr="00501812">
              <w:rPr>
                <w:rFonts w:ascii="Arial" w:hAnsi="Arial" w:cs="Arial"/>
                <w:sz w:val="18"/>
                <w:szCs w:val="18"/>
              </w:rPr>
              <w:t>rty indicated ISPM-15 as justification tha</w:t>
            </w:r>
            <w:r w:rsidRPr="003A30C7">
              <w:rPr>
                <w:rFonts w:ascii="Arial" w:hAnsi="Arial" w:cs="Arial"/>
                <w:sz w:val="18"/>
                <w:szCs w:val="18"/>
              </w:rPr>
              <w:t>t a dosage of 48g/m</w:t>
            </w:r>
            <w:r w:rsidRPr="00082015">
              <w:rPr>
                <w:rFonts w:ascii="Arial" w:hAnsi="Arial" w:cs="Arial"/>
                <w:sz w:val="18"/>
                <w:szCs w:val="18"/>
                <w:vertAlign w:val="superscript"/>
              </w:rPr>
              <w:t>3</w:t>
            </w:r>
            <w:r w:rsidRPr="00082015">
              <w:rPr>
                <w:rFonts w:ascii="Arial" w:hAnsi="Arial" w:cs="Arial"/>
                <w:sz w:val="18"/>
                <w:szCs w:val="18"/>
              </w:rPr>
              <w:t xml:space="preserve"> is needed for this nomination. MBTOC notes that ISPM 15 is a standard relating to the treatment of wood packing material in trade. It aims specifically to eliminate infestation of pests of standing timber that may infest or complete their life cycle in new timber made into pallets and the like. The dosage rate in ISPM 15 is excessive for the control of common stored product and mill pests. It is thus not a reasonable benchmark for setting dosages for control of pa</w:t>
            </w:r>
            <w:r w:rsidRPr="00F5313E">
              <w:rPr>
                <w:rFonts w:ascii="Arial" w:hAnsi="Arial" w:cs="Arial"/>
                <w:sz w:val="18"/>
                <w:szCs w:val="18"/>
              </w:rPr>
              <w:t>rticular mill pests.</w:t>
            </w:r>
          </w:p>
          <w:p w14:paraId="50B13849" w14:textId="77777777" w:rsidR="000633FC" w:rsidRPr="00F9037E" w:rsidRDefault="000633FC" w:rsidP="000633FC">
            <w:pPr>
              <w:spacing w:before="60" w:after="60"/>
              <w:jc w:val="both"/>
              <w:rPr>
                <w:sz w:val="20"/>
              </w:rPr>
            </w:pPr>
            <w:r w:rsidRPr="00220275">
              <w:rPr>
                <w:rFonts w:ascii="Arial" w:hAnsi="Arial"/>
                <w:b/>
                <w:sz w:val="18"/>
              </w:rPr>
              <w:t xml:space="preserve">MBTOC comments on economics for </w:t>
            </w:r>
            <w:r w:rsidRPr="00220275">
              <w:rPr>
                <w:rFonts w:ascii="Arial" w:hAnsi="Arial" w:cs="Arial"/>
                <w:b/>
                <w:sz w:val="18"/>
                <w:szCs w:val="18"/>
                <w:lang w:eastAsia="he-IL"/>
              </w:rPr>
              <w:t>2017</w:t>
            </w:r>
            <w:r w:rsidRPr="00220275">
              <w:rPr>
                <w:rFonts w:ascii="Arial" w:hAnsi="Arial"/>
                <w:b/>
                <w:sz w:val="18"/>
              </w:rPr>
              <w:t>:</w:t>
            </w:r>
          </w:p>
          <w:p w14:paraId="39C93AA3" w14:textId="77777777" w:rsidR="000633FC" w:rsidRPr="00082015" w:rsidRDefault="000633FC" w:rsidP="000633FC">
            <w:pPr>
              <w:jc w:val="both"/>
              <w:rPr>
                <w:rFonts w:ascii="Arial" w:hAnsi="Arial"/>
                <w:sz w:val="18"/>
              </w:rPr>
            </w:pPr>
            <w:r w:rsidRPr="00CD3CBD">
              <w:rPr>
                <w:rFonts w:ascii="Arial" w:hAnsi="Arial" w:cs="Arial"/>
                <w:sz w:val="18"/>
                <w:szCs w:val="18"/>
              </w:rPr>
              <w:t xml:space="preserve">No new economic </w:t>
            </w:r>
            <w:r w:rsidRPr="00501812">
              <w:rPr>
                <w:rFonts w:ascii="Arial" w:hAnsi="Arial" w:cs="Arial"/>
                <w:sz w:val="18"/>
                <w:szCs w:val="18"/>
              </w:rPr>
              <w:t xml:space="preserve">information has been submitted by the Party in this nomination round. </w:t>
            </w:r>
            <w:r w:rsidRPr="00501812">
              <w:rPr>
                <w:rFonts w:ascii="Arial" w:hAnsi="Arial"/>
                <w:sz w:val="18"/>
              </w:rPr>
              <w:t>The Party argues that the cost of a 100 kg cylinder of MB gas (100%) required to fumigate a 4000 m</w:t>
            </w:r>
            <w:r w:rsidRPr="003A30C7">
              <w:rPr>
                <w:rFonts w:ascii="Arial" w:hAnsi="Arial"/>
                <w:sz w:val="18"/>
                <w:vertAlign w:val="superscript"/>
              </w:rPr>
              <w:t>3</w:t>
            </w:r>
            <w:r w:rsidRPr="00082015">
              <w:rPr>
                <w:rFonts w:ascii="Arial" w:hAnsi="Arial"/>
                <w:sz w:val="18"/>
              </w:rPr>
              <w:t xml:space="preserve"> mill varies from R15 000.00 compared to more than R800 000.00 for the installation of a single heating plant for the same mill. Additional arguments were made that phosphine fumigation is not economically feasible because of the cost of the extended downtime required to complete a treatment and costs associated with rectification of corrosion damage produced by the phosphine treatment.</w:t>
            </w:r>
          </w:p>
          <w:p w14:paraId="77DB4B30" w14:textId="77777777" w:rsidR="000633FC" w:rsidRPr="00F5313E" w:rsidRDefault="000633FC" w:rsidP="000633FC">
            <w:pPr>
              <w:spacing w:before="60" w:after="60"/>
              <w:jc w:val="both"/>
              <w:rPr>
                <w:rFonts w:ascii="Arial" w:hAnsi="Arial"/>
                <w:b/>
                <w:sz w:val="18"/>
              </w:rPr>
            </w:pPr>
            <w:r w:rsidRPr="00F5313E">
              <w:rPr>
                <w:rFonts w:ascii="Arial" w:hAnsi="Arial"/>
                <w:b/>
                <w:sz w:val="18"/>
              </w:rPr>
              <w:t>Comments requested in Dec. XX1/11 (para 9)</w:t>
            </w:r>
          </w:p>
          <w:p w14:paraId="32E077AF" w14:textId="5FE47248" w:rsidR="000633FC" w:rsidRPr="00220275" w:rsidRDefault="000633FC" w:rsidP="007F65E8">
            <w:pPr>
              <w:numPr>
                <w:ilvl w:val="0"/>
                <w:numId w:val="46"/>
              </w:numPr>
              <w:spacing w:after="120"/>
              <w:jc w:val="both"/>
              <w:rPr>
                <w:rFonts w:ascii="Arial" w:hAnsi="Arial"/>
                <w:sz w:val="18"/>
              </w:rPr>
            </w:pPr>
            <w:r w:rsidRPr="00220275">
              <w:rPr>
                <w:rFonts w:ascii="Arial" w:hAnsi="Arial"/>
                <w:b/>
                <w:sz w:val="18"/>
              </w:rPr>
              <w:t xml:space="preserve">Dec. IX/6 </w:t>
            </w:r>
            <w:r w:rsidR="00501812" w:rsidRPr="00220275">
              <w:rPr>
                <w:rFonts w:ascii="Arial" w:hAnsi="Arial"/>
                <w:b/>
                <w:sz w:val="18"/>
              </w:rPr>
              <w:t>b (</w:t>
            </w:r>
            <w:proofErr w:type="spellStart"/>
            <w:r w:rsidRPr="00220275">
              <w:rPr>
                <w:rFonts w:ascii="Arial" w:hAnsi="Arial"/>
                <w:b/>
                <w:sz w:val="18"/>
              </w:rPr>
              <w:t>i</w:t>
            </w:r>
            <w:proofErr w:type="spellEnd"/>
            <w:r w:rsidRPr="00220275">
              <w:rPr>
                <w:rFonts w:ascii="Arial" w:hAnsi="Arial"/>
                <w:b/>
                <w:sz w:val="18"/>
              </w:rPr>
              <w:t>) Emission Reduction:</w:t>
            </w:r>
            <w:r w:rsidRPr="00220275">
              <w:rPr>
                <w:rFonts w:ascii="Arial" w:hAnsi="Arial"/>
                <w:sz w:val="18"/>
              </w:rPr>
              <w:t xml:space="preserve"> The CUN states that a high level of fumigant containment has been achieved.</w:t>
            </w:r>
          </w:p>
          <w:p w14:paraId="685C492B" w14:textId="7A84C7A0" w:rsidR="000633FC" w:rsidRPr="00F9037E" w:rsidRDefault="000633FC" w:rsidP="007F65E8">
            <w:pPr>
              <w:pStyle w:val="ListParagraph"/>
              <w:numPr>
                <w:ilvl w:val="0"/>
                <w:numId w:val="46"/>
              </w:numPr>
              <w:spacing w:before="120"/>
              <w:jc w:val="both"/>
              <w:rPr>
                <w:rFonts w:ascii="Arial" w:hAnsi="Arial" w:cs="Arial"/>
                <w:sz w:val="20"/>
                <w:lang w:eastAsia="he-IL"/>
              </w:rPr>
            </w:pPr>
            <w:r w:rsidRPr="00B87B95">
              <w:rPr>
                <w:rFonts w:ascii="Arial" w:hAnsi="Arial"/>
                <w:b/>
                <w:sz w:val="18"/>
              </w:rPr>
              <w:t xml:space="preserve">Dec. IX/6 </w:t>
            </w:r>
            <w:r w:rsidR="00501812" w:rsidRPr="00B87B95">
              <w:rPr>
                <w:rFonts w:ascii="Arial" w:hAnsi="Arial"/>
                <w:b/>
                <w:sz w:val="18"/>
              </w:rPr>
              <w:t>b (</w:t>
            </w:r>
            <w:r w:rsidRPr="00B87B95">
              <w:rPr>
                <w:rFonts w:ascii="Arial" w:hAnsi="Arial"/>
                <w:b/>
                <w:sz w:val="18"/>
              </w:rPr>
              <w:t>iii) Research Program:</w:t>
            </w:r>
            <w:r w:rsidR="00EE728F" w:rsidRPr="00563BC0">
              <w:rPr>
                <w:rFonts w:ascii="Arial" w:hAnsi="Arial"/>
                <w:b/>
                <w:sz w:val="18"/>
              </w:rPr>
              <w:t xml:space="preserve"> </w:t>
            </w:r>
            <w:r w:rsidRPr="00563BC0">
              <w:rPr>
                <w:rFonts w:ascii="Arial" w:hAnsi="Arial"/>
                <w:sz w:val="18"/>
              </w:rPr>
              <w:t xml:space="preserve">There is no </w:t>
            </w:r>
            <w:proofErr w:type="spellStart"/>
            <w:r w:rsidR="00501812" w:rsidRPr="00563BC0">
              <w:rPr>
                <w:rFonts w:ascii="Arial" w:hAnsi="Arial"/>
                <w:sz w:val="18"/>
              </w:rPr>
              <w:t>on going</w:t>
            </w:r>
            <w:proofErr w:type="spellEnd"/>
            <w:r w:rsidRPr="00563BC0">
              <w:rPr>
                <w:rFonts w:ascii="Arial" w:hAnsi="Arial"/>
                <w:sz w:val="18"/>
              </w:rPr>
              <w:t xml:space="preserve"> program of testing and trialling promising</w:t>
            </w:r>
            <w:r w:rsidR="00EE728F" w:rsidRPr="00563BC0">
              <w:rPr>
                <w:rFonts w:ascii="Arial" w:hAnsi="Arial"/>
                <w:sz w:val="18"/>
              </w:rPr>
              <w:t xml:space="preserve"> </w:t>
            </w:r>
            <w:r w:rsidRPr="00563BC0">
              <w:rPr>
                <w:rFonts w:ascii="Arial" w:hAnsi="Arial"/>
                <w:sz w:val="18"/>
              </w:rPr>
              <w:t>alternatives given in the CUN. In correspondence r</w:t>
            </w:r>
            <w:r w:rsidRPr="000F08B5">
              <w:rPr>
                <w:rFonts w:ascii="Arial" w:hAnsi="Arial"/>
                <w:sz w:val="18"/>
              </w:rPr>
              <w:t>elating to the CUN it was stated that effects of reduced fumigation frequency was under investigation. This statement was again made in 2016 but no results as yet submitted</w:t>
            </w:r>
          </w:p>
          <w:p w14:paraId="376FD33C" w14:textId="52EB4853" w:rsidR="000633FC" w:rsidRPr="00F9037E" w:rsidRDefault="000633FC" w:rsidP="007F65E8">
            <w:pPr>
              <w:pStyle w:val="ListParagraph"/>
              <w:numPr>
                <w:ilvl w:val="0"/>
                <w:numId w:val="46"/>
              </w:numPr>
              <w:spacing w:before="120"/>
              <w:jc w:val="both"/>
              <w:rPr>
                <w:rFonts w:ascii="Arial" w:hAnsi="Arial" w:cstheme="minorBidi"/>
                <w:sz w:val="18"/>
                <w:szCs w:val="18"/>
                <w:lang w:eastAsia="he-IL"/>
              </w:rPr>
            </w:pPr>
            <w:r w:rsidRPr="00F9037E">
              <w:rPr>
                <w:rFonts w:ascii="Arial" w:hAnsi="Arial" w:cs="Arial"/>
                <w:b/>
                <w:sz w:val="18"/>
                <w:szCs w:val="18"/>
                <w:lang w:eastAsia="he-IL"/>
              </w:rPr>
              <w:t xml:space="preserve">Dec. IX/6 </w:t>
            </w:r>
            <w:r w:rsidR="00501812" w:rsidRPr="00501812">
              <w:rPr>
                <w:rFonts w:ascii="Arial" w:hAnsi="Arial" w:cs="Arial"/>
                <w:b/>
                <w:sz w:val="18"/>
                <w:szCs w:val="18"/>
                <w:lang w:eastAsia="he-IL"/>
              </w:rPr>
              <w:t>b (</w:t>
            </w:r>
            <w:r w:rsidRPr="00F9037E">
              <w:rPr>
                <w:rFonts w:ascii="Arial" w:hAnsi="Arial" w:cs="Arial"/>
                <w:b/>
                <w:sz w:val="18"/>
                <w:szCs w:val="18"/>
                <w:lang w:eastAsia="he-IL"/>
              </w:rPr>
              <w:t>iii) Appropriate Effort:</w:t>
            </w:r>
            <w:r w:rsidRPr="00F9037E">
              <w:rPr>
                <w:rFonts w:ascii="Arial" w:hAnsi="Arial" w:cs="Arial"/>
                <w:sz w:val="18"/>
                <w:szCs w:val="18"/>
                <w:lang w:eastAsia="he-IL"/>
              </w:rPr>
              <w:t xml:space="preserve"> see previous paragraph.</w:t>
            </w:r>
          </w:p>
          <w:p w14:paraId="58076BC1" w14:textId="77777777" w:rsidR="000633FC" w:rsidRPr="00F9037E" w:rsidRDefault="000633FC" w:rsidP="007F65E8">
            <w:pPr>
              <w:pStyle w:val="ListParagraph"/>
              <w:numPr>
                <w:ilvl w:val="0"/>
                <w:numId w:val="46"/>
              </w:numPr>
              <w:spacing w:before="120"/>
              <w:jc w:val="both"/>
              <w:rPr>
                <w:rFonts w:ascii="Arial" w:hAnsi="Arial" w:cstheme="minorBidi"/>
                <w:sz w:val="18"/>
                <w:szCs w:val="18"/>
                <w:lang w:eastAsia="he-IL"/>
              </w:rPr>
            </w:pPr>
            <w:r w:rsidRPr="00F9037E">
              <w:rPr>
                <w:rFonts w:ascii="Arial" w:hAnsi="Arial"/>
                <w:b/>
                <w:sz w:val="18"/>
              </w:rPr>
              <w:t xml:space="preserve">Dec. Ex 1(4) Annex 1 National Management Strategy: </w:t>
            </w:r>
            <w:r w:rsidRPr="00F9037E">
              <w:rPr>
                <w:rFonts w:ascii="Arial" w:hAnsi="Arial"/>
                <w:sz w:val="18"/>
              </w:rPr>
              <w:t>No Management Strategy was provided.</w:t>
            </w:r>
          </w:p>
        </w:tc>
      </w:tr>
    </w:tbl>
    <w:tbl>
      <w:tblPr>
        <w:tblW w:w="14507"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0"/>
        <w:gridCol w:w="1029"/>
        <w:gridCol w:w="1041"/>
        <w:gridCol w:w="900"/>
        <w:gridCol w:w="900"/>
        <w:gridCol w:w="1236"/>
        <w:gridCol w:w="2585"/>
        <w:gridCol w:w="958"/>
        <w:gridCol w:w="993"/>
        <w:gridCol w:w="850"/>
        <w:gridCol w:w="3025"/>
      </w:tblGrid>
      <w:tr w:rsidR="000633FC" w:rsidRPr="00F9037E" w14:paraId="2A032D32" w14:textId="77777777" w:rsidTr="000633FC">
        <w:trPr>
          <w:trHeight w:val="530"/>
        </w:trPr>
        <w:tc>
          <w:tcPr>
            <w:tcW w:w="990" w:type="dxa"/>
            <w:tcBorders>
              <w:top w:val="single" w:sz="4" w:space="0" w:color="auto"/>
            </w:tcBorders>
            <w:vAlign w:val="center"/>
          </w:tcPr>
          <w:p w14:paraId="69F245C8" w14:textId="77777777" w:rsidR="000633FC" w:rsidRPr="00F9037E" w:rsidRDefault="000633FC" w:rsidP="000633FC">
            <w:pPr>
              <w:keepNext/>
              <w:keepLines/>
              <w:pageBreakBefore/>
              <w:spacing w:after="0"/>
              <w:rPr>
                <w:rFonts w:ascii="Arial" w:hAnsi="Arial"/>
                <w:b/>
                <w:sz w:val="18"/>
              </w:rPr>
            </w:pPr>
            <w:r w:rsidRPr="00F9037E">
              <w:rPr>
                <w:rFonts w:ascii="Arial" w:hAnsi="Arial"/>
                <w:b/>
                <w:sz w:val="18"/>
              </w:rPr>
              <w:lastRenderedPageBreak/>
              <w:t>Country</w:t>
            </w:r>
          </w:p>
        </w:tc>
        <w:tc>
          <w:tcPr>
            <w:tcW w:w="1029" w:type="dxa"/>
            <w:tcBorders>
              <w:top w:val="single" w:sz="4" w:space="0" w:color="auto"/>
              <w:bottom w:val="single" w:sz="6" w:space="0" w:color="auto"/>
            </w:tcBorders>
            <w:vAlign w:val="center"/>
          </w:tcPr>
          <w:p w14:paraId="0E6C097D" w14:textId="77777777" w:rsidR="000633FC" w:rsidRPr="00F9037E" w:rsidRDefault="000633FC" w:rsidP="000633FC">
            <w:pPr>
              <w:keepNext/>
              <w:keepLines/>
              <w:pageBreakBefore/>
              <w:spacing w:after="0"/>
              <w:rPr>
                <w:rFonts w:ascii="Arial" w:hAnsi="Arial"/>
                <w:b/>
                <w:sz w:val="18"/>
              </w:rPr>
            </w:pPr>
            <w:r w:rsidRPr="00F9037E">
              <w:rPr>
                <w:rFonts w:ascii="Arial" w:hAnsi="Arial"/>
                <w:b/>
                <w:sz w:val="18"/>
              </w:rPr>
              <w:t>Industry</w:t>
            </w:r>
          </w:p>
        </w:tc>
        <w:tc>
          <w:tcPr>
            <w:tcW w:w="1041" w:type="dxa"/>
            <w:tcBorders>
              <w:top w:val="single" w:sz="4" w:space="0" w:color="auto"/>
              <w:bottom w:val="single" w:sz="6" w:space="0" w:color="auto"/>
            </w:tcBorders>
            <w:vAlign w:val="center"/>
          </w:tcPr>
          <w:p w14:paraId="61B4AF3D" w14:textId="77777777" w:rsidR="000633FC" w:rsidRPr="00F9037E" w:rsidRDefault="000633FC" w:rsidP="000633FC">
            <w:pPr>
              <w:keepNext/>
              <w:keepLines/>
              <w:pageBreakBefore/>
              <w:spacing w:after="0"/>
              <w:jc w:val="center"/>
              <w:rPr>
                <w:rFonts w:ascii="Arial" w:hAnsi="Arial"/>
                <w:b/>
                <w:sz w:val="18"/>
              </w:rPr>
            </w:pPr>
            <w:r w:rsidRPr="00F9037E">
              <w:rPr>
                <w:rFonts w:ascii="Arial" w:hAnsi="Arial"/>
                <w:b/>
                <w:sz w:val="18"/>
              </w:rPr>
              <w:t>CUE for 2015</w:t>
            </w:r>
            <w:r w:rsidRPr="00F9037E">
              <w:rPr>
                <w:rFonts w:ascii="Arial" w:hAnsi="Arial"/>
                <w:b/>
                <w:sz w:val="18"/>
                <w:vertAlign w:val="superscript"/>
              </w:rPr>
              <w:t>11</w:t>
            </w:r>
          </w:p>
        </w:tc>
        <w:tc>
          <w:tcPr>
            <w:tcW w:w="900" w:type="dxa"/>
            <w:tcBorders>
              <w:top w:val="single" w:sz="4" w:space="0" w:color="auto"/>
              <w:bottom w:val="single" w:sz="6" w:space="0" w:color="auto"/>
            </w:tcBorders>
            <w:vAlign w:val="center"/>
          </w:tcPr>
          <w:p w14:paraId="6BB3A527" w14:textId="77777777" w:rsidR="000633FC" w:rsidRPr="00F9037E" w:rsidRDefault="000633FC" w:rsidP="000633FC">
            <w:pPr>
              <w:keepNext/>
              <w:keepLines/>
              <w:pageBreakBefore/>
              <w:spacing w:after="0"/>
              <w:jc w:val="center"/>
              <w:rPr>
                <w:rFonts w:ascii="Arial" w:hAnsi="Arial"/>
                <w:b/>
                <w:sz w:val="18"/>
              </w:rPr>
            </w:pPr>
            <w:r w:rsidRPr="00F9037E">
              <w:rPr>
                <w:rFonts w:ascii="Arial" w:hAnsi="Arial"/>
                <w:b/>
                <w:sz w:val="18"/>
              </w:rPr>
              <w:t>CUN for 2016</w:t>
            </w:r>
          </w:p>
        </w:tc>
        <w:tc>
          <w:tcPr>
            <w:tcW w:w="900" w:type="dxa"/>
            <w:tcBorders>
              <w:top w:val="single" w:sz="4" w:space="0" w:color="auto"/>
              <w:bottom w:val="single" w:sz="6" w:space="0" w:color="auto"/>
            </w:tcBorders>
            <w:vAlign w:val="center"/>
          </w:tcPr>
          <w:p w14:paraId="65D3BBE2" w14:textId="77777777" w:rsidR="000633FC" w:rsidRPr="00F9037E" w:rsidRDefault="000633FC" w:rsidP="000633FC">
            <w:pPr>
              <w:keepNext/>
              <w:keepLines/>
              <w:pageBreakBefore/>
              <w:spacing w:after="0"/>
              <w:jc w:val="center"/>
              <w:rPr>
                <w:rFonts w:ascii="Arial" w:hAnsi="Arial"/>
                <w:b/>
                <w:sz w:val="18"/>
              </w:rPr>
            </w:pPr>
            <w:r w:rsidRPr="00F9037E">
              <w:rPr>
                <w:rFonts w:ascii="Arial" w:hAnsi="Arial"/>
                <w:b/>
                <w:sz w:val="18"/>
              </w:rPr>
              <w:t>CUE for 2016</w:t>
            </w:r>
          </w:p>
        </w:tc>
        <w:tc>
          <w:tcPr>
            <w:tcW w:w="1236" w:type="dxa"/>
            <w:tcBorders>
              <w:top w:val="single" w:sz="4" w:space="0" w:color="auto"/>
              <w:bottom w:val="single" w:sz="6" w:space="0" w:color="auto"/>
            </w:tcBorders>
            <w:vAlign w:val="center"/>
          </w:tcPr>
          <w:p w14:paraId="06DBAA8A" w14:textId="77777777" w:rsidR="000633FC" w:rsidRPr="00F9037E" w:rsidRDefault="000633FC" w:rsidP="000633FC">
            <w:pPr>
              <w:keepNext/>
              <w:keepLines/>
              <w:pageBreakBefore/>
              <w:spacing w:after="0"/>
              <w:jc w:val="center"/>
              <w:rPr>
                <w:rFonts w:ascii="Arial" w:hAnsi="Arial"/>
                <w:b/>
                <w:sz w:val="18"/>
              </w:rPr>
            </w:pPr>
            <w:r w:rsidRPr="00F9037E">
              <w:rPr>
                <w:rFonts w:ascii="Arial" w:hAnsi="Arial"/>
                <w:b/>
                <w:sz w:val="18"/>
              </w:rPr>
              <w:t>CUN for 2017</w:t>
            </w:r>
          </w:p>
        </w:tc>
        <w:tc>
          <w:tcPr>
            <w:tcW w:w="2585" w:type="dxa"/>
            <w:tcBorders>
              <w:top w:val="single" w:sz="4" w:space="0" w:color="auto"/>
              <w:bottom w:val="single" w:sz="6" w:space="0" w:color="auto"/>
            </w:tcBorders>
            <w:vAlign w:val="center"/>
          </w:tcPr>
          <w:p w14:paraId="342A3704" w14:textId="77777777" w:rsidR="000633FC" w:rsidRPr="00F9037E" w:rsidRDefault="000633FC" w:rsidP="000633FC">
            <w:pPr>
              <w:keepNext/>
              <w:keepLines/>
              <w:pageBreakBefore/>
              <w:spacing w:after="0"/>
              <w:jc w:val="center"/>
              <w:rPr>
                <w:rFonts w:ascii="Arial" w:hAnsi="Arial"/>
                <w:b/>
                <w:sz w:val="18"/>
              </w:rPr>
            </w:pPr>
            <w:r w:rsidRPr="00F9037E">
              <w:rPr>
                <w:rFonts w:ascii="Arial" w:hAnsi="Arial"/>
                <w:b/>
                <w:sz w:val="18"/>
              </w:rPr>
              <w:t>MBTOC final rec. for 2017</w:t>
            </w:r>
          </w:p>
        </w:tc>
        <w:tc>
          <w:tcPr>
            <w:tcW w:w="958" w:type="dxa"/>
            <w:tcBorders>
              <w:top w:val="single" w:sz="4" w:space="0" w:color="auto"/>
              <w:bottom w:val="single" w:sz="6" w:space="0" w:color="auto"/>
            </w:tcBorders>
            <w:vAlign w:val="center"/>
          </w:tcPr>
          <w:p w14:paraId="528D67D9" w14:textId="77777777" w:rsidR="000633FC" w:rsidRPr="00F9037E" w:rsidRDefault="000633FC" w:rsidP="000633FC">
            <w:pPr>
              <w:keepNext/>
              <w:keepLines/>
              <w:pageBreakBefore/>
              <w:spacing w:after="0"/>
              <w:jc w:val="center"/>
              <w:rPr>
                <w:rFonts w:ascii="Arial" w:hAnsi="Arial"/>
                <w:b/>
                <w:sz w:val="18"/>
              </w:rPr>
            </w:pPr>
          </w:p>
        </w:tc>
        <w:tc>
          <w:tcPr>
            <w:tcW w:w="993" w:type="dxa"/>
            <w:tcBorders>
              <w:top w:val="single" w:sz="4" w:space="0" w:color="auto"/>
              <w:bottom w:val="single" w:sz="6" w:space="0" w:color="auto"/>
            </w:tcBorders>
            <w:vAlign w:val="center"/>
          </w:tcPr>
          <w:p w14:paraId="15D5D00B" w14:textId="77777777" w:rsidR="000633FC" w:rsidRPr="00F9037E" w:rsidRDefault="000633FC" w:rsidP="000633FC">
            <w:pPr>
              <w:keepNext/>
              <w:keepLines/>
              <w:pageBreakBefore/>
              <w:spacing w:after="0"/>
              <w:jc w:val="center"/>
              <w:rPr>
                <w:rFonts w:ascii="Arial" w:hAnsi="Arial"/>
                <w:b/>
                <w:sz w:val="18"/>
              </w:rPr>
            </w:pPr>
          </w:p>
        </w:tc>
        <w:tc>
          <w:tcPr>
            <w:tcW w:w="850" w:type="dxa"/>
            <w:tcBorders>
              <w:top w:val="single" w:sz="4" w:space="0" w:color="auto"/>
              <w:bottom w:val="single" w:sz="6" w:space="0" w:color="auto"/>
            </w:tcBorders>
            <w:vAlign w:val="center"/>
          </w:tcPr>
          <w:p w14:paraId="469AF22A" w14:textId="77777777" w:rsidR="000633FC" w:rsidRPr="00F9037E" w:rsidRDefault="000633FC" w:rsidP="000633FC">
            <w:pPr>
              <w:keepNext/>
              <w:keepLines/>
              <w:pageBreakBefore/>
              <w:spacing w:after="0"/>
              <w:jc w:val="center"/>
              <w:rPr>
                <w:rFonts w:ascii="Arial" w:hAnsi="Arial" w:cs="Arial"/>
                <w:b/>
                <w:bCs/>
                <w:sz w:val="20"/>
              </w:rPr>
            </w:pPr>
          </w:p>
        </w:tc>
        <w:tc>
          <w:tcPr>
            <w:tcW w:w="3025" w:type="dxa"/>
            <w:tcBorders>
              <w:top w:val="single" w:sz="4" w:space="0" w:color="auto"/>
              <w:bottom w:val="single" w:sz="6" w:space="0" w:color="auto"/>
            </w:tcBorders>
            <w:vAlign w:val="center"/>
          </w:tcPr>
          <w:p w14:paraId="414909A1" w14:textId="77777777" w:rsidR="000633FC" w:rsidRPr="00F9037E" w:rsidRDefault="000633FC" w:rsidP="000633FC">
            <w:pPr>
              <w:keepNext/>
              <w:keepLines/>
              <w:pageBreakBefore/>
              <w:spacing w:after="0"/>
              <w:jc w:val="center"/>
              <w:rPr>
                <w:rFonts w:ascii="Arial" w:hAnsi="Arial" w:cs="Arial"/>
                <w:b/>
                <w:bCs/>
                <w:sz w:val="20"/>
              </w:rPr>
            </w:pPr>
          </w:p>
        </w:tc>
      </w:tr>
      <w:tr w:rsidR="000633FC" w:rsidRPr="00F9037E" w14:paraId="39065919" w14:textId="77777777" w:rsidTr="000633FC">
        <w:trPr>
          <w:trHeight w:val="525"/>
        </w:trPr>
        <w:tc>
          <w:tcPr>
            <w:tcW w:w="990" w:type="dxa"/>
            <w:vAlign w:val="center"/>
          </w:tcPr>
          <w:p w14:paraId="56E9AA7C" w14:textId="77777777" w:rsidR="000633FC" w:rsidRPr="00F9037E" w:rsidRDefault="000633FC" w:rsidP="000633FC">
            <w:pPr>
              <w:spacing w:after="0"/>
              <w:rPr>
                <w:rFonts w:ascii="Arial" w:hAnsi="Arial"/>
                <w:sz w:val="18"/>
              </w:rPr>
            </w:pPr>
            <w:r w:rsidRPr="00F9037E">
              <w:rPr>
                <w:rFonts w:ascii="Arial" w:hAnsi="Arial"/>
                <w:sz w:val="18"/>
              </w:rPr>
              <w:t>South Africa</w:t>
            </w:r>
          </w:p>
        </w:tc>
        <w:tc>
          <w:tcPr>
            <w:tcW w:w="1029" w:type="dxa"/>
            <w:tcBorders>
              <w:top w:val="single" w:sz="6" w:space="0" w:color="auto"/>
              <w:bottom w:val="single" w:sz="6" w:space="0" w:color="auto"/>
            </w:tcBorders>
            <w:shd w:val="clear" w:color="auto" w:fill="FFFF99"/>
            <w:vAlign w:val="center"/>
          </w:tcPr>
          <w:p w14:paraId="5D3E3049" w14:textId="77777777" w:rsidR="000633FC" w:rsidRPr="00F9037E" w:rsidRDefault="000633FC" w:rsidP="000633FC">
            <w:pPr>
              <w:spacing w:after="0"/>
              <w:rPr>
                <w:rFonts w:ascii="Arial" w:hAnsi="Arial"/>
                <w:sz w:val="18"/>
              </w:rPr>
            </w:pPr>
            <w:r w:rsidRPr="00F9037E">
              <w:rPr>
                <w:rFonts w:ascii="Arial" w:hAnsi="Arial" w:cs="Arial"/>
                <w:b/>
                <w:sz w:val="18"/>
                <w:szCs w:val="18"/>
              </w:rPr>
              <w:t>Houses</w:t>
            </w:r>
          </w:p>
        </w:tc>
        <w:tc>
          <w:tcPr>
            <w:tcW w:w="1041" w:type="dxa"/>
            <w:tcBorders>
              <w:top w:val="single" w:sz="6" w:space="0" w:color="auto"/>
              <w:bottom w:val="single" w:sz="6" w:space="0" w:color="auto"/>
            </w:tcBorders>
            <w:shd w:val="clear" w:color="auto" w:fill="FFFF99"/>
            <w:vAlign w:val="center"/>
          </w:tcPr>
          <w:p w14:paraId="35CF472C" w14:textId="77777777" w:rsidR="000633FC" w:rsidRPr="00F9037E" w:rsidRDefault="000633FC" w:rsidP="000633FC">
            <w:pPr>
              <w:tabs>
                <w:tab w:val="right" w:pos="635"/>
              </w:tabs>
              <w:spacing w:after="0"/>
              <w:jc w:val="center"/>
              <w:rPr>
                <w:rFonts w:ascii="Arial" w:hAnsi="Arial"/>
                <w:b/>
                <w:sz w:val="18"/>
              </w:rPr>
            </w:pPr>
            <w:r w:rsidRPr="00F9037E">
              <w:rPr>
                <w:rFonts w:ascii="Arial" w:hAnsi="Arial"/>
                <w:b/>
                <w:sz w:val="18"/>
              </w:rPr>
              <w:t>--</w:t>
            </w:r>
          </w:p>
        </w:tc>
        <w:tc>
          <w:tcPr>
            <w:tcW w:w="900" w:type="dxa"/>
            <w:tcBorders>
              <w:top w:val="single" w:sz="6" w:space="0" w:color="auto"/>
              <w:bottom w:val="single" w:sz="6" w:space="0" w:color="auto"/>
            </w:tcBorders>
            <w:shd w:val="clear" w:color="auto" w:fill="FFFF99"/>
            <w:vAlign w:val="center"/>
          </w:tcPr>
          <w:p w14:paraId="6BEA36FA" w14:textId="77777777" w:rsidR="000633FC" w:rsidRPr="00F9037E" w:rsidRDefault="000633FC" w:rsidP="000633FC">
            <w:pPr>
              <w:spacing w:after="0"/>
              <w:jc w:val="center"/>
              <w:rPr>
                <w:rFonts w:ascii="Arial" w:hAnsi="Arial"/>
                <w:b/>
                <w:sz w:val="18"/>
              </w:rPr>
            </w:pPr>
            <w:r w:rsidRPr="00F9037E">
              <w:rPr>
                <w:rFonts w:ascii="Arial" w:hAnsi="Arial"/>
                <w:b/>
                <w:sz w:val="18"/>
              </w:rPr>
              <w:t>68.6</w:t>
            </w:r>
          </w:p>
        </w:tc>
        <w:tc>
          <w:tcPr>
            <w:tcW w:w="900" w:type="dxa"/>
            <w:tcBorders>
              <w:top w:val="single" w:sz="6" w:space="0" w:color="auto"/>
              <w:bottom w:val="single" w:sz="6" w:space="0" w:color="auto"/>
            </w:tcBorders>
            <w:shd w:val="clear" w:color="auto" w:fill="FFFF99"/>
            <w:vAlign w:val="center"/>
          </w:tcPr>
          <w:p w14:paraId="134C066A" w14:textId="77777777" w:rsidR="000633FC" w:rsidRPr="00F9037E" w:rsidRDefault="000633FC" w:rsidP="000633FC">
            <w:pPr>
              <w:spacing w:after="0"/>
              <w:jc w:val="center"/>
              <w:rPr>
                <w:rFonts w:ascii="Arial" w:hAnsi="Arial"/>
                <w:b/>
                <w:sz w:val="18"/>
              </w:rPr>
            </w:pPr>
            <w:r w:rsidRPr="00F9037E">
              <w:rPr>
                <w:rFonts w:ascii="Arial" w:hAnsi="Arial"/>
                <w:b/>
                <w:sz w:val="18"/>
              </w:rPr>
              <w:t>68.6</w:t>
            </w:r>
          </w:p>
        </w:tc>
        <w:tc>
          <w:tcPr>
            <w:tcW w:w="1236" w:type="dxa"/>
            <w:tcBorders>
              <w:top w:val="single" w:sz="6" w:space="0" w:color="auto"/>
              <w:bottom w:val="single" w:sz="6" w:space="0" w:color="auto"/>
            </w:tcBorders>
            <w:shd w:val="clear" w:color="auto" w:fill="FFFF99"/>
            <w:vAlign w:val="center"/>
          </w:tcPr>
          <w:p w14:paraId="669ED211" w14:textId="77777777" w:rsidR="000633FC" w:rsidRPr="00F9037E" w:rsidRDefault="000633FC" w:rsidP="000633FC">
            <w:pPr>
              <w:spacing w:after="0"/>
              <w:jc w:val="center"/>
              <w:rPr>
                <w:rFonts w:ascii="Arial" w:hAnsi="Arial"/>
                <w:sz w:val="18"/>
              </w:rPr>
            </w:pPr>
            <w:r w:rsidRPr="00F9037E">
              <w:rPr>
                <w:rFonts w:ascii="Arial" w:hAnsi="Arial"/>
                <w:b/>
                <w:sz w:val="18"/>
              </w:rPr>
              <w:t>70.0</w:t>
            </w:r>
          </w:p>
        </w:tc>
        <w:tc>
          <w:tcPr>
            <w:tcW w:w="2585" w:type="dxa"/>
            <w:tcBorders>
              <w:top w:val="single" w:sz="6" w:space="0" w:color="auto"/>
              <w:bottom w:val="single" w:sz="6" w:space="0" w:color="auto"/>
            </w:tcBorders>
            <w:shd w:val="clear" w:color="auto" w:fill="FFFF99"/>
            <w:vAlign w:val="center"/>
          </w:tcPr>
          <w:p w14:paraId="75EDD3E7" w14:textId="77777777" w:rsidR="000633FC" w:rsidRPr="00F9037E" w:rsidRDefault="000633FC" w:rsidP="000633FC">
            <w:pPr>
              <w:spacing w:after="0"/>
              <w:jc w:val="center"/>
              <w:rPr>
                <w:rFonts w:ascii="Arial" w:hAnsi="Arial"/>
                <w:b/>
                <w:sz w:val="18"/>
              </w:rPr>
            </w:pPr>
            <w:r w:rsidRPr="00F9037E">
              <w:rPr>
                <w:rFonts w:ascii="Arial" w:hAnsi="Arial"/>
                <w:color w:val="000000" w:themeColor="text1"/>
                <w:sz w:val="18"/>
              </w:rPr>
              <w:t>[55.0]</w:t>
            </w:r>
          </w:p>
        </w:tc>
        <w:tc>
          <w:tcPr>
            <w:tcW w:w="958" w:type="dxa"/>
            <w:tcBorders>
              <w:top w:val="single" w:sz="6" w:space="0" w:color="auto"/>
              <w:bottom w:val="single" w:sz="6" w:space="0" w:color="auto"/>
            </w:tcBorders>
            <w:shd w:val="clear" w:color="auto" w:fill="FFFF99"/>
            <w:vAlign w:val="center"/>
          </w:tcPr>
          <w:p w14:paraId="3FE73D2E" w14:textId="77777777" w:rsidR="000633FC" w:rsidRPr="00F9037E" w:rsidRDefault="000633FC" w:rsidP="000633FC">
            <w:pPr>
              <w:spacing w:after="0"/>
              <w:jc w:val="center"/>
              <w:rPr>
                <w:rFonts w:ascii="Arial" w:hAnsi="Arial"/>
                <w:sz w:val="18"/>
              </w:rPr>
            </w:pPr>
          </w:p>
        </w:tc>
        <w:tc>
          <w:tcPr>
            <w:tcW w:w="993" w:type="dxa"/>
            <w:tcBorders>
              <w:top w:val="single" w:sz="6" w:space="0" w:color="auto"/>
              <w:bottom w:val="single" w:sz="6" w:space="0" w:color="auto"/>
            </w:tcBorders>
            <w:shd w:val="clear" w:color="auto" w:fill="FFFF99"/>
            <w:vAlign w:val="center"/>
          </w:tcPr>
          <w:p w14:paraId="2522D5B8" w14:textId="77777777" w:rsidR="000633FC" w:rsidRPr="00F9037E" w:rsidRDefault="000633FC" w:rsidP="000633FC">
            <w:pPr>
              <w:tabs>
                <w:tab w:val="right" w:pos="635"/>
              </w:tabs>
              <w:spacing w:after="0"/>
              <w:jc w:val="center"/>
              <w:rPr>
                <w:rFonts w:ascii="Arial" w:hAnsi="Arial"/>
                <w:b/>
                <w:sz w:val="18"/>
              </w:rPr>
            </w:pPr>
          </w:p>
        </w:tc>
        <w:tc>
          <w:tcPr>
            <w:tcW w:w="850" w:type="dxa"/>
            <w:tcBorders>
              <w:top w:val="single" w:sz="6" w:space="0" w:color="auto"/>
              <w:bottom w:val="single" w:sz="6" w:space="0" w:color="auto"/>
            </w:tcBorders>
            <w:shd w:val="clear" w:color="auto" w:fill="FFFF99"/>
            <w:vAlign w:val="center"/>
          </w:tcPr>
          <w:p w14:paraId="446DBCAD" w14:textId="77777777" w:rsidR="000633FC" w:rsidRPr="00F9037E" w:rsidRDefault="000633FC" w:rsidP="000633FC">
            <w:pPr>
              <w:spacing w:after="0"/>
              <w:jc w:val="center"/>
              <w:rPr>
                <w:rFonts w:ascii="Arial" w:hAnsi="Arial" w:cs="Arial"/>
                <w:b/>
                <w:bCs/>
                <w:sz w:val="20"/>
              </w:rPr>
            </w:pPr>
          </w:p>
        </w:tc>
        <w:tc>
          <w:tcPr>
            <w:tcW w:w="3025" w:type="dxa"/>
            <w:tcBorders>
              <w:top w:val="single" w:sz="6" w:space="0" w:color="auto"/>
              <w:bottom w:val="single" w:sz="6" w:space="0" w:color="auto"/>
            </w:tcBorders>
            <w:shd w:val="clear" w:color="auto" w:fill="FFFF99"/>
            <w:vAlign w:val="center"/>
          </w:tcPr>
          <w:p w14:paraId="40EC019A" w14:textId="77777777" w:rsidR="000633FC" w:rsidRPr="00F9037E" w:rsidRDefault="000633FC" w:rsidP="000633FC">
            <w:pPr>
              <w:spacing w:after="0"/>
              <w:jc w:val="center"/>
              <w:rPr>
                <w:rFonts w:ascii="Arial" w:hAnsi="Arial" w:cs="Arial"/>
                <w:b/>
                <w:bCs/>
                <w:sz w:val="20"/>
              </w:rPr>
            </w:pPr>
          </w:p>
        </w:tc>
      </w:tr>
      <w:tr w:rsidR="000633FC" w:rsidRPr="00F9037E" w14:paraId="4B5CF929" w14:textId="77777777" w:rsidTr="000633FC">
        <w:trPr>
          <w:trHeight w:val="7782"/>
        </w:trPr>
        <w:tc>
          <w:tcPr>
            <w:tcW w:w="990" w:type="dxa"/>
          </w:tcPr>
          <w:p w14:paraId="4394D9FE" w14:textId="77777777" w:rsidR="000633FC" w:rsidRPr="00F9037E" w:rsidRDefault="000633FC" w:rsidP="000633FC">
            <w:pPr>
              <w:spacing w:before="60" w:after="60"/>
              <w:jc w:val="center"/>
              <w:rPr>
                <w:rFonts w:ascii="Arial" w:hAnsi="Arial"/>
                <w:sz w:val="18"/>
              </w:rPr>
            </w:pPr>
          </w:p>
        </w:tc>
        <w:tc>
          <w:tcPr>
            <w:tcW w:w="13517" w:type="dxa"/>
            <w:gridSpan w:val="10"/>
            <w:tcBorders>
              <w:top w:val="single" w:sz="6" w:space="0" w:color="auto"/>
              <w:bottom w:val="single" w:sz="6" w:space="0" w:color="auto"/>
            </w:tcBorders>
            <w:shd w:val="clear" w:color="auto" w:fill="FFFFFF" w:themeFill="background1"/>
          </w:tcPr>
          <w:p w14:paraId="407BAACF" w14:textId="77777777" w:rsidR="000633FC" w:rsidRPr="00F9037E" w:rsidRDefault="000633FC" w:rsidP="000633FC">
            <w:pPr>
              <w:jc w:val="both"/>
              <w:rPr>
                <w:rFonts w:ascii="Arial" w:hAnsi="Arial" w:cs="Arial"/>
                <w:b/>
                <w:sz w:val="18"/>
                <w:szCs w:val="18"/>
              </w:rPr>
            </w:pPr>
            <w:r w:rsidRPr="00F9037E">
              <w:rPr>
                <w:rFonts w:ascii="Arial" w:hAnsi="Arial" w:cs="Arial"/>
                <w:b/>
                <w:sz w:val="18"/>
                <w:szCs w:val="18"/>
              </w:rPr>
              <w:br/>
            </w:r>
            <w:r w:rsidRPr="00F9037E">
              <w:rPr>
                <w:rFonts w:ascii="Arial" w:hAnsi="Arial"/>
                <w:b/>
                <w:sz w:val="18"/>
              </w:rPr>
              <w:t>MBTOC final recommendation for 2017:</w:t>
            </w:r>
          </w:p>
          <w:p w14:paraId="63549041" w14:textId="77777777" w:rsidR="000633FC" w:rsidRPr="003A30C7" w:rsidRDefault="000633FC" w:rsidP="000633FC">
            <w:pPr>
              <w:jc w:val="both"/>
              <w:rPr>
                <w:rFonts w:ascii="Arial" w:hAnsi="Arial"/>
                <w:b/>
                <w:sz w:val="18"/>
              </w:rPr>
            </w:pPr>
            <w:r w:rsidRPr="00CD3CBD">
              <w:rPr>
                <w:rFonts w:ascii="Arial" w:hAnsi="Arial"/>
                <w:sz w:val="18"/>
              </w:rPr>
              <w:t xml:space="preserve">MBTOC recommends a reduced CUE of </w:t>
            </w:r>
            <w:r w:rsidRPr="00501812">
              <w:rPr>
                <w:rFonts w:ascii="Arial" w:hAnsi="Arial"/>
                <w:sz w:val="18"/>
              </w:rPr>
              <w:t>55.0 tonnes for use in houses in 2017, which represents a reduction of 20% of the approved amount for 2015 (68.6 t) for this sector.</w:t>
            </w:r>
          </w:p>
          <w:p w14:paraId="3E2EEB46" w14:textId="77777777" w:rsidR="000633FC" w:rsidRPr="00F9037E" w:rsidRDefault="000633FC" w:rsidP="000633FC">
            <w:pPr>
              <w:jc w:val="both"/>
              <w:rPr>
                <w:rFonts w:ascii="Arial" w:hAnsi="Arial" w:cs="Arial"/>
                <w:b/>
                <w:sz w:val="18"/>
                <w:szCs w:val="18"/>
              </w:rPr>
            </w:pPr>
            <w:r w:rsidRPr="00082015">
              <w:rPr>
                <w:rFonts w:ascii="Arial" w:hAnsi="Arial"/>
                <w:b/>
                <w:sz w:val="18"/>
              </w:rPr>
              <w:t xml:space="preserve">Nomination by the Party for 2017: </w:t>
            </w:r>
          </w:p>
          <w:p w14:paraId="2904B838" w14:textId="77777777" w:rsidR="000633FC" w:rsidRPr="00082015" w:rsidRDefault="000633FC" w:rsidP="000633FC">
            <w:pPr>
              <w:jc w:val="both"/>
              <w:rPr>
                <w:rFonts w:ascii="Arial" w:hAnsi="Arial"/>
                <w:b/>
                <w:sz w:val="18"/>
              </w:rPr>
            </w:pPr>
            <w:r w:rsidRPr="00CD3CBD">
              <w:rPr>
                <w:rFonts w:ascii="Arial" w:hAnsi="Arial"/>
                <w:sz w:val="18"/>
              </w:rPr>
              <w:t>This nomination forms part of the initial CUN for 83 tonnes covering both fumigation of specific flour and grit mills a</w:t>
            </w:r>
            <w:r w:rsidRPr="00501812">
              <w:rPr>
                <w:rFonts w:ascii="Arial" w:hAnsi="Arial"/>
                <w:sz w:val="18"/>
              </w:rPr>
              <w:t>gainst stored product insect pests (13 t) and domestic and industrial premises for control of wood destroying insect pests (70 t). A reassessment of the interim MBTOC recommendation for treatment of houses was requested by the Party to allow more time for implementation of the suggested improvemen</w:t>
            </w:r>
            <w:r w:rsidRPr="003A30C7">
              <w:rPr>
                <w:rFonts w:ascii="Arial" w:hAnsi="Arial"/>
                <w:sz w:val="18"/>
              </w:rPr>
              <w:t xml:space="preserve">ts in fumigation procedure. </w:t>
            </w:r>
          </w:p>
          <w:p w14:paraId="351C0360" w14:textId="77777777" w:rsidR="000633FC" w:rsidRPr="00082015" w:rsidRDefault="000633FC" w:rsidP="000633FC">
            <w:pPr>
              <w:spacing w:after="160"/>
              <w:jc w:val="both"/>
              <w:rPr>
                <w:rFonts w:ascii="Arial" w:hAnsi="Arial"/>
                <w:b/>
                <w:sz w:val="18"/>
              </w:rPr>
            </w:pPr>
            <w:r w:rsidRPr="00082015">
              <w:rPr>
                <w:rFonts w:ascii="Arial" w:hAnsi="Arial"/>
                <w:b/>
                <w:sz w:val="18"/>
              </w:rPr>
              <w:t>Circumstances of the nomination:</w:t>
            </w:r>
          </w:p>
          <w:p w14:paraId="0EBA5B36" w14:textId="77777777" w:rsidR="000633FC" w:rsidRPr="00F5313E" w:rsidRDefault="000633FC" w:rsidP="000633FC">
            <w:pPr>
              <w:spacing w:after="160"/>
              <w:jc w:val="both"/>
              <w:rPr>
                <w:rFonts w:ascii="Arial" w:hAnsi="Arial" w:cs="Arial"/>
                <w:sz w:val="18"/>
                <w:szCs w:val="18"/>
                <w:lang w:eastAsia="en-AU"/>
              </w:rPr>
            </w:pPr>
            <w:r w:rsidRPr="00082015">
              <w:rPr>
                <w:rFonts w:ascii="Arial" w:hAnsi="Arial" w:cs="Arial"/>
                <w:sz w:val="18"/>
                <w:szCs w:val="18"/>
                <w:lang w:eastAsia="en-AU"/>
              </w:rPr>
              <w:t>The Party applied for 70 t of MB for the disinfestation of houses (1,505 facilities annually of residential houses along coastal areas and partly inland at an treated volume of av. 962.8 m³, equivalent to about 1,449,000 m³ in total at a calculated dosage about 48 g/m³. The treatments are carried out either on whole houses ‘under sheets’ (30% of the described houses) or exclusively in the attic (roof space)</w:t>
            </w:r>
            <w:r w:rsidRPr="00F5313E">
              <w:rPr>
                <w:rFonts w:ascii="Arial" w:hAnsi="Arial" w:cs="Arial"/>
                <w:sz w:val="18"/>
                <w:szCs w:val="18"/>
                <w:lang w:eastAsia="en-AU"/>
              </w:rPr>
              <w:t xml:space="preserve"> of infested houses (70% of the described houses). </w:t>
            </w:r>
          </w:p>
          <w:p w14:paraId="1E49D839" w14:textId="77777777" w:rsidR="000633FC" w:rsidRPr="00220275" w:rsidRDefault="000633FC" w:rsidP="000633FC">
            <w:pPr>
              <w:spacing w:after="160"/>
              <w:jc w:val="both"/>
              <w:rPr>
                <w:rFonts w:ascii="Arial" w:hAnsi="Arial" w:cs="Arial"/>
                <w:sz w:val="18"/>
                <w:szCs w:val="18"/>
                <w:lang w:eastAsia="en-AU"/>
              </w:rPr>
            </w:pPr>
            <w:r w:rsidRPr="00220275">
              <w:rPr>
                <w:rFonts w:ascii="Arial" w:hAnsi="Arial"/>
                <w:sz w:val="18"/>
              </w:rPr>
              <w:t xml:space="preserve">Sale agreements for house and factory structures along the East coast of RSA stipulate that the structure be apparently free of “timber destroying insects” and that should such insects be found then the structure be made apparently insect free. A Certificate of Clearance is required for a sale to proceed and this can </w:t>
            </w:r>
            <w:r w:rsidRPr="00220275">
              <w:rPr>
                <w:rFonts w:ascii="Arial" w:hAnsi="Arial" w:cs="Arial"/>
                <w:sz w:val="18"/>
                <w:szCs w:val="18"/>
                <w:lang w:eastAsia="en-AU"/>
              </w:rPr>
              <w:t>only be produced once an inspection has been undertaken and treatment if the wood is found to be infested. Treatments are not undertaken if wood destroying insects are not detected.</w:t>
            </w:r>
          </w:p>
          <w:p w14:paraId="11F8BFA0" w14:textId="77777777" w:rsidR="000633FC" w:rsidRPr="00F9037E" w:rsidRDefault="000633FC" w:rsidP="000633FC">
            <w:pPr>
              <w:spacing w:after="160"/>
              <w:jc w:val="both"/>
              <w:rPr>
                <w:rFonts w:ascii="Arial" w:hAnsi="Arial"/>
                <w:sz w:val="18"/>
              </w:rPr>
            </w:pPr>
            <w:r w:rsidRPr="00220275">
              <w:rPr>
                <w:rFonts w:ascii="Arial" w:hAnsi="Arial" w:cs="Arial"/>
                <w:sz w:val="18"/>
                <w:szCs w:val="18"/>
                <w:lang w:eastAsia="en-AU"/>
              </w:rPr>
              <w:t xml:space="preserve">Five target pests are given in the nomination – </w:t>
            </w:r>
            <w:proofErr w:type="spellStart"/>
            <w:r w:rsidRPr="00B87B95">
              <w:rPr>
                <w:rFonts w:ascii="Arial" w:hAnsi="Arial"/>
                <w:i/>
                <w:sz w:val="18"/>
              </w:rPr>
              <w:t>Crypotermes</w:t>
            </w:r>
            <w:proofErr w:type="spellEnd"/>
            <w:r w:rsidR="00EE728F" w:rsidRPr="00B87B95">
              <w:rPr>
                <w:rFonts w:ascii="Arial" w:hAnsi="Arial"/>
                <w:i/>
                <w:sz w:val="18"/>
              </w:rPr>
              <w:t xml:space="preserve"> </w:t>
            </w:r>
            <w:r w:rsidRPr="00B87B95">
              <w:rPr>
                <w:rFonts w:ascii="Arial" w:hAnsi="Arial"/>
                <w:i/>
                <w:sz w:val="18"/>
              </w:rPr>
              <w:t>brevis</w:t>
            </w:r>
            <w:r w:rsidRPr="00B87B95">
              <w:rPr>
                <w:rFonts w:ascii="Arial" w:hAnsi="Arial" w:cs="Arial"/>
                <w:sz w:val="18"/>
                <w:szCs w:val="18"/>
                <w:lang w:eastAsia="en-AU"/>
              </w:rPr>
              <w:t xml:space="preserve">, the West Indian </w:t>
            </w:r>
            <w:proofErr w:type="spellStart"/>
            <w:r w:rsidRPr="00B87B95">
              <w:rPr>
                <w:rFonts w:ascii="Arial" w:hAnsi="Arial" w:cs="Arial"/>
                <w:sz w:val="18"/>
                <w:szCs w:val="18"/>
                <w:lang w:eastAsia="en-AU"/>
              </w:rPr>
              <w:t>drywood</w:t>
            </w:r>
            <w:proofErr w:type="spellEnd"/>
            <w:r w:rsidRPr="00B87B95">
              <w:rPr>
                <w:rFonts w:ascii="Arial" w:hAnsi="Arial" w:cs="Arial"/>
                <w:sz w:val="18"/>
                <w:szCs w:val="18"/>
                <w:lang w:eastAsia="en-AU"/>
              </w:rPr>
              <w:t xml:space="preserve"> termite;</w:t>
            </w:r>
            <w:r w:rsidR="00F372C4" w:rsidRPr="00563BC0">
              <w:rPr>
                <w:rFonts w:ascii="Arial" w:hAnsi="Arial" w:cs="Arial"/>
                <w:sz w:val="18"/>
                <w:szCs w:val="18"/>
                <w:lang w:eastAsia="en-AU"/>
              </w:rPr>
              <w:t xml:space="preserve"> </w:t>
            </w:r>
            <w:proofErr w:type="spellStart"/>
            <w:r w:rsidRPr="00563BC0">
              <w:rPr>
                <w:rFonts w:ascii="Arial" w:hAnsi="Arial"/>
                <w:i/>
                <w:sz w:val="18"/>
              </w:rPr>
              <w:t>Hylotrupes</w:t>
            </w:r>
            <w:proofErr w:type="spellEnd"/>
            <w:r w:rsidR="00EE728F" w:rsidRPr="00563BC0">
              <w:rPr>
                <w:rFonts w:ascii="Arial" w:hAnsi="Arial"/>
                <w:i/>
                <w:sz w:val="18"/>
              </w:rPr>
              <w:t xml:space="preserve"> </w:t>
            </w:r>
            <w:proofErr w:type="spellStart"/>
            <w:r w:rsidRPr="00563BC0">
              <w:rPr>
                <w:rFonts w:ascii="Arial" w:hAnsi="Arial"/>
                <w:i/>
                <w:sz w:val="18"/>
              </w:rPr>
              <w:t>bajalus</w:t>
            </w:r>
            <w:proofErr w:type="spellEnd"/>
            <w:r w:rsidRPr="00563BC0">
              <w:rPr>
                <w:rFonts w:ascii="Arial" w:hAnsi="Arial" w:cs="Arial"/>
                <w:sz w:val="18"/>
                <w:szCs w:val="18"/>
                <w:lang w:eastAsia="en-AU"/>
              </w:rPr>
              <w:t>, the European house borer, and the small wood</w:t>
            </w:r>
            <w:r w:rsidRPr="00563BC0">
              <w:rPr>
                <w:rFonts w:ascii="Arial" w:hAnsi="Arial"/>
                <w:sz w:val="18"/>
              </w:rPr>
              <w:t xml:space="preserve"> and furniture beetles, </w:t>
            </w:r>
            <w:proofErr w:type="spellStart"/>
            <w:r w:rsidRPr="000F08B5">
              <w:rPr>
                <w:rFonts w:ascii="Arial" w:hAnsi="Arial"/>
                <w:i/>
                <w:sz w:val="18"/>
              </w:rPr>
              <w:t>Anobium</w:t>
            </w:r>
            <w:proofErr w:type="spellEnd"/>
            <w:r w:rsidR="00EE728F" w:rsidRPr="000F08B5">
              <w:rPr>
                <w:rFonts w:ascii="Arial" w:hAnsi="Arial"/>
                <w:i/>
                <w:sz w:val="18"/>
              </w:rPr>
              <w:t xml:space="preserve"> </w:t>
            </w:r>
            <w:proofErr w:type="spellStart"/>
            <w:r w:rsidRPr="000F08B5">
              <w:rPr>
                <w:rFonts w:ascii="Arial" w:hAnsi="Arial"/>
                <w:i/>
                <w:sz w:val="18"/>
              </w:rPr>
              <w:t>punctatum</w:t>
            </w:r>
            <w:proofErr w:type="spellEnd"/>
            <w:r w:rsidRPr="00365366">
              <w:rPr>
                <w:rFonts w:ascii="Arial" w:hAnsi="Arial"/>
                <w:sz w:val="18"/>
              </w:rPr>
              <w:t xml:space="preserve">, </w:t>
            </w:r>
            <w:proofErr w:type="spellStart"/>
            <w:r w:rsidRPr="00F9037E">
              <w:rPr>
                <w:rFonts w:ascii="Arial" w:hAnsi="Arial"/>
                <w:i/>
                <w:sz w:val="18"/>
              </w:rPr>
              <w:t>Lyctus</w:t>
            </w:r>
            <w:proofErr w:type="spellEnd"/>
            <w:r w:rsidR="00EE728F" w:rsidRPr="00F9037E">
              <w:rPr>
                <w:rFonts w:ascii="Arial" w:hAnsi="Arial"/>
                <w:i/>
                <w:sz w:val="18"/>
              </w:rPr>
              <w:t xml:space="preserve"> </w:t>
            </w:r>
            <w:proofErr w:type="spellStart"/>
            <w:r w:rsidRPr="00F9037E">
              <w:rPr>
                <w:rFonts w:ascii="Arial" w:hAnsi="Arial"/>
                <w:i/>
                <w:sz w:val="18"/>
              </w:rPr>
              <w:t>brunneus</w:t>
            </w:r>
            <w:proofErr w:type="spellEnd"/>
            <w:r w:rsidRPr="00F9037E">
              <w:rPr>
                <w:rFonts w:ascii="Arial" w:hAnsi="Arial"/>
                <w:sz w:val="18"/>
              </w:rPr>
              <w:t xml:space="preserve"> and </w:t>
            </w:r>
            <w:proofErr w:type="spellStart"/>
            <w:r w:rsidRPr="00F9037E">
              <w:rPr>
                <w:rFonts w:ascii="Arial" w:hAnsi="Arial"/>
                <w:i/>
                <w:sz w:val="18"/>
              </w:rPr>
              <w:t>Nicobium</w:t>
            </w:r>
            <w:proofErr w:type="spellEnd"/>
            <w:r w:rsidR="00EE728F" w:rsidRPr="00F9037E">
              <w:rPr>
                <w:rFonts w:ascii="Arial" w:hAnsi="Arial"/>
                <w:i/>
                <w:sz w:val="18"/>
              </w:rPr>
              <w:t xml:space="preserve"> </w:t>
            </w:r>
            <w:proofErr w:type="spellStart"/>
            <w:r w:rsidRPr="00F9037E">
              <w:rPr>
                <w:rFonts w:ascii="Arial" w:hAnsi="Arial"/>
                <w:i/>
                <w:sz w:val="18"/>
              </w:rPr>
              <w:t>castaneum</w:t>
            </w:r>
            <w:proofErr w:type="spellEnd"/>
            <w:r w:rsidRPr="00F9037E">
              <w:rPr>
                <w:rFonts w:ascii="Arial" w:hAnsi="Arial"/>
                <w:sz w:val="18"/>
              </w:rPr>
              <w:t xml:space="preserve">. </w:t>
            </w:r>
          </w:p>
          <w:p w14:paraId="0EDC2A74" w14:textId="31C81F66" w:rsidR="000633FC" w:rsidRPr="00082015" w:rsidRDefault="000633FC" w:rsidP="000633FC">
            <w:pPr>
              <w:tabs>
                <w:tab w:val="left" w:pos="2775"/>
                <w:tab w:val="left" w:pos="6300"/>
              </w:tabs>
              <w:autoSpaceDE w:val="0"/>
              <w:autoSpaceDN w:val="0"/>
              <w:adjustRightInd w:val="0"/>
              <w:spacing w:after="160"/>
              <w:jc w:val="both"/>
              <w:rPr>
                <w:rFonts w:ascii="Arial" w:hAnsi="Arial"/>
                <w:sz w:val="18"/>
              </w:rPr>
            </w:pPr>
            <w:r w:rsidRPr="00F9037E">
              <w:rPr>
                <w:rFonts w:ascii="Arial" w:hAnsi="Arial"/>
                <w:sz w:val="18"/>
              </w:rPr>
              <w:t xml:space="preserve">The Party states that the registration process for </w:t>
            </w:r>
            <w:proofErr w:type="spellStart"/>
            <w:r w:rsidRPr="00F9037E">
              <w:rPr>
                <w:rFonts w:ascii="Arial" w:hAnsi="Arial"/>
                <w:sz w:val="18"/>
              </w:rPr>
              <w:t>sulfuryl</w:t>
            </w:r>
            <w:proofErr w:type="spellEnd"/>
            <w:r w:rsidRPr="00F9037E">
              <w:rPr>
                <w:rFonts w:ascii="Arial" w:hAnsi="Arial"/>
                <w:sz w:val="18"/>
              </w:rPr>
              <w:t xml:space="preserve"> fluoride, a potential fumigant alternative in use in some other parts of the world for this application, was commenced, but then could not be pursued further due to lack of sufficient company support. New efforts to source and register </w:t>
            </w:r>
            <w:proofErr w:type="spellStart"/>
            <w:r w:rsidRPr="00F9037E">
              <w:rPr>
                <w:rFonts w:ascii="Arial" w:hAnsi="Arial"/>
                <w:sz w:val="18"/>
              </w:rPr>
              <w:t>sulfuryl</w:t>
            </w:r>
            <w:proofErr w:type="spellEnd"/>
            <w:r w:rsidRPr="00F9037E">
              <w:rPr>
                <w:rFonts w:ascii="Arial" w:hAnsi="Arial"/>
                <w:sz w:val="18"/>
              </w:rPr>
              <w:t xml:space="preserve"> fluoride fumigant continue to be made. The Party notes that termite control may be difficult with SF and is reluctant to pursue the registration since the efficacy of this gas is weaker and often incomplete towards eggs compared to the other developing stages. MBTOC notes that to control termites killing that queen and workers is sufficient and it is not necessary to kill termite eggs. Adult termites are very sensitive towards fumigation with SF. It is commonly known that SF is suitable for control of </w:t>
            </w:r>
            <w:proofErr w:type="spellStart"/>
            <w:r w:rsidRPr="00F9037E">
              <w:rPr>
                <w:rFonts w:ascii="Arial" w:hAnsi="Arial"/>
                <w:sz w:val="18"/>
              </w:rPr>
              <w:t>drywood</w:t>
            </w:r>
            <w:proofErr w:type="spellEnd"/>
            <w:r w:rsidRPr="00F9037E">
              <w:rPr>
                <w:rFonts w:ascii="Arial" w:hAnsi="Arial"/>
                <w:sz w:val="18"/>
              </w:rPr>
              <w:t xml:space="preserve"> termites </w:t>
            </w:r>
            <w:r w:rsidRPr="00F9037E">
              <w:rPr>
                <w:rFonts w:ascii="Arial" w:hAnsi="Arial" w:cs="Arial"/>
                <w:sz w:val="18"/>
                <w:szCs w:val="18"/>
              </w:rPr>
              <w:t>(</w:t>
            </w:r>
            <w:proofErr w:type="spellStart"/>
            <w:r w:rsidRPr="00CD3CBD">
              <w:rPr>
                <w:rFonts w:ascii="Arial" w:hAnsi="Arial" w:cs="Arial"/>
                <w:sz w:val="18"/>
                <w:szCs w:val="18"/>
              </w:rPr>
              <w:t>Osbrink</w:t>
            </w:r>
            <w:proofErr w:type="spellEnd"/>
            <w:r w:rsidR="00F372C4" w:rsidRPr="00501812">
              <w:rPr>
                <w:rFonts w:ascii="Arial" w:hAnsi="Arial" w:cs="Arial"/>
                <w:sz w:val="18"/>
                <w:szCs w:val="18"/>
              </w:rPr>
              <w:t xml:space="preserve"> </w:t>
            </w:r>
            <w:r w:rsidRPr="00501812">
              <w:rPr>
                <w:rFonts w:ascii="Arial" w:hAnsi="Arial" w:cs="Arial"/>
                <w:i/>
                <w:sz w:val="18"/>
                <w:szCs w:val="18"/>
              </w:rPr>
              <w:t>et al.</w:t>
            </w:r>
            <w:proofErr w:type="gramStart"/>
            <w:r w:rsidRPr="00501812">
              <w:rPr>
                <w:rFonts w:ascii="Arial" w:hAnsi="Arial" w:cs="Arial"/>
                <w:i/>
                <w:sz w:val="18"/>
                <w:szCs w:val="18"/>
              </w:rPr>
              <w:t>,</w:t>
            </w:r>
            <w:r w:rsidRPr="00501812">
              <w:rPr>
                <w:rFonts w:ascii="Arial" w:hAnsi="Arial" w:cs="Arial"/>
                <w:sz w:val="18"/>
                <w:szCs w:val="18"/>
              </w:rPr>
              <w:t>1987</w:t>
            </w:r>
            <w:proofErr w:type="gramEnd"/>
            <w:r w:rsidRPr="00501812">
              <w:rPr>
                <w:rFonts w:ascii="Arial" w:hAnsi="Arial" w:cs="Arial"/>
                <w:sz w:val="18"/>
                <w:szCs w:val="18"/>
              </w:rPr>
              <w:t>; Stewart,1957)</w:t>
            </w:r>
            <w:r w:rsidR="00501812" w:rsidRPr="00501812">
              <w:rPr>
                <w:rFonts w:ascii="Arial" w:hAnsi="Arial" w:cs="Arial"/>
                <w:sz w:val="18"/>
                <w:szCs w:val="18"/>
              </w:rPr>
              <w:t>.</w:t>
            </w:r>
            <w:r w:rsidR="00501812" w:rsidRPr="00CD3CBD">
              <w:rPr>
                <w:rFonts w:ascii="Arial" w:hAnsi="Arial"/>
                <w:sz w:val="18"/>
              </w:rPr>
              <w:t xml:space="preserve"> Fumigation</w:t>
            </w:r>
            <w:r w:rsidRPr="00CD3CBD">
              <w:rPr>
                <w:rFonts w:ascii="Arial" w:hAnsi="Arial"/>
                <w:sz w:val="18"/>
              </w:rPr>
              <w:t xml:space="preserve"> with hydrogen cyanide</w:t>
            </w:r>
            <w:r w:rsidRPr="00F9037E">
              <w:rPr>
                <w:rFonts w:ascii="Arial" w:hAnsi="Arial" w:cs="Arial"/>
                <w:sz w:val="18"/>
                <w:szCs w:val="18"/>
              </w:rPr>
              <w:t xml:space="preserve"> (</w:t>
            </w:r>
            <w:proofErr w:type="spellStart"/>
            <w:r w:rsidRPr="00CD3CBD">
              <w:rPr>
                <w:rFonts w:ascii="Arial" w:hAnsi="Arial" w:cs="Arial"/>
                <w:sz w:val="18"/>
                <w:szCs w:val="18"/>
              </w:rPr>
              <w:t>Rambeau</w:t>
            </w:r>
            <w:proofErr w:type="spellEnd"/>
            <w:r w:rsidR="00F372C4" w:rsidRPr="00501812">
              <w:rPr>
                <w:rFonts w:ascii="Arial" w:hAnsi="Arial" w:cs="Arial"/>
                <w:sz w:val="18"/>
                <w:szCs w:val="18"/>
              </w:rPr>
              <w:t xml:space="preserve"> </w:t>
            </w:r>
            <w:r w:rsidRPr="00501812">
              <w:rPr>
                <w:rFonts w:ascii="Arial" w:hAnsi="Arial" w:cs="Arial"/>
                <w:i/>
                <w:sz w:val="18"/>
                <w:szCs w:val="18"/>
              </w:rPr>
              <w:t>et al</w:t>
            </w:r>
            <w:r w:rsidRPr="00501812">
              <w:rPr>
                <w:rFonts w:ascii="Arial" w:hAnsi="Arial" w:cs="Arial"/>
                <w:sz w:val="18"/>
                <w:szCs w:val="18"/>
              </w:rPr>
              <w:t xml:space="preserve">., </w:t>
            </w:r>
            <w:r w:rsidR="00501812" w:rsidRPr="00501812">
              <w:rPr>
                <w:rFonts w:ascii="Arial" w:hAnsi="Arial" w:cs="Arial"/>
                <w:sz w:val="18"/>
                <w:szCs w:val="18"/>
              </w:rPr>
              <w:t>2001)</w:t>
            </w:r>
            <w:r w:rsidR="00501812" w:rsidRPr="00501812">
              <w:rPr>
                <w:rFonts w:ascii="Arial" w:hAnsi="Arial"/>
                <w:sz w:val="18"/>
              </w:rPr>
              <w:t xml:space="preserve"> and</w:t>
            </w:r>
            <w:r w:rsidRPr="00501812">
              <w:rPr>
                <w:rFonts w:ascii="Arial" w:hAnsi="Arial"/>
                <w:sz w:val="18"/>
              </w:rPr>
              <w:t xml:space="preserve"> even inert atmospheres, like nitrogen and carbon dioxide with low residual content of oxygen under appropr</w:t>
            </w:r>
            <w:r w:rsidRPr="003A30C7">
              <w:rPr>
                <w:rFonts w:ascii="Arial" w:hAnsi="Arial"/>
                <w:sz w:val="18"/>
              </w:rPr>
              <w:t xml:space="preserve">iate conditions (Lewis and </w:t>
            </w:r>
            <w:proofErr w:type="spellStart"/>
            <w:r w:rsidRPr="003A30C7">
              <w:rPr>
                <w:rFonts w:ascii="Arial" w:hAnsi="Arial"/>
                <w:sz w:val="18"/>
              </w:rPr>
              <w:t>Haverty</w:t>
            </w:r>
            <w:proofErr w:type="spellEnd"/>
            <w:r w:rsidRPr="003A30C7">
              <w:rPr>
                <w:rFonts w:ascii="Arial" w:hAnsi="Arial"/>
                <w:sz w:val="18"/>
              </w:rPr>
              <w:t xml:space="preserve">, 1996, </w:t>
            </w:r>
            <w:proofErr w:type="spellStart"/>
            <w:r w:rsidRPr="003A30C7">
              <w:rPr>
                <w:rFonts w:ascii="Arial" w:hAnsi="Arial"/>
                <w:sz w:val="18"/>
              </w:rPr>
              <w:t>Reichmuth</w:t>
            </w:r>
            <w:proofErr w:type="spellEnd"/>
            <w:r w:rsidRPr="003A30C7">
              <w:rPr>
                <w:rFonts w:ascii="Arial" w:hAnsi="Arial"/>
                <w:sz w:val="18"/>
              </w:rPr>
              <w:t>, 2007). Heat as an alternative was regarded by the Party as not feasible</w:t>
            </w:r>
            <w:r w:rsidR="00A55D53" w:rsidRPr="00082015">
              <w:rPr>
                <w:rFonts w:ascii="Arial" w:hAnsi="Arial"/>
                <w:sz w:val="18"/>
              </w:rPr>
              <w:t>,</w:t>
            </w:r>
            <w:r w:rsidRPr="00082015">
              <w:rPr>
                <w:rFonts w:ascii="Arial" w:hAnsi="Arial"/>
                <w:sz w:val="18"/>
              </w:rPr>
              <w:t xml:space="preserve"> due to lack of access into some roof spaces.</w:t>
            </w:r>
          </w:p>
          <w:p w14:paraId="2F556900" w14:textId="77777777" w:rsidR="000633FC" w:rsidRPr="00F9037E" w:rsidRDefault="000633FC" w:rsidP="000633FC">
            <w:pPr>
              <w:jc w:val="both"/>
              <w:rPr>
                <w:b/>
                <w:sz w:val="20"/>
                <w:lang w:eastAsia="he-IL"/>
              </w:rPr>
            </w:pPr>
            <w:bookmarkStart w:id="114" w:name="_GoBack"/>
            <w:bookmarkEnd w:id="114"/>
            <w:r w:rsidRPr="00082015">
              <w:rPr>
                <w:rFonts w:ascii="Arial" w:hAnsi="Arial"/>
                <w:b/>
                <w:sz w:val="18"/>
              </w:rPr>
              <w:t>MBTOC final assessment for MB use in this sector in 2017:</w:t>
            </w:r>
          </w:p>
          <w:p w14:paraId="7AA9FC10" w14:textId="77777777" w:rsidR="000633FC" w:rsidRPr="00501812" w:rsidRDefault="000633FC" w:rsidP="000633FC">
            <w:pPr>
              <w:tabs>
                <w:tab w:val="left" w:pos="2775"/>
                <w:tab w:val="left" w:pos="6300"/>
              </w:tabs>
              <w:autoSpaceDE w:val="0"/>
              <w:autoSpaceDN w:val="0"/>
              <w:adjustRightInd w:val="0"/>
              <w:spacing w:after="160"/>
              <w:jc w:val="both"/>
              <w:rPr>
                <w:rFonts w:ascii="Arial" w:hAnsi="Arial"/>
                <w:sz w:val="18"/>
              </w:rPr>
            </w:pPr>
            <w:r w:rsidRPr="00CD3CBD">
              <w:rPr>
                <w:rFonts w:ascii="Arial" w:hAnsi="Arial"/>
                <w:sz w:val="18"/>
              </w:rPr>
              <w:lastRenderedPageBreak/>
              <w:t>MBTOC notes that for controlling wood boring insects in attics and wooden structures of the roof area of infested houses has been common practice for many years around the world. Phosphine, without added heat, is unlikely to be feasible beca</w:t>
            </w:r>
            <w:r w:rsidRPr="00501812">
              <w:rPr>
                <w:rFonts w:ascii="Arial" w:hAnsi="Arial"/>
                <w:sz w:val="18"/>
              </w:rPr>
              <w:t>use of slower action, with fully effective treatments taking several days against wood boring pests without added heat.</w:t>
            </w:r>
          </w:p>
          <w:p w14:paraId="6637F48F" w14:textId="77777777" w:rsidR="000633FC" w:rsidRPr="003A30C7" w:rsidRDefault="000633FC" w:rsidP="000633FC">
            <w:pPr>
              <w:tabs>
                <w:tab w:val="left" w:pos="2775"/>
                <w:tab w:val="left" w:pos="6300"/>
              </w:tabs>
              <w:autoSpaceDE w:val="0"/>
              <w:autoSpaceDN w:val="0"/>
              <w:adjustRightInd w:val="0"/>
              <w:jc w:val="both"/>
              <w:rPr>
                <w:rFonts w:ascii="Arial" w:hAnsi="Arial"/>
                <w:sz w:val="18"/>
              </w:rPr>
            </w:pPr>
            <w:r w:rsidRPr="003A30C7">
              <w:rPr>
                <w:rFonts w:ascii="Arial" w:hAnsi="Arial"/>
                <w:sz w:val="18"/>
              </w:rPr>
              <w:t xml:space="preserve">The nomination distinguished between treatments for low level infestations of </w:t>
            </w:r>
            <w:proofErr w:type="spellStart"/>
            <w:r w:rsidRPr="003A30C7">
              <w:rPr>
                <w:rFonts w:ascii="Arial" w:hAnsi="Arial"/>
                <w:sz w:val="18"/>
              </w:rPr>
              <w:t>drywood</w:t>
            </w:r>
            <w:proofErr w:type="spellEnd"/>
            <w:r w:rsidRPr="003A30C7">
              <w:rPr>
                <w:rFonts w:ascii="Arial" w:hAnsi="Arial"/>
                <w:sz w:val="18"/>
              </w:rPr>
              <w:t xml:space="preserve"> termite, infestations of other wood destroying insects, particularly </w:t>
            </w:r>
            <w:proofErr w:type="spellStart"/>
            <w:r w:rsidRPr="00082015">
              <w:rPr>
                <w:rFonts w:ascii="Arial" w:hAnsi="Arial"/>
                <w:i/>
                <w:sz w:val="18"/>
              </w:rPr>
              <w:t>Hylotrupes</w:t>
            </w:r>
            <w:proofErr w:type="spellEnd"/>
            <w:r w:rsidRPr="00082015">
              <w:rPr>
                <w:rFonts w:ascii="Arial" w:hAnsi="Arial"/>
                <w:sz w:val="18"/>
              </w:rPr>
              <w:t xml:space="preserve">, and multiple infestations of </w:t>
            </w:r>
            <w:proofErr w:type="spellStart"/>
            <w:r w:rsidRPr="00082015">
              <w:rPr>
                <w:rFonts w:ascii="Arial" w:hAnsi="Arial"/>
                <w:sz w:val="18"/>
              </w:rPr>
              <w:t>drywood</w:t>
            </w:r>
            <w:proofErr w:type="spellEnd"/>
            <w:r w:rsidRPr="00082015">
              <w:rPr>
                <w:rFonts w:ascii="Arial" w:hAnsi="Arial"/>
                <w:sz w:val="18"/>
              </w:rPr>
              <w:t xml:space="preserve"> termite with or without wood borers. Similar situations in the US, formerly treated with methyl bromide, are now mainly fumigated with </w:t>
            </w:r>
            <w:proofErr w:type="spellStart"/>
            <w:r w:rsidRPr="00082015">
              <w:rPr>
                <w:rFonts w:ascii="Arial" w:hAnsi="Arial"/>
                <w:sz w:val="18"/>
              </w:rPr>
              <w:t>sulfuryl</w:t>
            </w:r>
            <w:proofErr w:type="spellEnd"/>
            <w:r w:rsidRPr="00082015">
              <w:rPr>
                <w:rFonts w:ascii="Arial" w:hAnsi="Arial"/>
                <w:sz w:val="18"/>
              </w:rPr>
              <w:t xml:space="preserve"> fluoride (MBTOC Assessment reports </w:t>
            </w:r>
            <w:r w:rsidRPr="00F9037E">
              <w:rPr>
                <w:rFonts w:ascii="Arial" w:hAnsi="Arial" w:cs="Arial"/>
                <w:sz w:val="18"/>
                <w:szCs w:val="18"/>
                <w:lang w:eastAsia="he-IL"/>
              </w:rPr>
              <w:t>1998, 2002, 2006, 2010, 2014</w:t>
            </w:r>
            <w:r w:rsidRPr="00CD3CBD">
              <w:rPr>
                <w:rFonts w:ascii="Arial" w:hAnsi="Arial"/>
                <w:sz w:val="18"/>
              </w:rPr>
              <w:t xml:space="preserve">), but heat has also been used. </w:t>
            </w:r>
            <w:proofErr w:type="spellStart"/>
            <w:r w:rsidRPr="00CD3CBD">
              <w:rPr>
                <w:rFonts w:ascii="Arial" w:hAnsi="Arial"/>
                <w:sz w:val="18"/>
              </w:rPr>
              <w:t>Drywood</w:t>
            </w:r>
            <w:proofErr w:type="spellEnd"/>
            <w:r w:rsidRPr="00CD3CBD">
              <w:rPr>
                <w:rFonts w:ascii="Arial" w:hAnsi="Arial"/>
                <w:sz w:val="18"/>
              </w:rPr>
              <w:t xml:space="preserve"> termite infestations can typically be treated by the ‘search-and-destroy’ system where access is possible. In this process, the nests are located acoustically, electronically or with detector dogs </w:t>
            </w:r>
            <w:r w:rsidRPr="00501812">
              <w:rPr>
                <w:rFonts w:ascii="Arial" w:hAnsi="Arial"/>
                <w:sz w:val="18"/>
              </w:rPr>
              <w:t>and the located nests are eliminated by in</w:t>
            </w:r>
            <w:r w:rsidRPr="003A30C7">
              <w:rPr>
                <w:rFonts w:ascii="Arial" w:hAnsi="Arial"/>
                <w:sz w:val="18"/>
              </w:rPr>
              <w:t xml:space="preserve">jection with appropriate, registered insecticide formulation. Baiting is not normally used, as the </w:t>
            </w:r>
            <w:proofErr w:type="spellStart"/>
            <w:r w:rsidRPr="003A30C7">
              <w:rPr>
                <w:rFonts w:ascii="Arial" w:hAnsi="Arial"/>
                <w:sz w:val="18"/>
              </w:rPr>
              <w:t>drywood</w:t>
            </w:r>
            <w:proofErr w:type="spellEnd"/>
            <w:r w:rsidRPr="003A30C7">
              <w:rPr>
                <w:rFonts w:ascii="Arial" w:hAnsi="Arial"/>
                <w:sz w:val="18"/>
              </w:rPr>
              <w:t xml:space="preserve"> termite nest, unlike subterranean termites, does not typically have contact with the ground.</w:t>
            </w:r>
          </w:p>
          <w:p w14:paraId="0BAE10CE" w14:textId="77777777" w:rsidR="000633FC" w:rsidRPr="00B87B95" w:rsidRDefault="000633FC" w:rsidP="000633FC">
            <w:pPr>
              <w:jc w:val="both"/>
              <w:rPr>
                <w:rFonts w:ascii="Arial" w:hAnsi="Arial" w:cs="Arial"/>
                <w:sz w:val="18"/>
                <w:szCs w:val="18"/>
              </w:rPr>
            </w:pPr>
            <w:r w:rsidRPr="00082015">
              <w:rPr>
                <w:rFonts w:ascii="Arial" w:hAnsi="Arial"/>
                <w:sz w:val="18"/>
              </w:rPr>
              <w:t xml:space="preserve">Established infestations of </w:t>
            </w:r>
            <w:proofErr w:type="spellStart"/>
            <w:r w:rsidRPr="00082015">
              <w:rPr>
                <w:rFonts w:ascii="Arial" w:hAnsi="Arial"/>
                <w:i/>
                <w:sz w:val="18"/>
              </w:rPr>
              <w:t>Hylotrupes</w:t>
            </w:r>
            <w:proofErr w:type="spellEnd"/>
            <w:r w:rsidR="00EE728F" w:rsidRPr="00082015">
              <w:rPr>
                <w:rFonts w:ascii="Arial" w:hAnsi="Arial"/>
                <w:i/>
                <w:sz w:val="18"/>
              </w:rPr>
              <w:t xml:space="preserve"> </w:t>
            </w:r>
            <w:r w:rsidRPr="00082015">
              <w:rPr>
                <w:rFonts w:ascii="Arial" w:hAnsi="Arial"/>
                <w:sz w:val="18"/>
              </w:rPr>
              <w:t>and other wood boring insects in structural timber are likely to require whole site treatment. Alternatives to methyl bromide include heat treatments to moderate temperatures around 56°C (Dreger, 2007</w:t>
            </w:r>
            <w:r w:rsidRPr="00F9037E">
              <w:rPr>
                <w:rFonts w:ascii="Arial" w:hAnsi="Arial" w:cs="Arial"/>
                <w:sz w:val="18"/>
                <w:szCs w:val="18"/>
              </w:rPr>
              <w:t>;</w:t>
            </w:r>
            <w:r w:rsidRPr="00CD3CBD">
              <w:rPr>
                <w:rFonts w:ascii="Arial" w:hAnsi="Arial"/>
                <w:sz w:val="18"/>
              </w:rPr>
              <w:t xml:space="preserve"> Lewis and </w:t>
            </w:r>
            <w:proofErr w:type="spellStart"/>
            <w:r w:rsidRPr="00CD3CBD">
              <w:rPr>
                <w:rFonts w:ascii="Arial" w:hAnsi="Arial"/>
                <w:sz w:val="18"/>
              </w:rPr>
              <w:t>Haverty</w:t>
            </w:r>
            <w:proofErr w:type="spellEnd"/>
            <w:r w:rsidRPr="00F9037E">
              <w:rPr>
                <w:rFonts w:ascii="Arial" w:hAnsi="Arial" w:cs="Arial"/>
                <w:sz w:val="18"/>
                <w:szCs w:val="18"/>
              </w:rPr>
              <w:t>,</w:t>
            </w:r>
            <w:r w:rsidRPr="00CD3CBD">
              <w:rPr>
                <w:rFonts w:ascii="Arial" w:hAnsi="Arial"/>
                <w:sz w:val="18"/>
              </w:rPr>
              <w:t xml:space="preserve"> 1996</w:t>
            </w:r>
            <w:r w:rsidRPr="00501812">
              <w:rPr>
                <w:rFonts w:ascii="Arial" w:hAnsi="Arial" w:cs="Arial"/>
                <w:sz w:val="18"/>
                <w:szCs w:val="18"/>
              </w:rPr>
              <w:t xml:space="preserve">). </w:t>
            </w:r>
            <w:r w:rsidRPr="00501812">
              <w:rPr>
                <w:rFonts w:ascii="Arial" w:hAnsi="Arial"/>
                <w:sz w:val="18"/>
              </w:rPr>
              <w:t>MBTOC uses the information supplied by the Party of 81% attic (1,029,</w:t>
            </w:r>
            <w:r w:rsidRPr="00F9037E">
              <w:rPr>
                <w:rFonts w:ascii="Arial" w:hAnsi="Arial" w:cs="Arial"/>
                <w:sz w:val="18"/>
                <w:szCs w:val="18"/>
              </w:rPr>
              <w:t>000 m</w:t>
            </w:r>
            <w:r w:rsidRPr="00F9037E">
              <w:rPr>
                <w:rFonts w:ascii="Arial" w:hAnsi="Arial" w:cs="Arial"/>
                <w:sz w:val="18"/>
                <w:szCs w:val="18"/>
                <w:vertAlign w:val="superscript"/>
              </w:rPr>
              <w:t>3</w:t>
            </w:r>
            <w:r w:rsidRPr="00CD3CBD">
              <w:rPr>
                <w:rFonts w:ascii="Arial" w:hAnsi="Arial"/>
                <w:sz w:val="18"/>
              </w:rPr>
              <w:t>) only treatment and 19% whole houses (420,000 m</w:t>
            </w:r>
            <w:r w:rsidRPr="00501812">
              <w:rPr>
                <w:rFonts w:ascii="Arial" w:hAnsi="Arial"/>
                <w:sz w:val="18"/>
                <w:vertAlign w:val="superscript"/>
              </w:rPr>
              <w:t>3</w:t>
            </w:r>
            <w:r w:rsidRPr="00501812">
              <w:rPr>
                <w:rFonts w:ascii="Arial" w:hAnsi="Arial"/>
                <w:sz w:val="18"/>
              </w:rPr>
              <w:t>). Of the treatments the Party estimated that 55% are for termites. MBTOC has used the standard presumption of 20g/m</w:t>
            </w:r>
            <w:r w:rsidRPr="003A30C7">
              <w:rPr>
                <w:rFonts w:ascii="Arial" w:hAnsi="Arial"/>
                <w:sz w:val="18"/>
                <w:vertAlign w:val="superscript"/>
              </w:rPr>
              <w:t>3</w:t>
            </w:r>
            <w:r w:rsidRPr="00082015">
              <w:rPr>
                <w:rFonts w:ascii="Arial" w:hAnsi="Arial"/>
                <w:sz w:val="18"/>
              </w:rPr>
              <w:t xml:space="preserve"> to determine the amount necessary for this treatment (22.14 t). For the fumigation of the rest that requires an effective dosage of 48g/m</w:t>
            </w:r>
            <w:r w:rsidRPr="00082015">
              <w:rPr>
                <w:rFonts w:ascii="Arial" w:hAnsi="Arial"/>
                <w:sz w:val="18"/>
                <w:vertAlign w:val="superscript"/>
              </w:rPr>
              <w:t>3</w:t>
            </w:r>
            <w:r w:rsidRPr="00082015">
              <w:rPr>
                <w:rFonts w:ascii="Arial" w:hAnsi="Arial"/>
                <w:sz w:val="18"/>
              </w:rPr>
              <w:t xml:space="preserve"> to control the other wood boring insects including </w:t>
            </w:r>
            <w:proofErr w:type="spellStart"/>
            <w:r w:rsidRPr="00082015">
              <w:rPr>
                <w:rFonts w:ascii="Arial" w:hAnsi="Arial"/>
                <w:i/>
                <w:sz w:val="18"/>
              </w:rPr>
              <w:t>Hylotrupes</w:t>
            </w:r>
            <w:proofErr w:type="spellEnd"/>
            <w:r w:rsidRPr="00082015">
              <w:rPr>
                <w:rFonts w:ascii="Arial" w:hAnsi="Arial"/>
                <w:i/>
                <w:sz w:val="18"/>
              </w:rPr>
              <w:t xml:space="preserve">, </w:t>
            </w:r>
            <w:r w:rsidRPr="00F5313E">
              <w:rPr>
                <w:rFonts w:ascii="Arial" w:hAnsi="Arial"/>
                <w:sz w:val="18"/>
              </w:rPr>
              <w:t>MBTOC recommends an am</w:t>
            </w:r>
            <w:r w:rsidRPr="00220275">
              <w:rPr>
                <w:rFonts w:ascii="Arial" w:hAnsi="Arial"/>
                <w:sz w:val="18"/>
              </w:rPr>
              <w:t>ount of 20.16 tons. MBTOC has adjusted the nomination to a total of 42.3 t to account for the lower rate for termites (20g/m</w:t>
            </w:r>
            <w:r w:rsidRPr="00220275">
              <w:rPr>
                <w:rFonts w:ascii="Arial" w:hAnsi="Arial"/>
                <w:sz w:val="18"/>
                <w:vertAlign w:val="superscript"/>
              </w:rPr>
              <w:t>3</w:t>
            </w:r>
            <w:r w:rsidRPr="00220275">
              <w:rPr>
                <w:rFonts w:ascii="Arial" w:hAnsi="Arial"/>
                <w:sz w:val="18"/>
              </w:rPr>
              <w:t xml:space="preserve">) and reduced the required amount for the attic disinfestation by one third to allow for the implementation of other methods of control like heat disinfestation. </w:t>
            </w:r>
            <w:r w:rsidRPr="00220275">
              <w:rPr>
                <w:rFonts w:ascii="Arial" w:hAnsi="Arial" w:cs="Arial"/>
                <w:sz w:val="18"/>
                <w:szCs w:val="18"/>
              </w:rPr>
              <w:t>The Party indicated ISPM-15 as justification for need for a dosage of 48g/m3 for this nomination. MBTOC notes that ISPM 15 is a standard relating to the treatment of wood packing material in trade. It aims specifically to eli</w:t>
            </w:r>
            <w:r w:rsidRPr="00B87B95">
              <w:rPr>
                <w:rFonts w:ascii="Arial" w:hAnsi="Arial" w:cs="Arial"/>
                <w:sz w:val="18"/>
                <w:szCs w:val="18"/>
              </w:rPr>
              <w:t xml:space="preserve">minate infestation of pests of standing timber that may infest or complete their life cycle in new timber made into pallets and the like. The dosage rate in ISPM 15 is excessive for the control of some postharvest pests of wood and timber, notably termites. It is thus not a reasonable benchmark for setting dosages for control of particular mill and domestic pests. </w:t>
            </w:r>
          </w:p>
          <w:p w14:paraId="2FC7762B" w14:textId="77777777" w:rsidR="000633FC" w:rsidRPr="00563BC0" w:rsidRDefault="000633FC" w:rsidP="000633FC">
            <w:pPr>
              <w:jc w:val="both"/>
              <w:rPr>
                <w:rFonts w:ascii="Arial" w:hAnsi="Arial"/>
                <w:sz w:val="18"/>
              </w:rPr>
            </w:pPr>
            <w:r w:rsidRPr="00B87B95">
              <w:rPr>
                <w:rFonts w:ascii="Arial" w:hAnsi="Arial" w:cs="Arial"/>
                <w:sz w:val="18"/>
                <w:szCs w:val="18"/>
              </w:rPr>
              <w:t xml:space="preserve">In response to request for reassessment by the Party, MBTOC calculated this reduction in nomination to be phased in over a 2 year period, with a 20% reduction in the first year, allowing time for implementation of improved practice and dosage rates targeted at the species being treated </w:t>
            </w:r>
            <w:r w:rsidRPr="00B87B95">
              <w:rPr>
                <w:rFonts w:ascii="Arial" w:hAnsi="Arial"/>
                <w:sz w:val="18"/>
              </w:rPr>
              <w:t xml:space="preserve">MBTOC urges the Party to put in place a development and demonstration program with alternatives </w:t>
            </w:r>
            <w:r w:rsidRPr="00563BC0">
              <w:rPr>
                <w:rFonts w:ascii="Arial" w:hAnsi="Arial"/>
                <w:sz w:val="18"/>
              </w:rPr>
              <w:t>against wood destroying pests in houses and similar structures, particularly heat treatment, and to pursue registration of alternatives to assist rapid phase out of methyl bromide for the use in this CUN.</w:t>
            </w:r>
          </w:p>
          <w:p w14:paraId="120D2677" w14:textId="77777777" w:rsidR="000633FC" w:rsidRPr="00563BC0" w:rsidRDefault="000633FC" w:rsidP="000633FC">
            <w:pPr>
              <w:spacing w:before="60" w:after="60"/>
              <w:jc w:val="both"/>
              <w:rPr>
                <w:rFonts w:ascii="Arial" w:hAnsi="Arial"/>
                <w:b/>
                <w:sz w:val="18"/>
              </w:rPr>
            </w:pPr>
            <w:r w:rsidRPr="00563BC0">
              <w:rPr>
                <w:rFonts w:ascii="Arial" w:hAnsi="Arial"/>
                <w:b/>
                <w:sz w:val="18"/>
              </w:rPr>
              <w:t>MBTOC comments on economics for 2017:</w:t>
            </w:r>
          </w:p>
          <w:p w14:paraId="1D896AB7" w14:textId="77777777" w:rsidR="000633FC" w:rsidRPr="00563BC0" w:rsidRDefault="000633FC" w:rsidP="000633FC">
            <w:pPr>
              <w:jc w:val="both"/>
              <w:rPr>
                <w:rFonts w:ascii="Arial" w:hAnsi="Arial"/>
                <w:sz w:val="18"/>
              </w:rPr>
            </w:pPr>
            <w:r w:rsidRPr="00563BC0">
              <w:rPr>
                <w:rFonts w:ascii="Arial" w:hAnsi="Arial"/>
                <w:sz w:val="18"/>
              </w:rPr>
              <w:t>The CUN rests on technical infeasibility and non-availability of SF as registered material, so no economic analysis was conducted. No new data as already in the nomination of previous year were reported.</w:t>
            </w:r>
          </w:p>
          <w:p w14:paraId="3BCFACE5" w14:textId="77777777" w:rsidR="000633FC" w:rsidRPr="00563BC0" w:rsidRDefault="000633FC" w:rsidP="000633FC">
            <w:pPr>
              <w:spacing w:before="60" w:after="60"/>
              <w:jc w:val="both"/>
              <w:rPr>
                <w:rFonts w:ascii="Arial" w:hAnsi="Arial"/>
                <w:b/>
                <w:sz w:val="18"/>
              </w:rPr>
            </w:pPr>
            <w:r w:rsidRPr="00563BC0">
              <w:rPr>
                <w:rFonts w:ascii="Arial" w:hAnsi="Arial"/>
                <w:b/>
                <w:sz w:val="18"/>
              </w:rPr>
              <w:t>Comments requested in Dec. XX1/11 (para 9):</w:t>
            </w:r>
          </w:p>
          <w:p w14:paraId="2928B2CC" w14:textId="15298E61" w:rsidR="000633FC" w:rsidRPr="00365366" w:rsidRDefault="000633FC" w:rsidP="000633FC">
            <w:pPr>
              <w:numPr>
                <w:ilvl w:val="0"/>
                <w:numId w:val="10"/>
              </w:numPr>
              <w:spacing w:after="120"/>
              <w:jc w:val="both"/>
              <w:rPr>
                <w:rFonts w:ascii="Arial" w:hAnsi="Arial"/>
                <w:sz w:val="18"/>
              </w:rPr>
            </w:pPr>
            <w:r w:rsidRPr="00563BC0">
              <w:rPr>
                <w:rFonts w:ascii="Arial" w:hAnsi="Arial"/>
                <w:b/>
                <w:sz w:val="18"/>
              </w:rPr>
              <w:t xml:space="preserve">Dec. IX/6 </w:t>
            </w:r>
            <w:r w:rsidR="00501812" w:rsidRPr="000F08B5">
              <w:rPr>
                <w:rFonts w:ascii="Arial" w:hAnsi="Arial"/>
                <w:b/>
                <w:sz w:val="18"/>
              </w:rPr>
              <w:t>b (</w:t>
            </w:r>
            <w:proofErr w:type="spellStart"/>
            <w:r w:rsidR="00501812" w:rsidRPr="000F08B5">
              <w:rPr>
                <w:rFonts w:ascii="Arial" w:hAnsi="Arial"/>
                <w:b/>
                <w:sz w:val="18"/>
              </w:rPr>
              <w:t>i</w:t>
            </w:r>
            <w:proofErr w:type="spellEnd"/>
            <w:r w:rsidR="00501812" w:rsidRPr="000F08B5">
              <w:rPr>
                <w:rFonts w:ascii="Arial" w:hAnsi="Arial"/>
                <w:b/>
                <w:sz w:val="18"/>
              </w:rPr>
              <w:t>) Emission</w:t>
            </w:r>
            <w:r w:rsidRPr="000F08B5">
              <w:rPr>
                <w:rFonts w:ascii="Arial" w:hAnsi="Arial"/>
                <w:b/>
                <w:sz w:val="18"/>
              </w:rPr>
              <w:t xml:space="preserve"> Reduction:</w:t>
            </w:r>
            <w:r w:rsidRPr="00365366">
              <w:rPr>
                <w:rFonts w:ascii="Arial" w:hAnsi="Arial"/>
                <w:sz w:val="18"/>
              </w:rPr>
              <w:t xml:space="preserve"> The CUN states that partially in the sheeted houses a high level of fumigant containment has been achieved.</w:t>
            </w:r>
          </w:p>
          <w:p w14:paraId="195FFB47" w14:textId="3C79E782" w:rsidR="000633FC" w:rsidRPr="00F9037E" w:rsidRDefault="000633FC" w:rsidP="000633FC">
            <w:pPr>
              <w:numPr>
                <w:ilvl w:val="0"/>
                <w:numId w:val="10"/>
              </w:numPr>
              <w:spacing w:after="120"/>
              <w:jc w:val="both"/>
              <w:rPr>
                <w:rFonts w:ascii="Arial" w:hAnsi="Arial"/>
                <w:b/>
                <w:sz w:val="18"/>
              </w:rPr>
            </w:pPr>
            <w:r w:rsidRPr="00F9037E">
              <w:rPr>
                <w:rFonts w:ascii="Arial" w:hAnsi="Arial"/>
                <w:b/>
                <w:sz w:val="18"/>
              </w:rPr>
              <w:t xml:space="preserve">Dec. IX/6 </w:t>
            </w:r>
            <w:r w:rsidR="00501812" w:rsidRPr="00F9037E">
              <w:rPr>
                <w:rFonts w:ascii="Arial" w:hAnsi="Arial"/>
                <w:b/>
                <w:sz w:val="18"/>
              </w:rPr>
              <w:t>b (iii) Research</w:t>
            </w:r>
            <w:r w:rsidRPr="00F9037E">
              <w:rPr>
                <w:rFonts w:ascii="Arial" w:hAnsi="Arial"/>
                <w:b/>
                <w:sz w:val="18"/>
              </w:rPr>
              <w:t xml:space="preserve"> Program: </w:t>
            </w:r>
            <w:r w:rsidRPr="00F9037E">
              <w:rPr>
                <w:rFonts w:ascii="Arial" w:hAnsi="Arial"/>
                <w:sz w:val="18"/>
              </w:rPr>
              <w:t>MBTOC notes the recent favourable adoption of heat, but limited work on trialling promising alternatives given in the CUN. But the Party is undertaking investigations in the suitability of heat disinfestation as possible alternative in South Africa for the described control of infestation.</w:t>
            </w:r>
          </w:p>
          <w:p w14:paraId="12378AFE" w14:textId="1388C210" w:rsidR="000633FC" w:rsidRPr="00CD3CBD" w:rsidRDefault="000633FC" w:rsidP="000633FC">
            <w:pPr>
              <w:pStyle w:val="ListParagraph"/>
              <w:numPr>
                <w:ilvl w:val="0"/>
                <w:numId w:val="10"/>
              </w:numPr>
              <w:spacing w:before="60" w:after="60"/>
              <w:jc w:val="both"/>
              <w:rPr>
                <w:rFonts w:ascii="Arial" w:hAnsi="Arial" w:cs="Arial"/>
                <w:b/>
                <w:bCs/>
                <w:color w:val="auto"/>
                <w:sz w:val="20"/>
              </w:rPr>
            </w:pPr>
            <w:r w:rsidRPr="00F9037E">
              <w:rPr>
                <w:rFonts w:ascii="Arial" w:hAnsi="Arial" w:cs="Arial"/>
                <w:b/>
                <w:sz w:val="18"/>
                <w:szCs w:val="18"/>
              </w:rPr>
              <w:t xml:space="preserve">Dec. IX/6 </w:t>
            </w:r>
            <w:r w:rsidR="00501812" w:rsidRPr="00501812">
              <w:rPr>
                <w:rFonts w:ascii="Arial" w:hAnsi="Arial" w:cs="Arial"/>
                <w:b/>
                <w:sz w:val="18"/>
                <w:szCs w:val="18"/>
              </w:rPr>
              <w:t>b (iii) Appropriate</w:t>
            </w:r>
            <w:r w:rsidRPr="00F9037E">
              <w:rPr>
                <w:rFonts w:ascii="Arial" w:hAnsi="Arial" w:cs="Arial"/>
                <w:b/>
                <w:sz w:val="18"/>
                <w:szCs w:val="18"/>
              </w:rPr>
              <w:t xml:space="preserve"> Effort:</w:t>
            </w:r>
            <w:r w:rsidRPr="00F9037E">
              <w:rPr>
                <w:rFonts w:ascii="Arial" w:hAnsi="Arial" w:cs="Arial"/>
                <w:sz w:val="18"/>
                <w:szCs w:val="18"/>
              </w:rPr>
              <w:t xml:space="preserve"> Sourcing and registration of one in-kind alternative is being sought for this use.</w:t>
            </w:r>
          </w:p>
          <w:p w14:paraId="77DBEE96" w14:textId="77777777" w:rsidR="000633FC" w:rsidRPr="00F9037E" w:rsidRDefault="000633FC" w:rsidP="000633FC">
            <w:pPr>
              <w:pStyle w:val="ListParagraph"/>
              <w:numPr>
                <w:ilvl w:val="0"/>
                <w:numId w:val="10"/>
              </w:numPr>
              <w:spacing w:before="120"/>
              <w:ind w:left="714" w:hanging="357"/>
              <w:jc w:val="both"/>
              <w:rPr>
                <w:rFonts w:ascii="Arial" w:hAnsi="Arial" w:cstheme="minorBidi"/>
                <w:sz w:val="18"/>
                <w:szCs w:val="18"/>
                <w:lang w:eastAsia="he-IL"/>
              </w:rPr>
            </w:pPr>
            <w:r w:rsidRPr="00F9037E">
              <w:rPr>
                <w:rFonts w:ascii="Arial" w:hAnsi="Arial"/>
                <w:b/>
                <w:sz w:val="18"/>
              </w:rPr>
              <w:t xml:space="preserve">Dec. Ex 1(4) Annex 1 National Management Strategy: </w:t>
            </w:r>
            <w:r w:rsidRPr="00F9037E">
              <w:rPr>
                <w:rFonts w:ascii="Arial" w:hAnsi="Arial"/>
                <w:sz w:val="18"/>
              </w:rPr>
              <w:t>No Management Strategy was provided.</w:t>
            </w:r>
          </w:p>
        </w:tc>
      </w:tr>
    </w:tbl>
    <w:p w14:paraId="48CF7FB9" w14:textId="4F26E442" w:rsidR="000633FC" w:rsidRPr="00F9037E" w:rsidRDefault="000633FC" w:rsidP="000633FC">
      <w:pPr>
        <w:spacing w:before="120" w:after="120"/>
        <w:rPr>
          <w:rFonts w:ascii="Arial" w:hAnsi="Arial" w:cs="Arial"/>
          <w:b/>
          <w:bCs/>
          <w:sz w:val="18"/>
          <w:szCs w:val="18"/>
        </w:rPr>
      </w:pPr>
      <w:r w:rsidRPr="00F9037E">
        <w:rPr>
          <w:rFonts w:ascii="Arial" w:hAnsi="Arial" w:cs="Arial"/>
          <w:sz w:val="18"/>
          <w:szCs w:val="18"/>
          <w:vertAlign w:val="superscript"/>
        </w:rPr>
        <w:lastRenderedPageBreak/>
        <w:t>1</w:t>
      </w:r>
      <w:r w:rsidRPr="00F9037E">
        <w:rPr>
          <w:rFonts w:ascii="Arial" w:hAnsi="Arial" w:cs="Arial"/>
          <w:sz w:val="18"/>
          <w:szCs w:val="18"/>
        </w:rPr>
        <w:t xml:space="preserve">1ExMOP and 16MOP; </w:t>
      </w:r>
      <w:r w:rsidRPr="00F9037E">
        <w:rPr>
          <w:rFonts w:ascii="Arial" w:hAnsi="Arial" w:cs="Arial"/>
          <w:sz w:val="18"/>
          <w:szCs w:val="18"/>
          <w:vertAlign w:val="superscript"/>
        </w:rPr>
        <w:t>2</w:t>
      </w:r>
      <w:r w:rsidRPr="00F9037E">
        <w:rPr>
          <w:rFonts w:ascii="Arial" w:hAnsi="Arial" w:cs="Arial"/>
          <w:sz w:val="18"/>
          <w:szCs w:val="18"/>
        </w:rPr>
        <w:t xml:space="preserve">16MOP+2ExMOP+17MOP; </w:t>
      </w:r>
      <w:r w:rsidRPr="00F9037E">
        <w:rPr>
          <w:rFonts w:ascii="Arial" w:hAnsi="Arial" w:cs="Arial"/>
          <w:sz w:val="18"/>
          <w:szCs w:val="18"/>
          <w:vertAlign w:val="superscript"/>
        </w:rPr>
        <w:t>3</w:t>
      </w:r>
      <w:r w:rsidRPr="00F9037E">
        <w:rPr>
          <w:rFonts w:ascii="Arial" w:hAnsi="Arial" w:cs="Arial"/>
          <w:sz w:val="18"/>
          <w:szCs w:val="18"/>
        </w:rPr>
        <w:t xml:space="preserve">MOP17+MOP18; </w:t>
      </w:r>
      <w:r w:rsidRPr="00F9037E">
        <w:rPr>
          <w:rFonts w:ascii="Arial" w:hAnsi="Arial" w:cs="Arial"/>
          <w:sz w:val="18"/>
          <w:szCs w:val="18"/>
          <w:vertAlign w:val="superscript"/>
        </w:rPr>
        <w:t>4</w:t>
      </w:r>
      <w:r w:rsidRPr="00F9037E">
        <w:rPr>
          <w:rFonts w:ascii="Arial" w:hAnsi="Arial" w:cs="Arial"/>
          <w:sz w:val="18"/>
          <w:szCs w:val="18"/>
        </w:rPr>
        <w:t xml:space="preserve">MOP18+MOP19; </w:t>
      </w:r>
      <w:r w:rsidRPr="00F9037E">
        <w:rPr>
          <w:rFonts w:ascii="Arial" w:hAnsi="Arial" w:cs="Arial"/>
          <w:sz w:val="18"/>
          <w:szCs w:val="18"/>
          <w:vertAlign w:val="superscript"/>
        </w:rPr>
        <w:t>5</w:t>
      </w:r>
      <w:r w:rsidRPr="00F9037E">
        <w:rPr>
          <w:rFonts w:ascii="Arial" w:hAnsi="Arial" w:cs="Arial"/>
          <w:sz w:val="18"/>
          <w:szCs w:val="18"/>
        </w:rPr>
        <w:t xml:space="preserve">MOP19+MOP20; </w:t>
      </w:r>
      <w:r w:rsidRPr="00F9037E">
        <w:rPr>
          <w:rFonts w:ascii="Arial" w:hAnsi="Arial" w:cs="Arial"/>
          <w:sz w:val="18"/>
          <w:szCs w:val="18"/>
          <w:vertAlign w:val="superscript"/>
        </w:rPr>
        <w:t>6</w:t>
      </w:r>
      <w:r w:rsidRPr="00F9037E">
        <w:rPr>
          <w:rFonts w:ascii="Arial" w:hAnsi="Arial" w:cs="Arial"/>
          <w:sz w:val="18"/>
          <w:szCs w:val="18"/>
        </w:rPr>
        <w:t xml:space="preserve">MOP20+MOP21; </w:t>
      </w:r>
      <w:r w:rsidRPr="00F9037E">
        <w:rPr>
          <w:rFonts w:ascii="Arial" w:hAnsi="Arial" w:cs="Arial"/>
          <w:sz w:val="18"/>
          <w:szCs w:val="18"/>
          <w:vertAlign w:val="superscript"/>
        </w:rPr>
        <w:t>7</w:t>
      </w:r>
      <w:r w:rsidRPr="00F9037E">
        <w:rPr>
          <w:rFonts w:ascii="Arial" w:hAnsi="Arial" w:cs="Arial"/>
          <w:sz w:val="18"/>
          <w:szCs w:val="18"/>
        </w:rPr>
        <w:t xml:space="preserve">MOP21+MOP22; </w:t>
      </w:r>
      <w:r w:rsidRPr="00F9037E">
        <w:rPr>
          <w:rFonts w:ascii="Arial" w:hAnsi="Arial" w:cs="Arial"/>
          <w:sz w:val="18"/>
          <w:szCs w:val="18"/>
          <w:vertAlign w:val="superscript"/>
        </w:rPr>
        <w:t>8</w:t>
      </w:r>
      <w:r w:rsidRPr="00F9037E">
        <w:rPr>
          <w:rFonts w:ascii="Arial" w:hAnsi="Arial" w:cs="Arial"/>
          <w:sz w:val="18"/>
          <w:szCs w:val="18"/>
        </w:rPr>
        <w:t xml:space="preserve">MOP22, </w:t>
      </w:r>
      <w:r w:rsidRPr="00F9037E">
        <w:rPr>
          <w:rFonts w:ascii="Arial" w:hAnsi="Arial" w:cs="Arial"/>
          <w:sz w:val="18"/>
          <w:szCs w:val="18"/>
          <w:vertAlign w:val="superscript"/>
        </w:rPr>
        <w:t>9</w:t>
      </w:r>
      <w:r w:rsidRPr="00F9037E">
        <w:rPr>
          <w:rFonts w:ascii="Arial" w:hAnsi="Arial" w:cs="Arial"/>
          <w:sz w:val="18"/>
          <w:szCs w:val="18"/>
        </w:rPr>
        <w:t xml:space="preserve">MOP23, </w:t>
      </w:r>
      <w:r w:rsidRPr="00F9037E">
        <w:rPr>
          <w:rFonts w:ascii="Arial" w:hAnsi="Arial" w:cs="Arial"/>
          <w:sz w:val="18"/>
          <w:szCs w:val="18"/>
          <w:vertAlign w:val="superscript"/>
        </w:rPr>
        <w:t>10</w:t>
      </w:r>
      <w:r w:rsidRPr="00F9037E">
        <w:rPr>
          <w:rFonts w:ascii="Arial" w:hAnsi="Arial" w:cs="Arial"/>
          <w:sz w:val="18"/>
          <w:szCs w:val="18"/>
        </w:rPr>
        <w:t>MOP24</w:t>
      </w:r>
      <w:r w:rsidR="00501812" w:rsidRPr="00F9037E">
        <w:rPr>
          <w:rFonts w:ascii="Arial" w:hAnsi="Arial" w:cs="Arial"/>
          <w:sz w:val="18"/>
          <w:szCs w:val="18"/>
        </w:rPr>
        <w:t>,</w:t>
      </w:r>
      <w:r w:rsidR="00501812" w:rsidRPr="00F9037E">
        <w:rPr>
          <w:rFonts w:ascii="Arial" w:hAnsi="Arial" w:cs="Arial"/>
          <w:sz w:val="18"/>
          <w:szCs w:val="18"/>
          <w:vertAlign w:val="superscript"/>
        </w:rPr>
        <w:t xml:space="preserve"> 11MOP25</w:t>
      </w:r>
    </w:p>
    <w:p w14:paraId="5B63B046" w14:textId="77777777" w:rsidR="000633FC" w:rsidRPr="00F9037E" w:rsidRDefault="000633FC" w:rsidP="000633FC">
      <w:pPr>
        <w:sectPr w:rsidR="000633FC" w:rsidRPr="00F9037E" w:rsidSect="003753FB">
          <w:headerReference w:type="even" r:id="rId43"/>
          <w:headerReference w:type="default" r:id="rId44"/>
          <w:footerReference w:type="even" r:id="rId45"/>
          <w:footerReference w:type="default" r:id="rId46"/>
          <w:headerReference w:type="first" r:id="rId47"/>
          <w:pgSz w:w="16834" w:h="11909" w:orient="landscape" w:code="9"/>
          <w:pgMar w:top="1440" w:right="1168" w:bottom="1440" w:left="1134" w:header="720" w:footer="720" w:gutter="0"/>
          <w:cols w:space="720"/>
          <w:docGrid w:linePitch="360"/>
        </w:sectPr>
      </w:pPr>
    </w:p>
    <w:p w14:paraId="1A6E65FE" w14:textId="4C3CBADF" w:rsidR="000633FC" w:rsidRPr="00F033A6" w:rsidRDefault="000F08B5" w:rsidP="006A54A1">
      <w:pPr>
        <w:pStyle w:val="Heading1"/>
        <w:rPr>
          <w:rStyle w:val="Heading1Char2"/>
          <w:rFonts w:ascii="Times New Roman" w:hAnsi="Times New Roman"/>
          <w:b/>
        </w:rPr>
      </w:pPr>
      <w:bookmarkStart w:id="115" w:name="_Toc273011469"/>
      <w:bookmarkStart w:id="116" w:name="_Toc304129065"/>
      <w:bookmarkStart w:id="117" w:name="_Toc461183781"/>
      <w:r w:rsidRPr="00F033A6">
        <w:rPr>
          <w:rStyle w:val="Heading1Char2"/>
          <w:rFonts w:ascii="Times New Roman" w:hAnsi="Times New Roman"/>
          <w:b/>
        </w:rPr>
        <w:lastRenderedPageBreak/>
        <w:t>4</w:t>
      </w:r>
      <w:r w:rsidR="000633FC" w:rsidRPr="00F033A6">
        <w:rPr>
          <w:rStyle w:val="Heading1Char2"/>
          <w:rFonts w:ascii="Times New Roman" w:hAnsi="Times New Roman"/>
          <w:b/>
        </w:rPr>
        <w:tab/>
        <w:t xml:space="preserve">Activity Report 2016 and </w:t>
      </w:r>
      <w:proofErr w:type="spellStart"/>
      <w:r w:rsidR="000633FC" w:rsidRPr="00F033A6">
        <w:rPr>
          <w:rStyle w:val="Heading1Char2"/>
          <w:rFonts w:ascii="Times New Roman" w:hAnsi="Times New Roman"/>
          <w:b/>
        </w:rPr>
        <w:t>Workplan</w:t>
      </w:r>
      <w:proofErr w:type="spellEnd"/>
      <w:r w:rsidR="000633FC" w:rsidRPr="00F033A6">
        <w:rPr>
          <w:rStyle w:val="Heading1Char2"/>
          <w:rFonts w:ascii="Times New Roman" w:hAnsi="Times New Roman"/>
          <w:b/>
        </w:rPr>
        <w:t xml:space="preserve"> for 201</w:t>
      </w:r>
      <w:bookmarkEnd w:id="115"/>
      <w:bookmarkEnd w:id="116"/>
      <w:r w:rsidR="000633FC" w:rsidRPr="00F033A6">
        <w:rPr>
          <w:rStyle w:val="Heading1Char2"/>
          <w:rFonts w:ascii="Times New Roman" w:hAnsi="Times New Roman"/>
          <w:b/>
        </w:rPr>
        <w:t>7</w:t>
      </w:r>
      <w:bookmarkEnd w:id="117"/>
    </w:p>
    <w:p w14:paraId="184B7EB8" w14:textId="50D9D49A" w:rsidR="000633FC" w:rsidRPr="003655C2" w:rsidRDefault="000F08B5" w:rsidP="006A54A1">
      <w:pPr>
        <w:pStyle w:val="Heading2"/>
        <w:rPr>
          <w:rStyle w:val="Heading2Char"/>
          <w:b w:val="0"/>
        </w:rPr>
      </w:pPr>
      <w:bookmarkStart w:id="118" w:name="_Toc148167663"/>
      <w:bookmarkStart w:id="119" w:name="_Toc180663279"/>
      <w:bookmarkStart w:id="120" w:name="_Toc240041857"/>
      <w:bookmarkStart w:id="121" w:name="_Toc273011470"/>
      <w:bookmarkStart w:id="122" w:name="_Toc304129066"/>
      <w:bookmarkStart w:id="123" w:name="_Toc461183782"/>
      <w:r w:rsidRPr="003655C2">
        <w:rPr>
          <w:rStyle w:val="Heading2Char"/>
          <w:b w:val="0"/>
        </w:rPr>
        <w:t>4</w:t>
      </w:r>
      <w:r w:rsidR="000633FC" w:rsidRPr="003655C2">
        <w:rPr>
          <w:rStyle w:val="Heading2Char"/>
          <w:b w:val="0"/>
        </w:rPr>
        <w:t>.1.</w:t>
      </w:r>
      <w:r w:rsidR="000633FC" w:rsidRPr="003655C2">
        <w:rPr>
          <w:rStyle w:val="Heading2Char"/>
          <w:b w:val="0"/>
        </w:rPr>
        <w:tab/>
      </w:r>
      <w:bookmarkStart w:id="124" w:name="_Toc180140160"/>
      <w:r w:rsidR="000633FC" w:rsidRPr="003655C2">
        <w:rPr>
          <w:rStyle w:val="Heading2Char"/>
          <w:b w:val="0"/>
        </w:rPr>
        <w:t>Activity report for 201</w:t>
      </w:r>
      <w:bookmarkEnd w:id="118"/>
      <w:bookmarkEnd w:id="119"/>
      <w:bookmarkEnd w:id="120"/>
      <w:bookmarkEnd w:id="121"/>
      <w:bookmarkEnd w:id="124"/>
      <w:r w:rsidR="000633FC" w:rsidRPr="003655C2">
        <w:rPr>
          <w:rStyle w:val="Heading2Char"/>
          <w:b w:val="0"/>
        </w:rPr>
        <w:t>6</w:t>
      </w:r>
      <w:bookmarkEnd w:id="122"/>
      <w:bookmarkEnd w:id="123"/>
    </w:p>
    <w:p w14:paraId="23490A39" w14:textId="77777777" w:rsidR="000633FC" w:rsidRPr="00501812" w:rsidRDefault="000633FC" w:rsidP="000633FC">
      <w:pPr>
        <w:numPr>
          <w:ilvl w:val="0"/>
          <w:numId w:val="29"/>
        </w:numPr>
        <w:spacing w:after="0"/>
        <w:ind w:hanging="720"/>
      </w:pPr>
      <w:r w:rsidRPr="00CD3CBD">
        <w:t xml:space="preserve">MBTOC initiated 2016 with 20 members (including 3 co-chairs) after completing its reorganization process in 2014. The current list of members together with individual terms of appointment can be found in the TEAP </w:t>
      </w:r>
      <w:r w:rsidRPr="00501812">
        <w:t>Progress Report of May 201</w:t>
      </w:r>
      <w:r w:rsidR="00066323" w:rsidRPr="00501812">
        <w:t>6</w:t>
      </w:r>
      <w:r w:rsidRPr="00501812">
        <w:t>.</w:t>
      </w:r>
    </w:p>
    <w:p w14:paraId="4419FB15" w14:textId="77777777" w:rsidR="000633FC" w:rsidRPr="00220275" w:rsidRDefault="000633FC" w:rsidP="000633FC">
      <w:pPr>
        <w:numPr>
          <w:ilvl w:val="0"/>
          <w:numId w:val="29"/>
        </w:numPr>
        <w:spacing w:after="0"/>
        <w:ind w:hanging="720"/>
      </w:pPr>
      <w:r w:rsidRPr="003A30C7">
        <w:t>Initial summa</w:t>
      </w:r>
      <w:r w:rsidRPr="00082015">
        <w:t>risation of the 201</w:t>
      </w:r>
      <w:r w:rsidR="00066323" w:rsidRPr="00082015">
        <w:t>6</w:t>
      </w:r>
      <w:r w:rsidRPr="00082015">
        <w:t xml:space="preserve"> CUNs for 201</w:t>
      </w:r>
      <w:r w:rsidR="00066323" w:rsidRPr="00082015">
        <w:t>7</w:t>
      </w:r>
      <w:r w:rsidRPr="00F5313E">
        <w:t xml:space="preserve"> and 201</w:t>
      </w:r>
      <w:r w:rsidR="00066323" w:rsidRPr="00220275">
        <w:t xml:space="preserve">8 </w:t>
      </w:r>
      <w:r w:rsidRPr="00220275">
        <w:t>(initial sorting and recording carried out by the Secretariat).</w:t>
      </w:r>
    </w:p>
    <w:p w14:paraId="33C22E52" w14:textId="77777777" w:rsidR="000633FC" w:rsidRPr="00B87B95" w:rsidRDefault="000633FC" w:rsidP="000633FC">
      <w:pPr>
        <w:numPr>
          <w:ilvl w:val="0"/>
          <w:numId w:val="29"/>
        </w:numPr>
        <w:spacing w:after="0"/>
        <w:ind w:hanging="720"/>
      </w:pPr>
      <w:r w:rsidRPr="00220275">
        <w:t>Preparation of questions for Parties</w:t>
      </w:r>
      <w:r w:rsidR="00A55D53" w:rsidRPr="00220275">
        <w:t xml:space="preserve"> submitting CUNs</w:t>
      </w:r>
      <w:r w:rsidRPr="00B87B95">
        <w:t xml:space="preserve">. Assessment of responses received from Parties. </w:t>
      </w:r>
    </w:p>
    <w:p w14:paraId="3B77C386" w14:textId="77777777" w:rsidR="000633FC" w:rsidRPr="000F08B5" w:rsidRDefault="000633FC" w:rsidP="000633FC">
      <w:pPr>
        <w:numPr>
          <w:ilvl w:val="0"/>
          <w:numId w:val="29"/>
        </w:numPr>
        <w:spacing w:after="0"/>
        <w:ind w:hanging="720"/>
      </w:pPr>
      <w:r w:rsidRPr="00B87B95">
        <w:t>MBTOC</w:t>
      </w:r>
      <w:r w:rsidR="00A55D53" w:rsidRPr="00B87B95">
        <w:t xml:space="preserve"> meeting in</w:t>
      </w:r>
      <w:r w:rsidRPr="00563BC0">
        <w:t xml:space="preserve"> March 201</w:t>
      </w:r>
      <w:r w:rsidR="00066323" w:rsidRPr="00563BC0">
        <w:t>6</w:t>
      </w:r>
      <w:r w:rsidRPr="00563BC0">
        <w:t xml:space="preserve"> (</w:t>
      </w:r>
      <w:r w:rsidR="00066323" w:rsidRPr="00563BC0">
        <w:t>Mar del Plata</w:t>
      </w:r>
      <w:r w:rsidRPr="00563BC0">
        <w:t xml:space="preserve">, </w:t>
      </w:r>
      <w:r w:rsidR="00066323" w:rsidRPr="00563BC0">
        <w:t>Argentina</w:t>
      </w:r>
      <w:r w:rsidRPr="00563BC0">
        <w:t>) for assessment of CUNs (soils and SC). The meeti</w:t>
      </w:r>
      <w:r w:rsidRPr="000F08B5">
        <w:t xml:space="preserve">ng included a field trip to visit </w:t>
      </w:r>
      <w:proofErr w:type="spellStart"/>
      <w:r w:rsidR="00066323" w:rsidRPr="000F08B5">
        <w:t>preplant</w:t>
      </w:r>
      <w:proofErr w:type="spellEnd"/>
      <w:r w:rsidR="00066323" w:rsidRPr="000F08B5">
        <w:t xml:space="preserve"> soil uses, including </w:t>
      </w:r>
      <w:r w:rsidR="00A55D53" w:rsidRPr="000F08B5">
        <w:t>strawberry fruit and tomato cropping sites.</w:t>
      </w:r>
    </w:p>
    <w:p w14:paraId="7C94CD4F" w14:textId="77777777" w:rsidR="000633FC" w:rsidRPr="00F9037E" w:rsidRDefault="000633FC" w:rsidP="000633FC">
      <w:pPr>
        <w:numPr>
          <w:ilvl w:val="0"/>
          <w:numId w:val="29"/>
        </w:numPr>
        <w:spacing w:after="0"/>
        <w:ind w:hanging="720"/>
      </w:pPr>
      <w:r w:rsidRPr="00365366">
        <w:t>Interim recommendations were agreed by consensus. The committee prepared the CUN Interim Report and the 201</w:t>
      </w:r>
      <w:r w:rsidR="00066323" w:rsidRPr="00F9037E">
        <w:t>6</w:t>
      </w:r>
      <w:r w:rsidRPr="00F9037E">
        <w:t xml:space="preserve"> Progress Report (including QPS) for consideration by the 3</w:t>
      </w:r>
      <w:r w:rsidR="00066323" w:rsidRPr="00F9037E">
        <w:t>8</w:t>
      </w:r>
      <w:r w:rsidRPr="00F9037E">
        <w:rPr>
          <w:vertAlign w:val="superscript"/>
        </w:rPr>
        <w:t>th</w:t>
      </w:r>
      <w:r w:rsidRPr="00F9037E">
        <w:t>OEWG.</w:t>
      </w:r>
    </w:p>
    <w:p w14:paraId="73954389" w14:textId="77777777" w:rsidR="000633FC" w:rsidRPr="00F9037E" w:rsidRDefault="000633FC" w:rsidP="000633FC">
      <w:pPr>
        <w:numPr>
          <w:ilvl w:val="0"/>
          <w:numId w:val="29"/>
        </w:numPr>
        <w:spacing w:after="0"/>
        <w:ind w:hanging="720"/>
      </w:pPr>
      <w:r w:rsidRPr="00F9037E">
        <w:t>At the 3</w:t>
      </w:r>
      <w:r w:rsidR="00066323" w:rsidRPr="00F9037E">
        <w:t>8</w:t>
      </w:r>
      <w:r w:rsidRPr="00F9037E">
        <w:rPr>
          <w:vertAlign w:val="superscript"/>
        </w:rPr>
        <w:t>th</w:t>
      </w:r>
      <w:r w:rsidRPr="00F9037E">
        <w:t xml:space="preserve"> OEWG (</w:t>
      </w:r>
      <w:r w:rsidR="00066323" w:rsidRPr="00F9037E">
        <w:t xml:space="preserve">Vienna, July </w:t>
      </w:r>
      <w:r w:rsidR="00A55D53" w:rsidRPr="00F9037E">
        <w:t>18-21</w:t>
      </w:r>
      <w:r w:rsidRPr="00F9037E">
        <w:t>, 201</w:t>
      </w:r>
      <w:r w:rsidR="00066323" w:rsidRPr="00F9037E">
        <w:t>6</w:t>
      </w:r>
      <w:r w:rsidRPr="00F9037E">
        <w:t xml:space="preserve">) presented CUN and Progress Report outcomes, and conducted bilateral meetings with </w:t>
      </w:r>
      <w:r w:rsidR="00066323" w:rsidRPr="00F9037E">
        <w:t xml:space="preserve">Australia, Canada, </w:t>
      </w:r>
      <w:r w:rsidRPr="00F9037E">
        <w:t>Argentina and South Africa.</w:t>
      </w:r>
    </w:p>
    <w:p w14:paraId="404CD814" w14:textId="77777777" w:rsidR="000633FC" w:rsidRPr="00F9037E" w:rsidRDefault="000633FC" w:rsidP="000633FC">
      <w:pPr>
        <w:numPr>
          <w:ilvl w:val="0"/>
          <w:numId w:val="29"/>
        </w:numPr>
        <w:spacing w:after="0"/>
        <w:ind w:hanging="720"/>
      </w:pPr>
      <w:r w:rsidRPr="00F9037E">
        <w:t>The final assessment for the CUN (soils and SC) was conducted by email during the second half of August 201</w:t>
      </w:r>
      <w:r w:rsidR="00066323" w:rsidRPr="00F9037E">
        <w:t>6</w:t>
      </w:r>
      <w:r w:rsidRPr="00F9037E">
        <w:t xml:space="preserve">. Further information was provided by </w:t>
      </w:r>
      <w:r w:rsidR="00066323" w:rsidRPr="00F9037E">
        <w:t xml:space="preserve">Australia, </w:t>
      </w:r>
      <w:r w:rsidRPr="00F9037E">
        <w:t xml:space="preserve">Canada and Argentina for </w:t>
      </w:r>
      <w:r w:rsidR="00066323" w:rsidRPr="00F9037E">
        <w:t>four</w:t>
      </w:r>
      <w:r w:rsidR="002234C1" w:rsidRPr="00F9037E">
        <w:t xml:space="preserve"> </w:t>
      </w:r>
      <w:proofErr w:type="spellStart"/>
      <w:r w:rsidRPr="00F9037E">
        <w:t>preplant</w:t>
      </w:r>
      <w:proofErr w:type="spellEnd"/>
      <w:r w:rsidRPr="00F9037E">
        <w:t xml:space="preserve"> soil nominations</w:t>
      </w:r>
      <w:r w:rsidR="00066323" w:rsidRPr="00F9037E">
        <w:t xml:space="preserve"> and South Africa for structural and commodity nominations</w:t>
      </w:r>
      <w:r w:rsidRPr="00F9037E">
        <w:t xml:space="preserve">. </w:t>
      </w:r>
    </w:p>
    <w:p w14:paraId="5F0A541A" w14:textId="77777777" w:rsidR="000633FC" w:rsidRPr="00F9037E" w:rsidRDefault="000633FC" w:rsidP="000633FC">
      <w:pPr>
        <w:numPr>
          <w:ilvl w:val="0"/>
          <w:numId w:val="29"/>
        </w:numPr>
        <w:spacing w:after="0"/>
        <w:ind w:hanging="720"/>
      </w:pPr>
      <w:r w:rsidRPr="00F9037E">
        <w:t>MBTOC prepared the final CUN report for consideration by the Parties at their 2</w:t>
      </w:r>
      <w:r w:rsidR="00066323" w:rsidRPr="00F9037E">
        <w:t>8</w:t>
      </w:r>
      <w:r w:rsidRPr="00F9037E">
        <w:rPr>
          <w:vertAlign w:val="superscript"/>
        </w:rPr>
        <w:t>th</w:t>
      </w:r>
      <w:r w:rsidRPr="00F9037E">
        <w:t xml:space="preserve"> Meeting in </w:t>
      </w:r>
      <w:r w:rsidR="00066323" w:rsidRPr="00F9037E">
        <w:t>October</w:t>
      </w:r>
      <w:r w:rsidRPr="00F9037E">
        <w:t xml:space="preserve"> 201</w:t>
      </w:r>
      <w:r w:rsidR="00066323" w:rsidRPr="00F9037E">
        <w:t>6</w:t>
      </w:r>
      <w:r w:rsidRPr="00F9037E">
        <w:t>.</w:t>
      </w:r>
    </w:p>
    <w:p w14:paraId="2A49454F" w14:textId="77777777" w:rsidR="000633FC" w:rsidRPr="00F9037E" w:rsidRDefault="000633FC" w:rsidP="000633FC">
      <w:pPr>
        <w:spacing w:after="0"/>
      </w:pPr>
    </w:p>
    <w:p w14:paraId="61EB713D" w14:textId="64A27B4B" w:rsidR="000633FC" w:rsidRPr="00F9037E" w:rsidRDefault="000633FC" w:rsidP="000633FC">
      <w:pPr>
        <w:spacing w:after="0"/>
      </w:pPr>
      <w:r w:rsidRPr="00F9037E">
        <w:t>The following “Actions” and “Indicative Completion Dates” are the “Working procedures of MBTOC relating to the evaluation of nominations for critical uses of MB”, as described in Annex 1 of the 16th Meeting of the Parties.  The annual work plan is required to be drawn up by MBTOC (supported by the Ozone Secretariat) in consultation with TEAP, which shall submit it to the Meeting of the Parties each year.</w:t>
      </w:r>
    </w:p>
    <w:p w14:paraId="20640981" w14:textId="08D25DE7" w:rsidR="000633FC" w:rsidRPr="003655C2" w:rsidRDefault="000F08B5" w:rsidP="006A54A1">
      <w:pPr>
        <w:pStyle w:val="Heading2"/>
        <w:rPr>
          <w:rStyle w:val="Heading2Char"/>
          <w:rFonts w:ascii="Times New Roman" w:hAnsi="Times New Roman"/>
        </w:rPr>
      </w:pPr>
      <w:bookmarkStart w:id="125" w:name="_Toc148167664"/>
      <w:bookmarkStart w:id="126" w:name="_Toc180663280"/>
      <w:bookmarkStart w:id="127" w:name="_Toc240041858"/>
      <w:bookmarkStart w:id="128" w:name="_Toc273011471"/>
      <w:bookmarkStart w:id="129" w:name="_Toc304129067"/>
      <w:bookmarkStart w:id="130" w:name="_Toc461183783"/>
      <w:r w:rsidRPr="003655C2">
        <w:rPr>
          <w:rStyle w:val="Heading2Char"/>
          <w:b w:val="0"/>
        </w:rPr>
        <w:t>4</w:t>
      </w:r>
      <w:r w:rsidR="000633FC" w:rsidRPr="003655C2">
        <w:rPr>
          <w:rStyle w:val="Heading2Char"/>
          <w:b w:val="0"/>
        </w:rPr>
        <w:t>.2.</w:t>
      </w:r>
      <w:r w:rsidR="000633FC" w:rsidRPr="003655C2">
        <w:rPr>
          <w:rStyle w:val="Heading2Char"/>
          <w:b w:val="0"/>
        </w:rPr>
        <w:tab/>
        <w:t xml:space="preserve">Work plan and indicative budget for </w:t>
      </w:r>
      <w:bookmarkEnd w:id="125"/>
      <w:bookmarkEnd w:id="126"/>
      <w:bookmarkEnd w:id="127"/>
      <w:bookmarkEnd w:id="128"/>
      <w:bookmarkEnd w:id="129"/>
      <w:r w:rsidR="0079319F" w:rsidRPr="003655C2">
        <w:rPr>
          <w:rStyle w:val="Heading2Char"/>
          <w:b w:val="0"/>
        </w:rPr>
        <w:t>2017</w:t>
      </w:r>
      <w:bookmarkEnd w:id="130"/>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1559"/>
        <w:gridCol w:w="1559"/>
        <w:gridCol w:w="1276"/>
      </w:tblGrid>
      <w:tr w:rsidR="000633FC" w:rsidRPr="00F9037E" w14:paraId="2410E9F4" w14:textId="77777777" w:rsidTr="0082102E">
        <w:trPr>
          <w:cantSplit/>
          <w:tblHeader/>
        </w:trPr>
        <w:tc>
          <w:tcPr>
            <w:tcW w:w="4928" w:type="dxa"/>
          </w:tcPr>
          <w:p w14:paraId="38CD5342" w14:textId="77777777" w:rsidR="000633FC" w:rsidRPr="00501812" w:rsidRDefault="000D114C" w:rsidP="000633FC">
            <w:pPr>
              <w:keepNext/>
              <w:rPr>
                <w:b/>
                <w:szCs w:val="22"/>
              </w:rPr>
            </w:pPr>
            <w:r w:rsidRPr="00CD3CBD">
              <w:rPr>
                <w:b/>
                <w:szCs w:val="22"/>
              </w:rPr>
              <w:t>Tasks and actions</w:t>
            </w:r>
          </w:p>
        </w:tc>
        <w:tc>
          <w:tcPr>
            <w:tcW w:w="1559" w:type="dxa"/>
          </w:tcPr>
          <w:p w14:paraId="37FFEA10" w14:textId="77777777" w:rsidR="000633FC" w:rsidRPr="00082015" w:rsidRDefault="000D114C" w:rsidP="000633FC">
            <w:pPr>
              <w:keepNext/>
              <w:rPr>
                <w:b/>
                <w:szCs w:val="22"/>
              </w:rPr>
            </w:pPr>
            <w:r w:rsidRPr="003A30C7">
              <w:rPr>
                <w:b/>
                <w:szCs w:val="22"/>
              </w:rPr>
              <w:t>Indicative budget needs where applicable</w:t>
            </w:r>
          </w:p>
        </w:tc>
        <w:tc>
          <w:tcPr>
            <w:tcW w:w="1559" w:type="dxa"/>
          </w:tcPr>
          <w:p w14:paraId="6FC32E8B" w14:textId="77777777" w:rsidR="000633FC" w:rsidRPr="00F5313E" w:rsidRDefault="000D114C" w:rsidP="000633FC">
            <w:pPr>
              <w:keepNext/>
              <w:rPr>
                <w:b/>
                <w:szCs w:val="22"/>
              </w:rPr>
            </w:pPr>
            <w:r w:rsidRPr="00082015">
              <w:rPr>
                <w:b/>
                <w:szCs w:val="22"/>
              </w:rPr>
              <w:t>Indicative completion date</w:t>
            </w:r>
          </w:p>
        </w:tc>
        <w:tc>
          <w:tcPr>
            <w:tcW w:w="1276" w:type="dxa"/>
          </w:tcPr>
          <w:p w14:paraId="2DDD7652" w14:textId="77777777" w:rsidR="000633FC" w:rsidRPr="00220275" w:rsidRDefault="000D114C" w:rsidP="000633FC">
            <w:pPr>
              <w:keepNext/>
              <w:rPr>
                <w:b/>
                <w:szCs w:val="22"/>
              </w:rPr>
            </w:pPr>
            <w:r w:rsidRPr="00220275">
              <w:rPr>
                <w:b/>
                <w:szCs w:val="22"/>
              </w:rPr>
              <w:t>Dates of meetings</w:t>
            </w:r>
          </w:p>
        </w:tc>
      </w:tr>
      <w:tr w:rsidR="000633FC" w:rsidRPr="00F9037E" w14:paraId="5C801C9E" w14:textId="77777777" w:rsidTr="008C634A">
        <w:trPr>
          <w:cantSplit/>
        </w:trPr>
        <w:tc>
          <w:tcPr>
            <w:tcW w:w="4928" w:type="dxa"/>
            <w:vAlign w:val="center"/>
          </w:tcPr>
          <w:p w14:paraId="37EBF807" w14:textId="77777777" w:rsidR="000633FC" w:rsidRPr="00220275" w:rsidRDefault="000633FC" w:rsidP="008C634A">
            <w:pPr>
              <w:keepNext/>
              <w:numPr>
                <w:ilvl w:val="0"/>
                <w:numId w:val="30"/>
              </w:numPr>
              <w:spacing w:after="0"/>
              <w:ind w:left="0" w:firstLine="0"/>
              <w:rPr>
                <w:b/>
                <w:szCs w:val="22"/>
              </w:rPr>
            </w:pPr>
            <w:r w:rsidRPr="00220275">
              <w:rPr>
                <w:szCs w:val="22"/>
              </w:rPr>
              <w:t>Parties submit their nominations for critical-use exemptions to the Secretariat</w:t>
            </w:r>
          </w:p>
        </w:tc>
        <w:tc>
          <w:tcPr>
            <w:tcW w:w="1559" w:type="dxa"/>
            <w:vAlign w:val="center"/>
          </w:tcPr>
          <w:p w14:paraId="7296FBD5" w14:textId="77777777" w:rsidR="000633FC" w:rsidRPr="00220275" w:rsidRDefault="000633FC" w:rsidP="008C634A">
            <w:pPr>
              <w:keepNext/>
              <w:jc w:val="center"/>
              <w:rPr>
                <w:szCs w:val="22"/>
              </w:rPr>
            </w:pPr>
            <w:r w:rsidRPr="00220275">
              <w:rPr>
                <w:szCs w:val="22"/>
              </w:rPr>
              <w:t>-</w:t>
            </w:r>
          </w:p>
        </w:tc>
        <w:tc>
          <w:tcPr>
            <w:tcW w:w="1559" w:type="dxa"/>
          </w:tcPr>
          <w:p w14:paraId="25480BAC" w14:textId="77777777" w:rsidR="000633FC" w:rsidRPr="00563BC0" w:rsidRDefault="000633FC" w:rsidP="008C634A">
            <w:pPr>
              <w:keepNext/>
              <w:rPr>
                <w:szCs w:val="22"/>
              </w:rPr>
            </w:pPr>
            <w:r w:rsidRPr="00B87B95">
              <w:rPr>
                <w:szCs w:val="22"/>
              </w:rPr>
              <w:t>24 January 201</w:t>
            </w:r>
            <w:r w:rsidR="00066323" w:rsidRPr="00563BC0">
              <w:rPr>
                <w:szCs w:val="22"/>
              </w:rPr>
              <w:t>7</w:t>
            </w:r>
          </w:p>
        </w:tc>
        <w:tc>
          <w:tcPr>
            <w:tcW w:w="1276" w:type="dxa"/>
          </w:tcPr>
          <w:p w14:paraId="57F49189" w14:textId="77777777" w:rsidR="000633FC" w:rsidRPr="00563BC0" w:rsidRDefault="000633FC" w:rsidP="000633FC">
            <w:pPr>
              <w:keepNext/>
              <w:rPr>
                <w:szCs w:val="22"/>
              </w:rPr>
            </w:pPr>
          </w:p>
        </w:tc>
      </w:tr>
      <w:tr w:rsidR="000633FC" w:rsidRPr="00F9037E" w14:paraId="775EF678" w14:textId="77777777" w:rsidTr="008C634A">
        <w:trPr>
          <w:cantSplit/>
          <w:trHeight w:val="420"/>
        </w:trPr>
        <w:tc>
          <w:tcPr>
            <w:tcW w:w="4928" w:type="dxa"/>
            <w:vAlign w:val="center"/>
          </w:tcPr>
          <w:p w14:paraId="39D6D029" w14:textId="77777777" w:rsidR="000633FC" w:rsidRPr="00F9037E" w:rsidRDefault="000633FC" w:rsidP="008C634A">
            <w:pPr>
              <w:keepNext/>
              <w:numPr>
                <w:ilvl w:val="0"/>
                <w:numId w:val="30"/>
              </w:numPr>
              <w:spacing w:after="0"/>
              <w:ind w:left="0" w:firstLine="0"/>
              <w:rPr>
                <w:b/>
                <w:szCs w:val="22"/>
              </w:rPr>
            </w:pPr>
            <w:r w:rsidRPr="00F9037E">
              <w:rPr>
                <w:szCs w:val="22"/>
              </w:rPr>
              <w:t>The nominations are forwarded to MBTOC co-chairs for distribution to the subgroups of appointed members</w:t>
            </w:r>
          </w:p>
        </w:tc>
        <w:tc>
          <w:tcPr>
            <w:tcW w:w="1559" w:type="dxa"/>
            <w:vAlign w:val="center"/>
          </w:tcPr>
          <w:p w14:paraId="00FC8AEB" w14:textId="77777777" w:rsidR="000633FC" w:rsidRPr="00F9037E" w:rsidRDefault="000633FC" w:rsidP="008C634A">
            <w:pPr>
              <w:keepNext/>
              <w:jc w:val="center"/>
              <w:rPr>
                <w:szCs w:val="22"/>
              </w:rPr>
            </w:pPr>
            <w:r w:rsidRPr="00F9037E">
              <w:rPr>
                <w:szCs w:val="22"/>
              </w:rPr>
              <w:t>-</w:t>
            </w:r>
          </w:p>
        </w:tc>
        <w:tc>
          <w:tcPr>
            <w:tcW w:w="1559" w:type="dxa"/>
          </w:tcPr>
          <w:p w14:paraId="7369FA90" w14:textId="77777777" w:rsidR="000633FC" w:rsidRPr="00F9037E" w:rsidRDefault="000633FC" w:rsidP="008C634A">
            <w:pPr>
              <w:keepNext/>
              <w:rPr>
                <w:szCs w:val="22"/>
              </w:rPr>
            </w:pPr>
            <w:r w:rsidRPr="00F9037E">
              <w:rPr>
                <w:szCs w:val="22"/>
              </w:rPr>
              <w:t>7 February 201</w:t>
            </w:r>
            <w:r w:rsidR="00066323" w:rsidRPr="00F9037E">
              <w:rPr>
                <w:szCs w:val="22"/>
              </w:rPr>
              <w:t>7</w:t>
            </w:r>
          </w:p>
        </w:tc>
        <w:tc>
          <w:tcPr>
            <w:tcW w:w="1276" w:type="dxa"/>
          </w:tcPr>
          <w:p w14:paraId="43BE5210" w14:textId="77777777" w:rsidR="000633FC" w:rsidRPr="00F9037E" w:rsidRDefault="000633FC" w:rsidP="000633FC">
            <w:pPr>
              <w:keepNext/>
              <w:rPr>
                <w:szCs w:val="22"/>
              </w:rPr>
            </w:pPr>
          </w:p>
        </w:tc>
      </w:tr>
      <w:tr w:rsidR="000633FC" w:rsidRPr="00F9037E" w14:paraId="424640F8" w14:textId="77777777" w:rsidTr="008C634A">
        <w:trPr>
          <w:cantSplit/>
          <w:trHeight w:val="233"/>
        </w:trPr>
        <w:tc>
          <w:tcPr>
            <w:tcW w:w="4928" w:type="dxa"/>
            <w:vAlign w:val="center"/>
          </w:tcPr>
          <w:p w14:paraId="11223E73" w14:textId="77777777" w:rsidR="000633FC" w:rsidRPr="00F9037E" w:rsidRDefault="000633FC" w:rsidP="008C634A">
            <w:pPr>
              <w:numPr>
                <w:ilvl w:val="0"/>
                <w:numId w:val="30"/>
              </w:numPr>
              <w:spacing w:after="0"/>
              <w:ind w:left="0" w:firstLine="0"/>
              <w:rPr>
                <w:b/>
                <w:szCs w:val="22"/>
              </w:rPr>
            </w:pPr>
            <w:r w:rsidRPr="00F9037E">
              <w:rPr>
                <w:szCs w:val="22"/>
              </w:rPr>
              <w:t>Nominations in full are assessed by the subgroups of appointed members. The initial findings of the subgroups, and any requests for additional information are forwarded to the MBTOC co-chairs for clearance</w:t>
            </w:r>
          </w:p>
        </w:tc>
        <w:tc>
          <w:tcPr>
            <w:tcW w:w="1559" w:type="dxa"/>
            <w:vAlign w:val="center"/>
          </w:tcPr>
          <w:p w14:paraId="69C28822" w14:textId="77777777" w:rsidR="000633FC" w:rsidRPr="00F9037E" w:rsidRDefault="000633FC" w:rsidP="008C634A">
            <w:pPr>
              <w:jc w:val="center"/>
              <w:rPr>
                <w:szCs w:val="22"/>
              </w:rPr>
            </w:pPr>
            <w:r w:rsidRPr="00F9037E">
              <w:rPr>
                <w:szCs w:val="22"/>
              </w:rPr>
              <w:t>-</w:t>
            </w:r>
          </w:p>
        </w:tc>
        <w:tc>
          <w:tcPr>
            <w:tcW w:w="1559" w:type="dxa"/>
          </w:tcPr>
          <w:p w14:paraId="66ED6FB1" w14:textId="77777777" w:rsidR="000633FC" w:rsidRPr="00F9037E" w:rsidRDefault="000633FC" w:rsidP="008C634A">
            <w:pPr>
              <w:rPr>
                <w:szCs w:val="22"/>
              </w:rPr>
            </w:pPr>
            <w:r w:rsidRPr="00F9037E">
              <w:rPr>
                <w:szCs w:val="22"/>
              </w:rPr>
              <w:t>21 February 201</w:t>
            </w:r>
            <w:r w:rsidR="00066323" w:rsidRPr="00F9037E">
              <w:rPr>
                <w:szCs w:val="22"/>
              </w:rPr>
              <w:t>7</w:t>
            </w:r>
          </w:p>
        </w:tc>
        <w:tc>
          <w:tcPr>
            <w:tcW w:w="1276" w:type="dxa"/>
          </w:tcPr>
          <w:p w14:paraId="3DE2D65B" w14:textId="77777777" w:rsidR="000633FC" w:rsidRPr="00F9037E" w:rsidRDefault="000633FC" w:rsidP="000633FC">
            <w:pPr>
              <w:rPr>
                <w:szCs w:val="22"/>
              </w:rPr>
            </w:pPr>
          </w:p>
        </w:tc>
      </w:tr>
      <w:tr w:rsidR="000633FC" w:rsidRPr="00F9037E" w14:paraId="22508F5C" w14:textId="77777777" w:rsidTr="008C634A">
        <w:trPr>
          <w:cantSplit/>
          <w:trHeight w:val="615"/>
        </w:trPr>
        <w:tc>
          <w:tcPr>
            <w:tcW w:w="4928" w:type="dxa"/>
            <w:vAlign w:val="center"/>
          </w:tcPr>
          <w:p w14:paraId="1C3730C1" w14:textId="77777777" w:rsidR="000633FC" w:rsidRPr="00F9037E" w:rsidRDefault="000633FC" w:rsidP="008C634A">
            <w:pPr>
              <w:numPr>
                <w:ilvl w:val="0"/>
                <w:numId w:val="30"/>
              </w:numPr>
              <w:spacing w:after="0"/>
              <w:ind w:left="0" w:firstLine="0"/>
              <w:rPr>
                <w:b/>
                <w:szCs w:val="22"/>
              </w:rPr>
            </w:pPr>
            <w:r w:rsidRPr="00F9037E">
              <w:rPr>
                <w:szCs w:val="22"/>
              </w:rPr>
              <w:t>MBTOC co-chairs forward the cleared advice on initial findings and may request additional information on to the nominating Party concerned and consult with the Party on the possible presumption therein</w:t>
            </w:r>
          </w:p>
        </w:tc>
        <w:tc>
          <w:tcPr>
            <w:tcW w:w="1559" w:type="dxa"/>
            <w:vAlign w:val="center"/>
          </w:tcPr>
          <w:p w14:paraId="0C561A9B" w14:textId="77777777" w:rsidR="000633FC" w:rsidRPr="00F9037E" w:rsidRDefault="000633FC" w:rsidP="008C634A">
            <w:pPr>
              <w:jc w:val="center"/>
              <w:rPr>
                <w:szCs w:val="22"/>
              </w:rPr>
            </w:pPr>
            <w:r w:rsidRPr="00F9037E">
              <w:rPr>
                <w:szCs w:val="22"/>
              </w:rPr>
              <w:t>-</w:t>
            </w:r>
          </w:p>
        </w:tc>
        <w:tc>
          <w:tcPr>
            <w:tcW w:w="1559" w:type="dxa"/>
          </w:tcPr>
          <w:p w14:paraId="5E477284" w14:textId="77777777" w:rsidR="000633FC" w:rsidRPr="00F9037E" w:rsidRDefault="000633FC" w:rsidP="008C634A">
            <w:pPr>
              <w:rPr>
                <w:szCs w:val="22"/>
              </w:rPr>
            </w:pPr>
            <w:r w:rsidRPr="00F9037E">
              <w:rPr>
                <w:szCs w:val="22"/>
              </w:rPr>
              <w:t>28 February 201</w:t>
            </w:r>
            <w:r w:rsidR="00066323" w:rsidRPr="00F9037E">
              <w:rPr>
                <w:szCs w:val="22"/>
              </w:rPr>
              <w:t>7</w:t>
            </w:r>
          </w:p>
        </w:tc>
        <w:tc>
          <w:tcPr>
            <w:tcW w:w="1276" w:type="dxa"/>
          </w:tcPr>
          <w:p w14:paraId="7601135B" w14:textId="77777777" w:rsidR="000633FC" w:rsidRPr="00F9037E" w:rsidRDefault="000633FC" w:rsidP="000633FC">
            <w:pPr>
              <w:rPr>
                <w:szCs w:val="22"/>
              </w:rPr>
            </w:pPr>
          </w:p>
        </w:tc>
      </w:tr>
      <w:tr w:rsidR="000633FC" w:rsidRPr="00F9037E" w14:paraId="05CCA5EA" w14:textId="77777777" w:rsidTr="008C634A">
        <w:trPr>
          <w:cantSplit/>
          <w:trHeight w:val="210"/>
        </w:trPr>
        <w:tc>
          <w:tcPr>
            <w:tcW w:w="4928" w:type="dxa"/>
            <w:vAlign w:val="center"/>
          </w:tcPr>
          <w:p w14:paraId="0798754C" w14:textId="77777777" w:rsidR="000633FC" w:rsidRPr="00365366" w:rsidRDefault="000633FC" w:rsidP="008C634A">
            <w:pPr>
              <w:numPr>
                <w:ilvl w:val="0"/>
                <w:numId w:val="30"/>
              </w:numPr>
              <w:spacing w:after="0"/>
              <w:ind w:left="0" w:firstLine="0"/>
              <w:rPr>
                <w:b/>
                <w:szCs w:val="22"/>
              </w:rPr>
            </w:pPr>
            <w:r w:rsidRPr="000F08B5">
              <w:rPr>
                <w:szCs w:val="22"/>
              </w:rPr>
              <w:lastRenderedPageBreak/>
              <w:t>Nominating Party develops and submits its response to the MBTOC co-chairs</w:t>
            </w:r>
          </w:p>
        </w:tc>
        <w:tc>
          <w:tcPr>
            <w:tcW w:w="1559" w:type="dxa"/>
            <w:vAlign w:val="center"/>
          </w:tcPr>
          <w:p w14:paraId="7ED892E9" w14:textId="77777777" w:rsidR="000633FC" w:rsidRPr="00F9037E" w:rsidRDefault="000633FC" w:rsidP="008C634A">
            <w:pPr>
              <w:jc w:val="center"/>
              <w:rPr>
                <w:szCs w:val="22"/>
              </w:rPr>
            </w:pPr>
            <w:r w:rsidRPr="00F9037E">
              <w:rPr>
                <w:szCs w:val="22"/>
              </w:rPr>
              <w:t>-</w:t>
            </w:r>
          </w:p>
        </w:tc>
        <w:tc>
          <w:tcPr>
            <w:tcW w:w="1559" w:type="dxa"/>
          </w:tcPr>
          <w:p w14:paraId="5588FE96" w14:textId="77777777" w:rsidR="000633FC" w:rsidRPr="00220275" w:rsidRDefault="000633FC" w:rsidP="00066323">
            <w:pPr>
              <w:rPr>
                <w:szCs w:val="22"/>
              </w:rPr>
            </w:pPr>
            <w:r w:rsidRPr="00082015">
              <w:rPr>
                <w:szCs w:val="22"/>
              </w:rPr>
              <w:t>7 March 201</w:t>
            </w:r>
            <w:r w:rsidR="00066323" w:rsidRPr="00F5313E">
              <w:rPr>
                <w:szCs w:val="22"/>
              </w:rPr>
              <w:t>7</w:t>
            </w:r>
          </w:p>
        </w:tc>
        <w:tc>
          <w:tcPr>
            <w:tcW w:w="1276" w:type="dxa"/>
          </w:tcPr>
          <w:p w14:paraId="039BA9C5" w14:textId="77777777" w:rsidR="000633FC" w:rsidRPr="00220275" w:rsidRDefault="000633FC" w:rsidP="000633FC">
            <w:pPr>
              <w:rPr>
                <w:szCs w:val="22"/>
              </w:rPr>
            </w:pPr>
          </w:p>
        </w:tc>
      </w:tr>
      <w:tr w:rsidR="000633FC" w:rsidRPr="00F9037E" w14:paraId="245AB000" w14:textId="77777777" w:rsidTr="008C634A">
        <w:trPr>
          <w:cantSplit/>
        </w:trPr>
        <w:tc>
          <w:tcPr>
            <w:tcW w:w="4928" w:type="dxa"/>
            <w:vAlign w:val="center"/>
          </w:tcPr>
          <w:p w14:paraId="1705B017" w14:textId="77777777" w:rsidR="000633FC" w:rsidRPr="00220275" w:rsidRDefault="000D114C" w:rsidP="008C634A">
            <w:pPr>
              <w:numPr>
                <w:ilvl w:val="0"/>
                <w:numId w:val="30"/>
              </w:numPr>
              <w:spacing w:after="0"/>
              <w:rPr>
                <w:b/>
                <w:szCs w:val="22"/>
              </w:rPr>
            </w:pPr>
            <w:r w:rsidRPr="00220275">
              <w:rPr>
                <w:szCs w:val="22"/>
              </w:rPr>
              <w:t xml:space="preserve">MBTOC Meeting </w:t>
            </w:r>
          </w:p>
          <w:p w14:paraId="50413108" w14:textId="77777777" w:rsidR="000633FC" w:rsidRPr="00563BC0" w:rsidRDefault="000D114C" w:rsidP="008C634A">
            <w:pPr>
              <w:numPr>
                <w:ilvl w:val="0"/>
                <w:numId w:val="32"/>
              </w:numPr>
              <w:spacing w:after="0"/>
              <w:rPr>
                <w:szCs w:val="22"/>
              </w:rPr>
            </w:pPr>
            <w:r w:rsidRPr="00B87B95">
              <w:rPr>
                <w:szCs w:val="22"/>
              </w:rPr>
              <w:t xml:space="preserve">To assess nominations, including any additional information provided by the nominating Party prior to the MBTOC meeting under action 5 and any additional information provided by nominating Party through pre-arranged teleconference, or through meetings with national experts, in accordance with paragraph 3.4 of the terms of reference of TEAP (see Annex I of MOP16, Dec XVI/4) </w:t>
            </w:r>
          </w:p>
          <w:p w14:paraId="7002CF1A" w14:textId="77777777" w:rsidR="000633FC" w:rsidRPr="00563BC0" w:rsidRDefault="000D114C" w:rsidP="008C634A">
            <w:pPr>
              <w:numPr>
                <w:ilvl w:val="0"/>
                <w:numId w:val="32"/>
              </w:numPr>
              <w:spacing w:after="0"/>
              <w:rPr>
                <w:b/>
                <w:szCs w:val="22"/>
              </w:rPr>
            </w:pPr>
            <w:r w:rsidRPr="00563BC0">
              <w:rPr>
                <w:szCs w:val="22"/>
              </w:rPr>
              <w:t>Bilateral meetings if requested by Parties</w:t>
            </w:r>
          </w:p>
          <w:p w14:paraId="36D0186C" w14:textId="77777777" w:rsidR="000633FC" w:rsidRPr="00563BC0" w:rsidRDefault="000D114C" w:rsidP="008C634A">
            <w:pPr>
              <w:numPr>
                <w:ilvl w:val="0"/>
                <w:numId w:val="32"/>
              </w:numPr>
              <w:spacing w:after="0"/>
              <w:rPr>
                <w:b/>
                <w:szCs w:val="22"/>
              </w:rPr>
            </w:pPr>
            <w:r w:rsidRPr="00563BC0">
              <w:rPr>
                <w:szCs w:val="22"/>
              </w:rPr>
              <w:t xml:space="preserve">To discuss and finalise the CUN evaluation process </w:t>
            </w:r>
          </w:p>
          <w:p w14:paraId="6845CA5D" w14:textId="77777777" w:rsidR="000633FC" w:rsidRPr="00365366" w:rsidRDefault="000D114C" w:rsidP="008C634A">
            <w:pPr>
              <w:numPr>
                <w:ilvl w:val="0"/>
                <w:numId w:val="32"/>
              </w:numPr>
              <w:spacing w:after="0"/>
              <w:rPr>
                <w:b/>
                <w:szCs w:val="22"/>
              </w:rPr>
            </w:pPr>
            <w:r w:rsidRPr="000F08B5">
              <w:rPr>
                <w:szCs w:val="22"/>
              </w:rPr>
              <w:t>If necessary, discussed any new or standard presumptions that MBTOC seeks to apply in its future assessment of critical-use nominations, for approval by the Meeting of the Parties</w:t>
            </w:r>
          </w:p>
          <w:p w14:paraId="58713789" w14:textId="77777777" w:rsidR="000633FC" w:rsidRPr="00F9037E" w:rsidRDefault="000D114C" w:rsidP="008C634A">
            <w:pPr>
              <w:numPr>
                <w:ilvl w:val="0"/>
                <w:numId w:val="32"/>
              </w:numPr>
              <w:spacing w:after="0"/>
              <w:rPr>
                <w:b/>
                <w:szCs w:val="22"/>
              </w:rPr>
            </w:pPr>
            <w:r w:rsidRPr="00F9037E">
              <w:rPr>
                <w:szCs w:val="22"/>
              </w:rPr>
              <w:t>Draft the 2015 Progress Report</w:t>
            </w:r>
          </w:p>
          <w:p w14:paraId="0A6C763D" w14:textId="77777777" w:rsidR="000633FC" w:rsidRPr="00F9037E" w:rsidRDefault="000D114C" w:rsidP="008C634A">
            <w:pPr>
              <w:numPr>
                <w:ilvl w:val="0"/>
                <w:numId w:val="32"/>
              </w:numPr>
              <w:spacing w:after="0"/>
              <w:rPr>
                <w:b/>
                <w:szCs w:val="22"/>
              </w:rPr>
            </w:pPr>
            <w:r w:rsidRPr="00F9037E">
              <w:rPr>
                <w:szCs w:val="22"/>
              </w:rPr>
              <w:t>Any other tasks assigned by the Parties at the 27</w:t>
            </w:r>
            <w:r w:rsidRPr="00F9037E">
              <w:rPr>
                <w:szCs w:val="22"/>
                <w:vertAlign w:val="superscript"/>
              </w:rPr>
              <w:t>th</w:t>
            </w:r>
            <w:r w:rsidRPr="00F9037E">
              <w:rPr>
                <w:szCs w:val="22"/>
              </w:rPr>
              <w:t xml:space="preserve"> MOP</w:t>
            </w:r>
          </w:p>
        </w:tc>
        <w:tc>
          <w:tcPr>
            <w:tcW w:w="1559" w:type="dxa"/>
          </w:tcPr>
          <w:p w14:paraId="7E00B21C" w14:textId="77777777" w:rsidR="000633FC" w:rsidRPr="00F9037E" w:rsidRDefault="000D114C" w:rsidP="000633FC">
            <w:pPr>
              <w:rPr>
                <w:szCs w:val="22"/>
              </w:rPr>
            </w:pPr>
            <w:r w:rsidRPr="00F9037E">
              <w:rPr>
                <w:szCs w:val="22"/>
              </w:rPr>
              <w:t>Funds for travel of 1non-A5 member: US$3,000*</w:t>
            </w:r>
          </w:p>
          <w:p w14:paraId="7BBDE5F6" w14:textId="77777777" w:rsidR="000633FC" w:rsidRPr="00F9037E" w:rsidRDefault="000D114C" w:rsidP="000633FC">
            <w:pPr>
              <w:rPr>
                <w:szCs w:val="22"/>
              </w:rPr>
            </w:pPr>
            <w:r w:rsidRPr="00F9037E">
              <w:rPr>
                <w:szCs w:val="22"/>
              </w:rPr>
              <w:t>Meeting Costs $3,000</w:t>
            </w:r>
          </w:p>
          <w:p w14:paraId="3F2C1012" w14:textId="77777777" w:rsidR="000633FC" w:rsidRPr="00F9037E" w:rsidRDefault="000633FC" w:rsidP="000633FC">
            <w:pPr>
              <w:rPr>
                <w:color w:val="FF0000"/>
                <w:szCs w:val="22"/>
              </w:rPr>
            </w:pPr>
          </w:p>
          <w:p w14:paraId="18714634" w14:textId="77777777" w:rsidR="000633FC" w:rsidRPr="00F9037E" w:rsidRDefault="000633FC" w:rsidP="000633FC">
            <w:pPr>
              <w:rPr>
                <w:szCs w:val="22"/>
              </w:rPr>
            </w:pPr>
          </w:p>
        </w:tc>
        <w:tc>
          <w:tcPr>
            <w:tcW w:w="1559" w:type="dxa"/>
          </w:tcPr>
          <w:p w14:paraId="4C9EED31" w14:textId="77777777" w:rsidR="000633FC" w:rsidRPr="00F9037E" w:rsidRDefault="000D114C" w:rsidP="00066323">
            <w:pPr>
              <w:rPr>
                <w:szCs w:val="22"/>
              </w:rPr>
            </w:pPr>
            <w:r w:rsidRPr="00F9037E">
              <w:rPr>
                <w:szCs w:val="22"/>
              </w:rPr>
              <w:t>March 2017</w:t>
            </w:r>
          </w:p>
        </w:tc>
        <w:tc>
          <w:tcPr>
            <w:tcW w:w="1276" w:type="dxa"/>
          </w:tcPr>
          <w:p w14:paraId="07FE4267" w14:textId="77777777" w:rsidR="004865BD" w:rsidRPr="00F9037E" w:rsidRDefault="004865BD" w:rsidP="004865BD">
            <w:pPr>
              <w:spacing w:after="0"/>
              <w:rPr>
                <w:szCs w:val="22"/>
              </w:rPr>
            </w:pPr>
            <w:r w:rsidRPr="00F9037E">
              <w:rPr>
                <w:szCs w:val="22"/>
              </w:rPr>
              <w:t>TBA</w:t>
            </w:r>
          </w:p>
          <w:p w14:paraId="4046157A" w14:textId="050557C7" w:rsidR="00066323" w:rsidRPr="00F9037E" w:rsidRDefault="00501812" w:rsidP="004865BD">
            <w:pPr>
              <w:spacing w:after="0"/>
              <w:rPr>
                <w:szCs w:val="22"/>
              </w:rPr>
            </w:pPr>
            <w:r w:rsidRPr="00501812">
              <w:rPr>
                <w:szCs w:val="22"/>
              </w:rPr>
              <w:t>China?</w:t>
            </w:r>
            <w:r w:rsidR="004865BD" w:rsidRPr="00F9037E">
              <w:rPr>
                <w:szCs w:val="22"/>
              </w:rPr>
              <w:t> </w:t>
            </w:r>
          </w:p>
          <w:p w14:paraId="5BB2BBAA" w14:textId="77777777" w:rsidR="004865BD" w:rsidRPr="00F9037E" w:rsidRDefault="004865BD" w:rsidP="00066323">
            <w:pPr>
              <w:rPr>
                <w:szCs w:val="22"/>
              </w:rPr>
            </w:pPr>
          </w:p>
          <w:p w14:paraId="72D65A7F" w14:textId="77777777" w:rsidR="000633FC" w:rsidRPr="00F9037E" w:rsidRDefault="00066323" w:rsidP="00066323">
            <w:pPr>
              <w:rPr>
                <w:szCs w:val="22"/>
              </w:rPr>
            </w:pPr>
            <w:r w:rsidRPr="00F9037E">
              <w:rPr>
                <w:szCs w:val="22"/>
              </w:rPr>
              <w:t>(March, 2017)</w:t>
            </w:r>
          </w:p>
        </w:tc>
      </w:tr>
      <w:tr w:rsidR="000633FC" w:rsidRPr="00F9037E" w14:paraId="63D521D3" w14:textId="77777777" w:rsidTr="008C634A">
        <w:trPr>
          <w:cantSplit/>
        </w:trPr>
        <w:tc>
          <w:tcPr>
            <w:tcW w:w="4928" w:type="dxa"/>
            <w:vAlign w:val="center"/>
          </w:tcPr>
          <w:p w14:paraId="461EBF33" w14:textId="77777777" w:rsidR="000633FC" w:rsidRPr="00F9037E" w:rsidRDefault="000633FC" w:rsidP="008C634A">
            <w:pPr>
              <w:rPr>
                <w:szCs w:val="22"/>
              </w:rPr>
            </w:pPr>
            <w:r w:rsidRPr="00F9037E">
              <w:rPr>
                <w:szCs w:val="22"/>
              </w:rPr>
              <w:t>8.      MBTOC provides its draft recommendations on the CUNs to TEAP</w:t>
            </w:r>
          </w:p>
        </w:tc>
        <w:tc>
          <w:tcPr>
            <w:tcW w:w="1559" w:type="dxa"/>
          </w:tcPr>
          <w:p w14:paraId="2499E125" w14:textId="77777777" w:rsidR="000633FC" w:rsidRPr="00F9037E" w:rsidRDefault="000633FC" w:rsidP="000633FC">
            <w:pPr>
              <w:rPr>
                <w:szCs w:val="22"/>
              </w:rPr>
            </w:pPr>
          </w:p>
        </w:tc>
        <w:tc>
          <w:tcPr>
            <w:tcW w:w="1559" w:type="dxa"/>
          </w:tcPr>
          <w:p w14:paraId="3E5F0535" w14:textId="77777777" w:rsidR="000633FC" w:rsidRPr="00F9037E" w:rsidRDefault="00066323" w:rsidP="000633FC">
            <w:pPr>
              <w:rPr>
                <w:szCs w:val="22"/>
              </w:rPr>
            </w:pPr>
            <w:r w:rsidRPr="00F9037E">
              <w:rPr>
                <w:szCs w:val="22"/>
              </w:rPr>
              <w:t>April, 2017</w:t>
            </w:r>
          </w:p>
        </w:tc>
        <w:tc>
          <w:tcPr>
            <w:tcW w:w="1276" w:type="dxa"/>
          </w:tcPr>
          <w:p w14:paraId="5E57A801" w14:textId="77777777" w:rsidR="000633FC" w:rsidRPr="00F9037E" w:rsidRDefault="000633FC" w:rsidP="000633FC">
            <w:pPr>
              <w:rPr>
                <w:szCs w:val="22"/>
              </w:rPr>
            </w:pPr>
          </w:p>
        </w:tc>
      </w:tr>
      <w:tr w:rsidR="000633FC" w:rsidRPr="00F9037E" w14:paraId="3F057751" w14:textId="77777777" w:rsidTr="008C634A">
        <w:trPr>
          <w:cantSplit/>
          <w:trHeight w:val="615"/>
        </w:trPr>
        <w:tc>
          <w:tcPr>
            <w:tcW w:w="4928" w:type="dxa"/>
            <w:vAlign w:val="center"/>
          </w:tcPr>
          <w:p w14:paraId="027F9856" w14:textId="77777777" w:rsidR="000633FC" w:rsidRPr="00F9037E" w:rsidRDefault="000633FC" w:rsidP="008C634A">
            <w:pPr>
              <w:rPr>
                <w:szCs w:val="22"/>
              </w:rPr>
            </w:pPr>
            <w:r w:rsidRPr="00F9037E">
              <w:rPr>
                <w:szCs w:val="22"/>
              </w:rPr>
              <w:t>9- TEAP Meeting: To assess the MBTOC report on critical-use nominations and submits the finalised interim report on recommendations and findings to the Secretariat.</w:t>
            </w:r>
          </w:p>
        </w:tc>
        <w:tc>
          <w:tcPr>
            <w:tcW w:w="1559" w:type="dxa"/>
          </w:tcPr>
          <w:p w14:paraId="7403D84E" w14:textId="77777777" w:rsidR="000633FC" w:rsidRPr="00F9037E" w:rsidRDefault="000633FC" w:rsidP="000633FC">
            <w:pPr>
              <w:rPr>
                <w:szCs w:val="22"/>
              </w:rPr>
            </w:pPr>
          </w:p>
        </w:tc>
        <w:tc>
          <w:tcPr>
            <w:tcW w:w="1559" w:type="dxa"/>
          </w:tcPr>
          <w:p w14:paraId="528E29F7" w14:textId="77777777" w:rsidR="000633FC" w:rsidRPr="00F9037E" w:rsidRDefault="000633FC" w:rsidP="00066323">
            <w:pPr>
              <w:rPr>
                <w:szCs w:val="22"/>
              </w:rPr>
            </w:pPr>
            <w:r w:rsidRPr="00F9037E">
              <w:rPr>
                <w:szCs w:val="22"/>
              </w:rPr>
              <w:t>April 201</w:t>
            </w:r>
            <w:r w:rsidR="00066323" w:rsidRPr="00F9037E">
              <w:rPr>
                <w:szCs w:val="22"/>
              </w:rPr>
              <w:t>7</w:t>
            </w:r>
          </w:p>
        </w:tc>
        <w:tc>
          <w:tcPr>
            <w:tcW w:w="1276" w:type="dxa"/>
          </w:tcPr>
          <w:p w14:paraId="32ECBC6D" w14:textId="77777777" w:rsidR="000633FC" w:rsidRPr="00F9037E" w:rsidRDefault="000633FC" w:rsidP="000633FC">
            <w:pPr>
              <w:rPr>
                <w:szCs w:val="22"/>
              </w:rPr>
            </w:pPr>
            <w:r w:rsidRPr="00F9037E">
              <w:rPr>
                <w:szCs w:val="22"/>
              </w:rPr>
              <w:t>Kyoto, Japan (tentative)</w:t>
            </w:r>
          </w:p>
        </w:tc>
      </w:tr>
      <w:tr w:rsidR="000633FC" w:rsidRPr="00F9037E" w14:paraId="043FFBB6" w14:textId="77777777" w:rsidTr="008C634A">
        <w:trPr>
          <w:cantSplit/>
        </w:trPr>
        <w:tc>
          <w:tcPr>
            <w:tcW w:w="4928" w:type="dxa"/>
            <w:vAlign w:val="center"/>
          </w:tcPr>
          <w:p w14:paraId="4FBF3079" w14:textId="77777777" w:rsidR="000633FC" w:rsidRPr="00F9037E" w:rsidRDefault="000633FC" w:rsidP="008C634A">
            <w:pPr>
              <w:numPr>
                <w:ilvl w:val="0"/>
                <w:numId w:val="31"/>
              </w:numPr>
              <w:spacing w:after="0"/>
              <w:ind w:left="0" w:firstLine="0"/>
              <w:rPr>
                <w:szCs w:val="22"/>
              </w:rPr>
            </w:pPr>
            <w:r w:rsidRPr="00F9037E">
              <w:rPr>
                <w:szCs w:val="22"/>
              </w:rPr>
              <w:t>The Secretariat posts the finalised report on its web site and circulates it to the Parties</w:t>
            </w:r>
          </w:p>
        </w:tc>
        <w:tc>
          <w:tcPr>
            <w:tcW w:w="1559" w:type="dxa"/>
            <w:vAlign w:val="center"/>
          </w:tcPr>
          <w:p w14:paraId="74B367D2" w14:textId="77777777" w:rsidR="000633FC" w:rsidRPr="00F9037E" w:rsidRDefault="000633FC" w:rsidP="008C634A">
            <w:pPr>
              <w:jc w:val="center"/>
              <w:rPr>
                <w:szCs w:val="22"/>
              </w:rPr>
            </w:pPr>
            <w:r w:rsidRPr="00F9037E">
              <w:rPr>
                <w:szCs w:val="22"/>
              </w:rPr>
              <w:t>-</w:t>
            </w:r>
          </w:p>
        </w:tc>
        <w:tc>
          <w:tcPr>
            <w:tcW w:w="1559" w:type="dxa"/>
          </w:tcPr>
          <w:p w14:paraId="21A2E9A3" w14:textId="77777777" w:rsidR="000633FC" w:rsidRPr="00F9037E" w:rsidRDefault="000633FC" w:rsidP="00066323">
            <w:pPr>
              <w:rPr>
                <w:szCs w:val="22"/>
              </w:rPr>
            </w:pPr>
            <w:r w:rsidRPr="00F9037E">
              <w:rPr>
                <w:szCs w:val="22"/>
              </w:rPr>
              <w:t>May 201</w:t>
            </w:r>
            <w:r w:rsidR="00066323" w:rsidRPr="00F9037E">
              <w:rPr>
                <w:szCs w:val="22"/>
              </w:rPr>
              <w:t>7</w:t>
            </w:r>
          </w:p>
        </w:tc>
        <w:tc>
          <w:tcPr>
            <w:tcW w:w="1276" w:type="dxa"/>
          </w:tcPr>
          <w:p w14:paraId="01E9DFEB" w14:textId="77777777" w:rsidR="000633FC" w:rsidRPr="00F9037E" w:rsidRDefault="000633FC" w:rsidP="000633FC">
            <w:pPr>
              <w:rPr>
                <w:szCs w:val="22"/>
              </w:rPr>
            </w:pPr>
          </w:p>
        </w:tc>
      </w:tr>
      <w:tr w:rsidR="000633FC" w:rsidRPr="00F9037E" w14:paraId="057FBE24" w14:textId="77777777" w:rsidTr="008C634A">
        <w:trPr>
          <w:cantSplit/>
          <w:trHeight w:val="420"/>
        </w:trPr>
        <w:tc>
          <w:tcPr>
            <w:tcW w:w="4928" w:type="dxa"/>
            <w:vAlign w:val="center"/>
          </w:tcPr>
          <w:p w14:paraId="25A83795" w14:textId="77777777" w:rsidR="000633FC" w:rsidRPr="00F9037E" w:rsidRDefault="000633FC" w:rsidP="008C634A">
            <w:pPr>
              <w:numPr>
                <w:ilvl w:val="0"/>
                <w:numId w:val="31"/>
              </w:numPr>
              <w:spacing w:after="0"/>
              <w:ind w:left="0" w:firstLine="0"/>
              <w:rPr>
                <w:b/>
                <w:szCs w:val="22"/>
              </w:rPr>
            </w:pPr>
            <w:r w:rsidRPr="00F9037E">
              <w:rPr>
                <w:szCs w:val="22"/>
              </w:rPr>
              <w:t>OEWG Bilateral Discussions: Nominating Party has the opportunity to consult with MBTOC on a bilateral basis in conjunction with the Open-ended Working Group meetings</w:t>
            </w:r>
          </w:p>
        </w:tc>
        <w:tc>
          <w:tcPr>
            <w:tcW w:w="1559" w:type="dxa"/>
          </w:tcPr>
          <w:p w14:paraId="41691E05" w14:textId="77777777" w:rsidR="000633FC" w:rsidRPr="00F9037E" w:rsidRDefault="000633FC" w:rsidP="000633FC">
            <w:pPr>
              <w:rPr>
                <w:szCs w:val="22"/>
              </w:rPr>
            </w:pPr>
          </w:p>
        </w:tc>
        <w:tc>
          <w:tcPr>
            <w:tcW w:w="1559" w:type="dxa"/>
          </w:tcPr>
          <w:p w14:paraId="78B17AAB" w14:textId="77777777" w:rsidR="000633FC" w:rsidRPr="00F9037E" w:rsidRDefault="000633FC" w:rsidP="00066323">
            <w:pPr>
              <w:rPr>
                <w:szCs w:val="22"/>
              </w:rPr>
            </w:pPr>
            <w:r w:rsidRPr="00F9037E">
              <w:rPr>
                <w:szCs w:val="22"/>
              </w:rPr>
              <w:t>June  - July 201</w:t>
            </w:r>
            <w:r w:rsidR="00066323" w:rsidRPr="00F9037E">
              <w:rPr>
                <w:szCs w:val="22"/>
              </w:rPr>
              <w:t>7</w:t>
            </w:r>
            <w:r w:rsidRPr="00F9037E">
              <w:rPr>
                <w:szCs w:val="22"/>
              </w:rPr>
              <w:t xml:space="preserve"> (TBD)</w:t>
            </w:r>
          </w:p>
        </w:tc>
        <w:tc>
          <w:tcPr>
            <w:tcW w:w="1276" w:type="dxa"/>
          </w:tcPr>
          <w:p w14:paraId="4BBBFA57" w14:textId="77777777" w:rsidR="000633FC" w:rsidRPr="00F9037E" w:rsidRDefault="000633FC" w:rsidP="000633FC">
            <w:pPr>
              <w:rPr>
                <w:szCs w:val="22"/>
              </w:rPr>
            </w:pPr>
            <w:r w:rsidRPr="00F9037E">
              <w:rPr>
                <w:szCs w:val="22"/>
              </w:rPr>
              <w:t>TBD</w:t>
            </w:r>
          </w:p>
        </w:tc>
      </w:tr>
      <w:tr w:rsidR="000633FC" w:rsidRPr="00F9037E" w14:paraId="5DCBEA97" w14:textId="77777777" w:rsidTr="008C634A">
        <w:trPr>
          <w:cantSplit/>
          <w:trHeight w:val="840"/>
        </w:trPr>
        <w:tc>
          <w:tcPr>
            <w:tcW w:w="4928" w:type="dxa"/>
            <w:vAlign w:val="center"/>
          </w:tcPr>
          <w:p w14:paraId="10AE1916" w14:textId="77777777" w:rsidR="000633FC" w:rsidRPr="00F9037E" w:rsidRDefault="000633FC" w:rsidP="008C634A">
            <w:pPr>
              <w:numPr>
                <w:ilvl w:val="0"/>
                <w:numId w:val="31"/>
              </w:numPr>
              <w:spacing w:after="0"/>
              <w:ind w:left="0" w:firstLine="0"/>
              <w:rPr>
                <w:b/>
                <w:szCs w:val="22"/>
              </w:rPr>
            </w:pPr>
            <w:r w:rsidRPr="00F9037E">
              <w:rPr>
                <w:szCs w:val="22"/>
              </w:rPr>
              <w:t>The nominating Party submits further clarification for the critical-use nomination requested by MBTOC or if requested to do so by the Open-ended Working Group, and provides additional information should it wish to appeal against a critical-use nomination recommendation by MBTOC/TEAP</w:t>
            </w:r>
          </w:p>
        </w:tc>
        <w:tc>
          <w:tcPr>
            <w:tcW w:w="1559" w:type="dxa"/>
            <w:vAlign w:val="center"/>
          </w:tcPr>
          <w:p w14:paraId="020528B4" w14:textId="77777777" w:rsidR="000633FC" w:rsidRPr="00F9037E" w:rsidRDefault="000633FC" w:rsidP="008C634A">
            <w:pPr>
              <w:jc w:val="center"/>
              <w:rPr>
                <w:szCs w:val="22"/>
              </w:rPr>
            </w:pPr>
            <w:r w:rsidRPr="00F9037E">
              <w:rPr>
                <w:szCs w:val="22"/>
              </w:rPr>
              <w:t>-</w:t>
            </w:r>
          </w:p>
        </w:tc>
        <w:tc>
          <w:tcPr>
            <w:tcW w:w="1559" w:type="dxa"/>
          </w:tcPr>
          <w:p w14:paraId="1AF72E5A" w14:textId="77777777" w:rsidR="000633FC" w:rsidRPr="00F9037E" w:rsidRDefault="000633FC" w:rsidP="000633FC">
            <w:pPr>
              <w:rPr>
                <w:szCs w:val="22"/>
              </w:rPr>
            </w:pPr>
          </w:p>
          <w:p w14:paraId="17B9E594" w14:textId="77777777" w:rsidR="000633FC" w:rsidRPr="00F9037E" w:rsidRDefault="000633FC" w:rsidP="000633FC">
            <w:pPr>
              <w:rPr>
                <w:szCs w:val="22"/>
              </w:rPr>
            </w:pPr>
            <w:r w:rsidRPr="00F9037E">
              <w:rPr>
                <w:szCs w:val="22"/>
              </w:rPr>
              <w:t>Depending on OEWG date</w:t>
            </w:r>
          </w:p>
        </w:tc>
        <w:tc>
          <w:tcPr>
            <w:tcW w:w="1276" w:type="dxa"/>
          </w:tcPr>
          <w:p w14:paraId="51A90FB1" w14:textId="77777777" w:rsidR="000633FC" w:rsidRPr="00F9037E" w:rsidRDefault="000633FC" w:rsidP="000633FC">
            <w:pPr>
              <w:rPr>
                <w:szCs w:val="22"/>
              </w:rPr>
            </w:pPr>
          </w:p>
        </w:tc>
      </w:tr>
      <w:tr w:rsidR="000633FC" w:rsidRPr="00F9037E" w14:paraId="5DF2308A" w14:textId="77777777" w:rsidTr="008C634A">
        <w:trPr>
          <w:cantSplit/>
          <w:trHeight w:val="840"/>
        </w:trPr>
        <w:tc>
          <w:tcPr>
            <w:tcW w:w="4928" w:type="dxa"/>
            <w:vAlign w:val="center"/>
          </w:tcPr>
          <w:p w14:paraId="72F39545" w14:textId="77777777" w:rsidR="000633FC" w:rsidRPr="00F9037E" w:rsidRDefault="000633FC" w:rsidP="008C634A">
            <w:pPr>
              <w:numPr>
                <w:ilvl w:val="0"/>
                <w:numId w:val="31"/>
              </w:numPr>
              <w:spacing w:after="0"/>
              <w:ind w:left="0" w:firstLine="0"/>
              <w:rPr>
                <w:b/>
                <w:szCs w:val="22"/>
              </w:rPr>
            </w:pPr>
            <w:r w:rsidRPr="00F9037E">
              <w:rPr>
                <w:szCs w:val="22"/>
              </w:rPr>
              <w:lastRenderedPageBreak/>
              <w:t>MBTOC second meeting or agreed email process (according to feasibility and justification of a second meeting):</w:t>
            </w:r>
          </w:p>
          <w:p w14:paraId="05B25FEC" w14:textId="77777777" w:rsidR="000633FC" w:rsidRPr="00F9037E" w:rsidRDefault="000633FC" w:rsidP="008C634A">
            <w:pPr>
              <w:numPr>
                <w:ilvl w:val="0"/>
                <w:numId w:val="33"/>
              </w:numPr>
              <w:spacing w:after="0"/>
              <w:rPr>
                <w:szCs w:val="22"/>
              </w:rPr>
            </w:pPr>
            <w:r w:rsidRPr="00F9037E">
              <w:rPr>
                <w:szCs w:val="22"/>
              </w:rPr>
              <w:t>Meets to reassess only those critical-use nominations in the “unable to assess” category, those where additional information has been submitted by the nominating Party and any critical-use nominations for which additional information has been requested by the Open-ended Working Group  (see Annex I of MOP16, Dec XVI/4)</w:t>
            </w:r>
          </w:p>
          <w:p w14:paraId="27168AEC" w14:textId="77777777" w:rsidR="000633FC" w:rsidRPr="00F9037E" w:rsidRDefault="000633FC" w:rsidP="008C634A">
            <w:pPr>
              <w:numPr>
                <w:ilvl w:val="0"/>
                <w:numId w:val="33"/>
              </w:numPr>
              <w:spacing w:after="0"/>
              <w:rPr>
                <w:b/>
                <w:szCs w:val="22"/>
              </w:rPr>
            </w:pPr>
            <w:r w:rsidRPr="00F9037E">
              <w:rPr>
                <w:szCs w:val="22"/>
              </w:rPr>
              <w:t>Finalise the report, including notice of any proposed new standard presumptions to be applied by MBTOC</w:t>
            </w:r>
          </w:p>
          <w:p w14:paraId="26DC3D54" w14:textId="77777777" w:rsidR="000633FC" w:rsidRPr="00220275" w:rsidRDefault="000633FC" w:rsidP="008C634A">
            <w:pPr>
              <w:numPr>
                <w:ilvl w:val="0"/>
                <w:numId w:val="33"/>
              </w:numPr>
              <w:spacing w:after="0"/>
              <w:rPr>
                <w:b/>
                <w:szCs w:val="22"/>
              </w:rPr>
            </w:pPr>
            <w:r w:rsidRPr="00220275">
              <w:rPr>
                <w:szCs w:val="22"/>
              </w:rPr>
              <w:t>Conduct any bilateral consultations requested by Parties</w:t>
            </w:r>
          </w:p>
          <w:p w14:paraId="6A297ED4" w14:textId="77777777" w:rsidR="000633FC" w:rsidRPr="00B87B95" w:rsidRDefault="000633FC" w:rsidP="008C634A">
            <w:pPr>
              <w:numPr>
                <w:ilvl w:val="0"/>
                <w:numId w:val="33"/>
              </w:numPr>
              <w:spacing w:after="0"/>
              <w:rPr>
                <w:b/>
                <w:szCs w:val="22"/>
              </w:rPr>
            </w:pPr>
            <w:r w:rsidRPr="00220275">
              <w:rPr>
                <w:szCs w:val="22"/>
              </w:rPr>
              <w:t>Draft work plan and budget for MBTOC for 2015</w:t>
            </w:r>
          </w:p>
        </w:tc>
        <w:tc>
          <w:tcPr>
            <w:tcW w:w="1559" w:type="dxa"/>
          </w:tcPr>
          <w:p w14:paraId="54F37783" w14:textId="77777777" w:rsidR="000633FC" w:rsidRPr="00B87B95" w:rsidRDefault="000633FC" w:rsidP="000633FC">
            <w:pPr>
              <w:rPr>
                <w:szCs w:val="22"/>
              </w:rPr>
            </w:pPr>
            <w:r w:rsidRPr="00B87B95">
              <w:rPr>
                <w:szCs w:val="22"/>
              </w:rPr>
              <w:t>Funds for travel of 1 non-A5 member*: US$3,000</w:t>
            </w:r>
          </w:p>
          <w:p w14:paraId="1B3CB708" w14:textId="77777777" w:rsidR="000633FC" w:rsidRPr="00563BC0" w:rsidRDefault="000633FC" w:rsidP="000633FC">
            <w:pPr>
              <w:rPr>
                <w:szCs w:val="22"/>
              </w:rPr>
            </w:pPr>
            <w:r w:rsidRPr="00563BC0">
              <w:rPr>
                <w:szCs w:val="22"/>
              </w:rPr>
              <w:t>Meeting costs: $US 3,000</w:t>
            </w:r>
          </w:p>
          <w:p w14:paraId="03466A9A" w14:textId="77777777" w:rsidR="000633FC" w:rsidRPr="00563BC0" w:rsidRDefault="000633FC" w:rsidP="000633FC">
            <w:pPr>
              <w:rPr>
                <w:szCs w:val="22"/>
              </w:rPr>
            </w:pPr>
          </w:p>
        </w:tc>
        <w:tc>
          <w:tcPr>
            <w:tcW w:w="1559" w:type="dxa"/>
          </w:tcPr>
          <w:p w14:paraId="3F744E5E" w14:textId="77777777" w:rsidR="000633FC" w:rsidRPr="000F08B5" w:rsidRDefault="000633FC" w:rsidP="000633FC">
            <w:pPr>
              <w:rPr>
                <w:szCs w:val="22"/>
              </w:rPr>
            </w:pPr>
            <w:r w:rsidRPr="00563BC0">
              <w:rPr>
                <w:szCs w:val="22"/>
              </w:rPr>
              <w:t>August- September 201</w:t>
            </w:r>
            <w:r w:rsidR="00066323" w:rsidRPr="00563BC0">
              <w:rPr>
                <w:szCs w:val="22"/>
              </w:rPr>
              <w:t>7</w:t>
            </w:r>
            <w:r w:rsidRPr="00563BC0">
              <w:rPr>
                <w:szCs w:val="22"/>
              </w:rPr>
              <w:t xml:space="preserve"> (according to MOP 2</w:t>
            </w:r>
            <w:r w:rsidR="00066323" w:rsidRPr="00563BC0">
              <w:rPr>
                <w:szCs w:val="22"/>
              </w:rPr>
              <w:t>9</w:t>
            </w:r>
            <w:r w:rsidRPr="000F08B5">
              <w:rPr>
                <w:szCs w:val="22"/>
                <w:vertAlign w:val="superscript"/>
              </w:rPr>
              <w:t>th</w:t>
            </w:r>
            <w:r w:rsidRPr="000F08B5">
              <w:rPr>
                <w:szCs w:val="22"/>
              </w:rPr>
              <w:t xml:space="preserve"> dates)</w:t>
            </w:r>
          </w:p>
          <w:p w14:paraId="6BEF3D5F" w14:textId="77777777" w:rsidR="000633FC" w:rsidRPr="000F08B5" w:rsidRDefault="000633FC" w:rsidP="000633FC">
            <w:pPr>
              <w:rPr>
                <w:szCs w:val="22"/>
              </w:rPr>
            </w:pPr>
          </w:p>
        </w:tc>
        <w:tc>
          <w:tcPr>
            <w:tcW w:w="1276" w:type="dxa"/>
          </w:tcPr>
          <w:p w14:paraId="54125275" w14:textId="77777777" w:rsidR="000633FC" w:rsidRPr="00365366" w:rsidRDefault="000633FC" w:rsidP="000633FC">
            <w:pPr>
              <w:rPr>
                <w:szCs w:val="22"/>
              </w:rPr>
            </w:pPr>
            <w:r w:rsidRPr="00365366">
              <w:rPr>
                <w:szCs w:val="22"/>
              </w:rPr>
              <w:t>TBD</w:t>
            </w:r>
          </w:p>
        </w:tc>
      </w:tr>
      <w:tr w:rsidR="000633FC" w:rsidRPr="00F9037E" w14:paraId="014E453D" w14:textId="77777777" w:rsidTr="008C634A">
        <w:trPr>
          <w:cantSplit/>
          <w:trHeight w:val="195"/>
        </w:trPr>
        <w:tc>
          <w:tcPr>
            <w:tcW w:w="4928" w:type="dxa"/>
            <w:vAlign w:val="center"/>
          </w:tcPr>
          <w:p w14:paraId="2F3CF666" w14:textId="77777777" w:rsidR="000633FC" w:rsidRPr="00F9037E" w:rsidRDefault="000633FC" w:rsidP="008C634A">
            <w:pPr>
              <w:numPr>
                <w:ilvl w:val="0"/>
                <w:numId w:val="31"/>
              </w:numPr>
              <w:spacing w:after="0"/>
              <w:ind w:left="0" w:firstLine="0"/>
              <w:rPr>
                <w:b/>
                <w:szCs w:val="22"/>
              </w:rPr>
            </w:pPr>
            <w:r w:rsidRPr="00F9037E">
              <w:rPr>
                <w:szCs w:val="22"/>
              </w:rPr>
              <w:t>MBTOC drafts final report considered by TEAP, finalised and made available to Parties through the Secretariat</w:t>
            </w:r>
          </w:p>
        </w:tc>
        <w:tc>
          <w:tcPr>
            <w:tcW w:w="1559" w:type="dxa"/>
            <w:vAlign w:val="center"/>
          </w:tcPr>
          <w:p w14:paraId="50C57FD8" w14:textId="77777777" w:rsidR="000633FC" w:rsidRPr="00F9037E" w:rsidRDefault="000633FC" w:rsidP="008C634A">
            <w:pPr>
              <w:jc w:val="center"/>
              <w:rPr>
                <w:szCs w:val="22"/>
              </w:rPr>
            </w:pPr>
            <w:r w:rsidRPr="00F9037E">
              <w:rPr>
                <w:szCs w:val="22"/>
              </w:rPr>
              <w:t>-</w:t>
            </w:r>
          </w:p>
        </w:tc>
        <w:tc>
          <w:tcPr>
            <w:tcW w:w="1559" w:type="dxa"/>
          </w:tcPr>
          <w:p w14:paraId="43C664AD" w14:textId="17001DA2" w:rsidR="000633FC" w:rsidRPr="00220275" w:rsidRDefault="000633FC" w:rsidP="00066323">
            <w:pPr>
              <w:rPr>
                <w:szCs w:val="22"/>
              </w:rPr>
            </w:pPr>
            <w:r w:rsidRPr="00082015">
              <w:rPr>
                <w:szCs w:val="22"/>
              </w:rPr>
              <w:t xml:space="preserve">Sept - </w:t>
            </w:r>
            <w:r w:rsidR="00501812" w:rsidRPr="00F5313E">
              <w:rPr>
                <w:szCs w:val="22"/>
              </w:rPr>
              <w:t>October 2017</w:t>
            </w:r>
            <w:r w:rsidRPr="00220275">
              <w:rPr>
                <w:szCs w:val="22"/>
              </w:rPr>
              <w:t xml:space="preserve"> depending on MOP dates</w:t>
            </w:r>
          </w:p>
        </w:tc>
        <w:tc>
          <w:tcPr>
            <w:tcW w:w="1276" w:type="dxa"/>
          </w:tcPr>
          <w:p w14:paraId="2D110735" w14:textId="77777777" w:rsidR="000633FC" w:rsidRPr="00220275" w:rsidRDefault="000633FC" w:rsidP="000633FC">
            <w:pPr>
              <w:rPr>
                <w:szCs w:val="22"/>
              </w:rPr>
            </w:pPr>
          </w:p>
        </w:tc>
      </w:tr>
      <w:tr w:rsidR="000633FC" w:rsidRPr="00F9037E" w14:paraId="33C7494C" w14:textId="77777777" w:rsidTr="00A26724">
        <w:trPr>
          <w:cantSplit/>
          <w:trHeight w:val="195"/>
        </w:trPr>
        <w:tc>
          <w:tcPr>
            <w:tcW w:w="4928" w:type="dxa"/>
            <w:vAlign w:val="center"/>
          </w:tcPr>
          <w:p w14:paraId="32C2E57D" w14:textId="77777777" w:rsidR="000633FC" w:rsidRPr="00F9037E" w:rsidRDefault="000633FC" w:rsidP="008C634A">
            <w:pPr>
              <w:numPr>
                <w:ilvl w:val="0"/>
                <w:numId w:val="31"/>
              </w:numPr>
              <w:spacing w:after="0"/>
              <w:ind w:left="0" w:firstLine="0"/>
              <w:rPr>
                <w:b/>
                <w:szCs w:val="22"/>
              </w:rPr>
            </w:pPr>
            <w:r w:rsidRPr="00F9037E">
              <w:rPr>
                <w:szCs w:val="22"/>
              </w:rPr>
              <w:t>26</w:t>
            </w:r>
            <w:r w:rsidRPr="00F9037E">
              <w:rPr>
                <w:szCs w:val="22"/>
                <w:vertAlign w:val="superscript"/>
              </w:rPr>
              <w:t>th</w:t>
            </w:r>
            <w:r w:rsidRPr="00F9037E">
              <w:rPr>
                <w:szCs w:val="22"/>
              </w:rPr>
              <w:t xml:space="preserve">   Meeting of the Parties </w:t>
            </w:r>
          </w:p>
        </w:tc>
        <w:tc>
          <w:tcPr>
            <w:tcW w:w="1559" w:type="dxa"/>
          </w:tcPr>
          <w:p w14:paraId="79EACC51" w14:textId="77777777" w:rsidR="000633FC" w:rsidRPr="00F9037E" w:rsidRDefault="000633FC" w:rsidP="000633FC">
            <w:pPr>
              <w:rPr>
                <w:szCs w:val="22"/>
              </w:rPr>
            </w:pPr>
          </w:p>
        </w:tc>
        <w:tc>
          <w:tcPr>
            <w:tcW w:w="1559" w:type="dxa"/>
          </w:tcPr>
          <w:p w14:paraId="3FAD37F3" w14:textId="77777777" w:rsidR="000633FC" w:rsidRPr="00F9037E" w:rsidRDefault="000633FC" w:rsidP="000633FC">
            <w:pPr>
              <w:rPr>
                <w:szCs w:val="22"/>
              </w:rPr>
            </w:pPr>
          </w:p>
        </w:tc>
        <w:tc>
          <w:tcPr>
            <w:tcW w:w="1276" w:type="dxa"/>
            <w:vAlign w:val="center"/>
          </w:tcPr>
          <w:p w14:paraId="73483287" w14:textId="77777777" w:rsidR="000633FC" w:rsidRPr="00F9037E" w:rsidRDefault="000633FC" w:rsidP="00A26724">
            <w:pPr>
              <w:rPr>
                <w:szCs w:val="22"/>
              </w:rPr>
            </w:pPr>
            <w:r w:rsidRPr="00F9037E">
              <w:rPr>
                <w:szCs w:val="22"/>
              </w:rPr>
              <w:t>November 201</w:t>
            </w:r>
            <w:r w:rsidR="00066323" w:rsidRPr="00F9037E">
              <w:rPr>
                <w:szCs w:val="22"/>
              </w:rPr>
              <w:t>7</w:t>
            </w:r>
          </w:p>
        </w:tc>
      </w:tr>
      <w:tr w:rsidR="000633FC" w:rsidRPr="00F9037E" w14:paraId="7D9E274D" w14:textId="77777777" w:rsidTr="0082102E">
        <w:trPr>
          <w:cantSplit/>
          <w:trHeight w:val="195"/>
        </w:trPr>
        <w:tc>
          <w:tcPr>
            <w:tcW w:w="4928" w:type="dxa"/>
          </w:tcPr>
          <w:p w14:paraId="7F53C3F2" w14:textId="77777777" w:rsidR="000633FC" w:rsidRPr="00F9037E" w:rsidRDefault="000633FC" w:rsidP="000633FC">
            <w:pPr>
              <w:rPr>
                <w:b/>
                <w:szCs w:val="22"/>
              </w:rPr>
            </w:pPr>
            <w:r w:rsidRPr="00F9037E">
              <w:rPr>
                <w:b/>
                <w:szCs w:val="22"/>
              </w:rPr>
              <w:t>Total budget:</w:t>
            </w:r>
          </w:p>
        </w:tc>
        <w:tc>
          <w:tcPr>
            <w:tcW w:w="1559" w:type="dxa"/>
          </w:tcPr>
          <w:p w14:paraId="4B9104DD" w14:textId="77777777" w:rsidR="000633FC" w:rsidRPr="00F9037E" w:rsidRDefault="000633FC" w:rsidP="000633FC">
            <w:pPr>
              <w:rPr>
                <w:b/>
                <w:szCs w:val="22"/>
              </w:rPr>
            </w:pPr>
            <w:r w:rsidRPr="00F9037E">
              <w:rPr>
                <w:b/>
                <w:szCs w:val="22"/>
              </w:rPr>
              <w:t>US $: 12,000*</w:t>
            </w:r>
          </w:p>
          <w:p w14:paraId="15746622" w14:textId="77777777" w:rsidR="000633FC" w:rsidRPr="00F9037E" w:rsidRDefault="000633FC" w:rsidP="000633FC">
            <w:pPr>
              <w:spacing w:after="0"/>
              <w:rPr>
                <w:b/>
                <w:szCs w:val="22"/>
              </w:rPr>
            </w:pPr>
            <w:r w:rsidRPr="00F9037E">
              <w:rPr>
                <w:szCs w:val="22"/>
              </w:rPr>
              <w:t>US$ 6,000  (Travel of Non Article 5 member)</w:t>
            </w:r>
          </w:p>
          <w:p w14:paraId="2D7EE3A5" w14:textId="77777777" w:rsidR="000633FC" w:rsidRPr="00F9037E" w:rsidRDefault="000633FC" w:rsidP="000633FC">
            <w:pPr>
              <w:spacing w:after="0"/>
              <w:rPr>
                <w:b/>
                <w:szCs w:val="22"/>
              </w:rPr>
            </w:pPr>
            <w:r w:rsidRPr="00F9037E">
              <w:rPr>
                <w:szCs w:val="22"/>
              </w:rPr>
              <w:t xml:space="preserve">Meeting Costs $6,000 </w:t>
            </w:r>
          </w:p>
        </w:tc>
        <w:tc>
          <w:tcPr>
            <w:tcW w:w="1559" w:type="dxa"/>
          </w:tcPr>
          <w:p w14:paraId="77EFFABE" w14:textId="77777777" w:rsidR="000633FC" w:rsidRPr="00F9037E" w:rsidRDefault="000633FC" w:rsidP="000633FC">
            <w:pPr>
              <w:rPr>
                <w:szCs w:val="22"/>
              </w:rPr>
            </w:pPr>
          </w:p>
        </w:tc>
        <w:tc>
          <w:tcPr>
            <w:tcW w:w="1276" w:type="dxa"/>
          </w:tcPr>
          <w:p w14:paraId="4C734801" w14:textId="77777777" w:rsidR="000633FC" w:rsidRPr="00F9037E" w:rsidRDefault="000633FC" w:rsidP="000633FC">
            <w:pPr>
              <w:rPr>
                <w:szCs w:val="22"/>
              </w:rPr>
            </w:pPr>
          </w:p>
        </w:tc>
      </w:tr>
    </w:tbl>
    <w:p w14:paraId="3756A61E" w14:textId="77777777" w:rsidR="000633FC" w:rsidRPr="00F9037E" w:rsidRDefault="000633FC" w:rsidP="000633FC">
      <w:pPr>
        <w:rPr>
          <w:sz w:val="20"/>
        </w:rPr>
      </w:pPr>
      <w:r w:rsidRPr="00F9037E">
        <w:rPr>
          <w:sz w:val="20"/>
        </w:rPr>
        <w:br/>
        <w:t>** Travel funds for non-A5 members have been requested in the past but not granted. Attendance of some non-A5 MBTOC members support is getting increasingly difficult due to lack of funding</w:t>
      </w:r>
    </w:p>
    <w:p w14:paraId="122F8B2B" w14:textId="77777777" w:rsidR="00210905" w:rsidRPr="00F9037E" w:rsidRDefault="000633FC" w:rsidP="000E64F3">
      <w:pPr>
        <w:spacing w:after="0"/>
        <w:rPr>
          <w:b/>
        </w:rPr>
        <w:sectPr w:rsidR="00210905" w:rsidRPr="00F9037E" w:rsidSect="003753FB">
          <w:headerReference w:type="even" r:id="rId48"/>
          <w:headerReference w:type="default" r:id="rId49"/>
          <w:footerReference w:type="even" r:id="rId50"/>
          <w:footerReference w:type="default" r:id="rId51"/>
          <w:headerReference w:type="first" r:id="rId52"/>
          <w:pgSz w:w="11909" w:h="16834" w:code="9"/>
          <w:pgMar w:top="1168" w:right="1440" w:bottom="1134" w:left="1440" w:header="720" w:footer="720" w:gutter="0"/>
          <w:cols w:space="720"/>
          <w:docGrid w:linePitch="360"/>
        </w:sectPr>
      </w:pPr>
      <w:r w:rsidRPr="00F9037E">
        <w:rPr>
          <w:b/>
        </w:rPr>
        <w:br w:type="page"/>
      </w:r>
    </w:p>
    <w:p w14:paraId="44FAA1ED" w14:textId="5139E5BD" w:rsidR="009C0DF0" w:rsidRPr="00D40553" w:rsidRDefault="000F08B5" w:rsidP="006A54A1">
      <w:pPr>
        <w:pStyle w:val="Heading1"/>
        <w:rPr>
          <w:rStyle w:val="Heading1Char2"/>
          <w:rFonts w:ascii="Times New Roman" w:hAnsi="Times New Roman"/>
          <w:b/>
        </w:rPr>
      </w:pPr>
      <w:bookmarkStart w:id="131" w:name="_Toc461183784"/>
      <w:bookmarkStart w:id="132" w:name="_Toc324255720"/>
      <w:bookmarkEnd w:id="103"/>
      <w:bookmarkEnd w:id="104"/>
      <w:bookmarkEnd w:id="105"/>
      <w:bookmarkEnd w:id="106"/>
      <w:bookmarkEnd w:id="107"/>
      <w:r w:rsidRPr="00D40553">
        <w:rPr>
          <w:rStyle w:val="Heading1Char2"/>
          <w:rFonts w:ascii="Times New Roman" w:hAnsi="Times New Roman"/>
          <w:b/>
        </w:rPr>
        <w:lastRenderedPageBreak/>
        <w:t>5</w:t>
      </w:r>
      <w:r w:rsidR="009C0DF0" w:rsidRPr="00D40553">
        <w:rPr>
          <w:rStyle w:val="Heading1Char2"/>
          <w:rFonts w:ascii="Times New Roman" w:hAnsi="Times New Roman"/>
          <w:b/>
        </w:rPr>
        <w:tab/>
        <w:t>References</w:t>
      </w:r>
      <w:bookmarkEnd w:id="131"/>
    </w:p>
    <w:p w14:paraId="5E22C881" w14:textId="77777777" w:rsidR="009C0DF0" w:rsidRPr="007F65E8" w:rsidRDefault="009C0DF0" w:rsidP="006260D1">
      <w:pPr>
        <w:pStyle w:val="References"/>
        <w:ind w:left="851" w:hanging="851"/>
        <w:rPr>
          <w:rFonts w:ascii="Times New Roman" w:hAnsi="Times New Roman"/>
          <w:lang w:val="es-ES_tradnl"/>
        </w:rPr>
      </w:pPr>
      <w:proofErr w:type="spellStart"/>
      <w:r w:rsidRPr="007F65E8">
        <w:rPr>
          <w:rFonts w:ascii="Times New Roman" w:hAnsi="Times New Roman"/>
          <w:lang w:val="es-ES_tradnl"/>
        </w:rPr>
        <w:t>Aldercreutz</w:t>
      </w:r>
      <w:proofErr w:type="spellEnd"/>
      <w:r w:rsidRPr="007F65E8">
        <w:rPr>
          <w:rFonts w:ascii="Times New Roman" w:hAnsi="Times New Roman"/>
          <w:lang w:val="es-ES_tradnl"/>
        </w:rPr>
        <w:t xml:space="preserve">, E.G.A., </w:t>
      </w:r>
      <w:proofErr w:type="spellStart"/>
      <w:r w:rsidRPr="007F65E8">
        <w:rPr>
          <w:rFonts w:ascii="Times New Roman" w:hAnsi="Times New Roman"/>
          <w:lang w:val="es-ES_tradnl"/>
        </w:rPr>
        <w:t>Szczesny</w:t>
      </w:r>
      <w:proofErr w:type="spellEnd"/>
      <w:r w:rsidRPr="007F65E8">
        <w:rPr>
          <w:rFonts w:ascii="Times New Roman" w:hAnsi="Times New Roman"/>
          <w:lang w:val="es-ES_tradnl"/>
        </w:rPr>
        <w:t>, A., (2010). Evaluación de tratamientos alternativos al Bromuro de metilo realizados en el mismo período productivo en el cultivo de frutilla (</w:t>
      </w:r>
      <w:r w:rsidRPr="007F65E8">
        <w:rPr>
          <w:rFonts w:ascii="Times New Roman" w:hAnsi="Times New Roman"/>
          <w:i/>
          <w:lang w:val="es-ES_tradnl"/>
        </w:rPr>
        <w:t xml:space="preserve">Fragaria x </w:t>
      </w:r>
      <w:proofErr w:type="spellStart"/>
      <w:r w:rsidRPr="007F65E8">
        <w:rPr>
          <w:rFonts w:ascii="Times New Roman" w:hAnsi="Times New Roman"/>
          <w:i/>
          <w:lang w:val="es-ES_tradnl"/>
        </w:rPr>
        <w:t>ananassa</w:t>
      </w:r>
      <w:proofErr w:type="spellEnd"/>
      <w:r w:rsidRPr="007F65E8">
        <w:rPr>
          <w:rFonts w:ascii="Times New Roman" w:hAnsi="Times New Roman"/>
          <w:lang w:val="es-ES_tradnl"/>
        </w:rPr>
        <w:t xml:space="preserve"> </w:t>
      </w:r>
      <w:proofErr w:type="spellStart"/>
      <w:r w:rsidRPr="007F65E8">
        <w:rPr>
          <w:rFonts w:ascii="Times New Roman" w:hAnsi="Times New Roman"/>
          <w:lang w:val="es-ES_tradnl"/>
        </w:rPr>
        <w:t>Duch</w:t>
      </w:r>
      <w:proofErr w:type="spellEnd"/>
      <w:r w:rsidRPr="007F65E8">
        <w:rPr>
          <w:rFonts w:ascii="Times New Roman" w:hAnsi="Times New Roman"/>
          <w:lang w:val="es-ES_tradnl"/>
        </w:rPr>
        <w:t xml:space="preserve">.) por el Proyecto Tierra Sana en el Cinturón Hortícola de Mar del Plata. No. 136 Horticultura. In: </w:t>
      </w:r>
      <w:r w:rsidRPr="007F65E8">
        <w:rPr>
          <w:rFonts w:ascii="Times New Roman" w:hAnsi="Times New Roman"/>
          <w:i/>
          <w:lang w:val="es-ES_tradnl"/>
        </w:rPr>
        <w:t>Horticultura Argentina</w:t>
      </w:r>
      <w:r w:rsidRPr="007F65E8">
        <w:rPr>
          <w:rFonts w:ascii="Times New Roman" w:hAnsi="Times New Roman"/>
          <w:lang w:val="es-ES_tradnl"/>
        </w:rPr>
        <w:t xml:space="preserve"> 29(70): Sep.-Dic. 2010.</w:t>
      </w:r>
    </w:p>
    <w:p w14:paraId="7772DAAC" w14:textId="77777777" w:rsidR="009C0DF0" w:rsidRPr="007F65E8" w:rsidRDefault="009C0DF0" w:rsidP="006260D1">
      <w:pPr>
        <w:pStyle w:val="References"/>
        <w:ind w:left="851" w:hanging="851"/>
        <w:rPr>
          <w:rFonts w:ascii="Times New Roman" w:hAnsi="Times New Roman"/>
          <w:lang w:val="es-ES_tradnl"/>
        </w:rPr>
      </w:pPr>
      <w:proofErr w:type="spellStart"/>
      <w:r w:rsidRPr="007F65E8">
        <w:rPr>
          <w:rFonts w:ascii="Times New Roman" w:hAnsi="Times New Roman"/>
          <w:lang w:val="es-ES_tradnl"/>
        </w:rPr>
        <w:t>Aldercreutz</w:t>
      </w:r>
      <w:proofErr w:type="spellEnd"/>
      <w:r w:rsidRPr="007F65E8">
        <w:rPr>
          <w:rFonts w:ascii="Times New Roman" w:hAnsi="Times New Roman"/>
          <w:lang w:val="es-ES_tradnl"/>
        </w:rPr>
        <w:t xml:space="preserve">, E.G.A., </w:t>
      </w:r>
      <w:proofErr w:type="spellStart"/>
      <w:r w:rsidRPr="007F65E8">
        <w:rPr>
          <w:rFonts w:ascii="Times New Roman" w:hAnsi="Times New Roman"/>
          <w:lang w:val="es-ES_tradnl"/>
        </w:rPr>
        <w:t>Szczesny</w:t>
      </w:r>
      <w:proofErr w:type="spellEnd"/>
      <w:r w:rsidRPr="007F65E8">
        <w:rPr>
          <w:rFonts w:ascii="Times New Roman" w:hAnsi="Times New Roman"/>
          <w:lang w:val="es-ES_tradnl"/>
        </w:rPr>
        <w:t xml:space="preserve">, A., (2008). Tratamiento de suelos alternativos al Bromuro de Metilo en el cultivo de frutilla (Fragaria x </w:t>
      </w:r>
      <w:proofErr w:type="spellStart"/>
      <w:r w:rsidRPr="007F65E8">
        <w:rPr>
          <w:rFonts w:ascii="Times New Roman" w:hAnsi="Times New Roman"/>
          <w:lang w:val="es-ES_tradnl"/>
        </w:rPr>
        <w:t>ananassa</w:t>
      </w:r>
      <w:proofErr w:type="spellEnd"/>
      <w:r w:rsidRPr="007F65E8">
        <w:rPr>
          <w:rFonts w:ascii="Times New Roman" w:hAnsi="Times New Roman"/>
          <w:lang w:val="es-ES_tradnl"/>
        </w:rPr>
        <w:t xml:space="preserve"> </w:t>
      </w:r>
      <w:proofErr w:type="spellStart"/>
      <w:r w:rsidRPr="007F65E8">
        <w:rPr>
          <w:rFonts w:ascii="Times New Roman" w:hAnsi="Times New Roman"/>
          <w:lang w:val="es-ES_tradnl"/>
        </w:rPr>
        <w:t>Duch</w:t>
      </w:r>
      <w:proofErr w:type="spellEnd"/>
      <w:r w:rsidRPr="007F65E8">
        <w:rPr>
          <w:rFonts w:ascii="Times New Roman" w:hAnsi="Times New Roman"/>
          <w:lang w:val="es-ES_tradnl"/>
        </w:rPr>
        <w:t xml:space="preserve">.) realizadas por el proyecto Tierra Sana en el cinturón hortícola de Mar del Plata. No. 149 Horticultura. In: </w:t>
      </w:r>
      <w:r w:rsidRPr="007F65E8">
        <w:rPr>
          <w:rFonts w:ascii="Times New Roman" w:hAnsi="Times New Roman"/>
          <w:i/>
          <w:lang w:val="es-ES_tradnl"/>
        </w:rPr>
        <w:t>Horticultura Argentina</w:t>
      </w:r>
      <w:r w:rsidRPr="007F65E8">
        <w:rPr>
          <w:rFonts w:ascii="Times New Roman" w:hAnsi="Times New Roman"/>
          <w:lang w:val="es-ES_tradnl"/>
        </w:rPr>
        <w:t> 27</w:t>
      </w:r>
      <w:proofErr w:type="gramStart"/>
      <w:r w:rsidRPr="007F65E8">
        <w:rPr>
          <w:rFonts w:ascii="Times New Roman" w:hAnsi="Times New Roman"/>
          <w:lang w:val="es-ES_tradnl"/>
        </w:rPr>
        <w:t>( 64</w:t>
      </w:r>
      <w:proofErr w:type="gramEnd"/>
      <w:r w:rsidRPr="007F65E8">
        <w:rPr>
          <w:rFonts w:ascii="Times New Roman" w:hAnsi="Times New Roman"/>
          <w:lang w:val="es-ES_tradnl"/>
        </w:rPr>
        <w:t xml:space="preserve">): </w:t>
      </w:r>
      <w:proofErr w:type="spellStart"/>
      <w:r w:rsidRPr="007F65E8">
        <w:rPr>
          <w:rFonts w:ascii="Times New Roman" w:hAnsi="Times New Roman"/>
          <w:lang w:val="es-ES_tradnl"/>
        </w:rPr>
        <w:t>Sep</w:t>
      </w:r>
      <w:proofErr w:type="spellEnd"/>
      <w:r w:rsidRPr="007F65E8">
        <w:rPr>
          <w:rFonts w:ascii="Times New Roman" w:hAnsi="Times New Roman"/>
          <w:lang w:val="es-ES_tradnl"/>
        </w:rPr>
        <w:t>-Dic. 2008</w:t>
      </w:r>
    </w:p>
    <w:p w14:paraId="0C3BE236" w14:textId="77777777" w:rsidR="009C0DF0" w:rsidRPr="007F65E8" w:rsidRDefault="009C0DF0" w:rsidP="006260D1">
      <w:pPr>
        <w:pStyle w:val="References"/>
        <w:ind w:left="851" w:hanging="851"/>
        <w:rPr>
          <w:rFonts w:ascii="Times New Roman" w:hAnsi="Times New Roman"/>
          <w:lang w:val="es-ES_tradnl"/>
        </w:rPr>
      </w:pPr>
      <w:proofErr w:type="spellStart"/>
      <w:r w:rsidRPr="007F65E8">
        <w:rPr>
          <w:rFonts w:ascii="Times New Roman" w:hAnsi="Times New Roman"/>
          <w:lang w:val="es-ES_tradnl"/>
        </w:rPr>
        <w:t>Andreau</w:t>
      </w:r>
      <w:proofErr w:type="spellEnd"/>
      <w:r w:rsidRPr="007F65E8">
        <w:rPr>
          <w:rFonts w:ascii="Times New Roman" w:hAnsi="Times New Roman"/>
          <w:lang w:val="es-ES_tradnl"/>
        </w:rPr>
        <w:t xml:space="preserve">, R., </w:t>
      </w:r>
      <w:proofErr w:type="spellStart"/>
      <w:r w:rsidRPr="007F65E8">
        <w:rPr>
          <w:rFonts w:ascii="Times New Roman" w:hAnsi="Times New Roman"/>
          <w:lang w:val="es-ES_tradnl"/>
        </w:rPr>
        <w:t>Etchevers</w:t>
      </w:r>
      <w:proofErr w:type="spellEnd"/>
      <w:r w:rsidRPr="007F65E8">
        <w:rPr>
          <w:rFonts w:ascii="Times New Roman" w:hAnsi="Times New Roman"/>
          <w:lang w:val="es-ES_tradnl"/>
        </w:rPr>
        <w:t xml:space="preserve">, P., Chale, W., Etcheverry, M., Calvo, M.Y., Génova, L., (2014). Injerto de tomate en La Plata: dos años de ensayos con pie </w:t>
      </w:r>
      <w:proofErr w:type="spellStart"/>
      <w:r w:rsidRPr="007F65E8">
        <w:rPr>
          <w:rFonts w:ascii="Times New Roman" w:hAnsi="Times New Roman"/>
          <w:lang w:val="es-ES_tradnl"/>
        </w:rPr>
        <w:t>Maxifort</w:t>
      </w:r>
      <w:proofErr w:type="spellEnd"/>
      <w:r w:rsidRPr="007F65E8">
        <w:rPr>
          <w:rFonts w:ascii="Times New Roman" w:hAnsi="Times New Roman"/>
          <w:lang w:val="es-ES_tradnl"/>
        </w:rPr>
        <w:t xml:space="preserve">-copa </w:t>
      </w:r>
      <w:proofErr w:type="spellStart"/>
      <w:r w:rsidRPr="007F65E8">
        <w:rPr>
          <w:rFonts w:ascii="Times New Roman" w:hAnsi="Times New Roman"/>
          <w:lang w:val="es-ES_tradnl"/>
        </w:rPr>
        <w:t>Elpida</w:t>
      </w:r>
      <w:proofErr w:type="spellEnd"/>
      <w:r w:rsidRPr="007F65E8">
        <w:rPr>
          <w:rFonts w:ascii="Times New Roman" w:hAnsi="Times New Roman"/>
          <w:lang w:val="es-ES_tradnl"/>
        </w:rPr>
        <w:t xml:space="preserve"> conducidos bajo cubierta, bajo distintas condiciones de riego y drenaje. No. 019 Horticultura. In: </w:t>
      </w:r>
      <w:r w:rsidRPr="007F65E8">
        <w:rPr>
          <w:rFonts w:ascii="Times New Roman" w:hAnsi="Times New Roman"/>
          <w:i/>
          <w:lang w:val="es-ES_tradnl"/>
        </w:rPr>
        <w:t xml:space="preserve">Horticultura Argentina </w:t>
      </w:r>
      <w:r w:rsidRPr="007F65E8">
        <w:rPr>
          <w:rFonts w:ascii="Times New Roman" w:hAnsi="Times New Roman"/>
          <w:lang w:val="es-ES_tradnl"/>
        </w:rPr>
        <w:t xml:space="preserve">33(82): </w:t>
      </w:r>
      <w:proofErr w:type="spellStart"/>
      <w:r w:rsidRPr="007F65E8">
        <w:rPr>
          <w:rFonts w:ascii="Times New Roman" w:hAnsi="Times New Roman"/>
          <w:lang w:val="es-ES_tradnl"/>
        </w:rPr>
        <w:t>Sep</w:t>
      </w:r>
      <w:proofErr w:type="spellEnd"/>
      <w:r w:rsidRPr="007F65E8">
        <w:rPr>
          <w:rFonts w:ascii="Times New Roman" w:hAnsi="Times New Roman"/>
          <w:lang w:val="es-ES_tradnl"/>
        </w:rPr>
        <w:t>-Dic 2014</w:t>
      </w:r>
      <w:r w:rsidRPr="007F65E8">
        <w:rPr>
          <w:rFonts w:ascii="Times New Roman" w:hAnsi="Times New Roman"/>
          <w:i/>
          <w:lang w:val="es-ES_tradnl"/>
        </w:rPr>
        <w:t xml:space="preserve">. </w:t>
      </w:r>
    </w:p>
    <w:p w14:paraId="7061F07B" w14:textId="77777777" w:rsidR="009C0DF0" w:rsidRPr="007F65E8" w:rsidRDefault="009C0DF0" w:rsidP="006260D1">
      <w:pPr>
        <w:pStyle w:val="References"/>
        <w:ind w:left="851" w:hanging="851"/>
        <w:rPr>
          <w:rFonts w:ascii="Times New Roman" w:hAnsi="Times New Roman"/>
          <w:i/>
          <w:lang w:val="es-ES_tradnl"/>
        </w:rPr>
      </w:pPr>
      <w:proofErr w:type="spellStart"/>
      <w:r w:rsidRPr="007F65E8">
        <w:rPr>
          <w:rFonts w:ascii="Times New Roman" w:hAnsi="Times New Roman"/>
          <w:lang w:val="es-ES_tradnl"/>
        </w:rPr>
        <w:t>Bórquez</w:t>
      </w:r>
      <w:proofErr w:type="spellEnd"/>
      <w:r w:rsidRPr="007F65E8">
        <w:rPr>
          <w:rFonts w:ascii="Times New Roman" w:hAnsi="Times New Roman"/>
          <w:lang w:val="es-ES_tradnl"/>
        </w:rPr>
        <w:t xml:space="preserve">, A.M., </w:t>
      </w:r>
      <w:proofErr w:type="spellStart"/>
      <w:r w:rsidRPr="007F65E8">
        <w:rPr>
          <w:rFonts w:ascii="Times New Roman" w:hAnsi="Times New Roman"/>
          <w:lang w:val="es-ES_tradnl"/>
        </w:rPr>
        <w:t>Mollinedo</w:t>
      </w:r>
      <w:proofErr w:type="spellEnd"/>
      <w:r w:rsidRPr="007F65E8">
        <w:rPr>
          <w:rFonts w:ascii="Times New Roman" w:hAnsi="Times New Roman"/>
          <w:lang w:val="es-ES_tradnl"/>
        </w:rPr>
        <w:t xml:space="preserve">, V.A, (2010). Evaluación de alternativas al bromuro de metilo como desinfectante de suelo en el cultivo de frutilla en </w:t>
      </w:r>
      <w:proofErr w:type="spellStart"/>
      <w:r w:rsidRPr="007F65E8">
        <w:rPr>
          <w:rFonts w:ascii="Times New Roman" w:hAnsi="Times New Roman"/>
          <w:lang w:val="es-ES_tradnl"/>
        </w:rPr>
        <w:t>Lules</w:t>
      </w:r>
      <w:proofErr w:type="spellEnd"/>
      <w:r w:rsidRPr="007F65E8">
        <w:rPr>
          <w:rFonts w:ascii="Times New Roman" w:hAnsi="Times New Roman"/>
          <w:lang w:val="es-ES_tradnl"/>
        </w:rPr>
        <w:t xml:space="preserve"> (Tucumán). No. 155. Horticultura. In: </w:t>
      </w:r>
      <w:r w:rsidRPr="007F65E8">
        <w:rPr>
          <w:rFonts w:ascii="Times New Roman" w:hAnsi="Times New Roman"/>
          <w:i/>
          <w:lang w:val="es-ES_tradnl"/>
        </w:rPr>
        <w:t>Horticultura Argentina</w:t>
      </w:r>
      <w:r w:rsidRPr="007F65E8">
        <w:rPr>
          <w:rFonts w:ascii="Times New Roman" w:hAnsi="Times New Roman"/>
          <w:lang w:val="es-ES_tradnl"/>
        </w:rPr>
        <w:t xml:space="preserve"> 29(70): Sep.-Dic. 2010.</w:t>
      </w:r>
    </w:p>
    <w:p w14:paraId="785387BB" w14:textId="77777777" w:rsidR="009C0DF0" w:rsidRPr="007F65E8" w:rsidRDefault="009C0DF0" w:rsidP="006260D1">
      <w:pPr>
        <w:pStyle w:val="References"/>
        <w:ind w:left="851" w:hanging="851"/>
        <w:rPr>
          <w:rFonts w:ascii="Times New Roman" w:hAnsi="Times New Roman"/>
          <w:lang w:val="es-ES_tradnl"/>
        </w:rPr>
      </w:pPr>
      <w:proofErr w:type="spellStart"/>
      <w:r w:rsidRPr="007F65E8">
        <w:rPr>
          <w:rFonts w:ascii="Times New Roman" w:hAnsi="Times New Roman"/>
          <w:lang w:val="es-ES_tradnl"/>
        </w:rPr>
        <w:t>Bórquez</w:t>
      </w:r>
      <w:proofErr w:type="spellEnd"/>
      <w:r w:rsidRPr="007F65E8">
        <w:rPr>
          <w:rFonts w:ascii="Times New Roman" w:hAnsi="Times New Roman"/>
          <w:lang w:val="es-ES_tradnl"/>
        </w:rPr>
        <w:t xml:space="preserve">, A.M., </w:t>
      </w:r>
      <w:proofErr w:type="spellStart"/>
      <w:r w:rsidRPr="007F65E8">
        <w:rPr>
          <w:rFonts w:ascii="Times New Roman" w:hAnsi="Times New Roman"/>
          <w:lang w:val="es-ES_tradnl"/>
        </w:rPr>
        <w:t>Mollinedo</w:t>
      </w:r>
      <w:proofErr w:type="spellEnd"/>
      <w:r w:rsidRPr="007F65E8">
        <w:rPr>
          <w:rFonts w:ascii="Times New Roman" w:hAnsi="Times New Roman"/>
          <w:lang w:val="es-ES_tradnl"/>
        </w:rPr>
        <w:t xml:space="preserve">, V.A., (2009). Evaluación del uso del ioduro de metilo, </w:t>
      </w:r>
      <w:proofErr w:type="spellStart"/>
      <w:r w:rsidRPr="007F65E8">
        <w:rPr>
          <w:rFonts w:ascii="Times New Roman" w:hAnsi="Times New Roman"/>
          <w:lang w:val="es-ES_tradnl"/>
        </w:rPr>
        <w:t>metamsodio</w:t>
      </w:r>
      <w:proofErr w:type="spellEnd"/>
      <w:r w:rsidRPr="007F65E8">
        <w:rPr>
          <w:rFonts w:ascii="Times New Roman" w:hAnsi="Times New Roman"/>
          <w:lang w:val="es-ES_tradnl"/>
        </w:rPr>
        <w:t xml:space="preserve"> y </w:t>
      </w:r>
      <w:proofErr w:type="spellStart"/>
      <w:r w:rsidRPr="007F65E8">
        <w:rPr>
          <w:rFonts w:ascii="Times New Roman" w:hAnsi="Times New Roman"/>
          <w:lang w:val="es-ES_tradnl"/>
        </w:rPr>
        <w:t>metam</w:t>
      </w:r>
      <w:proofErr w:type="spellEnd"/>
      <w:r w:rsidRPr="007F65E8">
        <w:rPr>
          <w:rFonts w:ascii="Times New Roman" w:hAnsi="Times New Roman"/>
          <w:lang w:val="es-ES_tradnl"/>
        </w:rPr>
        <w:t xml:space="preserve"> amonio como alternativas al bromuro de </w:t>
      </w:r>
      <w:proofErr w:type="spellStart"/>
      <w:r w:rsidRPr="007F65E8">
        <w:rPr>
          <w:rFonts w:ascii="Times New Roman" w:hAnsi="Times New Roman"/>
          <w:lang w:val="es-ES_tradnl"/>
        </w:rPr>
        <w:t>metilopara</w:t>
      </w:r>
      <w:proofErr w:type="spellEnd"/>
      <w:r w:rsidRPr="007F65E8">
        <w:rPr>
          <w:rFonts w:ascii="Times New Roman" w:hAnsi="Times New Roman"/>
          <w:lang w:val="es-ES_tradnl"/>
        </w:rPr>
        <w:t xml:space="preserve"> la desinfección de suelo en frutilla. No. 128. Horticultura. In: </w:t>
      </w:r>
      <w:r w:rsidRPr="007F65E8">
        <w:rPr>
          <w:rFonts w:ascii="Times New Roman" w:hAnsi="Times New Roman"/>
          <w:i/>
          <w:lang w:val="es-ES_tradnl"/>
        </w:rPr>
        <w:t>Horticultura Argentina</w:t>
      </w:r>
      <w:r w:rsidRPr="007F65E8">
        <w:rPr>
          <w:rFonts w:ascii="Times New Roman" w:hAnsi="Times New Roman"/>
          <w:lang w:val="es-ES_tradnl"/>
        </w:rPr>
        <w:t xml:space="preserve"> 28(67): Sep.-Dic. 2009.</w:t>
      </w:r>
    </w:p>
    <w:p w14:paraId="378B0440" w14:textId="77777777" w:rsidR="009C0DF0" w:rsidRPr="007F65E8" w:rsidRDefault="009C0DF0" w:rsidP="006260D1">
      <w:pPr>
        <w:pStyle w:val="References"/>
        <w:ind w:left="851" w:hanging="851"/>
        <w:rPr>
          <w:rFonts w:ascii="Times New Roman" w:hAnsi="Times New Roman"/>
          <w:lang w:val="es-ES_tradnl"/>
        </w:rPr>
      </w:pPr>
      <w:proofErr w:type="spellStart"/>
      <w:r w:rsidRPr="007F65E8">
        <w:rPr>
          <w:rFonts w:ascii="Times New Roman" w:hAnsi="Times New Roman"/>
          <w:lang w:val="es-ES_tradnl"/>
        </w:rPr>
        <w:t>Bórquez</w:t>
      </w:r>
      <w:proofErr w:type="spellEnd"/>
      <w:r w:rsidRPr="007F65E8">
        <w:rPr>
          <w:rFonts w:ascii="Times New Roman" w:hAnsi="Times New Roman"/>
          <w:lang w:val="es-ES_tradnl"/>
        </w:rPr>
        <w:t xml:space="preserve">, A.M., Agüero, J.J., (2007). Evaluación del 1,3 </w:t>
      </w:r>
      <w:proofErr w:type="spellStart"/>
      <w:r w:rsidRPr="007F65E8">
        <w:rPr>
          <w:rFonts w:ascii="Times New Roman" w:hAnsi="Times New Roman"/>
          <w:lang w:val="es-ES_tradnl"/>
        </w:rPr>
        <w:t>diclorporopeno</w:t>
      </w:r>
      <w:proofErr w:type="spellEnd"/>
      <w:r w:rsidRPr="007F65E8">
        <w:rPr>
          <w:rFonts w:ascii="Times New Roman" w:hAnsi="Times New Roman"/>
          <w:lang w:val="es-ES_tradnl"/>
        </w:rPr>
        <w:t xml:space="preserve"> + </w:t>
      </w:r>
      <w:proofErr w:type="spellStart"/>
      <w:r w:rsidRPr="007F65E8">
        <w:rPr>
          <w:rFonts w:ascii="Times New Roman" w:hAnsi="Times New Roman"/>
          <w:lang w:val="es-ES_tradnl"/>
        </w:rPr>
        <w:t>cloropicrina</w:t>
      </w:r>
      <w:proofErr w:type="spellEnd"/>
      <w:r w:rsidRPr="007F65E8">
        <w:rPr>
          <w:rFonts w:ascii="Times New Roman" w:hAnsi="Times New Roman"/>
          <w:lang w:val="es-ES_tradnl"/>
        </w:rPr>
        <w:t xml:space="preserve"> y de la utilización del polietileno VIF con dosis reducida de bromuro de metilo 70:30 en la desinfección de suelo para el cultivo de frutilla, en </w:t>
      </w:r>
      <w:proofErr w:type="spellStart"/>
      <w:r w:rsidRPr="007F65E8">
        <w:rPr>
          <w:rFonts w:ascii="Times New Roman" w:hAnsi="Times New Roman"/>
          <w:lang w:val="es-ES_tradnl"/>
        </w:rPr>
        <w:t>Lules</w:t>
      </w:r>
      <w:proofErr w:type="spellEnd"/>
      <w:r w:rsidRPr="007F65E8">
        <w:rPr>
          <w:rFonts w:ascii="Times New Roman" w:hAnsi="Times New Roman"/>
          <w:lang w:val="es-ES_tradnl"/>
        </w:rPr>
        <w:t xml:space="preserve">, Tucumán. No. 108. Horticultura. </w:t>
      </w:r>
      <w:proofErr w:type="spellStart"/>
      <w:r w:rsidRPr="007F65E8">
        <w:rPr>
          <w:rFonts w:ascii="Times New Roman" w:hAnsi="Times New Roman"/>
          <w:lang w:val="es-ES_tradnl"/>
        </w:rPr>
        <w:t>In</w:t>
      </w:r>
      <w:proofErr w:type="gramStart"/>
      <w:r w:rsidRPr="007F65E8">
        <w:rPr>
          <w:rFonts w:ascii="Times New Roman" w:hAnsi="Times New Roman"/>
          <w:lang w:val="es-ES_tradnl"/>
        </w:rPr>
        <w:t>:</w:t>
      </w:r>
      <w:r w:rsidRPr="007F65E8">
        <w:rPr>
          <w:rFonts w:ascii="Times New Roman" w:hAnsi="Times New Roman"/>
          <w:i/>
          <w:lang w:val="es-ES_tradnl"/>
        </w:rPr>
        <w:t>Horticultura</w:t>
      </w:r>
      <w:proofErr w:type="spellEnd"/>
      <w:proofErr w:type="gramEnd"/>
      <w:r w:rsidRPr="007F65E8">
        <w:rPr>
          <w:rFonts w:ascii="Times New Roman" w:hAnsi="Times New Roman"/>
          <w:i/>
          <w:lang w:val="es-ES_tradnl"/>
        </w:rPr>
        <w:t xml:space="preserve"> Argentina</w:t>
      </w:r>
      <w:r w:rsidRPr="007F65E8">
        <w:rPr>
          <w:rFonts w:ascii="Times New Roman" w:hAnsi="Times New Roman"/>
          <w:lang w:val="es-ES_tradnl"/>
        </w:rPr>
        <w:t xml:space="preserve"> 26(61): Jul.-Dic. 2007.</w:t>
      </w:r>
    </w:p>
    <w:p w14:paraId="6B2ED3B4" w14:textId="002FC590" w:rsidR="009C0DF0" w:rsidRPr="00501812" w:rsidRDefault="009C0DF0" w:rsidP="006260D1">
      <w:pPr>
        <w:pStyle w:val="References"/>
        <w:ind w:left="851" w:hanging="851"/>
        <w:rPr>
          <w:rFonts w:ascii="Times New Roman" w:hAnsi="Times New Roman"/>
        </w:rPr>
      </w:pPr>
      <w:r w:rsidRPr="00CD3CBD">
        <w:rPr>
          <w:rFonts w:ascii="Times New Roman" w:hAnsi="Times New Roman"/>
        </w:rPr>
        <w:t xml:space="preserve">Cao, A., </w:t>
      </w:r>
      <w:proofErr w:type="spellStart"/>
      <w:r w:rsidRPr="00CD3CBD">
        <w:rPr>
          <w:rFonts w:ascii="Times New Roman" w:hAnsi="Times New Roman"/>
        </w:rPr>
        <w:t>Guo</w:t>
      </w:r>
      <w:proofErr w:type="spellEnd"/>
      <w:r w:rsidRPr="00CD3CBD">
        <w:rPr>
          <w:rFonts w:ascii="Times New Roman" w:hAnsi="Times New Roman"/>
        </w:rPr>
        <w:t xml:space="preserve">, M., Yan, D., Mao, L., Wang, Q., Li, Y., </w:t>
      </w:r>
      <w:proofErr w:type="spellStart"/>
      <w:r w:rsidRPr="00CD3CBD">
        <w:rPr>
          <w:rFonts w:ascii="Times New Roman" w:hAnsi="Times New Roman"/>
        </w:rPr>
        <w:t>Duan</w:t>
      </w:r>
      <w:proofErr w:type="spellEnd"/>
      <w:r w:rsidRPr="00CD3CBD">
        <w:rPr>
          <w:rFonts w:ascii="Times New Roman" w:hAnsi="Times New Roman"/>
        </w:rPr>
        <w:t>, X.</w:t>
      </w:r>
      <w:r w:rsidR="00865451" w:rsidRPr="00501812">
        <w:rPr>
          <w:rFonts w:ascii="Times New Roman" w:hAnsi="Times New Roman"/>
        </w:rPr>
        <w:t>,</w:t>
      </w:r>
      <w:r w:rsidRPr="00501812">
        <w:rPr>
          <w:rFonts w:ascii="Times New Roman" w:hAnsi="Times New Roman"/>
        </w:rPr>
        <w:t xml:space="preserve"> (2014).</w:t>
      </w:r>
      <w:r w:rsidR="007F65E8">
        <w:rPr>
          <w:rFonts w:ascii="Times New Roman" w:hAnsi="Times New Roman"/>
        </w:rPr>
        <w:t xml:space="preserve"> </w:t>
      </w:r>
      <w:r w:rsidRPr="00501812">
        <w:rPr>
          <w:rFonts w:ascii="Times New Roman" w:hAnsi="Times New Roman"/>
        </w:rPr>
        <w:t xml:space="preserve">Evaluation of </w:t>
      </w:r>
      <w:proofErr w:type="spellStart"/>
      <w:r w:rsidRPr="00501812">
        <w:rPr>
          <w:rFonts w:ascii="Times New Roman" w:hAnsi="Times New Roman"/>
        </w:rPr>
        <w:t>sulfuryl</w:t>
      </w:r>
      <w:proofErr w:type="spellEnd"/>
      <w:r w:rsidRPr="00501812">
        <w:rPr>
          <w:rFonts w:ascii="Times New Roman" w:hAnsi="Times New Roman"/>
        </w:rPr>
        <w:t xml:space="preserve"> fluoride as a soil fumigant in China.</w:t>
      </w:r>
      <w:r w:rsidR="007F65E8">
        <w:rPr>
          <w:rFonts w:ascii="Times New Roman" w:hAnsi="Times New Roman"/>
        </w:rPr>
        <w:t xml:space="preserve"> </w:t>
      </w:r>
      <w:r w:rsidRPr="00501812">
        <w:rPr>
          <w:rFonts w:ascii="Times New Roman" w:hAnsi="Times New Roman"/>
          <w:i/>
        </w:rPr>
        <w:t>Pest Management Science</w:t>
      </w:r>
      <w:r w:rsidRPr="00501812">
        <w:rPr>
          <w:rFonts w:ascii="Times New Roman" w:hAnsi="Times New Roman"/>
        </w:rPr>
        <w:t>; 2014. 70(2):219-227.</w:t>
      </w:r>
    </w:p>
    <w:p w14:paraId="7E7C9307" w14:textId="1B29C7C1" w:rsidR="009C0DF0" w:rsidRPr="007F65E8" w:rsidRDefault="009C0DF0" w:rsidP="006260D1">
      <w:pPr>
        <w:pStyle w:val="References"/>
        <w:ind w:left="851" w:hanging="851"/>
        <w:rPr>
          <w:rFonts w:ascii="Times New Roman" w:hAnsi="Times New Roman"/>
          <w:lang w:val="es-ES_tradnl"/>
        </w:rPr>
      </w:pPr>
      <w:r w:rsidRPr="007F65E8">
        <w:rPr>
          <w:rFonts w:ascii="Times New Roman" w:hAnsi="Times New Roman"/>
          <w:lang w:val="es-ES_tradnl"/>
        </w:rPr>
        <w:t xml:space="preserve">Chale, W., Etcheverry, M., Génova, L., </w:t>
      </w:r>
      <w:proofErr w:type="spellStart"/>
      <w:r w:rsidRPr="007F65E8">
        <w:rPr>
          <w:rFonts w:ascii="Times New Roman" w:hAnsi="Times New Roman"/>
          <w:lang w:val="es-ES_tradnl"/>
        </w:rPr>
        <w:t>Etchevers</w:t>
      </w:r>
      <w:proofErr w:type="spellEnd"/>
      <w:r w:rsidRPr="007F65E8">
        <w:rPr>
          <w:rFonts w:ascii="Times New Roman" w:hAnsi="Times New Roman"/>
          <w:lang w:val="es-ES_tradnl"/>
        </w:rPr>
        <w:t xml:space="preserve">, P., Calvo, I., </w:t>
      </w:r>
      <w:proofErr w:type="spellStart"/>
      <w:r w:rsidRPr="007F65E8">
        <w:rPr>
          <w:rFonts w:ascii="Times New Roman" w:hAnsi="Times New Roman"/>
          <w:lang w:val="es-ES_tradnl"/>
        </w:rPr>
        <w:t>Andreau</w:t>
      </w:r>
      <w:proofErr w:type="spellEnd"/>
      <w:r w:rsidRPr="007F65E8">
        <w:rPr>
          <w:rFonts w:ascii="Times New Roman" w:hAnsi="Times New Roman"/>
          <w:lang w:val="es-ES_tradnl"/>
        </w:rPr>
        <w:t xml:space="preserve">, R., (2013). Ensayo comparativo de rendimiento de cinco injertos de tomate con copa </w:t>
      </w:r>
      <w:proofErr w:type="spellStart"/>
      <w:r w:rsidRPr="007F65E8">
        <w:rPr>
          <w:rFonts w:ascii="Times New Roman" w:hAnsi="Times New Roman"/>
          <w:lang w:val="es-ES_tradnl"/>
        </w:rPr>
        <w:t>Elpida</w:t>
      </w:r>
      <w:proofErr w:type="spellEnd"/>
      <w:r w:rsidRPr="007F65E8">
        <w:rPr>
          <w:rFonts w:ascii="Times New Roman" w:hAnsi="Times New Roman"/>
          <w:lang w:val="es-ES_tradnl"/>
        </w:rPr>
        <w:t xml:space="preserve"> en suelos con ne</w:t>
      </w:r>
      <w:r w:rsidR="007F65E8">
        <w:rPr>
          <w:rFonts w:ascii="Times New Roman" w:hAnsi="Times New Roman"/>
          <w:lang w:val="es-ES_tradnl"/>
        </w:rPr>
        <w:t>ma</w:t>
      </w:r>
      <w:r w:rsidRPr="007F65E8">
        <w:rPr>
          <w:rFonts w:ascii="Times New Roman" w:hAnsi="Times New Roman"/>
          <w:lang w:val="es-ES_tradnl"/>
        </w:rPr>
        <w:t>todos conducidos bajo cubierta pl</w:t>
      </w:r>
      <w:r w:rsidR="007F65E8">
        <w:rPr>
          <w:rFonts w:ascii="Times New Roman" w:hAnsi="Times New Roman"/>
          <w:lang w:val="es-ES_tradnl"/>
        </w:rPr>
        <w:t>á</w:t>
      </w:r>
      <w:r w:rsidRPr="007F65E8">
        <w:rPr>
          <w:rFonts w:ascii="Times New Roman" w:hAnsi="Times New Roman"/>
          <w:lang w:val="es-ES_tradnl"/>
        </w:rPr>
        <w:t xml:space="preserve">stica en La Plata. No. 019 Horticultura. In: </w:t>
      </w:r>
      <w:r w:rsidRPr="007F65E8">
        <w:rPr>
          <w:rFonts w:ascii="Times New Roman" w:hAnsi="Times New Roman"/>
          <w:i/>
          <w:lang w:val="es-ES_tradnl"/>
        </w:rPr>
        <w:t>Horticultura Argentina</w:t>
      </w:r>
      <w:r w:rsidRPr="007F65E8">
        <w:rPr>
          <w:rFonts w:ascii="Times New Roman" w:hAnsi="Times New Roman"/>
          <w:lang w:val="es-ES_tradnl"/>
        </w:rPr>
        <w:t xml:space="preserve"> 32(79): Sep.-Dic. 2013</w:t>
      </w:r>
    </w:p>
    <w:p w14:paraId="0C217074" w14:textId="64035091" w:rsidR="009C0DF0" w:rsidRPr="00501812" w:rsidRDefault="009C0DF0" w:rsidP="006260D1">
      <w:pPr>
        <w:pStyle w:val="References"/>
        <w:ind w:left="851" w:hanging="851"/>
        <w:rPr>
          <w:rFonts w:ascii="Times New Roman" w:hAnsi="Times New Roman"/>
          <w:lang w:val="en-US"/>
        </w:rPr>
      </w:pPr>
      <w:r w:rsidRPr="00CD3CBD">
        <w:rPr>
          <w:rFonts w:ascii="Times New Roman" w:hAnsi="Times New Roman"/>
        </w:rPr>
        <w:t xml:space="preserve">Christos, I.R., </w:t>
      </w:r>
      <w:proofErr w:type="spellStart"/>
      <w:r w:rsidRPr="00CD3CBD">
        <w:rPr>
          <w:rFonts w:ascii="Times New Roman" w:hAnsi="Times New Roman"/>
        </w:rPr>
        <w:t>Ebrahim</w:t>
      </w:r>
      <w:proofErr w:type="spellEnd"/>
      <w:r w:rsidRPr="00CD3CBD">
        <w:rPr>
          <w:rFonts w:ascii="Times New Roman" w:hAnsi="Times New Roman"/>
        </w:rPr>
        <w:t>, M.K.</w:t>
      </w:r>
      <w:proofErr w:type="gramStart"/>
      <w:r w:rsidRPr="00CD3CBD">
        <w:rPr>
          <w:rFonts w:ascii="Times New Roman" w:hAnsi="Times New Roman"/>
        </w:rPr>
        <w:t>,.</w:t>
      </w:r>
      <w:proofErr w:type="spellStart"/>
      <w:proofErr w:type="gramEnd"/>
      <w:r w:rsidRPr="00CD3CBD">
        <w:rPr>
          <w:rFonts w:ascii="Times New Roman" w:hAnsi="Times New Roman"/>
        </w:rPr>
        <w:t>Naved</w:t>
      </w:r>
      <w:proofErr w:type="spellEnd"/>
      <w:r w:rsidRPr="00CD3CBD">
        <w:rPr>
          <w:rFonts w:ascii="Times New Roman" w:hAnsi="Times New Roman"/>
        </w:rPr>
        <w:t>, S., (2011).Response of local and commercial tomato cultivars and ro</w:t>
      </w:r>
      <w:r w:rsidRPr="00501812">
        <w:rPr>
          <w:rFonts w:ascii="Times New Roman" w:hAnsi="Times New Roman"/>
        </w:rPr>
        <w:t xml:space="preserve">otstocks to </w:t>
      </w:r>
      <w:proofErr w:type="spellStart"/>
      <w:r w:rsidRPr="00501812">
        <w:rPr>
          <w:rFonts w:ascii="Times New Roman" w:hAnsi="Times New Roman"/>
          <w:i/>
          <w:iCs/>
        </w:rPr>
        <w:t>Meloidogyne</w:t>
      </w:r>
      <w:proofErr w:type="spellEnd"/>
      <w:r w:rsidR="007F65E8">
        <w:rPr>
          <w:rFonts w:ascii="Times New Roman" w:hAnsi="Times New Roman"/>
          <w:i/>
          <w:iCs/>
        </w:rPr>
        <w:t xml:space="preserve"> </w:t>
      </w:r>
      <w:r w:rsidR="00A71ADA">
        <w:rPr>
          <w:rFonts w:ascii="Times New Roman" w:hAnsi="Times New Roman"/>
          <w:i/>
          <w:iCs/>
        </w:rPr>
        <w:t xml:space="preserve"> </w:t>
      </w:r>
      <w:proofErr w:type="spellStart"/>
      <w:r w:rsidRPr="00501812">
        <w:rPr>
          <w:rFonts w:ascii="Times New Roman" w:hAnsi="Times New Roman"/>
          <w:i/>
          <w:iCs/>
        </w:rPr>
        <w:t>javanica</w:t>
      </w:r>
      <w:proofErr w:type="spellEnd"/>
      <w:r w:rsidR="0079319F">
        <w:rPr>
          <w:rFonts w:ascii="Times New Roman" w:hAnsi="Times New Roman"/>
          <w:i/>
          <w:iCs/>
        </w:rPr>
        <w:t xml:space="preserve"> </w:t>
      </w:r>
      <w:r w:rsidRPr="00501812">
        <w:rPr>
          <w:rFonts w:ascii="Times New Roman" w:hAnsi="Times New Roman"/>
        </w:rPr>
        <w:t>infestation.</w:t>
      </w:r>
      <w:r w:rsidRPr="00501812">
        <w:rPr>
          <w:rFonts w:ascii="Times New Roman" w:hAnsi="Times New Roman"/>
          <w:i/>
          <w:lang w:val="en-US"/>
        </w:rPr>
        <w:t xml:space="preserve">Australian Journal of Crop Science </w:t>
      </w:r>
      <w:r w:rsidRPr="00501812">
        <w:rPr>
          <w:rFonts w:ascii="Times New Roman" w:hAnsi="Times New Roman"/>
          <w:lang w:val="en-US"/>
        </w:rPr>
        <w:t>5(11):1388-1395.</w:t>
      </w:r>
    </w:p>
    <w:p w14:paraId="79E3BDD2" w14:textId="77777777" w:rsidR="009C0DF0" w:rsidRPr="007F65E8" w:rsidRDefault="009C0DF0" w:rsidP="006260D1">
      <w:pPr>
        <w:pStyle w:val="References"/>
        <w:ind w:left="851" w:hanging="851"/>
        <w:rPr>
          <w:rFonts w:ascii="Times New Roman" w:hAnsi="Times New Roman"/>
          <w:lang w:val="es-ES_tradnl"/>
        </w:rPr>
      </w:pPr>
      <w:r w:rsidRPr="007F65E8">
        <w:rPr>
          <w:rFonts w:ascii="Times New Roman" w:hAnsi="Times New Roman"/>
          <w:lang w:val="es-ES_tradnl"/>
        </w:rPr>
        <w:t xml:space="preserve">Del Huerto Sordo, A., (2013). Se cultivaron 414 hectáreas de frutilla en la Provincia de Santa </w:t>
      </w:r>
      <w:proofErr w:type="spellStart"/>
      <w:r w:rsidRPr="007F65E8">
        <w:rPr>
          <w:rFonts w:ascii="Times New Roman" w:hAnsi="Times New Roman"/>
          <w:lang w:val="es-ES_tradnl"/>
        </w:rPr>
        <w:t>Fé</w:t>
      </w:r>
      <w:proofErr w:type="spellEnd"/>
      <w:r w:rsidRPr="007F65E8">
        <w:rPr>
          <w:rFonts w:ascii="Times New Roman" w:hAnsi="Times New Roman"/>
          <w:lang w:val="es-ES_tradnl"/>
        </w:rPr>
        <w:t>. Boletín INTA, (2013).</w:t>
      </w:r>
    </w:p>
    <w:p w14:paraId="30F61D85" w14:textId="77777777" w:rsidR="009C0DF0" w:rsidRPr="00501812" w:rsidRDefault="009C0DF0" w:rsidP="006260D1">
      <w:pPr>
        <w:pStyle w:val="References"/>
        <w:ind w:left="851" w:hanging="851"/>
        <w:rPr>
          <w:rFonts w:ascii="Times New Roman" w:hAnsi="Times New Roman"/>
        </w:rPr>
      </w:pPr>
      <w:proofErr w:type="spellStart"/>
      <w:r w:rsidRPr="00CD3CBD">
        <w:rPr>
          <w:rFonts w:ascii="Times New Roman" w:hAnsi="Times New Roman"/>
        </w:rPr>
        <w:t>Devran</w:t>
      </w:r>
      <w:proofErr w:type="spellEnd"/>
      <w:r w:rsidRPr="00CD3CBD">
        <w:rPr>
          <w:rFonts w:ascii="Times New Roman" w:hAnsi="Times New Roman"/>
        </w:rPr>
        <w:t xml:space="preserve">, Z., </w:t>
      </w:r>
      <w:proofErr w:type="spellStart"/>
      <w:r w:rsidRPr="00CD3CBD">
        <w:rPr>
          <w:rFonts w:ascii="Times New Roman" w:hAnsi="Times New Roman"/>
        </w:rPr>
        <w:t>Sogut</w:t>
      </w:r>
      <w:proofErr w:type="spellEnd"/>
      <w:r w:rsidRPr="00CD3CBD">
        <w:rPr>
          <w:rFonts w:ascii="Times New Roman" w:hAnsi="Times New Roman"/>
        </w:rPr>
        <w:t>, M.A., (2010).</w:t>
      </w:r>
      <w:r w:rsidRPr="00501812">
        <w:rPr>
          <w:rStyle w:val="txtboldonly"/>
          <w:rFonts w:ascii="Times New Roman" w:hAnsi="Times New Roman"/>
        </w:rPr>
        <w:t xml:space="preserve">Occurrence of virulent root-knot nematode populations on tomatoes bearing the </w:t>
      </w:r>
      <w:proofErr w:type="spellStart"/>
      <w:r w:rsidRPr="00501812">
        <w:rPr>
          <w:rStyle w:val="txtboldonly"/>
          <w:rFonts w:ascii="Times New Roman" w:hAnsi="Times New Roman"/>
        </w:rPr>
        <w:t>Mi</w:t>
      </w:r>
      <w:proofErr w:type="spellEnd"/>
      <w:r w:rsidRPr="00501812">
        <w:rPr>
          <w:rStyle w:val="txtboldonly"/>
          <w:rFonts w:ascii="Times New Roman" w:hAnsi="Times New Roman"/>
        </w:rPr>
        <w:t xml:space="preserve"> gene in protected vegetable-growing areas of Turkey. </w:t>
      </w:r>
      <w:proofErr w:type="spellStart"/>
      <w:r w:rsidRPr="00501812">
        <w:rPr>
          <w:rFonts w:ascii="Times New Roman" w:hAnsi="Times New Roman"/>
          <w:i/>
          <w:iCs/>
        </w:rPr>
        <w:t>Phytoparasitica</w:t>
      </w:r>
      <w:proofErr w:type="spellEnd"/>
      <w:r w:rsidRPr="00501812">
        <w:rPr>
          <w:rFonts w:ascii="Times New Roman" w:hAnsi="Times New Roman"/>
          <w:i/>
          <w:iCs/>
        </w:rPr>
        <w:t>,</w:t>
      </w:r>
      <w:r w:rsidRPr="00501812">
        <w:rPr>
          <w:rFonts w:ascii="Times New Roman" w:hAnsi="Times New Roman"/>
        </w:rPr>
        <w:t xml:space="preserve"> 38:245-251.</w:t>
      </w:r>
    </w:p>
    <w:p w14:paraId="6CD75772" w14:textId="1AB316E9" w:rsidR="009C0DF0" w:rsidRPr="00501812" w:rsidRDefault="009C0DF0" w:rsidP="006260D1">
      <w:pPr>
        <w:pStyle w:val="References"/>
        <w:ind w:left="851" w:hanging="851"/>
        <w:rPr>
          <w:rFonts w:ascii="Times New Roman" w:hAnsi="Times New Roman"/>
        </w:rPr>
      </w:pPr>
      <w:r w:rsidRPr="00501812">
        <w:rPr>
          <w:rFonts w:ascii="Times New Roman" w:hAnsi="Times New Roman"/>
        </w:rPr>
        <w:t>Dreger, I., (2007).</w:t>
      </w:r>
      <w:r w:rsidR="007F65E8">
        <w:rPr>
          <w:rFonts w:ascii="Times New Roman" w:hAnsi="Times New Roman"/>
        </w:rPr>
        <w:t xml:space="preserve"> </w:t>
      </w:r>
      <w:r w:rsidRPr="00501812">
        <w:rPr>
          <w:rFonts w:ascii="Times New Roman" w:hAnsi="Times New Roman"/>
        </w:rPr>
        <w:t>Thermal Treatment with Infrared Radiation.</w:t>
      </w:r>
      <w:r w:rsidR="002F7462">
        <w:rPr>
          <w:rFonts w:ascii="Times New Roman" w:hAnsi="Times New Roman"/>
        </w:rPr>
        <w:t xml:space="preserve"> </w:t>
      </w:r>
      <w:r w:rsidRPr="00501812">
        <w:rPr>
          <w:rFonts w:ascii="Times New Roman" w:hAnsi="Times New Roman"/>
        </w:rPr>
        <w:t xml:space="preserve">An effective control measure against biotic wood-destroyers. In: </w:t>
      </w:r>
      <w:proofErr w:type="spellStart"/>
      <w:r w:rsidRPr="00501812">
        <w:rPr>
          <w:rFonts w:ascii="Times New Roman" w:hAnsi="Times New Roman"/>
        </w:rPr>
        <w:t>Noldt</w:t>
      </w:r>
      <w:proofErr w:type="spellEnd"/>
      <w:r w:rsidRPr="00501812">
        <w:rPr>
          <w:rFonts w:ascii="Times New Roman" w:hAnsi="Times New Roman"/>
        </w:rPr>
        <w:t xml:space="preserve">, U., </w:t>
      </w:r>
      <w:proofErr w:type="spellStart"/>
      <w:r w:rsidRPr="00501812">
        <w:rPr>
          <w:rFonts w:ascii="Times New Roman" w:hAnsi="Times New Roman"/>
        </w:rPr>
        <w:t>Michels</w:t>
      </w:r>
      <w:proofErr w:type="spellEnd"/>
      <w:r w:rsidRPr="00501812">
        <w:rPr>
          <w:rFonts w:ascii="Times New Roman" w:hAnsi="Times New Roman"/>
        </w:rPr>
        <w:t>, H., eds., Wood-Destroying Organisms in Focus - Alternative Measures for Preservation of Historic Buildings,  Proceedings of the International Conference at the LWL-Open Air Museum Detmold, Westphalian Museum of Rural History and Culture, 28-30 June 2006,Detmold, Germany, ISBN 978-3-926160-42-3,  265 pp, 173-182.</w:t>
      </w:r>
    </w:p>
    <w:p w14:paraId="1C42B258" w14:textId="77777777" w:rsidR="009C0DF0" w:rsidRPr="007F65E8" w:rsidRDefault="009C0DF0" w:rsidP="006260D1">
      <w:pPr>
        <w:pStyle w:val="References"/>
        <w:ind w:left="851" w:hanging="851"/>
        <w:rPr>
          <w:rFonts w:ascii="Times New Roman" w:hAnsi="Times New Roman"/>
          <w:lang w:val="es-ES_tradnl"/>
        </w:rPr>
      </w:pPr>
      <w:proofErr w:type="spellStart"/>
      <w:r w:rsidRPr="007F65E8">
        <w:rPr>
          <w:rFonts w:ascii="Times New Roman" w:eastAsiaTheme="minorHAnsi" w:hAnsi="Times New Roman"/>
          <w:lang w:val="es-ES_tradnl"/>
        </w:rPr>
        <w:t>Ducasse</w:t>
      </w:r>
      <w:proofErr w:type="spellEnd"/>
      <w:r w:rsidRPr="007F65E8">
        <w:rPr>
          <w:rFonts w:ascii="Times New Roman" w:eastAsiaTheme="minorHAnsi" w:hAnsi="Times New Roman"/>
          <w:lang w:val="es-ES_tradnl"/>
        </w:rPr>
        <w:t xml:space="preserve">, A.M., </w:t>
      </w:r>
      <w:proofErr w:type="spellStart"/>
      <w:r w:rsidRPr="007F65E8">
        <w:rPr>
          <w:rFonts w:ascii="Times New Roman" w:eastAsiaTheme="minorHAnsi" w:hAnsi="Times New Roman"/>
          <w:lang w:val="es-ES_tradnl"/>
        </w:rPr>
        <w:t>Garbi</w:t>
      </w:r>
      <w:proofErr w:type="spellEnd"/>
      <w:r w:rsidRPr="007F65E8">
        <w:rPr>
          <w:rFonts w:ascii="Times New Roman" w:eastAsiaTheme="minorHAnsi" w:hAnsi="Times New Roman"/>
          <w:lang w:val="es-ES_tradnl"/>
        </w:rPr>
        <w:t xml:space="preserve">, G., </w:t>
      </w:r>
      <w:proofErr w:type="spellStart"/>
      <w:r w:rsidRPr="007F65E8">
        <w:rPr>
          <w:rFonts w:ascii="Times New Roman" w:eastAsiaTheme="minorHAnsi" w:hAnsi="Times New Roman"/>
          <w:lang w:val="es-ES_tradnl"/>
        </w:rPr>
        <w:t>Morelli</w:t>
      </w:r>
      <w:proofErr w:type="spellEnd"/>
      <w:r w:rsidRPr="007F65E8">
        <w:rPr>
          <w:rFonts w:ascii="Times New Roman" w:eastAsiaTheme="minorHAnsi" w:hAnsi="Times New Roman"/>
          <w:lang w:val="es-ES_tradnl"/>
        </w:rPr>
        <w:t xml:space="preserve">, M.C., Grimaldi, M., Somoza, J., Carbone, A., </w:t>
      </w:r>
      <w:proofErr w:type="spellStart"/>
      <w:r w:rsidRPr="007F65E8">
        <w:rPr>
          <w:rFonts w:ascii="Times New Roman" w:eastAsiaTheme="minorHAnsi" w:hAnsi="Times New Roman"/>
          <w:lang w:val="es-ES_tradnl"/>
        </w:rPr>
        <w:t>Cerisola</w:t>
      </w:r>
      <w:proofErr w:type="spellEnd"/>
      <w:r w:rsidRPr="007F65E8">
        <w:rPr>
          <w:rFonts w:ascii="Times New Roman" w:eastAsiaTheme="minorHAnsi" w:hAnsi="Times New Roman"/>
          <w:lang w:val="es-ES_tradnl"/>
        </w:rPr>
        <w:t xml:space="preserve">, C., </w:t>
      </w:r>
      <w:proofErr w:type="spellStart"/>
      <w:r w:rsidRPr="007F65E8">
        <w:rPr>
          <w:rFonts w:ascii="Times New Roman" w:eastAsiaTheme="minorHAnsi" w:hAnsi="Times New Roman"/>
          <w:lang w:val="es-ES_tradnl"/>
        </w:rPr>
        <w:t>Martinez</w:t>
      </w:r>
      <w:proofErr w:type="spellEnd"/>
      <w:r w:rsidRPr="007F65E8">
        <w:rPr>
          <w:rFonts w:ascii="Times New Roman" w:eastAsiaTheme="minorHAnsi" w:hAnsi="Times New Roman"/>
          <w:lang w:val="es-ES_tradnl"/>
        </w:rPr>
        <w:t xml:space="preserve">, S., (2013). Características de híbridos de tomate utilizados como pie de injerto cultivados en </w:t>
      </w:r>
      <w:proofErr w:type="spellStart"/>
      <w:r w:rsidRPr="007F65E8">
        <w:rPr>
          <w:rFonts w:ascii="Times New Roman" w:eastAsiaTheme="minorHAnsi" w:hAnsi="Times New Roman"/>
          <w:lang w:val="es-ES_tradnl"/>
        </w:rPr>
        <w:t>sualos</w:t>
      </w:r>
      <w:proofErr w:type="spellEnd"/>
      <w:r w:rsidRPr="007F65E8">
        <w:rPr>
          <w:rFonts w:ascii="Times New Roman" w:eastAsiaTheme="minorHAnsi" w:hAnsi="Times New Roman"/>
          <w:lang w:val="es-ES_tradnl"/>
        </w:rPr>
        <w:t xml:space="preserve">  con nematodos. </w:t>
      </w:r>
      <w:r w:rsidRPr="007F65E8">
        <w:rPr>
          <w:rFonts w:ascii="Times New Roman" w:hAnsi="Times New Roman"/>
          <w:lang w:val="es-ES_tradnl"/>
        </w:rPr>
        <w:t xml:space="preserve">No. 027. Horticultura. </w:t>
      </w:r>
      <w:proofErr w:type="spellStart"/>
      <w:r w:rsidRPr="007F65E8">
        <w:rPr>
          <w:rFonts w:ascii="Times New Roman" w:hAnsi="Times New Roman"/>
          <w:lang w:val="es-ES_tradnl"/>
        </w:rPr>
        <w:t>In</w:t>
      </w:r>
      <w:proofErr w:type="gramStart"/>
      <w:r w:rsidRPr="007F65E8">
        <w:rPr>
          <w:rFonts w:ascii="Times New Roman" w:hAnsi="Times New Roman"/>
          <w:lang w:val="es-ES_tradnl"/>
        </w:rPr>
        <w:t>:</w:t>
      </w:r>
      <w:r w:rsidRPr="007F65E8">
        <w:rPr>
          <w:rFonts w:ascii="Times New Roman" w:eastAsiaTheme="minorHAnsi" w:hAnsi="Times New Roman"/>
          <w:i/>
          <w:lang w:val="es-ES_tradnl"/>
        </w:rPr>
        <w:t>Horticultura</w:t>
      </w:r>
      <w:proofErr w:type="spellEnd"/>
      <w:proofErr w:type="gramEnd"/>
      <w:r w:rsidRPr="007F65E8">
        <w:rPr>
          <w:rFonts w:ascii="Times New Roman" w:eastAsiaTheme="minorHAnsi" w:hAnsi="Times New Roman"/>
          <w:i/>
          <w:lang w:val="es-ES_tradnl"/>
        </w:rPr>
        <w:t xml:space="preserve"> Argentina</w:t>
      </w:r>
      <w:r w:rsidRPr="007F65E8">
        <w:rPr>
          <w:rFonts w:ascii="Times New Roman" w:eastAsiaTheme="minorHAnsi" w:hAnsi="Times New Roman"/>
          <w:lang w:val="es-ES_tradnl"/>
        </w:rPr>
        <w:t xml:space="preserve"> 32 (79): Sep.-Dic. 2013</w:t>
      </w:r>
    </w:p>
    <w:p w14:paraId="45C08C3F" w14:textId="77777777" w:rsidR="009C0DF0" w:rsidRPr="00220275" w:rsidRDefault="009C0DF0" w:rsidP="006260D1">
      <w:pPr>
        <w:pStyle w:val="References"/>
        <w:ind w:left="851" w:hanging="851"/>
        <w:rPr>
          <w:rFonts w:ascii="Times New Roman" w:hAnsi="Times New Roman"/>
        </w:rPr>
      </w:pPr>
      <w:r w:rsidRPr="00501812">
        <w:rPr>
          <w:rFonts w:ascii="Times New Roman" w:hAnsi="Times New Roman"/>
        </w:rPr>
        <w:t xml:space="preserve">Fang, X., Phillips, D., </w:t>
      </w:r>
      <w:proofErr w:type="spellStart"/>
      <w:r w:rsidRPr="00501812">
        <w:rPr>
          <w:rFonts w:ascii="Times New Roman" w:hAnsi="Times New Roman"/>
        </w:rPr>
        <w:t>Verheyen</w:t>
      </w:r>
      <w:proofErr w:type="spellEnd"/>
      <w:r w:rsidRPr="00501812">
        <w:rPr>
          <w:rFonts w:ascii="Times New Roman" w:hAnsi="Times New Roman"/>
        </w:rPr>
        <w:t xml:space="preserve">, G., Li, H., </w:t>
      </w:r>
      <w:proofErr w:type="spellStart"/>
      <w:r w:rsidRPr="00501812">
        <w:rPr>
          <w:rFonts w:ascii="Times New Roman" w:hAnsi="Times New Roman"/>
        </w:rPr>
        <w:t>Sivasithamparam</w:t>
      </w:r>
      <w:proofErr w:type="spellEnd"/>
      <w:r w:rsidRPr="00501812">
        <w:rPr>
          <w:rFonts w:ascii="Times New Roman" w:hAnsi="Times New Roman"/>
        </w:rPr>
        <w:t xml:space="preserve">, K., </w:t>
      </w:r>
      <w:proofErr w:type="spellStart"/>
      <w:r w:rsidRPr="00501812">
        <w:rPr>
          <w:rFonts w:ascii="Times New Roman" w:hAnsi="Times New Roman"/>
        </w:rPr>
        <w:t>Barbetti</w:t>
      </w:r>
      <w:proofErr w:type="spellEnd"/>
      <w:r w:rsidRPr="00501812">
        <w:rPr>
          <w:rFonts w:ascii="Times New Roman" w:hAnsi="Times New Roman"/>
        </w:rPr>
        <w:t>, M.J., (2012).</w:t>
      </w:r>
      <w:r w:rsidRPr="00CD3CBD">
        <w:rPr>
          <w:rFonts w:ascii="Times New Roman" w:hAnsi="Times New Roman"/>
        </w:rPr>
        <w:t>Yields and resistance of</w:t>
      </w:r>
      <w:r w:rsidRPr="00501812">
        <w:rPr>
          <w:rFonts w:ascii="Times New Roman" w:hAnsi="Times New Roman"/>
        </w:rPr>
        <w:t xml:space="preserve"> strawberry cultivars to crown and root di</w:t>
      </w:r>
      <w:r w:rsidRPr="003A30C7">
        <w:rPr>
          <w:rFonts w:ascii="Times New Roman" w:hAnsi="Times New Roman"/>
        </w:rPr>
        <w:t>seases in the field, and cultivar responses to pathogens under controlled environment conditions</w:t>
      </w:r>
      <w:r w:rsidR="00204EBC" w:rsidRPr="00082015">
        <w:rPr>
          <w:rFonts w:ascii="Times New Roman" w:hAnsi="Times New Roman"/>
        </w:rPr>
        <w:t xml:space="preserve">. </w:t>
      </w:r>
      <w:proofErr w:type="spellStart"/>
      <w:r w:rsidRPr="00082015">
        <w:rPr>
          <w:rFonts w:ascii="Times New Roman" w:hAnsi="Times New Roman"/>
          <w:i/>
        </w:rPr>
        <w:t>Phytopathologia</w:t>
      </w:r>
      <w:proofErr w:type="spellEnd"/>
      <w:r w:rsidR="00204EBC" w:rsidRPr="00082015">
        <w:rPr>
          <w:rFonts w:ascii="Times New Roman" w:hAnsi="Times New Roman"/>
          <w:i/>
        </w:rPr>
        <w:t xml:space="preserve"> </w:t>
      </w:r>
      <w:proofErr w:type="spellStart"/>
      <w:r w:rsidRPr="00082015">
        <w:rPr>
          <w:rFonts w:ascii="Times New Roman" w:hAnsi="Times New Roman"/>
          <w:i/>
        </w:rPr>
        <w:t>Medit</w:t>
      </w:r>
      <w:r w:rsidRPr="00F5313E">
        <w:rPr>
          <w:rFonts w:ascii="Times New Roman" w:hAnsi="Times New Roman"/>
          <w:i/>
        </w:rPr>
        <w:t>erranea</w:t>
      </w:r>
      <w:proofErr w:type="spellEnd"/>
      <w:r w:rsidRPr="00220275">
        <w:rPr>
          <w:rFonts w:ascii="Times New Roman" w:hAnsi="Times New Roman"/>
        </w:rPr>
        <w:t xml:space="preserve"> 51:69-84.</w:t>
      </w:r>
    </w:p>
    <w:p w14:paraId="06D12229" w14:textId="77777777" w:rsidR="009C0DF0" w:rsidRPr="00501812" w:rsidRDefault="009C0DF0" w:rsidP="006260D1">
      <w:pPr>
        <w:pStyle w:val="References"/>
        <w:ind w:left="851" w:hanging="851"/>
        <w:rPr>
          <w:rFonts w:ascii="Times New Roman" w:hAnsi="Times New Roman"/>
          <w:lang w:eastAsia="tr-TR"/>
        </w:rPr>
      </w:pPr>
      <w:proofErr w:type="spellStart"/>
      <w:r w:rsidRPr="00220275">
        <w:rPr>
          <w:rFonts w:ascii="Times New Roman" w:hAnsi="Times New Roman"/>
          <w:lang w:eastAsia="tr-TR"/>
        </w:rPr>
        <w:t>Fery</w:t>
      </w:r>
      <w:proofErr w:type="spellEnd"/>
      <w:r w:rsidRPr="00220275">
        <w:rPr>
          <w:rFonts w:ascii="Times New Roman" w:hAnsi="Times New Roman"/>
          <w:lang w:eastAsia="tr-TR"/>
        </w:rPr>
        <w:t xml:space="preserve">, R.L., </w:t>
      </w:r>
      <w:proofErr w:type="spellStart"/>
      <w:r w:rsidRPr="00220275">
        <w:rPr>
          <w:rFonts w:ascii="Times New Roman" w:hAnsi="Times New Roman"/>
          <w:lang w:eastAsia="tr-TR"/>
        </w:rPr>
        <w:t>Thies</w:t>
      </w:r>
      <w:proofErr w:type="spellEnd"/>
      <w:r w:rsidRPr="00220275">
        <w:rPr>
          <w:rFonts w:ascii="Times New Roman" w:hAnsi="Times New Roman"/>
          <w:lang w:eastAsia="tr-TR"/>
        </w:rPr>
        <w:t xml:space="preserve">, J.A., </w:t>
      </w:r>
      <w:proofErr w:type="spellStart"/>
      <w:r w:rsidRPr="00220275">
        <w:rPr>
          <w:rFonts w:ascii="Times New Roman" w:hAnsi="Times New Roman"/>
          <w:lang w:eastAsia="tr-TR"/>
        </w:rPr>
        <w:t>Truhart</w:t>
      </w:r>
      <w:proofErr w:type="spellEnd"/>
      <w:r w:rsidRPr="00220275">
        <w:rPr>
          <w:rFonts w:ascii="Times New Roman" w:hAnsi="Times New Roman"/>
          <w:lang w:eastAsia="tr-TR"/>
        </w:rPr>
        <w:t xml:space="preserve">, N.R., (2011). A Root-knot Nematode Resistant, Pimento-type Pepper. </w:t>
      </w:r>
      <w:proofErr w:type="spellStart"/>
      <w:r w:rsidRPr="00501812">
        <w:rPr>
          <w:rFonts w:ascii="Times New Roman" w:hAnsi="Times New Roman"/>
          <w:i/>
          <w:lang w:eastAsia="tr-TR"/>
        </w:rPr>
        <w:t>HortScience</w:t>
      </w:r>
      <w:proofErr w:type="spellEnd"/>
      <w:r w:rsidRPr="00501812">
        <w:rPr>
          <w:rFonts w:ascii="Times New Roman" w:hAnsi="Times New Roman"/>
          <w:i/>
          <w:lang w:eastAsia="tr-TR"/>
        </w:rPr>
        <w:t>.</w:t>
      </w:r>
      <w:r w:rsidRPr="00501812">
        <w:rPr>
          <w:rFonts w:ascii="Times New Roman" w:hAnsi="Times New Roman"/>
          <w:lang w:eastAsia="tr-TR"/>
        </w:rPr>
        <w:t xml:space="preserve"> 46:815-816.</w:t>
      </w:r>
    </w:p>
    <w:p w14:paraId="20182722" w14:textId="77777777" w:rsidR="009C0DF0" w:rsidRPr="007F65E8" w:rsidRDefault="009C0DF0" w:rsidP="006260D1">
      <w:pPr>
        <w:pStyle w:val="References"/>
        <w:ind w:left="851" w:hanging="851"/>
        <w:rPr>
          <w:rFonts w:ascii="Times New Roman" w:hAnsi="Times New Roman"/>
          <w:lang w:val="es-ES_tradnl"/>
        </w:rPr>
      </w:pPr>
      <w:r w:rsidRPr="007F65E8">
        <w:rPr>
          <w:rFonts w:ascii="Times New Roman" w:hAnsi="Times New Roman"/>
          <w:lang w:val="es-ES_tradnl"/>
        </w:rPr>
        <w:t xml:space="preserve">Gabriel, E.L., (2014). Evaluación de la </w:t>
      </w:r>
      <w:proofErr w:type="spellStart"/>
      <w:r w:rsidRPr="007F65E8">
        <w:rPr>
          <w:rFonts w:ascii="Times New Roman" w:hAnsi="Times New Roman"/>
          <w:lang w:val="es-ES_tradnl"/>
        </w:rPr>
        <w:t>biosolarización</w:t>
      </w:r>
      <w:proofErr w:type="spellEnd"/>
      <w:r w:rsidRPr="007F65E8">
        <w:rPr>
          <w:rFonts w:ascii="Times New Roman" w:hAnsi="Times New Roman"/>
          <w:lang w:val="es-ES_tradnl"/>
        </w:rPr>
        <w:t xml:space="preserve"> como alternativa para saneamiento de suelos en viveros de frutilla. No.162. Horticultura. In: </w:t>
      </w:r>
      <w:r w:rsidRPr="007F65E8">
        <w:rPr>
          <w:rFonts w:ascii="Times New Roman" w:hAnsi="Times New Roman"/>
          <w:i/>
          <w:lang w:val="es-ES_tradnl"/>
        </w:rPr>
        <w:t xml:space="preserve">Horticultura Argentina </w:t>
      </w:r>
      <w:r w:rsidRPr="007F65E8">
        <w:rPr>
          <w:rFonts w:ascii="Times New Roman" w:hAnsi="Times New Roman"/>
          <w:lang w:val="es-ES_tradnl"/>
        </w:rPr>
        <w:t xml:space="preserve">33(82): </w:t>
      </w:r>
      <w:proofErr w:type="spellStart"/>
      <w:r w:rsidRPr="007F65E8">
        <w:rPr>
          <w:rFonts w:ascii="Times New Roman" w:hAnsi="Times New Roman"/>
          <w:lang w:val="es-ES_tradnl"/>
        </w:rPr>
        <w:t>Sep</w:t>
      </w:r>
      <w:proofErr w:type="spellEnd"/>
      <w:r w:rsidRPr="007F65E8">
        <w:rPr>
          <w:rFonts w:ascii="Times New Roman" w:hAnsi="Times New Roman"/>
          <w:lang w:val="es-ES_tradnl"/>
        </w:rPr>
        <w:t>-Dic 2014</w:t>
      </w:r>
    </w:p>
    <w:p w14:paraId="59A20B95" w14:textId="77777777" w:rsidR="009C0DF0" w:rsidRPr="007F65E8" w:rsidRDefault="009C0DF0" w:rsidP="006260D1">
      <w:pPr>
        <w:pStyle w:val="References"/>
        <w:ind w:left="851" w:hanging="851"/>
        <w:rPr>
          <w:rFonts w:ascii="Times New Roman" w:eastAsiaTheme="minorHAnsi" w:hAnsi="Times New Roman"/>
          <w:lang w:val="es-ES_tradnl"/>
        </w:rPr>
      </w:pPr>
      <w:proofErr w:type="spellStart"/>
      <w:r w:rsidRPr="007F65E8">
        <w:rPr>
          <w:rFonts w:ascii="Times New Roman" w:eastAsiaTheme="minorHAnsi" w:hAnsi="Times New Roman"/>
          <w:lang w:val="es-ES_tradnl"/>
        </w:rPr>
        <w:t>Garbi</w:t>
      </w:r>
      <w:proofErr w:type="spellEnd"/>
      <w:r w:rsidRPr="007F65E8">
        <w:rPr>
          <w:rFonts w:ascii="Times New Roman" w:eastAsiaTheme="minorHAnsi" w:hAnsi="Times New Roman"/>
          <w:lang w:val="es-ES_tradnl"/>
        </w:rPr>
        <w:t xml:space="preserve">, M., </w:t>
      </w:r>
      <w:proofErr w:type="spellStart"/>
      <w:r w:rsidRPr="007F65E8">
        <w:rPr>
          <w:rFonts w:ascii="Times New Roman" w:eastAsiaTheme="minorHAnsi" w:hAnsi="Times New Roman"/>
          <w:lang w:val="es-ES_tradnl"/>
        </w:rPr>
        <w:t>Morelli</w:t>
      </w:r>
      <w:proofErr w:type="spellEnd"/>
      <w:r w:rsidRPr="007F65E8">
        <w:rPr>
          <w:rFonts w:ascii="Times New Roman" w:eastAsiaTheme="minorHAnsi" w:hAnsi="Times New Roman"/>
          <w:lang w:val="es-ES_tradnl"/>
        </w:rPr>
        <w:t xml:space="preserve">, G., </w:t>
      </w:r>
      <w:proofErr w:type="spellStart"/>
      <w:r w:rsidRPr="007F65E8">
        <w:rPr>
          <w:rFonts w:ascii="Times New Roman" w:eastAsiaTheme="minorHAnsi" w:hAnsi="Times New Roman"/>
          <w:lang w:val="es-ES_tradnl"/>
        </w:rPr>
        <w:t>Dietz</w:t>
      </w:r>
      <w:proofErr w:type="spellEnd"/>
      <w:r w:rsidRPr="007F65E8">
        <w:rPr>
          <w:rFonts w:ascii="Times New Roman" w:eastAsiaTheme="minorHAnsi" w:hAnsi="Times New Roman"/>
          <w:lang w:val="es-ES_tradnl"/>
        </w:rPr>
        <w:t xml:space="preserve">, N., </w:t>
      </w:r>
      <w:proofErr w:type="spellStart"/>
      <w:r w:rsidRPr="007F65E8">
        <w:rPr>
          <w:rFonts w:ascii="Times New Roman" w:eastAsiaTheme="minorHAnsi" w:hAnsi="Times New Roman"/>
          <w:lang w:val="es-ES_tradnl"/>
        </w:rPr>
        <w:t>Rossomano</w:t>
      </w:r>
      <w:proofErr w:type="spellEnd"/>
      <w:r w:rsidRPr="007F65E8">
        <w:rPr>
          <w:rFonts w:ascii="Times New Roman" w:eastAsiaTheme="minorHAnsi" w:hAnsi="Times New Roman"/>
          <w:lang w:val="es-ES_tradnl"/>
        </w:rPr>
        <w:t xml:space="preserve">, G., </w:t>
      </w:r>
      <w:proofErr w:type="spellStart"/>
      <w:r w:rsidRPr="007F65E8">
        <w:rPr>
          <w:rFonts w:ascii="Times New Roman" w:eastAsiaTheme="minorHAnsi" w:hAnsi="Times New Roman"/>
          <w:lang w:val="es-ES_tradnl"/>
        </w:rPr>
        <w:t>Martinez</w:t>
      </w:r>
      <w:proofErr w:type="spellEnd"/>
      <w:r w:rsidRPr="007F65E8">
        <w:rPr>
          <w:rFonts w:ascii="Times New Roman" w:eastAsiaTheme="minorHAnsi" w:hAnsi="Times New Roman"/>
          <w:lang w:val="es-ES_tradnl"/>
        </w:rPr>
        <w:t xml:space="preserve">, S., (2013). Respuesta de tres híbridos de tomate injertados sobre </w:t>
      </w:r>
      <w:proofErr w:type="spellStart"/>
      <w:r w:rsidRPr="007F65E8">
        <w:rPr>
          <w:rFonts w:ascii="Times New Roman" w:eastAsiaTheme="minorHAnsi" w:hAnsi="Times New Roman"/>
          <w:lang w:val="es-ES_tradnl"/>
        </w:rPr>
        <w:t>Maxifort</w:t>
      </w:r>
      <w:proofErr w:type="spellEnd"/>
      <w:r w:rsidRPr="007F65E8">
        <w:rPr>
          <w:rFonts w:ascii="Times New Roman" w:eastAsiaTheme="minorHAnsi" w:hAnsi="Times New Roman"/>
          <w:lang w:val="es-ES_tradnl"/>
        </w:rPr>
        <w:t xml:space="preserve"> cultivados en suelo </w:t>
      </w:r>
      <w:proofErr w:type="spellStart"/>
      <w:r w:rsidRPr="007F65E8">
        <w:rPr>
          <w:rFonts w:ascii="Times New Roman" w:eastAsiaTheme="minorHAnsi" w:hAnsi="Times New Roman"/>
          <w:lang w:val="es-ES_tradnl"/>
        </w:rPr>
        <w:t>biofumigado</w:t>
      </w:r>
      <w:proofErr w:type="spellEnd"/>
      <w:r w:rsidRPr="007F65E8">
        <w:rPr>
          <w:rFonts w:ascii="Times New Roman" w:eastAsiaTheme="minorHAnsi" w:hAnsi="Times New Roman"/>
          <w:lang w:val="es-ES_tradnl"/>
        </w:rPr>
        <w:t xml:space="preserve">. </w:t>
      </w:r>
      <w:r w:rsidRPr="007F65E8">
        <w:rPr>
          <w:rFonts w:ascii="Times New Roman" w:hAnsi="Times New Roman"/>
          <w:lang w:val="es-ES_tradnl"/>
        </w:rPr>
        <w:t xml:space="preserve">No. 010. Horticultura. </w:t>
      </w:r>
      <w:proofErr w:type="spellStart"/>
      <w:r w:rsidRPr="007F65E8">
        <w:rPr>
          <w:rFonts w:ascii="Times New Roman" w:hAnsi="Times New Roman"/>
          <w:lang w:val="es-ES_tradnl"/>
        </w:rPr>
        <w:t>In</w:t>
      </w:r>
      <w:proofErr w:type="gramStart"/>
      <w:r w:rsidRPr="007F65E8">
        <w:rPr>
          <w:rFonts w:ascii="Times New Roman" w:hAnsi="Times New Roman"/>
          <w:lang w:val="es-ES_tradnl"/>
        </w:rPr>
        <w:t>:</w:t>
      </w:r>
      <w:r w:rsidRPr="007F65E8">
        <w:rPr>
          <w:rFonts w:ascii="Times New Roman" w:eastAsiaTheme="minorHAnsi" w:hAnsi="Times New Roman"/>
          <w:i/>
          <w:lang w:val="es-ES_tradnl"/>
        </w:rPr>
        <w:t>Horticultura</w:t>
      </w:r>
      <w:proofErr w:type="spellEnd"/>
      <w:proofErr w:type="gramEnd"/>
      <w:r w:rsidRPr="007F65E8">
        <w:rPr>
          <w:rFonts w:ascii="Times New Roman" w:eastAsiaTheme="minorHAnsi" w:hAnsi="Times New Roman"/>
          <w:i/>
          <w:lang w:val="es-ES_tradnl"/>
        </w:rPr>
        <w:t xml:space="preserve"> Argentina</w:t>
      </w:r>
      <w:r w:rsidRPr="007F65E8">
        <w:rPr>
          <w:rFonts w:ascii="Times New Roman" w:eastAsiaTheme="minorHAnsi" w:hAnsi="Times New Roman"/>
          <w:lang w:val="es-ES_tradnl"/>
        </w:rPr>
        <w:t xml:space="preserve"> 32 (79): Sep.-Dic. 2013</w:t>
      </w:r>
    </w:p>
    <w:p w14:paraId="38A330DD" w14:textId="77777777" w:rsidR="009C0DF0" w:rsidRPr="00501812" w:rsidRDefault="009C0DF0" w:rsidP="006260D1">
      <w:pPr>
        <w:pStyle w:val="References"/>
        <w:ind w:left="851" w:hanging="851"/>
        <w:rPr>
          <w:rFonts w:ascii="Times New Roman" w:hAnsi="Times New Roman"/>
        </w:rPr>
      </w:pPr>
      <w:proofErr w:type="spellStart"/>
      <w:r w:rsidRPr="00501812">
        <w:rPr>
          <w:rFonts w:ascii="Times New Roman" w:hAnsi="Times New Roman"/>
        </w:rPr>
        <w:t>García-Sinovas</w:t>
      </w:r>
      <w:proofErr w:type="spellEnd"/>
      <w:r w:rsidRPr="00501812">
        <w:rPr>
          <w:rFonts w:ascii="Times New Roman" w:hAnsi="Times New Roman"/>
        </w:rPr>
        <w:t xml:space="preserve">, D., Andrade, M.A., </w:t>
      </w:r>
      <w:proofErr w:type="spellStart"/>
      <w:r w:rsidRPr="00501812">
        <w:rPr>
          <w:rFonts w:ascii="Times New Roman" w:hAnsi="Times New Roman"/>
        </w:rPr>
        <w:t>Becerril</w:t>
      </w:r>
      <w:proofErr w:type="spellEnd"/>
      <w:r w:rsidRPr="00501812">
        <w:rPr>
          <w:rFonts w:ascii="Times New Roman" w:hAnsi="Times New Roman"/>
        </w:rPr>
        <w:t xml:space="preserve">, M., De Cal, A., Redondo, C., Salto, T., Medina, J.J., Soria, C., </w:t>
      </w:r>
      <w:proofErr w:type="spellStart"/>
      <w:r w:rsidRPr="00501812">
        <w:rPr>
          <w:rFonts w:ascii="Times New Roman" w:hAnsi="Times New Roman"/>
        </w:rPr>
        <w:t>López</w:t>
      </w:r>
      <w:proofErr w:type="spellEnd"/>
      <w:r w:rsidRPr="00501812">
        <w:rPr>
          <w:rFonts w:ascii="Times New Roman" w:hAnsi="Times New Roman"/>
        </w:rPr>
        <w:t>-Aranda, J.M., Martinez-</w:t>
      </w:r>
      <w:proofErr w:type="spellStart"/>
      <w:r w:rsidRPr="00501812">
        <w:rPr>
          <w:rFonts w:ascii="Times New Roman" w:hAnsi="Times New Roman"/>
        </w:rPr>
        <w:t>Treceno</w:t>
      </w:r>
      <w:proofErr w:type="spellEnd"/>
      <w:r w:rsidRPr="00501812">
        <w:rPr>
          <w:rFonts w:ascii="Times New Roman" w:hAnsi="Times New Roman"/>
        </w:rPr>
        <w:t xml:space="preserve">, A., (2014). </w:t>
      </w:r>
      <w:r w:rsidRPr="00CD3CBD">
        <w:rPr>
          <w:rFonts w:ascii="Times New Roman" w:hAnsi="Times New Roman"/>
        </w:rPr>
        <w:t xml:space="preserve">Soil disinfection in Spanish strawberry nurseries – three years without methyl bromide. </w:t>
      </w:r>
      <w:proofErr w:type="spellStart"/>
      <w:r w:rsidRPr="00501812">
        <w:rPr>
          <w:rFonts w:ascii="Times New Roman" w:hAnsi="Times New Roman"/>
          <w:i/>
        </w:rPr>
        <w:t>Acta</w:t>
      </w:r>
      <w:proofErr w:type="spellEnd"/>
      <w:r w:rsidR="00204EBC" w:rsidRPr="00501812">
        <w:rPr>
          <w:rFonts w:ascii="Times New Roman" w:hAnsi="Times New Roman"/>
          <w:i/>
        </w:rPr>
        <w:t xml:space="preserve"> </w:t>
      </w:r>
      <w:proofErr w:type="spellStart"/>
      <w:r w:rsidRPr="00501812">
        <w:rPr>
          <w:rFonts w:ascii="Times New Roman" w:hAnsi="Times New Roman"/>
          <w:i/>
        </w:rPr>
        <w:t>Horticulturae</w:t>
      </w:r>
      <w:proofErr w:type="spellEnd"/>
      <w:r w:rsidRPr="00501812">
        <w:rPr>
          <w:rFonts w:ascii="Times New Roman" w:hAnsi="Times New Roman"/>
        </w:rPr>
        <w:t xml:space="preserve"> 1049: 691-696. </w:t>
      </w:r>
    </w:p>
    <w:p w14:paraId="6796710A" w14:textId="77777777" w:rsidR="009C0DF0" w:rsidRPr="002667C8" w:rsidRDefault="009C0DF0" w:rsidP="006260D1">
      <w:pPr>
        <w:pStyle w:val="References"/>
        <w:ind w:left="851" w:hanging="851"/>
        <w:rPr>
          <w:rFonts w:ascii="Times New Roman" w:hAnsi="Times New Roman"/>
          <w:lang w:val="es-ES_tradnl"/>
        </w:rPr>
      </w:pPr>
      <w:r w:rsidRPr="002667C8">
        <w:rPr>
          <w:rFonts w:ascii="Times New Roman" w:hAnsi="Times New Roman"/>
          <w:lang w:val="es-ES_tradnl"/>
        </w:rPr>
        <w:t xml:space="preserve">Gutiérrez, M.T., Peralta, I.E., </w:t>
      </w:r>
      <w:proofErr w:type="spellStart"/>
      <w:r w:rsidRPr="002667C8">
        <w:rPr>
          <w:rFonts w:ascii="Times New Roman" w:hAnsi="Times New Roman"/>
          <w:lang w:val="es-ES_tradnl"/>
        </w:rPr>
        <w:t>Conte</w:t>
      </w:r>
      <w:proofErr w:type="spellEnd"/>
      <w:r w:rsidRPr="002667C8">
        <w:rPr>
          <w:rFonts w:ascii="Times New Roman" w:hAnsi="Times New Roman"/>
          <w:lang w:val="es-ES_tradnl"/>
        </w:rPr>
        <w:t xml:space="preserve">, M.E., Hidalgo, A.A., (2013). Respuesta de porta injertos comerciales de tomate frente al falso nematodo del nudo, </w:t>
      </w:r>
      <w:proofErr w:type="spellStart"/>
      <w:r w:rsidRPr="002667C8">
        <w:rPr>
          <w:rFonts w:ascii="Times New Roman" w:hAnsi="Times New Roman"/>
          <w:i/>
          <w:lang w:val="es-ES_tradnl"/>
        </w:rPr>
        <w:t>Nacobbus</w:t>
      </w:r>
      <w:proofErr w:type="spellEnd"/>
      <w:r w:rsidRPr="002667C8">
        <w:rPr>
          <w:rFonts w:ascii="Times New Roman" w:hAnsi="Times New Roman"/>
          <w:i/>
          <w:lang w:val="es-ES_tradnl"/>
        </w:rPr>
        <w:t xml:space="preserve"> </w:t>
      </w:r>
      <w:proofErr w:type="spellStart"/>
      <w:r w:rsidRPr="002667C8">
        <w:rPr>
          <w:rFonts w:ascii="Times New Roman" w:hAnsi="Times New Roman"/>
          <w:i/>
          <w:lang w:val="es-ES_tradnl"/>
        </w:rPr>
        <w:t>aberrans</w:t>
      </w:r>
      <w:proofErr w:type="spellEnd"/>
      <w:r w:rsidRPr="002667C8">
        <w:rPr>
          <w:rFonts w:ascii="Times New Roman" w:hAnsi="Times New Roman"/>
          <w:lang w:val="es-ES_tradnl"/>
        </w:rPr>
        <w:t xml:space="preserve"> (</w:t>
      </w:r>
      <w:proofErr w:type="spellStart"/>
      <w:r w:rsidRPr="002667C8">
        <w:rPr>
          <w:rFonts w:ascii="Times New Roman" w:hAnsi="Times New Roman"/>
          <w:lang w:val="es-ES_tradnl"/>
        </w:rPr>
        <w:t>Thorne</w:t>
      </w:r>
      <w:proofErr w:type="spellEnd"/>
      <w:r w:rsidRPr="002667C8">
        <w:rPr>
          <w:rFonts w:ascii="Times New Roman" w:hAnsi="Times New Roman"/>
          <w:lang w:val="es-ES_tradnl"/>
        </w:rPr>
        <w:t>, 1935</w:t>
      </w:r>
      <w:proofErr w:type="gramStart"/>
      <w:r w:rsidRPr="002667C8">
        <w:rPr>
          <w:rFonts w:ascii="Times New Roman" w:hAnsi="Times New Roman"/>
          <w:lang w:val="es-ES_tradnl"/>
        </w:rPr>
        <w:t>)</w:t>
      </w:r>
      <w:proofErr w:type="spellStart"/>
      <w:r w:rsidRPr="002667C8">
        <w:rPr>
          <w:rFonts w:ascii="Times New Roman" w:hAnsi="Times New Roman"/>
          <w:lang w:val="es-ES_tradnl"/>
        </w:rPr>
        <w:t>Thorne</w:t>
      </w:r>
      <w:proofErr w:type="spellEnd"/>
      <w:proofErr w:type="gramEnd"/>
      <w:r w:rsidRPr="002667C8">
        <w:rPr>
          <w:rFonts w:ascii="Times New Roman" w:hAnsi="Times New Roman"/>
          <w:lang w:val="es-ES_tradnl"/>
        </w:rPr>
        <w:t xml:space="preserve"> &amp; Allen, 1944). No. 229 Horticultura. In: </w:t>
      </w:r>
      <w:r w:rsidRPr="002667C8">
        <w:rPr>
          <w:rFonts w:ascii="Times New Roman" w:hAnsi="Times New Roman"/>
          <w:i/>
          <w:lang w:val="es-ES_tradnl"/>
        </w:rPr>
        <w:t xml:space="preserve">Horticultura Argentina </w:t>
      </w:r>
      <w:r w:rsidRPr="002667C8">
        <w:rPr>
          <w:rFonts w:ascii="Times New Roman" w:hAnsi="Times New Roman"/>
          <w:lang w:val="es-ES_tradnl"/>
        </w:rPr>
        <w:t xml:space="preserve">32(79): </w:t>
      </w:r>
      <w:proofErr w:type="spellStart"/>
      <w:r w:rsidRPr="002667C8">
        <w:rPr>
          <w:rFonts w:ascii="Times New Roman" w:hAnsi="Times New Roman"/>
          <w:lang w:val="es-ES_tradnl"/>
        </w:rPr>
        <w:t>Sep</w:t>
      </w:r>
      <w:proofErr w:type="spellEnd"/>
      <w:r w:rsidRPr="002667C8">
        <w:rPr>
          <w:rFonts w:ascii="Times New Roman" w:hAnsi="Times New Roman"/>
          <w:lang w:val="es-ES_tradnl"/>
        </w:rPr>
        <w:t>-Dic 2013.</w:t>
      </w:r>
    </w:p>
    <w:p w14:paraId="117B75E9" w14:textId="77777777" w:rsidR="009C0DF0" w:rsidRPr="002667C8" w:rsidRDefault="009C0DF0" w:rsidP="006260D1">
      <w:pPr>
        <w:pStyle w:val="References"/>
        <w:ind w:left="851" w:hanging="851"/>
        <w:rPr>
          <w:rFonts w:ascii="Times New Roman" w:hAnsi="Times New Roman"/>
          <w:lang w:val="es-ES_tradnl"/>
        </w:rPr>
      </w:pPr>
      <w:r w:rsidRPr="002667C8">
        <w:rPr>
          <w:rFonts w:ascii="Times New Roman" w:hAnsi="Times New Roman"/>
          <w:lang w:val="es-ES_tradnl"/>
        </w:rPr>
        <w:lastRenderedPageBreak/>
        <w:t xml:space="preserve">Gutiérrez, M.T., Peralta, I.E., </w:t>
      </w:r>
      <w:proofErr w:type="spellStart"/>
      <w:r w:rsidRPr="002667C8">
        <w:rPr>
          <w:rFonts w:ascii="Times New Roman" w:hAnsi="Times New Roman"/>
          <w:lang w:val="es-ES_tradnl"/>
        </w:rPr>
        <w:t>Conte</w:t>
      </w:r>
      <w:proofErr w:type="spellEnd"/>
      <w:r w:rsidRPr="002667C8">
        <w:rPr>
          <w:rFonts w:ascii="Times New Roman" w:hAnsi="Times New Roman"/>
          <w:lang w:val="es-ES_tradnl"/>
        </w:rPr>
        <w:t xml:space="preserve">, M.E., Hidalgo, A.A., (2014). Respuesta de cuatro porta injertos comerciales de tomate para consumo en fresco frente al falso nematodo del nudo </w:t>
      </w:r>
      <w:proofErr w:type="spellStart"/>
      <w:r w:rsidRPr="002667C8">
        <w:rPr>
          <w:rFonts w:ascii="Times New Roman" w:hAnsi="Times New Roman"/>
          <w:i/>
          <w:lang w:val="es-ES_tradnl"/>
        </w:rPr>
        <w:t>Nacobbus</w:t>
      </w:r>
      <w:proofErr w:type="spellEnd"/>
      <w:r w:rsidRPr="002667C8">
        <w:rPr>
          <w:rFonts w:ascii="Times New Roman" w:hAnsi="Times New Roman"/>
          <w:i/>
          <w:lang w:val="es-ES_tradnl"/>
        </w:rPr>
        <w:t xml:space="preserve"> </w:t>
      </w:r>
      <w:proofErr w:type="spellStart"/>
      <w:r w:rsidRPr="002667C8">
        <w:rPr>
          <w:rFonts w:ascii="Times New Roman" w:hAnsi="Times New Roman"/>
          <w:i/>
          <w:lang w:val="es-ES_tradnl"/>
        </w:rPr>
        <w:t>aberrans</w:t>
      </w:r>
      <w:proofErr w:type="spellEnd"/>
      <w:r w:rsidRPr="002667C8">
        <w:rPr>
          <w:rFonts w:ascii="Times New Roman" w:hAnsi="Times New Roman"/>
          <w:i/>
          <w:lang w:val="es-ES_tradnl"/>
        </w:rPr>
        <w:t>.</w:t>
      </w:r>
      <w:r w:rsidRPr="002667C8">
        <w:rPr>
          <w:rFonts w:ascii="Times New Roman" w:hAnsi="Times New Roman"/>
          <w:lang w:val="es-ES_tradnl"/>
        </w:rPr>
        <w:t xml:space="preserve"> No. 005 Horticultura. In: </w:t>
      </w:r>
      <w:r w:rsidRPr="002667C8">
        <w:rPr>
          <w:rFonts w:ascii="Times New Roman" w:hAnsi="Times New Roman"/>
          <w:i/>
          <w:lang w:val="es-ES_tradnl"/>
        </w:rPr>
        <w:t xml:space="preserve">Horticultura Argentina </w:t>
      </w:r>
      <w:r w:rsidRPr="002667C8">
        <w:rPr>
          <w:rFonts w:ascii="Times New Roman" w:hAnsi="Times New Roman"/>
          <w:lang w:val="es-ES_tradnl"/>
        </w:rPr>
        <w:t xml:space="preserve">33(82): </w:t>
      </w:r>
      <w:proofErr w:type="spellStart"/>
      <w:r w:rsidRPr="002667C8">
        <w:rPr>
          <w:rFonts w:ascii="Times New Roman" w:hAnsi="Times New Roman"/>
          <w:lang w:val="es-ES_tradnl"/>
        </w:rPr>
        <w:t>Sep</w:t>
      </w:r>
      <w:proofErr w:type="spellEnd"/>
      <w:r w:rsidRPr="002667C8">
        <w:rPr>
          <w:rFonts w:ascii="Times New Roman" w:hAnsi="Times New Roman"/>
          <w:lang w:val="es-ES_tradnl"/>
        </w:rPr>
        <w:t>-Dic 2014</w:t>
      </w:r>
    </w:p>
    <w:p w14:paraId="486726FD" w14:textId="77777777" w:rsidR="009C0DF0" w:rsidRPr="00501812" w:rsidRDefault="009C0DF0" w:rsidP="006260D1">
      <w:pPr>
        <w:pStyle w:val="References"/>
        <w:ind w:left="851" w:hanging="851"/>
        <w:rPr>
          <w:rFonts w:ascii="Times New Roman" w:hAnsi="Times New Roman"/>
        </w:rPr>
      </w:pPr>
      <w:r w:rsidRPr="00CD3CBD">
        <w:rPr>
          <w:rFonts w:ascii="Times New Roman" w:hAnsi="Times New Roman"/>
        </w:rPr>
        <w:t xml:space="preserve">Hoffmann, M., Miller, T., </w:t>
      </w:r>
      <w:proofErr w:type="spellStart"/>
      <w:r w:rsidRPr="00CD3CBD">
        <w:rPr>
          <w:rFonts w:ascii="Times New Roman" w:hAnsi="Times New Roman"/>
        </w:rPr>
        <w:t>Rachuy</w:t>
      </w:r>
      <w:proofErr w:type="spellEnd"/>
      <w:r w:rsidRPr="00CD3CBD">
        <w:rPr>
          <w:rFonts w:ascii="Times New Roman" w:hAnsi="Times New Roman"/>
        </w:rPr>
        <w:t xml:space="preserve">, J., Dorn, N., Greene, I., Broome, J., </w:t>
      </w:r>
      <w:proofErr w:type="spellStart"/>
      <w:r w:rsidRPr="00CD3CBD">
        <w:rPr>
          <w:rFonts w:ascii="Times New Roman" w:hAnsi="Times New Roman"/>
        </w:rPr>
        <w:t>Goodhue</w:t>
      </w:r>
      <w:proofErr w:type="spellEnd"/>
      <w:r w:rsidRPr="00CD3CBD">
        <w:rPr>
          <w:rFonts w:ascii="Times New Roman" w:hAnsi="Times New Roman"/>
        </w:rPr>
        <w:t xml:space="preserve">, R., Fennimore, S., (2015).Soil disinfestation with steam in California strawberry production. Pp 18-1 – 18-4 </w:t>
      </w:r>
      <w:proofErr w:type="gramStart"/>
      <w:r w:rsidRPr="00CD3CBD">
        <w:rPr>
          <w:rFonts w:ascii="Times New Roman" w:hAnsi="Times New Roman"/>
        </w:rPr>
        <w:t>In</w:t>
      </w:r>
      <w:proofErr w:type="gramEnd"/>
      <w:r w:rsidRPr="00CD3CBD">
        <w:rPr>
          <w:rFonts w:ascii="Times New Roman" w:hAnsi="Times New Roman"/>
        </w:rPr>
        <w:t>: Proceedings of the Methyl</w:t>
      </w:r>
      <w:r w:rsidRPr="00501812">
        <w:rPr>
          <w:rFonts w:ascii="Times New Roman" w:hAnsi="Times New Roman"/>
        </w:rPr>
        <w:t xml:space="preserve"> Bromide Alternatives Outreach Conference (MBAO), November 9-11, San Diego, California, USA</w:t>
      </w:r>
    </w:p>
    <w:p w14:paraId="384F8C5B" w14:textId="77777777" w:rsidR="009C0DF0" w:rsidRPr="00F9037E" w:rsidRDefault="009C0DF0" w:rsidP="006260D1">
      <w:pPr>
        <w:pStyle w:val="References"/>
        <w:ind w:left="851" w:hanging="851"/>
        <w:jc w:val="left"/>
        <w:rPr>
          <w:rFonts w:ascii="Times New Roman" w:hAnsi="Times New Roman"/>
        </w:rPr>
      </w:pPr>
      <w:r w:rsidRPr="003A30C7">
        <w:rPr>
          <w:rFonts w:ascii="Times New Roman" w:hAnsi="Times New Roman"/>
        </w:rPr>
        <w:t>International Standards for Phytosanitary Measures (ISPM 15) (2013).</w:t>
      </w:r>
      <w:hyperlink r:id="rId53" w:history="1">
        <w:r w:rsidRPr="00F9037E">
          <w:rPr>
            <w:rStyle w:val="Hyperlink"/>
            <w:rFonts w:ascii="Times New Roman" w:hAnsi="Times New Roman"/>
          </w:rPr>
          <w:t>http://www.ispm15.com/IPPC%20ISPM15%20draft%20Apr%202013.pdf</w:t>
        </w:r>
      </w:hyperlink>
    </w:p>
    <w:p w14:paraId="5EC84DBB" w14:textId="77777777" w:rsidR="009C0DF0" w:rsidRPr="00F9037E" w:rsidRDefault="009C0DF0" w:rsidP="006260D1">
      <w:pPr>
        <w:pStyle w:val="References"/>
        <w:ind w:left="851" w:hanging="851"/>
        <w:rPr>
          <w:rFonts w:ascii="Times New Roman" w:hAnsi="Times New Roman"/>
        </w:rPr>
      </w:pPr>
      <w:proofErr w:type="spellStart"/>
      <w:r w:rsidRPr="00F9037E">
        <w:rPr>
          <w:rFonts w:ascii="Times New Roman" w:hAnsi="Times New Roman"/>
          <w:iCs/>
        </w:rPr>
        <w:t>Jari</w:t>
      </w:r>
      <w:proofErr w:type="spellEnd"/>
      <w:r w:rsidRPr="00F9037E">
        <w:rPr>
          <w:rFonts w:ascii="Times New Roman" w:hAnsi="Times New Roman"/>
          <w:iCs/>
        </w:rPr>
        <w:t>, S., Michael, M., Archana, P., Ted, R., Steve, F., Susan, M., (2011). E</w:t>
      </w:r>
      <w:r w:rsidRPr="00F9037E">
        <w:rPr>
          <w:rFonts w:ascii="Times New Roman" w:hAnsi="Times New Roman"/>
        </w:rPr>
        <w:t xml:space="preserve">valuations of tomato yellow leaf curl virus resistant varieties for commercial production. </w:t>
      </w:r>
      <w:r w:rsidRPr="00F9037E">
        <w:rPr>
          <w:rFonts w:ascii="Times New Roman" w:hAnsi="Times New Roman"/>
          <w:i/>
        </w:rPr>
        <w:t xml:space="preserve">The Food Provider, </w:t>
      </w:r>
      <w:r w:rsidRPr="00F9037E">
        <w:rPr>
          <w:rFonts w:ascii="Times New Roman" w:hAnsi="Times New Roman"/>
        </w:rPr>
        <w:t>June- July-August 2011:1-6.</w:t>
      </w:r>
    </w:p>
    <w:p w14:paraId="455AF47F" w14:textId="77777777" w:rsidR="009C0DF0" w:rsidRPr="00501812" w:rsidRDefault="009C0DF0" w:rsidP="006260D1">
      <w:pPr>
        <w:pStyle w:val="References"/>
        <w:ind w:left="851" w:hanging="851"/>
        <w:rPr>
          <w:rFonts w:ascii="Times New Roman" w:hAnsi="Times New Roman"/>
        </w:rPr>
      </w:pPr>
      <w:r w:rsidRPr="00501812">
        <w:rPr>
          <w:rFonts w:ascii="Times New Roman" w:hAnsi="Times New Roman"/>
        </w:rPr>
        <w:t xml:space="preserve">Ji, X., </w:t>
      </w:r>
      <w:proofErr w:type="spellStart"/>
      <w:r w:rsidRPr="00501812">
        <w:rPr>
          <w:rFonts w:ascii="Times New Roman" w:hAnsi="Times New Roman"/>
        </w:rPr>
        <w:t>Qiao</w:t>
      </w:r>
      <w:proofErr w:type="spellEnd"/>
      <w:r w:rsidRPr="00501812">
        <w:rPr>
          <w:rFonts w:ascii="Times New Roman" w:hAnsi="Times New Roman"/>
        </w:rPr>
        <w:t>, K., Dong, S., Wang, H., Wang, K.,</w:t>
      </w:r>
      <w:r w:rsidRPr="00CD3CBD">
        <w:rPr>
          <w:rFonts w:ascii="Times New Roman" w:hAnsi="Times New Roman"/>
        </w:rPr>
        <w:t xml:space="preserve"> (2013). Effects of 1</w:t>
      </w:r>
      <w:proofErr w:type="gramStart"/>
      <w:r w:rsidRPr="00CD3CBD">
        <w:rPr>
          <w:rFonts w:ascii="Times New Roman" w:hAnsi="Times New Roman"/>
        </w:rPr>
        <w:t>,3</w:t>
      </w:r>
      <w:proofErr w:type="gramEnd"/>
      <w:r w:rsidRPr="00CD3CBD">
        <w:rPr>
          <w:rFonts w:ascii="Times New Roman" w:hAnsi="Times New Roman"/>
        </w:rPr>
        <w:t xml:space="preserve">-dichloropropene plus chloropicrin on weed seed germination.  </w:t>
      </w:r>
      <w:r w:rsidR="002C06DF" w:rsidRPr="00501812">
        <w:rPr>
          <w:rFonts w:ascii="Times New Roman" w:hAnsi="Times New Roman"/>
          <w:i/>
        </w:rPr>
        <w:t>Crop Protection</w:t>
      </w:r>
      <w:r w:rsidR="002C06DF" w:rsidRPr="00501812">
        <w:rPr>
          <w:rFonts w:ascii="Times New Roman" w:hAnsi="Times New Roman"/>
        </w:rPr>
        <w:t xml:space="preserve">; 45:1-5. </w:t>
      </w:r>
    </w:p>
    <w:p w14:paraId="4D6285C0" w14:textId="47EE1724" w:rsidR="009C0DF0" w:rsidRPr="00501812" w:rsidRDefault="009C0DF0" w:rsidP="006260D1">
      <w:pPr>
        <w:pStyle w:val="References"/>
        <w:ind w:left="851" w:hanging="851"/>
        <w:rPr>
          <w:rFonts w:ascii="Times New Roman" w:hAnsi="Times New Roman"/>
        </w:rPr>
      </w:pPr>
      <w:r w:rsidRPr="00501812">
        <w:rPr>
          <w:rFonts w:ascii="Times New Roman" w:hAnsi="Times New Roman"/>
        </w:rPr>
        <w:t xml:space="preserve">Lax, P., </w:t>
      </w:r>
      <w:proofErr w:type="spellStart"/>
      <w:r w:rsidRPr="00501812">
        <w:rPr>
          <w:rFonts w:ascii="Times New Roman" w:hAnsi="Times New Roman"/>
        </w:rPr>
        <w:t>Rondan</w:t>
      </w:r>
      <w:proofErr w:type="spellEnd"/>
      <w:r w:rsidRPr="00501812">
        <w:rPr>
          <w:rFonts w:ascii="Times New Roman" w:hAnsi="Times New Roman"/>
        </w:rPr>
        <w:t xml:space="preserve">-Duenas, J.C., Ramos, D., </w:t>
      </w:r>
      <w:proofErr w:type="spellStart"/>
      <w:r w:rsidRPr="00501812">
        <w:rPr>
          <w:rFonts w:ascii="Times New Roman" w:hAnsi="Times New Roman"/>
        </w:rPr>
        <w:t>Doucet</w:t>
      </w:r>
      <w:proofErr w:type="spellEnd"/>
      <w:r w:rsidRPr="00501812">
        <w:rPr>
          <w:rFonts w:ascii="Times New Roman" w:hAnsi="Times New Roman"/>
        </w:rPr>
        <w:t xml:space="preserve">, M.D., Braga, R., </w:t>
      </w:r>
      <w:proofErr w:type="spellStart"/>
      <w:r w:rsidRPr="00501812">
        <w:rPr>
          <w:rFonts w:ascii="Times New Roman" w:hAnsi="Times New Roman"/>
        </w:rPr>
        <w:t>Kobori</w:t>
      </w:r>
      <w:proofErr w:type="spellEnd"/>
      <w:r w:rsidRPr="00501812">
        <w:rPr>
          <w:rFonts w:ascii="Times New Roman" w:hAnsi="Times New Roman"/>
        </w:rPr>
        <w:t xml:space="preserve">, R., (2016). Host suitability of peppers to the false root-knot nematode </w:t>
      </w:r>
      <w:proofErr w:type="spellStart"/>
      <w:r w:rsidRPr="00501812">
        <w:rPr>
          <w:rFonts w:ascii="Times New Roman" w:hAnsi="Times New Roman"/>
          <w:i/>
          <w:iCs/>
        </w:rPr>
        <w:t>Nacobbus</w:t>
      </w:r>
      <w:proofErr w:type="spellEnd"/>
      <w:r w:rsidR="005D49A2" w:rsidRPr="00501812">
        <w:rPr>
          <w:rFonts w:ascii="Times New Roman" w:hAnsi="Times New Roman"/>
          <w:i/>
          <w:iCs/>
        </w:rPr>
        <w:t xml:space="preserve"> </w:t>
      </w:r>
      <w:proofErr w:type="spellStart"/>
      <w:r w:rsidRPr="00501812">
        <w:rPr>
          <w:rFonts w:ascii="Times New Roman" w:hAnsi="Times New Roman"/>
          <w:i/>
          <w:iCs/>
        </w:rPr>
        <w:t>aberrans</w:t>
      </w:r>
      <w:proofErr w:type="spellEnd"/>
      <w:proofErr w:type="gramStart"/>
      <w:r w:rsidR="0079319F">
        <w:rPr>
          <w:rFonts w:ascii="Times New Roman" w:hAnsi="Times New Roman"/>
          <w:i/>
          <w:iCs/>
        </w:rPr>
        <w:t>.</w:t>
      </w:r>
      <w:r w:rsidRPr="00501812">
        <w:rPr>
          <w:rFonts w:ascii="Times New Roman" w:hAnsi="Times New Roman"/>
          <w:i/>
          <w:iCs/>
        </w:rPr>
        <w:t>.</w:t>
      </w:r>
      <w:proofErr w:type="gramEnd"/>
      <w:r w:rsidRPr="00501812">
        <w:rPr>
          <w:rFonts w:ascii="Times New Roman" w:hAnsi="Times New Roman"/>
          <w:i/>
        </w:rPr>
        <w:t>Crop Protection</w:t>
      </w:r>
      <w:r w:rsidRPr="00501812">
        <w:rPr>
          <w:rFonts w:ascii="Times New Roman" w:hAnsi="Times New Roman"/>
        </w:rPr>
        <w:t>: 79</w:t>
      </w:r>
      <w:r w:rsidR="00865451" w:rsidRPr="00501812">
        <w:rPr>
          <w:rFonts w:ascii="Times New Roman" w:hAnsi="Times New Roman"/>
        </w:rPr>
        <w:t>:</w:t>
      </w:r>
      <w:r w:rsidRPr="00501812">
        <w:rPr>
          <w:rFonts w:ascii="Times New Roman" w:hAnsi="Times New Roman"/>
        </w:rPr>
        <w:t>15-19</w:t>
      </w:r>
    </w:p>
    <w:p w14:paraId="57B1F9E1" w14:textId="77777777" w:rsidR="009C0DF0" w:rsidRPr="00501812" w:rsidRDefault="009C0DF0" w:rsidP="006260D1">
      <w:pPr>
        <w:pStyle w:val="References"/>
        <w:ind w:left="851" w:hanging="851"/>
        <w:rPr>
          <w:rFonts w:ascii="Times New Roman" w:hAnsi="Times New Roman"/>
        </w:rPr>
      </w:pPr>
      <w:r w:rsidRPr="00501812">
        <w:rPr>
          <w:rFonts w:ascii="Times New Roman" w:hAnsi="Times New Roman"/>
        </w:rPr>
        <w:t xml:space="preserve">Lewis, V.R., </w:t>
      </w:r>
      <w:proofErr w:type="spellStart"/>
      <w:r w:rsidRPr="00501812">
        <w:rPr>
          <w:rFonts w:ascii="Times New Roman" w:hAnsi="Times New Roman"/>
        </w:rPr>
        <w:t>Haverty</w:t>
      </w:r>
      <w:proofErr w:type="spellEnd"/>
      <w:r w:rsidRPr="00501812">
        <w:rPr>
          <w:rFonts w:ascii="Times New Roman" w:hAnsi="Times New Roman"/>
        </w:rPr>
        <w:t>, M.I., (1996). Evaluation of six techniques for control of the Western dry wood termite (</w:t>
      </w:r>
      <w:proofErr w:type="spellStart"/>
      <w:r w:rsidRPr="00501812">
        <w:rPr>
          <w:rFonts w:ascii="Times New Roman" w:hAnsi="Times New Roman"/>
        </w:rPr>
        <w:t>Isoptera</w:t>
      </w:r>
      <w:proofErr w:type="spellEnd"/>
      <w:r w:rsidRPr="00501812">
        <w:rPr>
          <w:rFonts w:ascii="Times New Roman" w:hAnsi="Times New Roman"/>
        </w:rPr>
        <w:t xml:space="preserve">: </w:t>
      </w:r>
      <w:proofErr w:type="spellStart"/>
      <w:r w:rsidRPr="00501812">
        <w:rPr>
          <w:rFonts w:ascii="Times New Roman" w:hAnsi="Times New Roman"/>
        </w:rPr>
        <w:t>Kalotermidae</w:t>
      </w:r>
      <w:proofErr w:type="spellEnd"/>
      <w:r w:rsidRPr="00501812">
        <w:rPr>
          <w:rFonts w:ascii="Times New Roman" w:hAnsi="Times New Roman"/>
        </w:rPr>
        <w:t>) in structures.</w:t>
      </w:r>
      <w:r w:rsidR="005D49A2" w:rsidRPr="00501812">
        <w:rPr>
          <w:rFonts w:ascii="Times New Roman" w:hAnsi="Times New Roman"/>
        </w:rPr>
        <w:t xml:space="preserve"> </w:t>
      </w:r>
      <w:r w:rsidRPr="00501812">
        <w:rPr>
          <w:rFonts w:ascii="Times New Roman" w:hAnsi="Times New Roman"/>
          <w:i/>
        </w:rPr>
        <w:t>Journal of Economic Entomology</w:t>
      </w:r>
      <w:r w:rsidRPr="00501812">
        <w:rPr>
          <w:rFonts w:ascii="Times New Roman" w:hAnsi="Times New Roman"/>
        </w:rPr>
        <w:t>, 89: 922-934.</w:t>
      </w:r>
    </w:p>
    <w:p w14:paraId="61CC127D" w14:textId="77777777" w:rsidR="009C0DF0" w:rsidRPr="002667C8" w:rsidRDefault="009C0DF0" w:rsidP="006260D1">
      <w:pPr>
        <w:pStyle w:val="References"/>
        <w:ind w:left="851" w:hanging="851"/>
        <w:rPr>
          <w:rFonts w:ascii="Times New Roman" w:hAnsi="Times New Roman"/>
          <w:lang w:val="es-ES_tradnl"/>
        </w:rPr>
      </w:pPr>
      <w:r w:rsidRPr="002667C8">
        <w:rPr>
          <w:rFonts w:ascii="Times New Roman" w:hAnsi="Times New Roman"/>
          <w:lang w:val="es-ES_tradnl"/>
        </w:rPr>
        <w:t xml:space="preserve">Lobos, E.A., </w:t>
      </w:r>
      <w:proofErr w:type="spellStart"/>
      <w:r w:rsidRPr="002667C8">
        <w:rPr>
          <w:rFonts w:ascii="Times New Roman" w:hAnsi="Times New Roman"/>
          <w:lang w:val="es-ES_tradnl"/>
        </w:rPr>
        <w:t>Occhionero</w:t>
      </w:r>
      <w:proofErr w:type="spellEnd"/>
      <w:r w:rsidRPr="002667C8">
        <w:rPr>
          <w:rFonts w:ascii="Times New Roman" w:hAnsi="Times New Roman"/>
          <w:lang w:val="es-ES_tradnl"/>
        </w:rPr>
        <w:t xml:space="preserve">, M.A., </w:t>
      </w:r>
      <w:proofErr w:type="spellStart"/>
      <w:r w:rsidRPr="002667C8">
        <w:rPr>
          <w:rFonts w:ascii="Times New Roman" w:hAnsi="Times New Roman"/>
          <w:lang w:val="es-ES_tradnl"/>
        </w:rPr>
        <w:t>Occhionero</w:t>
      </w:r>
      <w:proofErr w:type="spellEnd"/>
      <w:r w:rsidRPr="002667C8">
        <w:rPr>
          <w:rFonts w:ascii="Times New Roman" w:hAnsi="Times New Roman"/>
          <w:lang w:val="es-ES_tradnl"/>
        </w:rPr>
        <w:t xml:space="preserve">, M., </w:t>
      </w:r>
      <w:proofErr w:type="spellStart"/>
      <w:r w:rsidRPr="002667C8">
        <w:rPr>
          <w:rFonts w:ascii="Times New Roman" w:hAnsi="Times New Roman"/>
          <w:lang w:val="es-ES_tradnl"/>
        </w:rPr>
        <w:t>Werenitzky</w:t>
      </w:r>
      <w:proofErr w:type="spellEnd"/>
      <w:r w:rsidRPr="002667C8">
        <w:rPr>
          <w:rFonts w:ascii="Times New Roman" w:hAnsi="Times New Roman"/>
          <w:lang w:val="es-ES_tradnl"/>
        </w:rPr>
        <w:t xml:space="preserve">, D., (2013). Actividad </w:t>
      </w:r>
      <w:proofErr w:type="spellStart"/>
      <w:r w:rsidRPr="002667C8">
        <w:rPr>
          <w:rFonts w:ascii="Times New Roman" w:hAnsi="Times New Roman"/>
          <w:lang w:val="es-ES_tradnl"/>
        </w:rPr>
        <w:t>nematicida</w:t>
      </w:r>
      <w:proofErr w:type="spellEnd"/>
      <w:r w:rsidRPr="002667C8">
        <w:rPr>
          <w:rFonts w:ascii="Times New Roman" w:hAnsi="Times New Roman"/>
          <w:lang w:val="es-ES_tradnl"/>
        </w:rPr>
        <w:t xml:space="preserve"> de </w:t>
      </w:r>
      <w:proofErr w:type="spellStart"/>
      <w:r w:rsidRPr="002667C8">
        <w:rPr>
          <w:rFonts w:ascii="Times New Roman" w:hAnsi="Times New Roman"/>
          <w:lang w:val="es-ES_tradnl"/>
        </w:rPr>
        <w:t>Neemazal</w:t>
      </w:r>
      <w:proofErr w:type="spellEnd"/>
      <w:r w:rsidRPr="002667C8">
        <w:rPr>
          <w:rFonts w:ascii="Times New Roman" w:hAnsi="Times New Roman"/>
          <w:lang w:val="es-ES_tradnl"/>
        </w:rPr>
        <w:t xml:space="preserve"> 1.2. EC (</w:t>
      </w:r>
      <w:proofErr w:type="spellStart"/>
      <w:r w:rsidRPr="002667C8">
        <w:rPr>
          <w:rFonts w:ascii="Times New Roman" w:hAnsi="Times New Roman"/>
          <w:lang w:val="es-ES_tradnl"/>
        </w:rPr>
        <w:t>Azadirachtina</w:t>
      </w:r>
      <w:proofErr w:type="spellEnd"/>
      <w:r w:rsidRPr="002667C8">
        <w:rPr>
          <w:rFonts w:ascii="Times New Roman" w:hAnsi="Times New Roman"/>
          <w:lang w:val="es-ES_tradnl"/>
        </w:rPr>
        <w:t xml:space="preserve">) en el control de </w:t>
      </w:r>
      <w:proofErr w:type="spellStart"/>
      <w:r w:rsidRPr="002667C8">
        <w:rPr>
          <w:rFonts w:ascii="Times New Roman" w:hAnsi="Times New Roman"/>
          <w:i/>
          <w:lang w:val="es-ES_tradnl"/>
        </w:rPr>
        <w:t>Meloidogyne</w:t>
      </w:r>
      <w:proofErr w:type="spellEnd"/>
      <w:r w:rsidRPr="002667C8">
        <w:rPr>
          <w:rFonts w:ascii="Times New Roman" w:hAnsi="Times New Roman"/>
          <w:i/>
          <w:lang w:val="es-ES_tradnl"/>
        </w:rPr>
        <w:t xml:space="preserve"> </w:t>
      </w:r>
      <w:proofErr w:type="spellStart"/>
      <w:r w:rsidRPr="002667C8">
        <w:rPr>
          <w:rFonts w:ascii="Times New Roman" w:hAnsi="Times New Roman"/>
          <w:lang w:val="es-ES_tradnl"/>
        </w:rPr>
        <w:t>spp</w:t>
      </w:r>
      <w:proofErr w:type="spellEnd"/>
      <w:r w:rsidRPr="002667C8">
        <w:rPr>
          <w:rFonts w:ascii="Times New Roman" w:hAnsi="Times New Roman"/>
          <w:lang w:val="es-ES_tradnl"/>
        </w:rPr>
        <w:t xml:space="preserve"> en el cultivo de tomate. </w:t>
      </w:r>
      <w:r w:rsidRPr="002667C8" w:rsidDel="00B5430E">
        <w:rPr>
          <w:rFonts w:ascii="Times New Roman" w:hAnsi="Times New Roman"/>
          <w:lang w:val="es-ES_tradnl"/>
        </w:rPr>
        <w:t xml:space="preserve">No. 131 </w:t>
      </w:r>
      <w:r w:rsidRPr="002667C8">
        <w:rPr>
          <w:rFonts w:ascii="Times New Roman" w:hAnsi="Times New Roman"/>
          <w:lang w:val="es-ES_tradnl"/>
        </w:rPr>
        <w:t>Horticultura. In</w:t>
      </w:r>
      <w:proofErr w:type="gramStart"/>
      <w:r w:rsidRPr="002667C8">
        <w:rPr>
          <w:rFonts w:ascii="Times New Roman" w:hAnsi="Times New Roman"/>
          <w:lang w:val="es-ES_tradnl"/>
        </w:rPr>
        <w:t xml:space="preserve">:  </w:t>
      </w:r>
      <w:r w:rsidRPr="002667C8">
        <w:rPr>
          <w:rFonts w:ascii="Times New Roman" w:hAnsi="Times New Roman"/>
          <w:i/>
          <w:lang w:val="es-ES_tradnl"/>
        </w:rPr>
        <w:t>Horticultura</w:t>
      </w:r>
      <w:proofErr w:type="gramEnd"/>
      <w:r w:rsidRPr="002667C8">
        <w:rPr>
          <w:rFonts w:ascii="Times New Roman" w:hAnsi="Times New Roman"/>
          <w:i/>
          <w:lang w:val="es-ES_tradnl"/>
        </w:rPr>
        <w:t xml:space="preserve"> Argentina 32(79): </w:t>
      </w:r>
      <w:proofErr w:type="spellStart"/>
      <w:r w:rsidRPr="002667C8">
        <w:rPr>
          <w:rFonts w:ascii="Times New Roman" w:hAnsi="Times New Roman"/>
          <w:i/>
          <w:lang w:val="es-ES_tradnl"/>
        </w:rPr>
        <w:t>Sep</w:t>
      </w:r>
      <w:proofErr w:type="spellEnd"/>
      <w:r w:rsidRPr="002667C8">
        <w:rPr>
          <w:rFonts w:ascii="Times New Roman" w:hAnsi="Times New Roman"/>
          <w:i/>
          <w:lang w:val="es-ES_tradnl"/>
        </w:rPr>
        <w:t xml:space="preserve">-Dic 2013. </w:t>
      </w:r>
    </w:p>
    <w:p w14:paraId="6CEE38DF" w14:textId="77777777" w:rsidR="009C0DF0" w:rsidRPr="002667C8" w:rsidRDefault="009C0DF0" w:rsidP="006260D1">
      <w:pPr>
        <w:pStyle w:val="References"/>
        <w:ind w:left="851" w:hanging="851"/>
        <w:rPr>
          <w:rFonts w:ascii="Times New Roman" w:hAnsi="Times New Roman"/>
          <w:lang w:val="es-ES_tradnl"/>
        </w:rPr>
      </w:pPr>
      <w:r w:rsidRPr="002667C8">
        <w:rPr>
          <w:rFonts w:ascii="Times New Roman" w:hAnsi="Times New Roman"/>
          <w:lang w:val="es-ES_tradnl"/>
        </w:rPr>
        <w:t xml:space="preserve">López Aranda, J.M., (2016). Situación actual de la desinfección de suelos </w:t>
      </w:r>
      <w:proofErr w:type="spellStart"/>
      <w:r w:rsidRPr="002667C8">
        <w:rPr>
          <w:rFonts w:ascii="Times New Roman" w:hAnsi="Times New Roman"/>
          <w:lang w:val="es-ES_tradnl"/>
        </w:rPr>
        <w:t>enviveros</w:t>
      </w:r>
      <w:proofErr w:type="spellEnd"/>
      <w:r w:rsidRPr="002667C8">
        <w:rPr>
          <w:rFonts w:ascii="Times New Roman" w:hAnsi="Times New Roman"/>
          <w:lang w:val="es-ES_tradnl"/>
        </w:rPr>
        <w:t xml:space="preserve"> de fresa. X Jornadas técnicas sobre la desinfección de suelos </w:t>
      </w:r>
      <w:proofErr w:type="spellStart"/>
      <w:r w:rsidRPr="002667C8">
        <w:rPr>
          <w:rFonts w:ascii="Times New Roman" w:hAnsi="Times New Roman"/>
          <w:lang w:val="es-ES_tradnl"/>
        </w:rPr>
        <w:t>enviveros</w:t>
      </w:r>
      <w:proofErr w:type="spellEnd"/>
      <w:r w:rsidRPr="002667C8">
        <w:rPr>
          <w:rFonts w:ascii="Times New Roman" w:hAnsi="Times New Roman"/>
          <w:lang w:val="es-ES_tradnl"/>
        </w:rPr>
        <w:t xml:space="preserve"> de planta de fresa. Asociación Española de </w:t>
      </w:r>
      <w:proofErr w:type="spellStart"/>
      <w:r w:rsidRPr="002667C8">
        <w:rPr>
          <w:rFonts w:ascii="Times New Roman" w:hAnsi="Times New Roman"/>
          <w:lang w:val="es-ES_tradnl"/>
        </w:rPr>
        <w:t>viveristas</w:t>
      </w:r>
      <w:proofErr w:type="spellEnd"/>
      <w:r w:rsidRPr="002667C8">
        <w:rPr>
          <w:rFonts w:ascii="Times New Roman" w:hAnsi="Times New Roman"/>
          <w:lang w:val="es-ES_tradnl"/>
        </w:rPr>
        <w:t xml:space="preserve"> de planta de fresa, Marzo 1 de 2016, Segovia, España.</w:t>
      </w:r>
    </w:p>
    <w:p w14:paraId="0A08BFB2" w14:textId="77777777" w:rsidR="009C0DF0" w:rsidRPr="00501812" w:rsidRDefault="009C0DF0" w:rsidP="006260D1">
      <w:pPr>
        <w:pStyle w:val="References"/>
        <w:ind w:left="851" w:hanging="851"/>
        <w:rPr>
          <w:rFonts w:ascii="Times New Roman" w:hAnsi="Times New Roman"/>
        </w:rPr>
      </w:pPr>
      <w:proofErr w:type="spellStart"/>
      <w:r w:rsidRPr="00501812">
        <w:rPr>
          <w:rFonts w:ascii="Times New Roman" w:hAnsi="Times New Roman"/>
        </w:rPr>
        <w:t>López</w:t>
      </w:r>
      <w:proofErr w:type="spellEnd"/>
      <w:r w:rsidRPr="00501812">
        <w:rPr>
          <w:rFonts w:ascii="Times New Roman" w:hAnsi="Times New Roman"/>
        </w:rPr>
        <w:t xml:space="preserve">-Galarza, S., San Bautista, A., </w:t>
      </w:r>
      <w:proofErr w:type="spellStart"/>
      <w:r w:rsidRPr="00501812">
        <w:rPr>
          <w:rFonts w:ascii="Times New Roman" w:hAnsi="Times New Roman"/>
        </w:rPr>
        <w:t>Martínez</w:t>
      </w:r>
      <w:proofErr w:type="spellEnd"/>
      <w:r w:rsidRPr="00501812">
        <w:rPr>
          <w:rFonts w:ascii="Times New Roman" w:hAnsi="Times New Roman"/>
        </w:rPr>
        <w:t xml:space="preserve">, A., </w:t>
      </w:r>
      <w:proofErr w:type="spellStart"/>
      <w:r w:rsidRPr="00501812">
        <w:rPr>
          <w:rFonts w:ascii="Times New Roman" w:hAnsi="Times New Roman"/>
        </w:rPr>
        <w:t>Pascual</w:t>
      </w:r>
      <w:proofErr w:type="spellEnd"/>
      <w:r w:rsidRPr="00501812">
        <w:rPr>
          <w:rFonts w:ascii="Times New Roman" w:hAnsi="Times New Roman"/>
        </w:rPr>
        <w:t xml:space="preserve">, B., </w:t>
      </w:r>
      <w:proofErr w:type="spellStart"/>
      <w:r w:rsidRPr="00501812">
        <w:rPr>
          <w:rFonts w:ascii="Times New Roman" w:hAnsi="Times New Roman"/>
        </w:rPr>
        <w:t>Maroto</w:t>
      </w:r>
      <w:proofErr w:type="spellEnd"/>
      <w:r w:rsidRPr="00501812">
        <w:rPr>
          <w:rFonts w:ascii="Times New Roman" w:hAnsi="Times New Roman"/>
        </w:rPr>
        <w:t>, J.V.</w:t>
      </w:r>
      <w:proofErr w:type="gramStart"/>
      <w:r w:rsidRPr="00501812">
        <w:rPr>
          <w:rFonts w:ascii="Times New Roman" w:hAnsi="Times New Roman"/>
        </w:rPr>
        <w:t>,(</w:t>
      </w:r>
      <w:proofErr w:type="gramEnd"/>
      <w:r w:rsidRPr="00501812">
        <w:rPr>
          <w:rFonts w:ascii="Times New Roman" w:hAnsi="Times New Roman"/>
        </w:rPr>
        <w:t>2010). Influence of substrate on strawberry plug plant production.</w:t>
      </w:r>
      <w:r w:rsidR="005D49A2" w:rsidRPr="00501812">
        <w:rPr>
          <w:rFonts w:ascii="Times New Roman" w:hAnsi="Times New Roman"/>
        </w:rPr>
        <w:t xml:space="preserve"> </w:t>
      </w:r>
      <w:r w:rsidRPr="00501812">
        <w:rPr>
          <w:rFonts w:ascii="Times New Roman" w:hAnsi="Times New Roman"/>
          <w:i/>
        </w:rPr>
        <w:t>Journal of Horticultural Science and Biotechnology</w:t>
      </w:r>
      <w:r w:rsidRPr="00501812">
        <w:rPr>
          <w:rFonts w:ascii="Times New Roman" w:hAnsi="Times New Roman"/>
        </w:rPr>
        <w:t xml:space="preserve"> 85: 415-420.</w:t>
      </w:r>
    </w:p>
    <w:p w14:paraId="0CAECCBC" w14:textId="77777777" w:rsidR="009C0DF0" w:rsidRPr="00082015" w:rsidRDefault="009C0DF0" w:rsidP="006260D1">
      <w:pPr>
        <w:pStyle w:val="References"/>
        <w:ind w:left="851" w:hanging="851"/>
        <w:rPr>
          <w:rFonts w:ascii="Times New Roman" w:hAnsi="Times New Roman"/>
        </w:rPr>
      </w:pPr>
      <w:r w:rsidRPr="00501812">
        <w:rPr>
          <w:rFonts w:ascii="Times New Roman" w:hAnsi="Times New Roman"/>
        </w:rPr>
        <w:t>Manzanilla-</w:t>
      </w:r>
      <w:proofErr w:type="spellStart"/>
      <w:r w:rsidRPr="00501812">
        <w:rPr>
          <w:rFonts w:ascii="Times New Roman" w:hAnsi="Times New Roman"/>
        </w:rPr>
        <w:t>López</w:t>
      </w:r>
      <w:proofErr w:type="spellEnd"/>
      <w:r w:rsidRPr="00501812">
        <w:rPr>
          <w:rFonts w:ascii="Times New Roman" w:hAnsi="Times New Roman"/>
        </w:rPr>
        <w:t xml:space="preserve">, R., </w:t>
      </w:r>
      <w:proofErr w:type="spellStart"/>
      <w:r w:rsidRPr="00501812">
        <w:rPr>
          <w:rFonts w:ascii="Times New Roman" w:hAnsi="Times New Roman"/>
        </w:rPr>
        <w:t>Costilla</w:t>
      </w:r>
      <w:proofErr w:type="spellEnd"/>
      <w:r w:rsidRPr="00501812">
        <w:rPr>
          <w:rFonts w:ascii="Times New Roman" w:hAnsi="Times New Roman"/>
        </w:rPr>
        <w:t xml:space="preserve">, M.A., </w:t>
      </w:r>
      <w:proofErr w:type="spellStart"/>
      <w:r w:rsidRPr="00501812">
        <w:rPr>
          <w:rFonts w:ascii="Times New Roman" w:hAnsi="Times New Roman"/>
        </w:rPr>
        <w:t>Doucet</w:t>
      </w:r>
      <w:proofErr w:type="spellEnd"/>
      <w:r w:rsidRPr="00501812">
        <w:rPr>
          <w:rFonts w:ascii="Times New Roman" w:hAnsi="Times New Roman"/>
        </w:rPr>
        <w:t xml:space="preserve">, M., Franco, J., </w:t>
      </w:r>
      <w:proofErr w:type="spellStart"/>
      <w:r w:rsidRPr="00501812">
        <w:rPr>
          <w:rFonts w:ascii="Times New Roman" w:hAnsi="Times New Roman"/>
        </w:rPr>
        <w:t>Inserra</w:t>
      </w:r>
      <w:proofErr w:type="spellEnd"/>
      <w:r w:rsidRPr="00501812">
        <w:rPr>
          <w:rFonts w:ascii="Times New Roman" w:hAnsi="Times New Roman"/>
        </w:rPr>
        <w:t>, R.N., Lehman, P.S., Cid Del Prado, I., Souza, R., Evans, K., (</w:t>
      </w:r>
      <w:r w:rsidRPr="00CD3CBD">
        <w:rPr>
          <w:rFonts w:ascii="Times New Roman" w:hAnsi="Times New Roman"/>
        </w:rPr>
        <w:t xml:space="preserve">2002). </w:t>
      </w:r>
      <w:proofErr w:type="spellStart"/>
      <w:r w:rsidRPr="00501812">
        <w:rPr>
          <w:rFonts w:ascii="Times New Roman" w:hAnsi="Times New Roman"/>
          <w:i/>
        </w:rPr>
        <w:t>Nacobbus</w:t>
      </w:r>
      <w:proofErr w:type="spellEnd"/>
      <w:r w:rsidRPr="00501812">
        <w:rPr>
          <w:rFonts w:ascii="Times New Roman" w:hAnsi="Times New Roman"/>
        </w:rPr>
        <w:t xml:space="preserve"> species: Systematic, distribution, biology and management. </w:t>
      </w:r>
      <w:r w:rsidRPr="003A30C7">
        <w:rPr>
          <w:rFonts w:ascii="Times New Roman" w:hAnsi="Times New Roman"/>
          <w:i/>
        </w:rPr>
        <w:t>Nematropica</w:t>
      </w:r>
      <w:r w:rsidRPr="00082015">
        <w:rPr>
          <w:rFonts w:ascii="Times New Roman" w:hAnsi="Times New Roman"/>
        </w:rPr>
        <w:t>32:149-227.</w:t>
      </w:r>
    </w:p>
    <w:p w14:paraId="28F0FD33" w14:textId="77777777" w:rsidR="009C0DF0" w:rsidRPr="00501812" w:rsidRDefault="009C0DF0" w:rsidP="006260D1">
      <w:pPr>
        <w:pStyle w:val="References"/>
        <w:ind w:left="851" w:hanging="851"/>
        <w:rPr>
          <w:rFonts w:ascii="Times New Roman" w:hAnsi="Times New Roman"/>
        </w:rPr>
      </w:pPr>
      <w:r w:rsidRPr="00082015">
        <w:rPr>
          <w:rFonts w:ascii="Times New Roman" w:hAnsi="Times New Roman"/>
        </w:rPr>
        <w:t xml:space="preserve">Mao, L., Wang, Q., Yan, D., </w:t>
      </w:r>
      <w:r w:rsidRPr="00501812">
        <w:rPr>
          <w:rFonts w:ascii="Times New Roman" w:hAnsi="Times New Roman"/>
        </w:rPr>
        <w:t>Ma,</w:t>
      </w:r>
      <w:r w:rsidRPr="00CD3CBD">
        <w:rPr>
          <w:rFonts w:ascii="Times New Roman" w:hAnsi="Times New Roman"/>
        </w:rPr>
        <w:t xml:space="preserve"> T.</w:t>
      </w:r>
      <w:r w:rsidRPr="00501812">
        <w:rPr>
          <w:rFonts w:ascii="Times New Roman" w:hAnsi="Times New Roman"/>
        </w:rPr>
        <w:t xml:space="preserve">, Liu, P., Sen, J., Li, Y., Ouyang, C., </w:t>
      </w:r>
      <w:proofErr w:type="spellStart"/>
      <w:r w:rsidRPr="00501812">
        <w:rPr>
          <w:rFonts w:ascii="Times New Roman" w:hAnsi="Times New Roman"/>
        </w:rPr>
        <w:t>Guo</w:t>
      </w:r>
      <w:proofErr w:type="spellEnd"/>
      <w:r w:rsidRPr="00501812">
        <w:rPr>
          <w:rFonts w:ascii="Times New Roman" w:hAnsi="Times New Roman"/>
        </w:rPr>
        <w:t xml:space="preserve"> M., Cao, A., (2014).</w:t>
      </w:r>
      <w:r w:rsidRPr="00CD3CBD">
        <w:rPr>
          <w:rFonts w:ascii="Times New Roman" w:hAnsi="Times New Roman"/>
        </w:rPr>
        <w:t xml:space="preserve">Evaluation of chloropicrin as a soil fumigant against </w:t>
      </w:r>
      <w:proofErr w:type="spellStart"/>
      <w:r w:rsidRPr="00501812">
        <w:rPr>
          <w:rFonts w:ascii="Times New Roman" w:hAnsi="Times New Roman"/>
          <w:i/>
        </w:rPr>
        <w:t>Ralstonia</w:t>
      </w:r>
      <w:proofErr w:type="spellEnd"/>
      <w:r w:rsidR="00204EBC" w:rsidRPr="00501812">
        <w:rPr>
          <w:rFonts w:ascii="Times New Roman" w:hAnsi="Times New Roman"/>
          <w:i/>
        </w:rPr>
        <w:t xml:space="preserve"> </w:t>
      </w:r>
      <w:proofErr w:type="spellStart"/>
      <w:r w:rsidRPr="00501812">
        <w:rPr>
          <w:rFonts w:ascii="Times New Roman" w:hAnsi="Times New Roman"/>
          <w:i/>
        </w:rPr>
        <w:t>solanacearum</w:t>
      </w:r>
      <w:proofErr w:type="spellEnd"/>
      <w:r w:rsidRPr="00501812">
        <w:rPr>
          <w:rFonts w:ascii="Times New Roman" w:hAnsi="Times New Roman"/>
        </w:rPr>
        <w:t xml:space="preserve"> in ginger (</w:t>
      </w:r>
      <w:proofErr w:type="spellStart"/>
      <w:r w:rsidRPr="00501812">
        <w:rPr>
          <w:rFonts w:ascii="Times New Roman" w:hAnsi="Times New Roman"/>
          <w:i/>
        </w:rPr>
        <w:t>Zingiber</w:t>
      </w:r>
      <w:proofErr w:type="spellEnd"/>
      <w:r w:rsidR="00204EBC" w:rsidRPr="00501812">
        <w:rPr>
          <w:rFonts w:ascii="Times New Roman" w:hAnsi="Times New Roman"/>
          <w:i/>
        </w:rPr>
        <w:t xml:space="preserve"> </w:t>
      </w:r>
      <w:proofErr w:type="spellStart"/>
      <w:r w:rsidRPr="00501812">
        <w:rPr>
          <w:rFonts w:ascii="Times New Roman" w:hAnsi="Times New Roman"/>
          <w:i/>
        </w:rPr>
        <w:t>officinale</w:t>
      </w:r>
      <w:proofErr w:type="spellEnd"/>
      <w:r w:rsidR="00204EBC" w:rsidRPr="00501812">
        <w:rPr>
          <w:rFonts w:ascii="Times New Roman" w:hAnsi="Times New Roman"/>
          <w:i/>
        </w:rPr>
        <w:t xml:space="preserve"> </w:t>
      </w:r>
      <w:proofErr w:type="spellStart"/>
      <w:r w:rsidRPr="00501812">
        <w:rPr>
          <w:rFonts w:ascii="Times New Roman" w:hAnsi="Times New Roman"/>
        </w:rPr>
        <w:t>Rosc</w:t>
      </w:r>
      <w:proofErr w:type="spellEnd"/>
      <w:r w:rsidRPr="00501812">
        <w:rPr>
          <w:rFonts w:ascii="Times New Roman" w:hAnsi="Times New Roman"/>
        </w:rPr>
        <w:t xml:space="preserve">.) production in </w:t>
      </w:r>
      <w:proofErr w:type="spellStart"/>
      <w:r w:rsidRPr="00501812">
        <w:rPr>
          <w:rFonts w:ascii="Times New Roman" w:hAnsi="Times New Roman"/>
        </w:rPr>
        <w:t>China.PLoS</w:t>
      </w:r>
      <w:proofErr w:type="spellEnd"/>
      <w:r w:rsidRPr="00501812">
        <w:rPr>
          <w:rFonts w:ascii="Times New Roman" w:hAnsi="Times New Roman"/>
        </w:rPr>
        <w:t xml:space="preserve"> ONE 9(3): e91767 doi:10.1371/journal.pone.0091767</w:t>
      </w:r>
    </w:p>
    <w:p w14:paraId="402E4A25" w14:textId="2A08A4F0" w:rsidR="009C0DF0" w:rsidRPr="002667C8" w:rsidRDefault="009C0DF0" w:rsidP="006260D1">
      <w:pPr>
        <w:pStyle w:val="References"/>
        <w:ind w:left="851" w:hanging="851"/>
        <w:rPr>
          <w:rFonts w:ascii="Times New Roman" w:eastAsiaTheme="minorHAnsi" w:hAnsi="Times New Roman"/>
          <w:i/>
          <w:iCs/>
          <w:lang w:val="es-ES_tradnl"/>
        </w:rPr>
      </w:pPr>
      <w:r w:rsidRPr="002667C8">
        <w:rPr>
          <w:rFonts w:ascii="Times New Roman" w:eastAsiaTheme="minorHAnsi" w:hAnsi="Times New Roman"/>
          <w:lang w:val="es-ES_tradnl"/>
        </w:rPr>
        <w:t xml:space="preserve">Martínez, S., </w:t>
      </w:r>
      <w:proofErr w:type="spellStart"/>
      <w:r w:rsidRPr="002667C8">
        <w:rPr>
          <w:rFonts w:ascii="Times New Roman" w:eastAsiaTheme="minorHAnsi" w:hAnsi="Times New Roman"/>
          <w:lang w:val="es-ES_tradnl"/>
        </w:rPr>
        <w:t>Morelli</w:t>
      </w:r>
      <w:proofErr w:type="spellEnd"/>
      <w:r w:rsidRPr="002667C8">
        <w:rPr>
          <w:rFonts w:ascii="Times New Roman" w:eastAsiaTheme="minorHAnsi" w:hAnsi="Times New Roman"/>
          <w:lang w:val="es-ES_tradnl"/>
        </w:rPr>
        <w:t xml:space="preserve">, G., </w:t>
      </w:r>
      <w:proofErr w:type="spellStart"/>
      <w:r w:rsidRPr="002667C8">
        <w:rPr>
          <w:rFonts w:ascii="Times New Roman" w:eastAsiaTheme="minorHAnsi" w:hAnsi="Times New Roman"/>
          <w:lang w:val="es-ES_tradnl"/>
        </w:rPr>
        <w:t>Garbi</w:t>
      </w:r>
      <w:proofErr w:type="spellEnd"/>
      <w:r w:rsidRPr="002667C8">
        <w:rPr>
          <w:rFonts w:ascii="Times New Roman" w:eastAsiaTheme="minorHAnsi" w:hAnsi="Times New Roman"/>
          <w:lang w:val="es-ES_tradnl"/>
        </w:rPr>
        <w:t xml:space="preserve">, M., Barrenechea, M., Notar, S., </w:t>
      </w:r>
      <w:proofErr w:type="spellStart"/>
      <w:r w:rsidRPr="002667C8">
        <w:rPr>
          <w:rFonts w:ascii="Times New Roman" w:eastAsiaTheme="minorHAnsi" w:hAnsi="Times New Roman"/>
          <w:lang w:val="es-ES_tradnl"/>
        </w:rPr>
        <w:t>Ludueña</w:t>
      </w:r>
      <w:proofErr w:type="spellEnd"/>
      <w:r w:rsidRPr="002667C8">
        <w:rPr>
          <w:rFonts w:ascii="Times New Roman" w:eastAsiaTheme="minorHAnsi" w:hAnsi="Times New Roman"/>
          <w:lang w:val="es-ES_tradnl"/>
        </w:rPr>
        <w:t xml:space="preserve">, M., (2013). Evaluación del efecto de diferentes porta injertos de tomate sobre la respuesta de un híbrido comercial. </w:t>
      </w:r>
      <w:r w:rsidRPr="002667C8">
        <w:rPr>
          <w:rFonts w:ascii="Times New Roman" w:hAnsi="Times New Roman"/>
          <w:lang w:val="es-ES_tradnl"/>
        </w:rPr>
        <w:t>No. 024. Horticultura. En:</w:t>
      </w:r>
      <w:r w:rsidR="002667C8">
        <w:rPr>
          <w:rFonts w:ascii="Times New Roman" w:hAnsi="Times New Roman"/>
          <w:lang w:val="es-ES_tradnl"/>
        </w:rPr>
        <w:t xml:space="preserve"> </w:t>
      </w:r>
      <w:r w:rsidRPr="002667C8">
        <w:rPr>
          <w:rFonts w:ascii="Times New Roman" w:eastAsiaTheme="minorHAnsi" w:hAnsi="Times New Roman"/>
          <w:i/>
          <w:iCs/>
          <w:lang w:val="es-ES_tradnl"/>
        </w:rPr>
        <w:t>Horticultura Argentina 32(79): Sep. -Dic. 2013</w:t>
      </w:r>
    </w:p>
    <w:p w14:paraId="4ADF4542" w14:textId="77777777" w:rsidR="009C0DF0" w:rsidRPr="00501812" w:rsidRDefault="009C0DF0" w:rsidP="006260D1">
      <w:pPr>
        <w:pStyle w:val="References"/>
        <w:ind w:left="851" w:hanging="851"/>
        <w:rPr>
          <w:rFonts w:ascii="Times New Roman" w:hAnsi="Times New Roman"/>
        </w:rPr>
      </w:pPr>
      <w:proofErr w:type="spellStart"/>
      <w:r w:rsidRPr="00501812">
        <w:rPr>
          <w:rFonts w:ascii="Times New Roman" w:hAnsi="Times New Roman"/>
        </w:rPr>
        <w:t>Mattner</w:t>
      </w:r>
      <w:proofErr w:type="spellEnd"/>
      <w:r w:rsidRPr="00501812">
        <w:rPr>
          <w:rFonts w:ascii="Times New Roman" w:hAnsi="Times New Roman"/>
        </w:rPr>
        <w:t xml:space="preserve">, S.W., </w:t>
      </w:r>
      <w:proofErr w:type="spellStart"/>
      <w:r w:rsidRPr="00501812">
        <w:rPr>
          <w:rFonts w:ascii="Times New Roman" w:hAnsi="Times New Roman"/>
        </w:rPr>
        <w:t>Gounder</w:t>
      </w:r>
      <w:proofErr w:type="spellEnd"/>
      <w:r w:rsidRPr="00501812">
        <w:rPr>
          <w:rFonts w:ascii="Times New Roman" w:hAnsi="Times New Roman"/>
        </w:rPr>
        <w:t xml:space="preserve">, R.K., Porter, I.J., Mann, R.C., de Boer, D., Williams, E., </w:t>
      </w:r>
      <w:proofErr w:type="spellStart"/>
      <w:r w:rsidRPr="00501812">
        <w:rPr>
          <w:rFonts w:ascii="Times New Roman" w:hAnsi="Times New Roman"/>
        </w:rPr>
        <w:t>Guijarro</w:t>
      </w:r>
      <w:proofErr w:type="spellEnd"/>
      <w:r w:rsidRPr="00501812">
        <w:rPr>
          <w:rFonts w:ascii="Times New Roman" w:hAnsi="Times New Roman"/>
        </w:rPr>
        <w:t xml:space="preserve">, B., Rose, G., Allen, D., Horner, I.J., Allison, C., Coram, S., Fraser, P., Reiss, R., Taylor, P., (2012). </w:t>
      </w:r>
      <w:r w:rsidRPr="00CD3CBD">
        <w:rPr>
          <w:rFonts w:ascii="Times New Roman" w:hAnsi="Times New Roman"/>
        </w:rPr>
        <w:t xml:space="preserve">Maintaining biosecurity standards for </w:t>
      </w:r>
      <w:proofErr w:type="spellStart"/>
      <w:r w:rsidRPr="00CD3CBD">
        <w:rPr>
          <w:rFonts w:ascii="Times New Roman" w:hAnsi="Times New Roman"/>
        </w:rPr>
        <w:t>soilborne</w:t>
      </w:r>
      <w:proofErr w:type="spellEnd"/>
      <w:r w:rsidRPr="00501812">
        <w:rPr>
          <w:rFonts w:ascii="Times New Roman" w:hAnsi="Times New Roman"/>
        </w:rPr>
        <w:t xml:space="preserve"> pathogens and weeds in the strawberry runner industry. Horticulture Australia Limited, Final Report, Project No. BS07014. Sydney, NSW. </w:t>
      </w:r>
    </w:p>
    <w:p w14:paraId="7270CA51" w14:textId="13FAA323" w:rsidR="009C0DF0" w:rsidRPr="00B87B95" w:rsidRDefault="009C0DF0" w:rsidP="006260D1">
      <w:pPr>
        <w:pStyle w:val="References"/>
        <w:ind w:left="851" w:hanging="851"/>
        <w:rPr>
          <w:rFonts w:ascii="Times New Roman" w:hAnsi="Times New Roman"/>
        </w:rPr>
      </w:pPr>
      <w:proofErr w:type="spellStart"/>
      <w:r w:rsidRPr="003A30C7">
        <w:rPr>
          <w:rFonts w:ascii="Times New Roman" w:hAnsi="Times New Roman"/>
        </w:rPr>
        <w:t>Mattner</w:t>
      </w:r>
      <w:proofErr w:type="spellEnd"/>
      <w:r w:rsidRPr="003A30C7">
        <w:rPr>
          <w:rFonts w:ascii="Times New Roman" w:hAnsi="Times New Roman"/>
        </w:rPr>
        <w:t xml:space="preserve">, S.W., </w:t>
      </w:r>
      <w:proofErr w:type="spellStart"/>
      <w:r w:rsidRPr="003A30C7">
        <w:rPr>
          <w:rFonts w:ascii="Times New Roman" w:hAnsi="Times New Roman"/>
        </w:rPr>
        <w:t>Horstra</w:t>
      </w:r>
      <w:proofErr w:type="spellEnd"/>
      <w:r w:rsidRPr="003A30C7">
        <w:rPr>
          <w:rFonts w:ascii="Times New Roman" w:hAnsi="Times New Roman"/>
        </w:rPr>
        <w:t xml:space="preserve">, C.B., Milinkovic, M., Merriman, P.R., </w:t>
      </w:r>
      <w:proofErr w:type="spellStart"/>
      <w:r w:rsidRPr="003A30C7">
        <w:rPr>
          <w:rFonts w:ascii="Times New Roman" w:hAnsi="Times New Roman"/>
        </w:rPr>
        <w:t>Greenhalgh</w:t>
      </w:r>
      <w:proofErr w:type="spellEnd"/>
      <w:r w:rsidRPr="003A30C7">
        <w:rPr>
          <w:rFonts w:ascii="Times New Roman" w:hAnsi="Times New Roman"/>
        </w:rPr>
        <w:t>, F.C., (</w:t>
      </w:r>
      <w:r w:rsidRPr="00082015">
        <w:rPr>
          <w:rFonts w:ascii="Times New Roman" w:hAnsi="Times New Roman"/>
          <w:iCs/>
        </w:rPr>
        <w:t>201</w:t>
      </w:r>
      <w:r w:rsidR="00C912D9" w:rsidRPr="00082015">
        <w:rPr>
          <w:rFonts w:ascii="Times New Roman" w:hAnsi="Times New Roman"/>
          <w:iCs/>
        </w:rPr>
        <w:t>6</w:t>
      </w:r>
      <w:r w:rsidRPr="00082015">
        <w:rPr>
          <w:rFonts w:ascii="Times New Roman" w:hAnsi="Times New Roman"/>
          <w:iCs/>
        </w:rPr>
        <w:t>).</w:t>
      </w:r>
      <w:r w:rsidRPr="00082015">
        <w:rPr>
          <w:rFonts w:ascii="Times New Roman" w:hAnsi="Times New Roman"/>
        </w:rPr>
        <w:t>Evaluation of soil-less systems for strawberry transplant production in Australia</w:t>
      </w:r>
      <w:r w:rsidR="00204EBC" w:rsidRPr="00F5313E">
        <w:rPr>
          <w:rFonts w:ascii="Times New Roman" w:hAnsi="Times New Roman"/>
        </w:rPr>
        <w:t>.</w:t>
      </w:r>
      <w:r w:rsidRPr="00220275">
        <w:rPr>
          <w:rFonts w:ascii="Times New Roman" w:hAnsi="Times New Roman"/>
        </w:rPr>
        <w:t>.</w:t>
      </w:r>
      <w:proofErr w:type="spellStart"/>
      <w:r w:rsidRPr="00220275">
        <w:rPr>
          <w:rFonts w:ascii="Times New Roman" w:hAnsi="Times New Roman"/>
          <w:i/>
          <w:iCs/>
        </w:rPr>
        <w:t>Acta</w:t>
      </w:r>
      <w:proofErr w:type="spellEnd"/>
      <w:r w:rsidR="00204EBC" w:rsidRPr="00220275">
        <w:rPr>
          <w:rFonts w:ascii="Times New Roman" w:hAnsi="Times New Roman"/>
          <w:i/>
          <w:iCs/>
        </w:rPr>
        <w:t xml:space="preserve"> </w:t>
      </w:r>
      <w:proofErr w:type="spellStart"/>
      <w:r w:rsidRPr="00220275">
        <w:rPr>
          <w:rFonts w:ascii="Times New Roman" w:hAnsi="Times New Roman"/>
          <w:i/>
          <w:iCs/>
        </w:rPr>
        <w:t>Horticulturae</w:t>
      </w:r>
      <w:proofErr w:type="spellEnd"/>
      <w:r w:rsidR="0079319F">
        <w:rPr>
          <w:rFonts w:ascii="Times New Roman" w:hAnsi="Times New Roman"/>
          <w:i/>
          <w:iCs/>
        </w:rPr>
        <w:t xml:space="preserve"> </w:t>
      </w:r>
      <w:r w:rsidR="00C912D9" w:rsidRPr="00220275">
        <w:rPr>
          <w:rFonts w:ascii="Times New Roman" w:hAnsi="Times New Roman"/>
          <w:iCs/>
        </w:rPr>
        <w:t>(In Press)</w:t>
      </w:r>
    </w:p>
    <w:p w14:paraId="6C0E815B" w14:textId="77777777" w:rsidR="009C0DF0" w:rsidRPr="00563BC0" w:rsidRDefault="009C0DF0" w:rsidP="006260D1">
      <w:pPr>
        <w:pStyle w:val="References"/>
        <w:ind w:left="851" w:hanging="851"/>
        <w:rPr>
          <w:rFonts w:ascii="Times New Roman" w:hAnsi="Times New Roman"/>
        </w:rPr>
      </w:pPr>
      <w:proofErr w:type="spellStart"/>
      <w:r w:rsidRPr="00B87B95">
        <w:rPr>
          <w:rFonts w:ascii="Times New Roman" w:hAnsi="Times New Roman"/>
        </w:rPr>
        <w:t>Mattner</w:t>
      </w:r>
      <w:proofErr w:type="spellEnd"/>
      <w:r w:rsidRPr="00B87B95">
        <w:rPr>
          <w:rFonts w:ascii="Times New Roman" w:hAnsi="Times New Roman"/>
        </w:rPr>
        <w:t xml:space="preserve">, S., M. </w:t>
      </w:r>
      <w:proofErr w:type="spellStart"/>
      <w:r w:rsidRPr="00B87B95">
        <w:rPr>
          <w:rFonts w:ascii="Times New Roman" w:hAnsi="Times New Roman"/>
        </w:rPr>
        <w:t>Milinkovic</w:t>
      </w:r>
      <w:proofErr w:type="gramStart"/>
      <w:r w:rsidRPr="00B87B95">
        <w:rPr>
          <w:rFonts w:ascii="Times New Roman" w:hAnsi="Times New Roman"/>
        </w:rPr>
        <w:t>,C</w:t>
      </w:r>
      <w:proofErr w:type="spellEnd"/>
      <w:proofErr w:type="gramEnd"/>
      <w:r w:rsidRPr="00B87B95">
        <w:rPr>
          <w:rFonts w:ascii="Times New Roman" w:hAnsi="Times New Roman"/>
        </w:rPr>
        <w:t xml:space="preserve">. </w:t>
      </w:r>
      <w:proofErr w:type="spellStart"/>
      <w:r w:rsidRPr="00B87B95">
        <w:rPr>
          <w:rFonts w:ascii="Times New Roman" w:hAnsi="Times New Roman"/>
        </w:rPr>
        <w:t>Hors</w:t>
      </w:r>
      <w:r w:rsidRPr="00563BC0">
        <w:rPr>
          <w:rFonts w:ascii="Times New Roman" w:hAnsi="Times New Roman"/>
        </w:rPr>
        <w:t>tra,F</w:t>
      </w:r>
      <w:proofErr w:type="spellEnd"/>
      <w:r w:rsidRPr="00563BC0">
        <w:rPr>
          <w:rFonts w:ascii="Times New Roman" w:hAnsi="Times New Roman"/>
        </w:rPr>
        <w:t xml:space="preserve">. </w:t>
      </w:r>
      <w:proofErr w:type="spellStart"/>
      <w:r w:rsidRPr="00563BC0">
        <w:rPr>
          <w:rFonts w:ascii="Times New Roman" w:hAnsi="Times New Roman"/>
        </w:rPr>
        <w:t>Greenhalgh,R</w:t>
      </w:r>
      <w:proofErr w:type="spellEnd"/>
      <w:r w:rsidRPr="00563BC0">
        <w:rPr>
          <w:rFonts w:ascii="Times New Roman" w:hAnsi="Times New Roman"/>
        </w:rPr>
        <w:t xml:space="preserve">. </w:t>
      </w:r>
      <w:proofErr w:type="spellStart"/>
      <w:r w:rsidRPr="00563BC0">
        <w:rPr>
          <w:rFonts w:ascii="Times New Roman" w:hAnsi="Times New Roman"/>
        </w:rPr>
        <w:t>Welker,A</w:t>
      </w:r>
      <w:proofErr w:type="spellEnd"/>
      <w:r w:rsidRPr="00563BC0">
        <w:rPr>
          <w:rFonts w:ascii="Times New Roman" w:hAnsi="Times New Roman"/>
        </w:rPr>
        <w:t xml:space="preserve">. Horvath, (2015b). Efficacy and plant-back of DMDS in the Australian strawberry nursery industry. Pp. 73-1 – 73-4 </w:t>
      </w:r>
      <w:proofErr w:type="gramStart"/>
      <w:r w:rsidRPr="00563BC0">
        <w:rPr>
          <w:rFonts w:ascii="Times New Roman" w:hAnsi="Times New Roman"/>
        </w:rPr>
        <w:t>In</w:t>
      </w:r>
      <w:proofErr w:type="gramEnd"/>
      <w:r w:rsidRPr="00563BC0">
        <w:rPr>
          <w:rFonts w:ascii="Times New Roman" w:hAnsi="Times New Roman"/>
        </w:rPr>
        <w:t>: Proceedings of the Methyl Bromide Alternatives Outreach Conference (MBAO), November 9-11, San Diego, California, USA</w:t>
      </w:r>
    </w:p>
    <w:p w14:paraId="03856AB0" w14:textId="77777777" w:rsidR="009C0DF0" w:rsidRPr="00563BC0" w:rsidRDefault="009C0DF0" w:rsidP="006260D1">
      <w:pPr>
        <w:pStyle w:val="References"/>
        <w:ind w:left="851" w:hanging="851"/>
        <w:rPr>
          <w:rFonts w:ascii="Times New Roman" w:hAnsi="Times New Roman"/>
        </w:rPr>
      </w:pPr>
      <w:proofErr w:type="spellStart"/>
      <w:r w:rsidRPr="00563BC0">
        <w:rPr>
          <w:rFonts w:ascii="Times New Roman" w:hAnsi="Times New Roman"/>
        </w:rPr>
        <w:t>Mattner</w:t>
      </w:r>
      <w:proofErr w:type="spellEnd"/>
      <w:r w:rsidRPr="00563BC0">
        <w:rPr>
          <w:rFonts w:ascii="Times New Roman" w:hAnsi="Times New Roman"/>
        </w:rPr>
        <w:t>, S.W., Milinkovic, M., Merriman, P.R., Porter, I.J., (2014).Critical challenges for the phase-out of methyl bromide in the Australian strawberry industry</w:t>
      </w:r>
      <w:r w:rsidR="00204EBC" w:rsidRPr="00563BC0">
        <w:rPr>
          <w:rFonts w:ascii="Times New Roman" w:hAnsi="Times New Roman"/>
        </w:rPr>
        <w:t xml:space="preserve">. </w:t>
      </w:r>
      <w:r w:rsidRPr="00563BC0">
        <w:rPr>
          <w:rFonts w:ascii="Times New Roman" w:hAnsi="Times New Roman"/>
        </w:rPr>
        <w:t>.</w:t>
      </w:r>
      <w:proofErr w:type="spellStart"/>
      <w:r w:rsidRPr="00563BC0">
        <w:rPr>
          <w:rFonts w:ascii="Times New Roman" w:hAnsi="Times New Roman"/>
          <w:i/>
        </w:rPr>
        <w:t>Acta</w:t>
      </w:r>
      <w:proofErr w:type="spellEnd"/>
      <w:r w:rsidR="00204EBC" w:rsidRPr="00563BC0">
        <w:rPr>
          <w:rFonts w:ascii="Times New Roman" w:hAnsi="Times New Roman"/>
          <w:i/>
        </w:rPr>
        <w:t xml:space="preserve"> </w:t>
      </w:r>
      <w:proofErr w:type="spellStart"/>
      <w:r w:rsidRPr="00563BC0">
        <w:rPr>
          <w:rFonts w:ascii="Times New Roman" w:hAnsi="Times New Roman"/>
          <w:i/>
        </w:rPr>
        <w:t>Horticulturae</w:t>
      </w:r>
      <w:proofErr w:type="spellEnd"/>
      <w:r w:rsidRPr="00563BC0">
        <w:rPr>
          <w:rFonts w:ascii="Times New Roman" w:hAnsi="Times New Roman"/>
        </w:rPr>
        <w:t>. 1044:367-373</w:t>
      </w:r>
    </w:p>
    <w:p w14:paraId="305A8155" w14:textId="77777777" w:rsidR="009C0DF0" w:rsidRPr="00501812" w:rsidRDefault="009C0DF0" w:rsidP="006260D1">
      <w:pPr>
        <w:pStyle w:val="References"/>
        <w:ind w:left="851" w:hanging="851"/>
        <w:rPr>
          <w:rFonts w:ascii="Times New Roman" w:hAnsi="Times New Roman"/>
        </w:rPr>
      </w:pPr>
      <w:r w:rsidRPr="00501812">
        <w:rPr>
          <w:rFonts w:ascii="Times New Roman" w:hAnsi="Times New Roman"/>
        </w:rPr>
        <w:t xml:space="preserve">MBTOC (2011). Report of the Methyl Bromide Technical Options Committee. 2010 Assessment. UNEP, Nairobi, Kenya, 335 pp. </w:t>
      </w:r>
    </w:p>
    <w:p w14:paraId="1B2077D7" w14:textId="77777777" w:rsidR="009C0DF0" w:rsidRPr="00501812" w:rsidRDefault="009C0DF0" w:rsidP="006260D1">
      <w:pPr>
        <w:pStyle w:val="References"/>
        <w:ind w:left="851" w:hanging="851"/>
        <w:rPr>
          <w:rFonts w:ascii="Times New Roman" w:hAnsi="Times New Roman"/>
        </w:rPr>
      </w:pPr>
      <w:r w:rsidRPr="00501812">
        <w:rPr>
          <w:rFonts w:ascii="Times New Roman" w:hAnsi="Times New Roman"/>
        </w:rPr>
        <w:t>MBTOC (2015). Report of the Methyl Bromide Technical Options Committee. 2014 Assessment. UNEP, Nairobi, Kenya, 278 pp.</w:t>
      </w:r>
    </w:p>
    <w:p w14:paraId="47A24467" w14:textId="77777777" w:rsidR="009C0DF0" w:rsidRPr="002667C8" w:rsidRDefault="009C0DF0" w:rsidP="006260D1">
      <w:pPr>
        <w:pStyle w:val="References"/>
        <w:ind w:left="851" w:hanging="851"/>
        <w:rPr>
          <w:rFonts w:ascii="Times New Roman" w:hAnsi="Times New Roman"/>
          <w:lang w:val="es-ES_tradnl"/>
        </w:rPr>
      </w:pPr>
      <w:proofErr w:type="spellStart"/>
      <w:r w:rsidRPr="002667C8">
        <w:rPr>
          <w:rFonts w:ascii="Times New Roman" w:hAnsi="Times New Roman"/>
          <w:lang w:val="es-ES_tradnl"/>
        </w:rPr>
        <w:t>Mezquíriz</w:t>
      </w:r>
      <w:proofErr w:type="spellEnd"/>
      <w:r w:rsidRPr="002667C8">
        <w:rPr>
          <w:rFonts w:ascii="Times New Roman" w:hAnsi="Times New Roman"/>
          <w:lang w:val="es-ES_tradnl"/>
        </w:rPr>
        <w:t xml:space="preserve">, N., </w:t>
      </w:r>
      <w:proofErr w:type="spellStart"/>
      <w:r w:rsidRPr="002667C8">
        <w:rPr>
          <w:rFonts w:ascii="Times New Roman" w:hAnsi="Times New Roman"/>
          <w:lang w:val="es-ES_tradnl"/>
        </w:rPr>
        <w:t>Polack</w:t>
      </w:r>
      <w:proofErr w:type="spellEnd"/>
      <w:r w:rsidRPr="002667C8">
        <w:rPr>
          <w:rFonts w:ascii="Times New Roman" w:hAnsi="Times New Roman"/>
          <w:lang w:val="es-ES_tradnl"/>
        </w:rPr>
        <w:t xml:space="preserve">, L.A., </w:t>
      </w:r>
      <w:proofErr w:type="spellStart"/>
      <w:r w:rsidRPr="002667C8">
        <w:rPr>
          <w:rFonts w:ascii="Times New Roman" w:hAnsi="Times New Roman"/>
          <w:lang w:val="es-ES_tradnl"/>
        </w:rPr>
        <w:t>Amoia</w:t>
      </w:r>
      <w:proofErr w:type="spellEnd"/>
      <w:r w:rsidRPr="002667C8">
        <w:rPr>
          <w:rFonts w:ascii="Times New Roman" w:hAnsi="Times New Roman"/>
          <w:lang w:val="es-ES_tradnl"/>
        </w:rPr>
        <w:t xml:space="preserve">, P.R., Villagra, J., </w:t>
      </w:r>
      <w:proofErr w:type="spellStart"/>
      <w:r w:rsidRPr="002667C8">
        <w:rPr>
          <w:rFonts w:ascii="Times New Roman" w:hAnsi="Times New Roman"/>
          <w:lang w:val="es-ES_tradnl"/>
        </w:rPr>
        <w:t>Busse</w:t>
      </w:r>
      <w:proofErr w:type="spellEnd"/>
      <w:r w:rsidRPr="002667C8">
        <w:rPr>
          <w:rFonts w:ascii="Times New Roman" w:hAnsi="Times New Roman"/>
          <w:lang w:val="es-ES_tradnl"/>
        </w:rPr>
        <w:t xml:space="preserve">, G., (2013). Evaluación de alternativas para controlar patógenos de suelo y nematodos en tomate bajo invernadero. </w:t>
      </w:r>
      <w:r w:rsidRPr="002667C8" w:rsidDel="009B3D67">
        <w:rPr>
          <w:rFonts w:ascii="Times New Roman" w:hAnsi="Times New Roman"/>
          <w:lang w:val="es-ES_tradnl"/>
        </w:rPr>
        <w:t xml:space="preserve">No. 144 </w:t>
      </w:r>
      <w:r w:rsidRPr="002667C8">
        <w:rPr>
          <w:rFonts w:ascii="Times New Roman" w:hAnsi="Times New Roman"/>
          <w:lang w:val="es-ES_tradnl"/>
        </w:rPr>
        <w:t xml:space="preserve">Horticultura. En: </w:t>
      </w:r>
      <w:r w:rsidRPr="002667C8">
        <w:rPr>
          <w:rFonts w:ascii="Times New Roman" w:hAnsi="Times New Roman"/>
          <w:i/>
          <w:lang w:val="es-ES_tradnl"/>
        </w:rPr>
        <w:t xml:space="preserve">Horticultura Argentina </w:t>
      </w:r>
      <w:r w:rsidRPr="002667C8">
        <w:rPr>
          <w:rFonts w:ascii="Times New Roman" w:hAnsi="Times New Roman"/>
          <w:lang w:val="es-ES_tradnl"/>
        </w:rPr>
        <w:t xml:space="preserve">32(79): </w:t>
      </w:r>
      <w:proofErr w:type="spellStart"/>
      <w:r w:rsidRPr="002667C8">
        <w:rPr>
          <w:rFonts w:ascii="Times New Roman" w:hAnsi="Times New Roman"/>
          <w:lang w:val="es-ES_tradnl"/>
        </w:rPr>
        <w:t>Sep</w:t>
      </w:r>
      <w:proofErr w:type="spellEnd"/>
      <w:r w:rsidRPr="002667C8">
        <w:rPr>
          <w:rFonts w:ascii="Times New Roman" w:hAnsi="Times New Roman"/>
          <w:lang w:val="es-ES_tradnl"/>
        </w:rPr>
        <w:t>-Dic 2013</w:t>
      </w:r>
    </w:p>
    <w:p w14:paraId="37270054" w14:textId="77777777" w:rsidR="009C0DF0" w:rsidRPr="00501812" w:rsidRDefault="009C0DF0" w:rsidP="006260D1">
      <w:pPr>
        <w:pStyle w:val="References"/>
        <w:ind w:left="851" w:hanging="851"/>
        <w:rPr>
          <w:rFonts w:ascii="Times New Roman" w:hAnsi="Times New Roman"/>
        </w:rPr>
      </w:pPr>
      <w:proofErr w:type="spellStart"/>
      <w:r w:rsidRPr="00501812">
        <w:rPr>
          <w:rFonts w:ascii="Times New Roman" w:hAnsi="Times New Roman"/>
        </w:rPr>
        <w:t>Minuto</w:t>
      </w:r>
      <w:proofErr w:type="spellEnd"/>
      <w:r w:rsidRPr="00501812">
        <w:rPr>
          <w:rFonts w:ascii="Times New Roman" w:hAnsi="Times New Roman"/>
        </w:rPr>
        <w:t xml:space="preserve">, A., </w:t>
      </w:r>
      <w:proofErr w:type="spellStart"/>
      <w:r w:rsidRPr="00501812">
        <w:rPr>
          <w:rFonts w:ascii="Times New Roman" w:hAnsi="Times New Roman"/>
        </w:rPr>
        <w:t>Gullino</w:t>
      </w:r>
      <w:proofErr w:type="spellEnd"/>
      <w:r w:rsidRPr="00501812">
        <w:rPr>
          <w:rFonts w:ascii="Times New Roman" w:hAnsi="Times New Roman"/>
        </w:rPr>
        <w:t xml:space="preserve">, M.L., </w:t>
      </w:r>
      <w:proofErr w:type="spellStart"/>
      <w:r w:rsidRPr="00501812">
        <w:rPr>
          <w:rFonts w:ascii="Times New Roman" w:hAnsi="Times New Roman"/>
        </w:rPr>
        <w:t>Lamberti</w:t>
      </w:r>
      <w:proofErr w:type="spellEnd"/>
      <w:r w:rsidRPr="00501812">
        <w:rPr>
          <w:rFonts w:ascii="Times New Roman" w:hAnsi="Times New Roman"/>
        </w:rPr>
        <w:t xml:space="preserve">, F., </w:t>
      </w:r>
      <w:proofErr w:type="spellStart"/>
      <w:r w:rsidRPr="00501812">
        <w:rPr>
          <w:rFonts w:ascii="Times New Roman" w:hAnsi="Times New Roman"/>
        </w:rPr>
        <w:t>D’Addabbo</w:t>
      </w:r>
      <w:proofErr w:type="spellEnd"/>
      <w:r w:rsidRPr="00501812">
        <w:rPr>
          <w:rFonts w:ascii="Times New Roman" w:hAnsi="Times New Roman"/>
        </w:rPr>
        <w:t xml:space="preserve">, T., </w:t>
      </w:r>
      <w:proofErr w:type="spellStart"/>
      <w:r w:rsidRPr="00501812">
        <w:rPr>
          <w:rFonts w:ascii="Times New Roman" w:hAnsi="Times New Roman"/>
        </w:rPr>
        <w:t>Tescari</w:t>
      </w:r>
      <w:proofErr w:type="spellEnd"/>
      <w:r w:rsidRPr="00501812">
        <w:rPr>
          <w:rFonts w:ascii="Times New Roman" w:hAnsi="Times New Roman"/>
        </w:rPr>
        <w:t xml:space="preserve">, E., </w:t>
      </w:r>
      <w:proofErr w:type="spellStart"/>
      <w:r w:rsidRPr="00501812">
        <w:rPr>
          <w:rFonts w:ascii="Times New Roman" w:hAnsi="Times New Roman"/>
        </w:rPr>
        <w:t>Ajwa</w:t>
      </w:r>
      <w:proofErr w:type="spellEnd"/>
      <w:r w:rsidRPr="00501812">
        <w:rPr>
          <w:rFonts w:ascii="Times New Roman" w:hAnsi="Times New Roman"/>
        </w:rPr>
        <w:t xml:space="preserve">, H., Garibaldi, A., (2006).  </w:t>
      </w:r>
      <w:r w:rsidRPr="00CD3CBD">
        <w:rPr>
          <w:rFonts w:ascii="Times New Roman" w:hAnsi="Times New Roman"/>
        </w:rPr>
        <w:t xml:space="preserve">Application of an </w:t>
      </w:r>
      <w:proofErr w:type="spellStart"/>
      <w:r w:rsidRPr="00CD3CBD">
        <w:rPr>
          <w:rFonts w:ascii="Times New Roman" w:hAnsi="Times New Roman"/>
        </w:rPr>
        <w:t>emulsifiable</w:t>
      </w:r>
      <w:proofErr w:type="spellEnd"/>
      <w:r w:rsidRPr="00CD3CBD">
        <w:rPr>
          <w:rFonts w:ascii="Times New Roman" w:hAnsi="Times New Roman"/>
        </w:rPr>
        <w:t xml:space="preserve"> mixture of 1</w:t>
      </w:r>
      <w:proofErr w:type="gramStart"/>
      <w:r w:rsidRPr="00CD3CBD">
        <w:rPr>
          <w:rFonts w:ascii="Times New Roman" w:hAnsi="Times New Roman"/>
        </w:rPr>
        <w:t>,3</w:t>
      </w:r>
      <w:proofErr w:type="gramEnd"/>
      <w:r w:rsidRPr="00CD3CBD">
        <w:rPr>
          <w:rFonts w:ascii="Times New Roman" w:hAnsi="Times New Roman"/>
        </w:rPr>
        <w:t xml:space="preserve">-dichloropropene and chloropicrin against root knot nematodes and </w:t>
      </w:r>
      <w:proofErr w:type="spellStart"/>
      <w:r w:rsidRPr="00CD3CBD">
        <w:rPr>
          <w:rFonts w:ascii="Times New Roman" w:hAnsi="Times New Roman"/>
        </w:rPr>
        <w:t>soilb</w:t>
      </w:r>
      <w:r w:rsidRPr="00501812">
        <w:rPr>
          <w:rFonts w:ascii="Times New Roman" w:hAnsi="Times New Roman"/>
        </w:rPr>
        <w:t>orne</w:t>
      </w:r>
      <w:proofErr w:type="spellEnd"/>
      <w:r w:rsidRPr="00501812">
        <w:rPr>
          <w:rFonts w:ascii="Times New Roman" w:hAnsi="Times New Roman"/>
        </w:rPr>
        <w:t xml:space="preserve"> fungi for greenhouse tomatoes in </w:t>
      </w:r>
      <w:proofErr w:type="spellStart"/>
      <w:r w:rsidRPr="00501812">
        <w:rPr>
          <w:rFonts w:ascii="Times New Roman" w:hAnsi="Times New Roman"/>
        </w:rPr>
        <w:t>Italy.</w:t>
      </w:r>
      <w:r w:rsidRPr="00501812">
        <w:rPr>
          <w:rFonts w:ascii="Times New Roman" w:hAnsi="Times New Roman"/>
          <w:i/>
        </w:rPr>
        <w:t>Crop</w:t>
      </w:r>
      <w:proofErr w:type="spellEnd"/>
      <w:r w:rsidRPr="00501812">
        <w:rPr>
          <w:rFonts w:ascii="Times New Roman" w:hAnsi="Times New Roman"/>
          <w:i/>
        </w:rPr>
        <w:t xml:space="preserve"> Protection</w:t>
      </w:r>
      <w:r w:rsidRPr="00501812">
        <w:rPr>
          <w:rFonts w:ascii="Times New Roman" w:hAnsi="Times New Roman"/>
        </w:rPr>
        <w:t xml:space="preserve"> 25: 1244–1252.</w:t>
      </w:r>
    </w:p>
    <w:p w14:paraId="6E447958" w14:textId="77777777" w:rsidR="009C0DF0" w:rsidRPr="00501812" w:rsidRDefault="009C0DF0" w:rsidP="006260D1">
      <w:pPr>
        <w:pStyle w:val="References"/>
        <w:ind w:left="851" w:hanging="851"/>
        <w:jc w:val="left"/>
        <w:rPr>
          <w:rFonts w:ascii="Times New Roman" w:hAnsi="Times New Roman"/>
        </w:rPr>
      </w:pPr>
      <w:r w:rsidRPr="00501812">
        <w:rPr>
          <w:rFonts w:ascii="Times New Roman" w:hAnsi="Times New Roman"/>
        </w:rPr>
        <w:lastRenderedPageBreak/>
        <w:t xml:space="preserve">Rodrigues de Miranda, F., Barros da Silva, V., Ribeiro dos Santos, F.S., </w:t>
      </w:r>
      <w:proofErr w:type="spellStart"/>
      <w:r w:rsidRPr="00501812">
        <w:rPr>
          <w:rFonts w:ascii="Times New Roman" w:hAnsi="Times New Roman"/>
        </w:rPr>
        <w:t>Guimarães</w:t>
      </w:r>
      <w:proofErr w:type="spellEnd"/>
      <w:r w:rsidRPr="00501812">
        <w:rPr>
          <w:rFonts w:ascii="Times New Roman" w:hAnsi="Times New Roman"/>
        </w:rPr>
        <w:t xml:space="preserve"> Rossetti, A., </w:t>
      </w:r>
      <w:proofErr w:type="spellStart"/>
      <w:r w:rsidRPr="00501812">
        <w:rPr>
          <w:rFonts w:ascii="Times New Roman" w:hAnsi="Times New Roman"/>
        </w:rPr>
        <w:t>Brucede</w:t>
      </w:r>
      <w:proofErr w:type="spellEnd"/>
      <w:r w:rsidRPr="00501812">
        <w:rPr>
          <w:rFonts w:ascii="Times New Roman" w:hAnsi="Times New Roman"/>
        </w:rPr>
        <w:t xml:space="preserve"> Fatima, C.,(2014). Production of strawberry cultivars in closed hydroponic systems and coconut fibre substrate.</w:t>
      </w:r>
      <w:r w:rsidRPr="00501812">
        <w:rPr>
          <w:rStyle w:val="apple-converted-space"/>
          <w:rFonts w:ascii="Times New Roman" w:hAnsi="Times New Roman"/>
        </w:rPr>
        <w:t> </w:t>
      </w:r>
      <w:proofErr w:type="spellStart"/>
      <w:r w:rsidRPr="00501812">
        <w:rPr>
          <w:rFonts w:ascii="Times New Roman" w:hAnsi="Times New Roman"/>
          <w:i/>
          <w:iCs/>
        </w:rPr>
        <w:t>Revista</w:t>
      </w:r>
      <w:proofErr w:type="spellEnd"/>
      <w:r w:rsidRPr="00501812">
        <w:rPr>
          <w:rFonts w:ascii="Times New Roman" w:hAnsi="Times New Roman"/>
          <w:i/>
          <w:iCs/>
        </w:rPr>
        <w:t xml:space="preserve"> </w:t>
      </w:r>
      <w:proofErr w:type="spellStart"/>
      <w:r w:rsidRPr="00501812">
        <w:rPr>
          <w:rFonts w:ascii="Times New Roman" w:hAnsi="Times New Roman"/>
          <w:i/>
          <w:iCs/>
        </w:rPr>
        <w:t>Ciência</w:t>
      </w:r>
      <w:proofErr w:type="spellEnd"/>
      <w:r w:rsidRPr="00501812">
        <w:rPr>
          <w:rFonts w:ascii="Times New Roman" w:hAnsi="Times New Roman"/>
          <w:i/>
          <w:iCs/>
        </w:rPr>
        <w:t xml:space="preserve"> </w:t>
      </w:r>
      <w:proofErr w:type="spellStart"/>
      <w:r w:rsidRPr="00501812">
        <w:rPr>
          <w:rFonts w:ascii="Times New Roman" w:hAnsi="Times New Roman"/>
          <w:i/>
          <w:iCs/>
        </w:rPr>
        <w:t>Agronômica</w:t>
      </w:r>
      <w:proofErr w:type="spellEnd"/>
      <w:r w:rsidRPr="00501812">
        <w:rPr>
          <w:rFonts w:ascii="Times New Roman" w:hAnsi="Times New Roman"/>
        </w:rPr>
        <w:t>,</w:t>
      </w:r>
      <w:r w:rsidRPr="00501812">
        <w:rPr>
          <w:rStyle w:val="apple-converted-space"/>
          <w:rFonts w:ascii="Times New Roman" w:hAnsi="Times New Roman"/>
        </w:rPr>
        <w:t> </w:t>
      </w:r>
      <w:r w:rsidRPr="00501812">
        <w:rPr>
          <w:rFonts w:ascii="Times New Roman" w:hAnsi="Times New Roman"/>
          <w:i/>
          <w:iCs/>
        </w:rPr>
        <w:t>45</w:t>
      </w:r>
      <w:r w:rsidRPr="00501812">
        <w:rPr>
          <w:rFonts w:ascii="Times New Roman" w:hAnsi="Times New Roman"/>
        </w:rPr>
        <w:t>(4): 833-841. ttp://www.scielo.br/scielo.php?script=sci_arttext&amp;pid=S1806-66902014000400022&amp;lng=en&amp;tlng=en.</w:t>
      </w:r>
    </w:p>
    <w:p w14:paraId="53F01536" w14:textId="77777777" w:rsidR="009C0DF0" w:rsidRPr="002667C8" w:rsidRDefault="009C0DF0" w:rsidP="006260D1">
      <w:pPr>
        <w:pStyle w:val="References"/>
        <w:spacing w:before="0" w:after="120"/>
        <w:ind w:left="851" w:hanging="851"/>
        <w:rPr>
          <w:rFonts w:ascii="Times New Roman" w:hAnsi="Times New Roman"/>
          <w:lang w:val="es-ES_tradnl"/>
        </w:rPr>
      </w:pPr>
      <w:proofErr w:type="spellStart"/>
      <w:r w:rsidRPr="002667C8">
        <w:rPr>
          <w:rFonts w:ascii="Times New Roman" w:hAnsi="Times New Roman"/>
          <w:lang w:val="es-ES_tradnl"/>
        </w:rPr>
        <w:t>Mitideri</w:t>
      </w:r>
      <w:proofErr w:type="spellEnd"/>
      <w:r w:rsidRPr="002667C8">
        <w:rPr>
          <w:rFonts w:ascii="Times New Roman" w:hAnsi="Times New Roman"/>
          <w:lang w:val="es-ES_tradnl"/>
        </w:rPr>
        <w:t xml:space="preserve">, M.S., </w:t>
      </w:r>
      <w:proofErr w:type="spellStart"/>
      <w:r w:rsidRPr="002667C8">
        <w:rPr>
          <w:rFonts w:ascii="Times New Roman" w:hAnsi="Times New Roman"/>
          <w:lang w:val="es-ES_tradnl"/>
        </w:rPr>
        <w:t>Piris</w:t>
      </w:r>
      <w:proofErr w:type="spellEnd"/>
      <w:r w:rsidRPr="002667C8">
        <w:rPr>
          <w:rFonts w:ascii="Times New Roman" w:hAnsi="Times New Roman"/>
          <w:lang w:val="es-ES_tradnl"/>
        </w:rPr>
        <w:t xml:space="preserve">, E., </w:t>
      </w:r>
      <w:proofErr w:type="spellStart"/>
      <w:r w:rsidRPr="002667C8">
        <w:rPr>
          <w:rFonts w:ascii="Times New Roman" w:hAnsi="Times New Roman"/>
          <w:lang w:val="es-ES_tradnl"/>
        </w:rPr>
        <w:t>Brambilla</w:t>
      </w:r>
      <w:proofErr w:type="spellEnd"/>
      <w:r w:rsidRPr="002667C8">
        <w:rPr>
          <w:rFonts w:ascii="Times New Roman" w:hAnsi="Times New Roman"/>
          <w:lang w:val="es-ES_tradnl"/>
        </w:rPr>
        <w:t xml:space="preserve">, V., Barbieri, M., </w:t>
      </w:r>
      <w:proofErr w:type="spellStart"/>
      <w:r w:rsidRPr="002667C8">
        <w:rPr>
          <w:rFonts w:ascii="Times New Roman" w:hAnsi="Times New Roman"/>
          <w:lang w:val="es-ES_tradnl"/>
        </w:rPr>
        <w:t>Cap</w:t>
      </w:r>
      <w:proofErr w:type="spellEnd"/>
      <w:r w:rsidRPr="002667C8">
        <w:rPr>
          <w:rFonts w:ascii="Times New Roman" w:hAnsi="Times New Roman"/>
          <w:lang w:val="es-ES_tradnl"/>
        </w:rPr>
        <w:t xml:space="preserve">, G., González, J., Del Prado, K.,  </w:t>
      </w:r>
      <w:proofErr w:type="spellStart"/>
      <w:r w:rsidRPr="002667C8">
        <w:rPr>
          <w:rFonts w:ascii="Times New Roman" w:hAnsi="Times New Roman"/>
          <w:lang w:val="es-ES_tradnl"/>
        </w:rPr>
        <w:t>Ciapone</w:t>
      </w:r>
      <w:proofErr w:type="spellEnd"/>
      <w:r w:rsidRPr="002667C8">
        <w:rPr>
          <w:rFonts w:ascii="Times New Roman" w:hAnsi="Times New Roman"/>
          <w:lang w:val="es-ES_tradnl"/>
        </w:rPr>
        <w:t xml:space="preserve">, M., </w:t>
      </w:r>
      <w:proofErr w:type="spellStart"/>
      <w:r w:rsidRPr="002667C8">
        <w:rPr>
          <w:rFonts w:ascii="Times New Roman" w:hAnsi="Times New Roman"/>
          <w:lang w:val="es-ES_tradnl"/>
        </w:rPr>
        <w:t>Paunero</w:t>
      </w:r>
      <w:proofErr w:type="spellEnd"/>
      <w:r w:rsidRPr="002667C8">
        <w:rPr>
          <w:rFonts w:ascii="Times New Roman" w:hAnsi="Times New Roman"/>
          <w:lang w:val="es-ES_tradnl"/>
        </w:rPr>
        <w:t xml:space="preserve">, I., </w:t>
      </w:r>
      <w:proofErr w:type="spellStart"/>
      <w:r w:rsidRPr="002667C8">
        <w:rPr>
          <w:rFonts w:ascii="Times New Roman" w:hAnsi="Times New Roman"/>
          <w:lang w:val="es-ES_tradnl"/>
        </w:rPr>
        <w:t>Schiavone</w:t>
      </w:r>
      <w:proofErr w:type="spellEnd"/>
      <w:r w:rsidRPr="002667C8">
        <w:rPr>
          <w:rFonts w:ascii="Times New Roman" w:hAnsi="Times New Roman"/>
          <w:lang w:val="es-ES_tradnl"/>
        </w:rPr>
        <w:t xml:space="preserve">, E., </w:t>
      </w:r>
      <w:proofErr w:type="spellStart"/>
      <w:r w:rsidRPr="002667C8">
        <w:rPr>
          <w:rFonts w:ascii="Times New Roman" w:hAnsi="Times New Roman"/>
          <w:lang w:val="es-ES_tradnl"/>
        </w:rPr>
        <w:t>Celié</w:t>
      </w:r>
      <w:proofErr w:type="spellEnd"/>
      <w:r w:rsidRPr="002667C8">
        <w:rPr>
          <w:rFonts w:ascii="Times New Roman" w:hAnsi="Times New Roman"/>
          <w:lang w:val="es-ES_tradnl"/>
        </w:rPr>
        <w:t>, R., Arpía, E., Peralta, R., Verón, R., Sánchez, F.</w:t>
      </w:r>
      <w:proofErr w:type="gramStart"/>
      <w:r w:rsidRPr="002667C8">
        <w:rPr>
          <w:rFonts w:ascii="Times New Roman" w:hAnsi="Times New Roman"/>
          <w:lang w:val="es-ES_tradnl"/>
        </w:rPr>
        <w:t>,(</w:t>
      </w:r>
      <w:proofErr w:type="gramEnd"/>
      <w:r w:rsidRPr="002667C8">
        <w:rPr>
          <w:rFonts w:ascii="Times New Roman" w:hAnsi="Times New Roman"/>
          <w:lang w:val="es-ES_tradnl"/>
        </w:rPr>
        <w:t xml:space="preserve">2013). Evaluación de </w:t>
      </w:r>
      <w:proofErr w:type="spellStart"/>
      <w:r w:rsidRPr="002667C8">
        <w:rPr>
          <w:rFonts w:ascii="Times New Roman" w:hAnsi="Times New Roman"/>
          <w:i/>
          <w:lang w:val="es-ES_tradnl"/>
        </w:rPr>
        <w:t>Solanum</w:t>
      </w:r>
      <w:proofErr w:type="spellEnd"/>
      <w:r w:rsidRPr="002667C8">
        <w:rPr>
          <w:rFonts w:ascii="Times New Roman" w:hAnsi="Times New Roman"/>
          <w:i/>
          <w:lang w:val="es-ES_tradnl"/>
        </w:rPr>
        <w:t xml:space="preserve"> </w:t>
      </w:r>
      <w:proofErr w:type="spellStart"/>
      <w:r w:rsidRPr="002667C8">
        <w:rPr>
          <w:rFonts w:ascii="Times New Roman" w:hAnsi="Times New Roman"/>
          <w:i/>
          <w:lang w:val="es-ES_tradnl"/>
        </w:rPr>
        <w:t>sisymbriifolium</w:t>
      </w:r>
      <w:proofErr w:type="spellEnd"/>
      <w:r w:rsidRPr="002667C8">
        <w:rPr>
          <w:rFonts w:ascii="Times New Roman" w:hAnsi="Times New Roman"/>
          <w:lang w:val="es-ES_tradnl"/>
        </w:rPr>
        <w:t xml:space="preserve"> (Lam) como pie de injerto en cultivo de tomate bajo cubierta. </w:t>
      </w:r>
      <w:r w:rsidRPr="002667C8" w:rsidDel="009B3D67">
        <w:rPr>
          <w:rFonts w:ascii="Times New Roman" w:hAnsi="Times New Roman"/>
          <w:lang w:val="es-ES_tradnl"/>
        </w:rPr>
        <w:t xml:space="preserve">No. 026 </w:t>
      </w:r>
      <w:r w:rsidRPr="002667C8">
        <w:rPr>
          <w:rFonts w:ascii="Times New Roman" w:hAnsi="Times New Roman"/>
          <w:lang w:val="es-ES_tradnl"/>
        </w:rPr>
        <w:t xml:space="preserve">Horticultura. </w:t>
      </w:r>
      <w:r w:rsidR="00865451" w:rsidRPr="002667C8">
        <w:rPr>
          <w:rFonts w:ascii="Times New Roman" w:hAnsi="Times New Roman"/>
          <w:lang w:val="es-ES_tradnl"/>
        </w:rPr>
        <w:t>In</w:t>
      </w:r>
      <w:r w:rsidRPr="002667C8">
        <w:rPr>
          <w:rFonts w:ascii="Times New Roman" w:hAnsi="Times New Roman"/>
          <w:lang w:val="es-ES_tradnl"/>
        </w:rPr>
        <w:t xml:space="preserve">: </w:t>
      </w:r>
      <w:r w:rsidRPr="002667C8">
        <w:rPr>
          <w:rFonts w:ascii="Times New Roman" w:hAnsi="Times New Roman"/>
          <w:i/>
          <w:lang w:val="es-ES_tradnl"/>
        </w:rPr>
        <w:t xml:space="preserve">Horticultura Argentina </w:t>
      </w:r>
      <w:r w:rsidRPr="002667C8">
        <w:rPr>
          <w:rFonts w:ascii="Times New Roman" w:hAnsi="Times New Roman"/>
          <w:lang w:val="es-ES_tradnl"/>
        </w:rPr>
        <w:t xml:space="preserve">32(79): </w:t>
      </w:r>
      <w:proofErr w:type="spellStart"/>
      <w:r w:rsidRPr="002667C8">
        <w:rPr>
          <w:rFonts w:ascii="Times New Roman" w:hAnsi="Times New Roman"/>
          <w:lang w:val="es-ES_tradnl"/>
        </w:rPr>
        <w:t>Sep</w:t>
      </w:r>
      <w:proofErr w:type="spellEnd"/>
      <w:r w:rsidRPr="002667C8">
        <w:rPr>
          <w:rFonts w:ascii="Times New Roman" w:hAnsi="Times New Roman"/>
          <w:lang w:val="es-ES_tradnl"/>
        </w:rPr>
        <w:t>-Dic 2013.</w:t>
      </w:r>
    </w:p>
    <w:p w14:paraId="3C6A965A" w14:textId="77777777" w:rsidR="00865451" w:rsidRPr="002667C8" w:rsidRDefault="009C0DF0" w:rsidP="006260D1">
      <w:pPr>
        <w:spacing w:after="120"/>
        <w:ind w:left="851" w:hanging="851"/>
        <w:rPr>
          <w:lang w:val="es-ES_tradnl"/>
        </w:rPr>
      </w:pPr>
      <w:proofErr w:type="spellStart"/>
      <w:r w:rsidRPr="002667C8">
        <w:rPr>
          <w:bCs/>
          <w:color w:val="auto"/>
          <w:sz w:val="20"/>
          <w:lang w:val="es-ES_tradnl"/>
        </w:rPr>
        <w:t>Mitidieri</w:t>
      </w:r>
      <w:proofErr w:type="spellEnd"/>
      <w:r w:rsidRPr="002667C8">
        <w:rPr>
          <w:bCs/>
          <w:color w:val="auto"/>
          <w:sz w:val="20"/>
          <w:lang w:val="es-ES_tradnl"/>
        </w:rPr>
        <w:t xml:space="preserve">, M.S., </w:t>
      </w:r>
      <w:proofErr w:type="spellStart"/>
      <w:r w:rsidRPr="002667C8">
        <w:rPr>
          <w:bCs/>
          <w:color w:val="auto"/>
          <w:sz w:val="20"/>
          <w:lang w:val="es-ES_tradnl"/>
        </w:rPr>
        <w:t>Brambilla</w:t>
      </w:r>
      <w:proofErr w:type="spellEnd"/>
      <w:r w:rsidRPr="002667C8">
        <w:rPr>
          <w:bCs/>
          <w:color w:val="auto"/>
          <w:sz w:val="20"/>
          <w:lang w:val="es-ES_tradnl"/>
        </w:rPr>
        <w:t xml:space="preserve">, M.V., </w:t>
      </w:r>
      <w:proofErr w:type="spellStart"/>
      <w:r w:rsidRPr="002667C8">
        <w:rPr>
          <w:bCs/>
          <w:color w:val="auto"/>
          <w:sz w:val="20"/>
          <w:lang w:val="es-ES_tradnl"/>
        </w:rPr>
        <w:t>Piris</w:t>
      </w:r>
      <w:proofErr w:type="spellEnd"/>
      <w:r w:rsidRPr="002667C8">
        <w:rPr>
          <w:bCs/>
          <w:color w:val="auto"/>
          <w:sz w:val="20"/>
          <w:lang w:val="es-ES_tradnl"/>
        </w:rPr>
        <w:t xml:space="preserve">, M., Maldonado, L., (2005). El uso de </w:t>
      </w:r>
      <w:proofErr w:type="spellStart"/>
      <w:r w:rsidRPr="002667C8">
        <w:rPr>
          <w:bCs/>
          <w:color w:val="auto"/>
          <w:sz w:val="20"/>
          <w:lang w:val="es-ES_tradnl"/>
        </w:rPr>
        <w:t>portainjertos</w:t>
      </w:r>
      <w:proofErr w:type="spellEnd"/>
      <w:r w:rsidRPr="002667C8">
        <w:rPr>
          <w:bCs/>
          <w:color w:val="auto"/>
          <w:sz w:val="20"/>
          <w:lang w:val="es-ES_tradnl"/>
        </w:rPr>
        <w:t xml:space="preserve"> resistentes en cultivo de tomate </w:t>
      </w:r>
      <w:proofErr w:type="spellStart"/>
      <w:r w:rsidRPr="002667C8">
        <w:rPr>
          <w:bCs/>
          <w:color w:val="auto"/>
          <w:sz w:val="20"/>
          <w:lang w:val="es-ES_tradnl"/>
        </w:rPr>
        <w:t>bajocubierta</w:t>
      </w:r>
      <w:proofErr w:type="spellEnd"/>
      <w:r w:rsidRPr="002667C8">
        <w:rPr>
          <w:bCs/>
          <w:color w:val="auto"/>
          <w:sz w:val="20"/>
          <w:lang w:val="es-ES_tradnl"/>
        </w:rPr>
        <w:t>: resultados sobre la sanidad y el rendimiento del cultivo.</w:t>
      </w:r>
      <w:r w:rsidR="00865451" w:rsidRPr="002667C8">
        <w:rPr>
          <w:bCs/>
          <w:color w:val="auto"/>
          <w:sz w:val="20"/>
          <w:lang w:val="es-ES_tradnl"/>
        </w:rPr>
        <w:t xml:space="preserve"> INTA, </w:t>
      </w:r>
      <w:proofErr w:type="spellStart"/>
      <w:r w:rsidR="00865451" w:rsidRPr="002667C8">
        <w:rPr>
          <w:bCs/>
          <w:color w:val="auto"/>
          <w:sz w:val="20"/>
          <w:lang w:val="es-ES_tradnl"/>
        </w:rPr>
        <w:t>Estacion</w:t>
      </w:r>
      <w:proofErr w:type="spellEnd"/>
      <w:r w:rsidR="00865451" w:rsidRPr="002667C8">
        <w:rPr>
          <w:bCs/>
          <w:color w:val="auto"/>
          <w:sz w:val="20"/>
          <w:lang w:val="es-ES_tradnl"/>
        </w:rPr>
        <w:t>. Experimental Agropecuaria San Pedro, Argentina</w:t>
      </w:r>
    </w:p>
    <w:p w14:paraId="6016DD73" w14:textId="77777777" w:rsidR="009C0DF0" w:rsidRPr="00CD3CBD" w:rsidRDefault="009C0DF0" w:rsidP="006260D1">
      <w:pPr>
        <w:spacing w:after="120"/>
        <w:ind w:left="851" w:hanging="851"/>
        <w:rPr>
          <w:sz w:val="20"/>
        </w:rPr>
      </w:pPr>
      <w:r w:rsidRPr="00CD3CBD">
        <w:rPr>
          <w:sz w:val="20"/>
        </w:rPr>
        <w:t>MLF, (2014a). Multilateral Fund Secretariat for the Montreal Protocol. Policy 71 Plans to December 2013. Montreal, Canada, 845 pp (pdf document)</w:t>
      </w:r>
    </w:p>
    <w:p w14:paraId="683A6E0D" w14:textId="7263C5EF" w:rsidR="009C0DF0" w:rsidRPr="003A30C7" w:rsidRDefault="009C0DF0" w:rsidP="006260D1">
      <w:pPr>
        <w:pStyle w:val="References"/>
        <w:spacing w:before="0" w:after="120"/>
        <w:ind w:left="851" w:hanging="851"/>
        <w:rPr>
          <w:rFonts w:ascii="Times New Roman" w:hAnsi="Times New Roman"/>
        </w:rPr>
      </w:pPr>
      <w:r w:rsidRPr="00501812">
        <w:rPr>
          <w:rFonts w:ascii="Times New Roman" w:hAnsi="Times New Roman"/>
        </w:rPr>
        <w:t>MLF, (2014b). Multilateral Fund Secretariat for the Montreal Protocol.</w:t>
      </w:r>
      <w:r w:rsidR="0079319F">
        <w:rPr>
          <w:rFonts w:ascii="Times New Roman" w:hAnsi="Times New Roman"/>
        </w:rPr>
        <w:t xml:space="preserve"> </w:t>
      </w:r>
      <w:r w:rsidRPr="00501812">
        <w:rPr>
          <w:rFonts w:ascii="Times New Roman" w:hAnsi="Times New Roman"/>
        </w:rPr>
        <w:t>MB Projects Database.</w:t>
      </w:r>
      <w:r w:rsidR="0079319F">
        <w:rPr>
          <w:rFonts w:ascii="Times New Roman" w:hAnsi="Times New Roman"/>
        </w:rPr>
        <w:t xml:space="preserve"> </w:t>
      </w:r>
      <w:r w:rsidRPr="00501812">
        <w:rPr>
          <w:rFonts w:ascii="Times New Roman" w:hAnsi="Times New Roman"/>
        </w:rPr>
        <w:t>Montreal, Canada, 154pp</w:t>
      </w:r>
      <w:r w:rsidRPr="003A30C7">
        <w:rPr>
          <w:rFonts w:ascii="Times New Roman" w:hAnsi="Times New Roman"/>
        </w:rPr>
        <w:t xml:space="preserve"> (pdf document).</w:t>
      </w:r>
    </w:p>
    <w:p w14:paraId="249CCA6E" w14:textId="77777777" w:rsidR="009C0DF0" w:rsidRPr="00F5313E" w:rsidRDefault="009C0DF0" w:rsidP="006260D1">
      <w:pPr>
        <w:pStyle w:val="References"/>
        <w:ind w:left="851" w:hanging="851"/>
        <w:rPr>
          <w:rFonts w:ascii="Times New Roman" w:hAnsi="Times New Roman"/>
          <w:i/>
          <w:iCs/>
        </w:rPr>
      </w:pPr>
      <w:r w:rsidRPr="00082015">
        <w:rPr>
          <w:rFonts w:ascii="Times New Roman" w:hAnsi="Times New Roman"/>
        </w:rPr>
        <w:t xml:space="preserve">Porter, I.J., </w:t>
      </w:r>
      <w:proofErr w:type="spellStart"/>
      <w:r w:rsidRPr="00082015">
        <w:rPr>
          <w:rFonts w:ascii="Times New Roman" w:hAnsi="Times New Roman"/>
        </w:rPr>
        <w:t>Trinder</w:t>
      </w:r>
      <w:proofErr w:type="spellEnd"/>
      <w:r w:rsidRPr="00082015">
        <w:rPr>
          <w:rFonts w:ascii="Times New Roman" w:hAnsi="Times New Roman"/>
        </w:rPr>
        <w:t xml:space="preserve">, L., </w:t>
      </w:r>
      <w:proofErr w:type="spellStart"/>
      <w:r w:rsidRPr="00082015">
        <w:rPr>
          <w:rFonts w:ascii="Times New Roman" w:hAnsi="Times New Roman"/>
        </w:rPr>
        <w:t>Partington</w:t>
      </w:r>
      <w:proofErr w:type="spellEnd"/>
      <w:r w:rsidRPr="00082015">
        <w:rPr>
          <w:rFonts w:ascii="Times New Roman" w:hAnsi="Times New Roman"/>
        </w:rPr>
        <w:t xml:space="preserve">, D., (2006).  Special report validating the yield performance of alternatives to methyl bromide for </w:t>
      </w:r>
      <w:proofErr w:type="spellStart"/>
      <w:r w:rsidRPr="00082015">
        <w:rPr>
          <w:rFonts w:ascii="Times New Roman" w:hAnsi="Times New Roman"/>
        </w:rPr>
        <w:t>preplant</w:t>
      </w:r>
      <w:proofErr w:type="spellEnd"/>
      <w:r w:rsidRPr="00082015">
        <w:rPr>
          <w:rFonts w:ascii="Times New Roman" w:hAnsi="Times New Roman"/>
        </w:rPr>
        <w:t xml:space="preserve"> fumigation.</w:t>
      </w:r>
      <w:r w:rsidR="00204EBC" w:rsidRPr="00082015">
        <w:rPr>
          <w:rFonts w:ascii="Times New Roman" w:hAnsi="Times New Roman"/>
        </w:rPr>
        <w:t xml:space="preserve"> </w:t>
      </w:r>
      <w:r w:rsidRPr="00082015">
        <w:rPr>
          <w:rFonts w:ascii="Times New Roman" w:hAnsi="Times New Roman"/>
        </w:rPr>
        <w:t>TEAP/MBTOC Special Report, UNEP Nairobi, May 2006, 97 pp.</w:t>
      </w:r>
    </w:p>
    <w:p w14:paraId="2E0EB268" w14:textId="77777777" w:rsidR="009C0DF0" w:rsidRPr="00B87B95" w:rsidRDefault="009C0DF0" w:rsidP="006260D1">
      <w:pPr>
        <w:pStyle w:val="References"/>
        <w:ind w:left="851" w:hanging="851"/>
        <w:rPr>
          <w:rFonts w:ascii="Times New Roman" w:hAnsi="Times New Roman"/>
          <w:lang w:eastAsia="ja-JP"/>
        </w:rPr>
      </w:pPr>
      <w:proofErr w:type="spellStart"/>
      <w:r w:rsidRPr="00220275">
        <w:rPr>
          <w:rFonts w:ascii="Times New Roman" w:hAnsi="Times New Roman"/>
        </w:rPr>
        <w:t>Qiao</w:t>
      </w:r>
      <w:proofErr w:type="spellEnd"/>
      <w:r w:rsidRPr="00220275">
        <w:rPr>
          <w:rFonts w:ascii="Times New Roman" w:hAnsi="Times New Roman"/>
        </w:rPr>
        <w:t xml:space="preserve">, K., </w:t>
      </w:r>
      <w:proofErr w:type="spellStart"/>
      <w:r w:rsidRPr="00220275">
        <w:rPr>
          <w:rFonts w:ascii="Times New Roman" w:hAnsi="Times New Roman"/>
        </w:rPr>
        <w:t>Yukun</w:t>
      </w:r>
      <w:proofErr w:type="spellEnd"/>
      <w:r w:rsidRPr="00220275">
        <w:rPr>
          <w:rFonts w:ascii="Times New Roman" w:hAnsi="Times New Roman"/>
        </w:rPr>
        <w:t xml:space="preserve">, Z., </w:t>
      </w:r>
      <w:proofErr w:type="spellStart"/>
      <w:r w:rsidRPr="00220275">
        <w:rPr>
          <w:rFonts w:ascii="Times New Roman" w:hAnsi="Times New Roman"/>
        </w:rPr>
        <w:t>Hongyan</w:t>
      </w:r>
      <w:proofErr w:type="spellEnd"/>
      <w:r w:rsidRPr="00220275">
        <w:rPr>
          <w:rFonts w:ascii="Times New Roman" w:hAnsi="Times New Roman"/>
        </w:rPr>
        <w:t xml:space="preserve">, W., </w:t>
      </w:r>
      <w:proofErr w:type="spellStart"/>
      <w:r w:rsidRPr="00220275">
        <w:rPr>
          <w:rFonts w:ascii="Times New Roman" w:hAnsi="Times New Roman"/>
        </w:rPr>
        <w:t>Xiaoxue</w:t>
      </w:r>
      <w:proofErr w:type="spellEnd"/>
      <w:r w:rsidRPr="00220275">
        <w:rPr>
          <w:rFonts w:ascii="Times New Roman" w:hAnsi="Times New Roman"/>
        </w:rPr>
        <w:t xml:space="preserve">, J., </w:t>
      </w:r>
      <w:proofErr w:type="spellStart"/>
      <w:r w:rsidRPr="00220275">
        <w:rPr>
          <w:rFonts w:ascii="Times New Roman" w:hAnsi="Times New Roman"/>
        </w:rPr>
        <w:t>Kaiyun</w:t>
      </w:r>
      <w:proofErr w:type="spellEnd"/>
      <w:r w:rsidRPr="00220275">
        <w:rPr>
          <w:rFonts w:ascii="Times New Roman" w:hAnsi="Times New Roman"/>
        </w:rPr>
        <w:t>, W., (2012).Effects of 1,3-dichloropropene as a methyl bromide alternative for management of nematode, soil-borne disease, and weed in ginger (</w:t>
      </w:r>
      <w:proofErr w:type="spellStart"/>
      <w:r w:rsidRPr="00220275">
        <w:rPr>
          <w:rFonts w:ascii="Times New Roman" w:hAnsi="Times New Roman"/>
          <w:i/>
        </w:rPr>
        <w:t>Zingiber</w:t>
      </w:r>
      <w:proofErr w:type="spellEnd"/>
      <w:r w:rsidRPr="00220275">
        <w:rPr>
          <w:rFonts w:ascii="Times New Roman" w:hAnsi="Times New Roman"/>
          <w:i/>
        </w:rPr>
        <w:t> </w:t>
      </w:r>
      <w:proofErr w:type="spellStart"/>
      <w:r w:rsidRPr="00220275">
        <w:rPr>
          <w:rFonts w:ascii="Times New Roman" w:hAnsi="Times New Roman"/>
          <w:i/>
        </w:rPr>
        <w:t>officinale</w:t>
      </w:r>
      <w:proofErr w:type="spellEnd"/>
      <w:r w:rsidRPr="00220275">
        <w:rPr>
          <w:rFonts w:ascii="Times New Roman" w:hAnsi="Times New Roman"/>
        </w:rPr>
        <w:t>) crops in China. </w:t>
      </w:r>
      <w:r w:rsidRPr="00220275">
        <w:rPr>
          <w:rFonts w:ascii="Times New Roman" w:hAnsi="Times New Roman"/>
          <w:i/>
        </w:rPr>
        <w:t>Crop Protection</w:t>
      </w:r>
      <w:r w:rsidRPr="00B87B95">
        <w:rPr>
          <w:rFonts w:ascii="Times New Roman" w:hAnsi="Times New Roman"/>
        </w:rPr>
        <w:t xml:space="preserve"> 32:71-75.</w:t>
      </w:r>
    </w:p>
    <w:p w14:paraId="04DF0E76" w14:textId="77777777" w:rsidR="009C0DF0" w:rsidRPr="002667C8" w:rsidRDefault="009C0DF0" w:rsidP="006260D1">
      <w:pPr>
        <w:pStyle w:val="References"/>
        <w:ind w:left="851" w:hanging="851"/>
        <w:rPr>
          <w:rFonts w:ascii="Times New Roman" w:hAnsi="Times New Roman"/>
          <w:lang w:val="es-ES_tradnl"/>
        </w:rPr>
      </w:pPr>
      <w:r w:rsidRPr="002667C8">
        <w:rPr>
          <w:rFonts w:ascii="Times New Roman" w:hAnsi="Times New Roman"/>
          <w:lang w:val="es-ES_tradnl"/>
        </w:rPr>
        <w:t xml:space="preserve">Quiroga, R.J., N.G. </w:t>
      </w:r>
      <w:proofErr w:type="spellStart"/>
      <w:r w:rsidRPr="002667C8">
        <w:rPr>
          <w:rFonts w:ascii="Times New Roman" w:hAnsi="Times New Roman"/>
          <w:lang w:val="es-ES_tradnl"/>
        </w:rPr>
        <w:t>Meneguzzi</w:t>
      </w:r>
      <w:proofErr w:type="spellEnd"/>
      <w:r w:rsidRPr="002667C8">
        <w:rPr>
          <w:rFonts w:ascii="Times New Roman" w:hAnsi="Times New Roman"/>
          <w:lang w:val="es-ES_tradnl"/>
        </w:rPr>
        <w:t xml:space="preserve">, A.M. </w:t>
      </w:r>
      <w:proofErr w:type="spellStart"/>
      <w:proofErr w:type="gramStart"/>
      <w:r w:rsidRPr="002667C8">
        <w:rPr>
          <w:rFonts w:ascii="Times New Roman" w:hAnsi="Times New Roman"/>
          <w:lang w:val="es-ES_tradnl"/>
        </w:rPr>
        <w:t>Borquez</w:t>
      </w:r>
      <w:proofErr w:type="spellEnd"/>
      <w:r w:rsidRPr="002667C8">
        <w:rPr>
          <w:rFonts w:ascii="Times New Roman" w:hAnsi="Times New Roman"/>
          <w:lang w:val="es-ES_tradnl"/>
        </w:rPr>
        <w:t xml:space="preserve"> ,</w:t>
      </w:r>
      <w:proofErr w:type="gramEnd"/>
      <w:r w:rsidRPr="002667C8">
        <w:rPr>
          <w:rFonts w:ascii="Times New Roman" w:hAnsi="Times New Roman"/>
          <w:lang w:val="es-ES_tradnl"/>
        </w:rPr>
        <w:t xml:space="preserve"> D.S, </w:t>
      </w:r>
      <w:proofErr w:type="spellStart"/>
      <w:r w:rsidRPr="002667C8">
        <w:rPr>
          <w:rFonts w:ascii="Times New Roman" w:hAnsi="Times New Roman"/>
          <w:lang w:val="es-ES_tradnl"/>
        </w:rPr>
        <w:t>Kirschbaum</w:t>
      </w:r>
      <w:proofErr w:type="spellEnd"/>
      <w:r w:rsidRPr="002667C8">
        <w:rPr>
          <w:rFonts w:ascii="Times New Roman" w:hAnsi="Times New Roman"/>
          <w:lang w:val="es-ES_tradnl"/>
        </w:rPr>
        <w:t xml:space="preserve"> , (2014). Dinámica de la temperatura a diferentes profundidades durante la solarización de un suelo franco-limoso en Tucumán. No. 115 Horticultura. En: </w:t>
      </w:r>
      <w:r w:rsidRPr="002667C8">
        <w:rPr>
          <w:rFonts w:ascii="Times New Roman" w:hAnsi="Times New Roman"/>
          <w:i/>
          <w:lang w:val="es-ES_tradnl"/>
        </w:rPr>
        <w:t xml:space="preserve">Horticultura Argentina 33(82): </w:t>
      </w:r>
      <w:proofErr w:type="spellStart"/>
      <w:r w:rsidRPr="002667C8">
        <w:rPr>
          <w:rFonts w:ascii="Times New Roman" w:hAnsi="Times New Roman"/>
          <w:i/>
          <w:lang w:val="es-ES_tradnl"/>
        </w:rPr>
        <w:t>Sep</w:t>
      </w:r>
      <w:proofErr w:type="spellEnd"/>
      <w:r w:rsidRPr="002667C8">
        <w:rPr>
          <w:rFonts w:ascii="Times New Roman" w:hAnsi="Times New Roman"/>
          <w:i/>
          <w:lang w:val="es-ES_tradnl"/>
        </w:rPr>
        <w:t xml:space="preserve">-Dic 2014. </w:t>
      </w:r>
    </w:p>
    <w:p w14:paraId="7C3A6DB3" w14:textId="77777777" w:rsidR="009C0DF0" w:rsidRPr="00501812" w:rsidRDefault="009C0DF0" w:rsidP="006260D1">
      <w:pPr>
        <w:pStyle w:val="References"/>
        <w:ind w:left="851" w:hanging="851"/>
        <w:rPr>
          <w:rFonts w:ascii="Times New Roman" w:hAnsi="Times New Roman"/>
        </w:rPr>
      </w:pPr>
      <w:proofErr w:type="spellStart"/>
      <w:r w:rsidRPr="00501812">
        <w:rPr>
          <w:rFonts w:ascii="Times New Roman" w:hAnsi="Times New Roman"/>
        </w:rPr>
        <w:t>Reichmuth</w:t>
      </w:r>
      <w:proofErr w:type="spellEnd"/>
      <w:r w:rsidRPr="00501812">
        <w:rPr>
          <w:rFonts w:ascii="Times New Roman" w:hAnsi="Times New Roman"/>
        </w:rPr>
        <w:t xml:space="preserve">, C., (2007). Fumigants for pest control in wood protection. </w:t>
      </w:r>
      <w:r w:rsidRPr="00CD3CBD">
        <w:rPr>
          <w:rFonts w:ascii="Times New Roman" w:hAnsi="Times New Roman"/>
        </w:rPr>
        <w:t xml:space="preserve">In: </w:t>
      </w:r>
      <w:proofErr w:type="spellStart"/>
      <w:r w:rsidRPr="00CD3CBD">
        <w:rPr>
          <w:rFonts w:ascii="Times New Roman" w:hAnsi="Times New Roman"/>
        </w:rPr>
        <w:t>Noldt</w:t>
      </w:r>
      <w:proofErr w:type="spellEnd"/>
      <w:r w:rsidRPr="00CD3CBD">
        <w:rPr>
          <w:rFonts w:ascii="Times New Roman" w:hAnsi="Times New Roman"/>
        </w:rPr>
        <w:t xml:space="preserve">, U., </w:t>
      </w:r>
      <w:proofErr w:type="spellStart"/>
      <w:r w:rsidRPr="00CD3CBD">
        <w:rPr>
          <w:rFonts w:ascii="Times New Roman" w:hAnsi="Times New Roman"/>
        </w:rPr>
        <w:t>Michels</w:t>
      </w:r>
      <w:proofErr w:type="spellEnd"/>
      <w:r w:rsidRPr="00CD3CBD">
        <w:rPr>
          <w:rFonts w:ascii="Times New Roman" w:hAnsi="Times New Roman"/>
        </w:rPr>
        <w:t>, H., eds., Wood–destroying Organisms in Focus – Alternative Measures for Preservation of Historical Buildings. Proceedings of the Inter</w:t>
      </w:r>
      <w:r w:rsidRPr="00501812">
        <w:rPr>
          <w:rFonts w:ascii="Times New Roman" w:hAnsi="Times New Roman"/>
        </w:rPr>
        <w:t>national Conference at the LWL-Open Air Museum Detmold, Westphalian Museum of Rural History and Culture, 28-30 June 2006 in Detmold, 265 pp., 137-162.</w:t>
      </w:r>
    </w:p>
    <w:p w14:paraId="688F6C01" w14:textId="77777777" w:rsidR="009C0DF0" w:rsidRPr="00F9037E" w:rsidRDefault="009C0DF0" w:rsidP="006260D1">
      <w:pPr>
        <w:pStyle w:val="References"/>
        <w:ind w:left="851" w:hanging="851"/>
        <w:rPr>
          <w:rFonts w:ascii="Times New Roman" w:hAnsi="Times New Roman"/>
        </w:rPr>
      </w:pPr>
      <w:proofErr w:type="spellStart"/>
      <w:r w:rsidRPr="003A30C7">
        <w:rPr>
          <w:rFonts w:ascii="Times New Roman" w:hAnsi="Times New Roman"/>
        </w:rPr>
        <w:t>Reichmuth</w:t>
      </w:r>
      <w:proofErr w:type="spellEnd"/>
      <w:r w:rsidRPr="003A30C7">
        <w:rPr>
          <w:rFonts w:ascii="Times New Roman" w:hAnsi="Times New Roman"/>
        </w:rPr>
        <w:t>, C., (2002).Alternatives to methyl bromide for the treatment of wood, timber and artefacts in the European Community. In: Batchelor, T. A</w:t>
      </w:r>
      <w:r w:rsidRPr="00082015">
        <w:rPr>
          <w:rFonts w:ascii="Times New Roman" w:hAnsi="Times New Roman"/>
        </w:rPr>
        <w:t xml:space="preserve">., Bolivar, J. M., eds., The remaining Challenges, Proceedings of an International Conference on Alternatives to Methyl Bromide, 5-8 March 2002 in </w:t>
      </w:r>
      <w:proofErr w:type="spellStart"/>
      <w:r w:rsidRPr="00082015">
        <w:rPr>
          <w:rFonts w:ascii="Times New Roman" w:hAnsi="Times New Roman"/>
        </w:rPr>
        <w:t>Sevilla</w:t>
      </w:r>
      <w:proofErr w:type="spellEnd"/>
      <w:r w:rsidRPr="00082015">
        <w:rPr>
          <w:rFonts w:ascii="Times New Roman" w:hAnsi="Times New Roman"/>
        </w:rPr>
        <w:t xml:space="preserve">, Spain, European Commission, Brussels, Belgium, 432 pp., 93-97, </w:t>
      </w:r>
      <w:hyperlink r:id="rId54" w:tgtFrame="_blank" w:history="1">
        <w:r w:rsidRPr="00F9037E">
          <w:rPr>
            <w:rStyle w:val="Hyperlink"/>
            <w:rFonts w:ascii="Times New Roman" w:hAnsi="Times New Roman"/>
          </w:rPr>
          <w:t>http://ec.europa.eu/clima/events/docs/0039/conference_proceedings_en.pdf</w:t>
        </w:r>
      </w:hyperlink>
      <w:r w:rsidRPr="00F9037E">
        <w:rPr>
          <w:rFonts w:ascii="Times New Roman" w:hAnsi="Times New Roman"/>
        </w:rPr>
        <w:t>.</w:t>
      </w:r>
    </w:p>
    <w:p w14:paraId="612F457E" w14:textId="77777777" w:rsidR="009C0DF0" w:rsidRPr="00501812" w:rsidRDefault="009C0DF0" w:rsidP="006260D1">
      <w:pPr>
        <w:pStyle w:val="References"/>
        <w:ind w:left="851" w:hanging="851"/>
        <w:rPr>
          <w:rFonts w:ascii="Times New Roman" w:hAnsi="Times New Roman"/>
        </w:rPr>
      </w:pPr>
      <w:r w:rsidRPr="00501812">
        <w:rPr>
          <w:rFonts w:ascii="Times New Roman" w:hAnsi="Times New Roman"/>
        </w:rPr>
        <w:t>Rodríguez-</w:t>
      </w:r>
      <w:proofErr w:type="spellStart"/>
      <w:r w:rsidRPr="00501812">
        <w:rPr>
          <w:rFonts w:ascii="Times New Roman" w:hAnsi="Times New Roman"/>
        </w:rPr>
        <w:t>Delfín</w:t>
      </w:r>
      <w:proofErr w:type="spellEnd"/>
      <w:r w:rsidRPr="00501812">
        <w:rPr>
          <w:rFonts w:ascii="Times New Roman" w:hAnsi="Times New Roman"/>
        </w:rPr>
        <w:t xml:space="preserve">, A., (2012).Advances of hydroponics in Latin </w:t>
      </w:r>
      <w:proofErr w:type="spellStart"/>
      <w:r w:rsidRPr="00501812">
        <w:rPr>
          <w:rFonts w:ascii="Times New Roman" w:hAnsi="Times New Roman"/>
        </w:rPr>
        <w:t>America.</w:t>
      </w:r>
      <w:r w:rsidRPr="00501812">
        <w:rPr>
          <w:rFonts w:ascii="Times New Roman" w:hAnsi="Times New Roman"/>
          <w:i/>
        </w:rPr>
        <w:t>ActaHorticulturae</w:t>
      </w:r>
      <w:proofErr w:type="spellEnd"/>
      <w:r w:rsidRPr="00501812">
        <w:rPr>
          <w:rFonts w:ascii="Times New Roman" w:hAnsi="Times New Roman"/>
        </w:rPr>
        <w:t xml:space="preserve"> 947: 23-32.</w:t>
      </w:r>
    </w:p>
    <w:p w14:paraId="6D89D886" w14:textId="78AD5E21" w:rsidR="009C0DF0" w:rsidRPr="00CD3CBD" w:rsidRDefault="009C0DF0" w:rsidP="006260D1">
      <w:pPr>
        <w:pStyle w:val="References"/>
        <w:ind w:left="851" w:hanging="851"/>
        <w:rPr>
          <w:rFonts w:ascii="Times New Roman" w:hAnsi="Times New Roman"/>
        </w:rPr>
      </w:pPr>
      <w:proofErr w:type="spellStart"/>
      <w:r w:rsidRPr="00501812">
        <w:rPr>
          <w:rFonts w:ascii="Times New Roman" w:hAnsi="Times New Roman"/>
        </w:rPr>
        <w:t>Sjulin</w:t>
      </w:r>
      <w:proofErr w:type="spellEnd"/>
      <w:r w:rsidRPr="00501812">
        <w:rPr>
          <w:rFonts w:ascii="Times New Roman" w:hAnsi="Times New Roman"/>
        </w:rPr>
        <w:t>, T., Greene, I., (2011). Growing Strawberries in: Substrates:</w:t>
      </w:r>
      <w:r w:rsidR="0079319F">
        <w:rPr>
          <w:rFonts w:ascii="Times New Roman" w:hAnsi="Times New Roman"/>
        </w:rPr>
        <w:t xml:space="preserve"> </w:t>
      </w:r>
      <w:r w:rsidRPr="00501812">
        <w:rPr>
          <w:rFonts w:ascii="Times New Roman" w:hAnsi="Times New Roman"/>
        </w:rPr>
        <w:t xml:space="preserve">Challenges and Opportunities, California Strawberry Commission; presentation available in </w:t>
      </w:r>
      <w:hyperlink r:id="rId55" w:history="1">
        <w:r w:rsidRPr="00501812">
          <w:rPr>
            <w:rStyle w:val="Hyperlink"/>
            <w:rFonts w:ascii="Times New Roman" w:hAnsi="Times New Roman"/>
          </w:rPr>
          <w:t>http://cesantabarbara.ucanr.edu/files/75478.pdf</w:t>
        </w:r>
      </w:hyperlink>
    </w:p>
    <w:p w14:paraId="5C448025" w14:textId="77777777" w:rsidR="009C0DF0" w:rsidRPr="003A30C7" w:rsidRDefault="009C0DF0" w:rsidP="006260D1">
      <w:pPr>
        <w:pStyle w:val="References"/>
        <w:ind w:left="851" w:hanging="851"/>
        <w:rPr>
          <w:rFonts w:ascii="Times New Roman" w:hAnsi="Times New Roman"/>
        </w:rPr>
      </w:pPr>
      <w:proofErr w:type="spellStart"/>
      <w:r w:rsidRPr="00501812">
        <w:rPr>
          <w:rFonts w:ascii="Times New Roman" w:hAnsi="Times New Roman"/>
        </w:rPr>
        <w:t>Thalavaisundaram</w:t>
      </w:r>
      <w:proofErr w:type="spellEnd"/>
      <w:r w:rsidRPr="00501812">
        <w:rPr>
          <w:rFonts w:ascii="Times New Roman" w:hAnsi="Times New Roman"/>
        </w:rPr>
        <w:t xml:space="preserve">, T., </w:t>
      </w:r>
      <w:proofErr w:type="spellStart"/>
      <w:r w:rsidRPr="00501812">
        <w:rPr>
          <w:rFonts w:ascii="Times New Roman" w:hAnsi="Times New Roman"/>
        </w:rPr>
        <w:t>Mattner</w:t>
      </w:r>
      <w:proofErr w:type="spellEnd"/>
      <w:r w:rsidRPr="00501812">
        <w:rPr>
          <w:rFonts w:ascii="Times New Roman" w:hAnsi="Times New Roman"/>
        </w:rPr>
        <w:t xml:space="preserve">, S., Milinkovic, M.T., Ridley, R., </w:t>
      </w:r>
      <w:proofErr w:type="spellStart"/>
      <w:r w:rsidRPr="00501812">
        <w:rPr>
          <w:rFonts w:ascii="Times New Roman" w:hAnsi="Times New Roman"/>
        </w:rPr>
        <w:t>Greenhalgh</w:t>
      </w:r>
      <w:proofErr w:type="spellEnd"/>
      <w:r w:rsidRPr="00501812">
        <w:rPr>
          <w:rFonts w:ascii="Times New Roman" w:hAnsi="Times New Roman"/>
        </w:rPr>
        <w:t xml:space="preserve">, F., (2015). VIF improves the efficacy of EDN® </w:t>
      </w:r>
      <w:proofErr w:type="spellStart"/>
      <w:r w:rsidRPr="00501812">
        <w:rPr>
          <w:rFonts w:ascii="Times New Roman" w:hAnsi="Times New Roman"/>
        </w:rPr>
        <w:t>Fumigas</w:t>
      </w:r>
      <w:proofErr w:type="spellEnd"/>
      <w:r w:rsidRPr="00501812">
        <w:rPr>
          <w:rFonts w:ascii="Times New Roman" w:hAnsi="Times New Roman"/>
        </w:rPr>
        <w:t xml:space="preserve"> in the Australian Strawberry Nursery Industry. Pp4-1 - 4-4 </w:t>
      </w:r>
      <w:proofErr w:type="gramStart"/>
      <w:r w:rsidRPr="00501812">
        <w:rPr>
          <w:rFonts w:ascii="Times New Roman" w:hAnsi="Times New Roman"/>
        </w:rPr>
        <w:t>In</w:t>
      </w:r>
      <w:proofErr w:type="gramEnd"/>
      <w:r w:rsidRPr="00501812">
        <w:rPr>
          <w:rFonts w:ascii="Times New Roman" w:hAnsi="Times New Roman"/>
        </w:rPr>
        <w:t>: In: Proceedings of the Methyl Bromide Alternatives Outreach Confer</w:t>
      </w:r>
      <w:r w:rsidRPr="003A30C7">
        <w:rPr>
          <w:rFonts w:ascii="Times New Roman" w:hAnsi="Times New Roman"/>
        </w:rPr>
        <w:t xml:space="preserve">ence (MBAO), November 9-11, San Diego, California, USA </w:t>
      </w:r>
    </w:p>
    <w:p w14:paraId="4AF4E1D5" w14:textId="77777777" w:rsidR="009C0DF0" w:rsidRPr="002667C8" w:rsidRDefault="009C0DF0" w:rsidP="006260D1">
      <w:pPr>
        <w:pStyle w:val="References"/>
        <w:ind w:left="851" w:hanging="851"/>
        <w:rPr>
          <w:rFonts w:ascii="Times New Roman" w:hAnsi="Times New Roman"/>
          <w:lang w:val="es-ES_tradnl"/>
        </w:rPr>
      </w:pPr>
      <w:r w:rsidRPr="002667C8">
        <w:rPr>
          <w:rFonts w:ascii="Times New Roman" w:hAnsi="Times New Roman"/>
          <w:lang w:val="es-ES_tradnl"/>
        </w:rPr>
        <w:t xml:space="preserve">Valdez, I., Jaldo, H.E., Foros, A.C., Ale, J., (2007). Ensayo de alternativas químicas al bromuro de metilo. </w:t>
      </w:r>
      <w:proofErr w:type="spellStart"/>
      <w:r w:rsidRPr="002667C8">
        <w:rPr>
          <w:rFonts w:ascii="Times New Roman" w:hAnsi="Times New Roman"/>
          <w:lang w:val="es-ES_tradnl"/>
        </w:rPr>
        <w:t>Lules</w:t>
      </w:r>
      <w:proofErr w:type="spellEnd"/>
      <w:r w:rsidRPr="002667C8">
        <w:rPr>
          <w:rFonts w:ascii="Times New Roman" w:hAnsi="Times New Roman"/>
          <w:lang w:val="es-ES_tradnl"/>
        </w:rPr>
        <w:t xml:space="preserve">, Tucumán. No. 079. Horticultura. In: </w:t>
      </w:r>
      <w:r w:rsidRPr="002667C8">
        <w:rPr>
          <w:rFonts w:ascii="Times New Roman" w:hAnsi="Times New Roman"/>
          <w:i/>
          <w:lang w:val="es-ES_tradnl"/>
        </w:rPr>
        <w:t>Horticultura Argentina</w:t>
      </w:r>
      <w:r w:rsidRPr="002667C8">
        <w:rPr>
          <w:rFonts w:ascii="Times New Roman" w:hAnsi="Times New Roman"/>
          <w:lang w:val="es-ES_tradnl"/>
        </w:rPr>
        <w:t xml:space="preserve"> 26(61): Jul-Dic 2007</w:t>
      </w:r>
    </w:p>
    <w:p w14:paraId="2F8892C7" w14:textId="77440CFF" w:rsidR="009C0DF0" w:rsidRPr="00501812" w:rsidRDefault="009C0DF0" w:rsidP="006260D1">
      <w:pPr>
        <w:pStyle w:val="References"/>
        <w:ind w:left="851" w:hanging="851"/>
        <w:rPr>
          <w:rStyle w:val="publication-meta-date"/>
          <w:rFonts w:ascii="Times New Roman" w:hAnsi="Times New Roman"/>
          <w:caps/>
          <w:shd w:val="clear" w:color="auto" w:fill="FFFFFF"/>
        </w:rPr>
      </w:pPr>
      <w:proofErr w:type="spellStart"/>
      <w:r w:rsidRPr="00501812">
        <w:rPr>
          <w:rFonts w:ascii="Times New Roman" w:hAnsi="Times New Roman"/>
        </w:rPr>
        <w:t>Veremis</w:t>
      </w:r>
      <w:proofErr w:type="spellEnd"/>
      <w:r w:rsidRPr="00501812">
        <w:rPr>
          <w:rFonts w:ascii="Times New Roman" w:hAnsi="Times New Roman"/>
        </w:rPr>
        <w:t>, J.C., Cap, G.B., Roberts, P.A., (1997). A Search for Resistance in</w:t>
      </w:r>
      <w:r w:rsidRPr="00501812">
        <w:rPr>
          <w:rStyle w:val="apple-converted-space"/>
          <w:rFonts w:ascii="Times New Roman" w:hAnsi="Times New Roman"/>
        </w:rPr>
        <w:t> </w:t>
      </w:r>
      <w:proofErr w:type="spellStart"/>
      <w:r w:rsidRPr="00CD3CBD">
        <w:rPr>
          <w:rFonts w:ascii="Times New Roman" w:hAnsi="Times New Roman"/>
          <w:i/>
        </w:rPr>
        <w:t>Lycopersicon</w:t>
      </w:r>
      <w:proofErr w:type="spellEnd"/>
      <w:r w:rsidRPr="00501812">
        <w:rPr>
          <w:rStyle w:val="apple-converted-space"/>
          <w:rFonts w:ascii="Times New Roman" w:hAnsi="Times New Roman"/>
          <w:i/>
        </w:rPr>
        <w:t> </w:t>
      </w:r>
      <w:r w:rsidRPr="00501812">
        <w:rPr>
          <w:rFonts w:ascii="Times New Roman" w:hAnsi="Times New Roman"/>
        </w:rPr>
        <w:t>spp. to</w:t>
      </w:r>
      <w:r w:rsidRPr="00501812">
        <w:rPr>
          <w:rStyle w:val="apple-converted-space"/>
          <w:rFonts w:ascii="Times New Roman" w:hAnsi="Times New Roman"/>
        </w:rPr>
        <w:t> </w:t>
      </w:r>
      <w:proofErr w:type="spellStart"/>
      <w:r w:rsidRPr="00CD3CBD">
        <w:rPr>
          <w:rFonts w:ascii="Times New Roman" w:hAnsi="Times New Roman"/>
          <w:i/>
        </w:rPr>
        <w:t>Nacobbus</w:t>
      </w:r>
      <w:proofErr w:type="spellEnd"/>
      <w:r w:rsidR="0079319F">
        <w:rPr>
          <w:rFonts w:ascii="Times New Roman" w:hAnsi="Times New Roman"/>
          <w:i/>
        </w:rPr>
        <w:t xml:space="preserve"> </w:t>
      </w:r>
      <w:proofErr w:type="spellStart"/>
      <w:r w:rsidRPr="00CD3CBD">
        <w:rPr>
          <w:rFonts w:ascii="Times New Roman" w:hAnsi="Times New Roman"/>
          <w:i/>
        </w:rPr>
        <w:t>aberrans</w:t>
      </w:r>
      <w:proofErr w:type="spellEnd"/>
      <w:r w:rsidRPr="00501812">
        <w:rPr>
          <w:rStyle w:val="Emphasis"/>
          <w:rFonts w:ascii="Times New Roman" w:eastAsia="MS ????" w:hAnsi="Times New Roman"/>
          <w:bCs w:val="0"/>
        </w:rPr>
        <w:t>.</w:t>
      </w:r>
      <w:r w:rsidR="0079319F">
        <w:rPr>
          <w:rStyle w:val="Emphasis"/>
          <w:rFonts w:ascii="Times New Roman" w:eastAsia="MS ????" w:hAnsi="Times New Roman"/>
          <w:bCs w:val="0"/>
        </w:rPr>
        <w:t xml:space="preserve"> </w:t>
      </w:r>
      <w:r w:rsidRPr="00501812">
        <w:rPr>
          <w:rStyle w:val="publication-meta-journal"/>
          <w:rFonts w:ascii="Times New Roman" w:hAnsi="Times New Roman"/>
          <w:i/>
          <w:shd w:val="clear" w:color="auto" w:fill="FFFFFF"/>
        </w:rPr>
        <w:t xml:space="preserve">Plant Disease, </w:t>
      </w:r>
      <w:r w:rsidRPr="00501812">
        <w:rPr>
          <w:rStyle w:val="publication-meta-journal"/>
          <w:rFonts w:ascii="Times New Roman" w:hAnsi="Times New Roman"/>
          <w:caps/>
          <w:shd w:val="clear" w:color="auto" w:fill="FFFFFF"/>
        </w:rPr>
        <w:t>81:217-221</w:t>
      </w:r>
      <w:r w:rsidRPr="00501812">
        <w:rPr>
          <w:rStyle w:val="publication-meta-date"/>
          <w:rFonts w:ascii="Times New Roman" w:hAnsi="Times New Roman"/>
          <w:caps/>
          <w:shd w:val="clear" w:color="auto" w:fill="FFFFFF"/>
        </w:rPr>
        <w:t>.</w:t>
      </w:r>
    </w:p>
    <w:p w14:paraId="2573B370" w14:textId="77777777" w:rsidR="009C0DF0" w:rsidRPr="00501812" w:rsidRDefault="009C0DF0" w:rsidP="006260D1">
      <w:pPr>
        <w:pStyle w:val="References"/>
        <w:ind w:left="851" w:hanging="851"/>
        <w:rPr>
          <w:rFonts w:ascii="Times New Roman" w:hAnsi="Times New Roman"/>
        </w:rPr>
      </w:pPr>
      <w:r w:rsidRPr="00501812">
        <w:rPr>
          <w:rFonts w:ascii="Times New Roman" w:hAnsi="Times New Roman"/>
        </w:rPr>
        <w:t>Wang, Q., Yan, D., Mao, L., Ma, T., Liu, P., Wu, Z., Li, Y., Cao, A., (2013).</w:t>
      </w:r>
      <w:r w:rsidRPr="00CD3CBD">
        <w:rPr>
          <w:rFonts w:ascii="Times New Roman" w:hAnsi="Times New Roman"/>
        </w:rPr>
        <w:t>Efficacy of 1</w:t>
      </w:r>
      <w:proofErr w:type="gramStart"/>
      <w:r w:rsidRPr="00CD3CBD">
        <w:rPr>
          <w:rFonts w:ascii="Times New Roman" w:hAnsi="Times New Roman"/>
        </w:rPr>
        <w:t>,3</w:t>
      </w:r>
      <w:proofErr w:type="gramEnd"/>
      <w:r w:rsidRPr="00CD3CBD">
        <w:rPr>
          <w:rFonts w:ascii="Times New Roman" w:hAnsi="Times New Roman"/>
        </w:rPr>
        <w:t xml:space="preserve">-dichloropropene plus chloropicrin </w:t>
      </w:r>
      <w:proofErr w:type="spellStart"/>
      <w:r w:rsidRPr="00CD3CBD">
        <w:rPr>
          <w:rFonts w:ascii="Times New Roman" w:hAnsi="Times New Roman"/>
        </w:rPr>
        <w:t>gelatin</w:t>
      </w:r>
      <w:proofErr w:type="spellEnd"/>
      <w:r w:rsidRPr="00CD3CBD">
        <w:rPr>
          <w:rFonts w:ascii="Times New Roman" w:hAnsi="Times New Roman"/>
        </w:rPr>
        <w:t xml:space="preserve"> capsule formulation for the control of </w:t>
      </w:r>
      <w:proofErr w:type="spellStart"/>
      <w:r w:rsidRPr="00CD3CBD">
        <w:rPr>
          <w:rFonts w:ascii="Times New Roman" w:hAnsi="Times New Roman"/>
        </w:rPr>
        <w:t>soilborne</w:t>
      </w:r>
      <w:proofErr w:type="spellEnd"/>
      <w:r w:rsidRPr="00CD3CBD">
        <w:rPr>
          <w:rFonts w:ascii="Times New Roman" w:hAnsi="Times New Roman"/>
        </w:rPr>
        <w:t xml:space="preserve"> pests. </w:t>
      </w:r>
      <w:r w:rsidRPr="00501812">
        <w:rPr>
          <w:rFonts w:ascii="Times New Roman" w:hAnsi="Times New Roman"/>
          <w:i/>
        </w:rPr>
        <w:t>Crop Protection</w:t>
      </w:r>
      <w:r w:rsidRPr="00501812">
        <w:rPr>
          <w:rFonts w:ascii="Times New Roman" w:hAnsi="Times New Roman"/>
        </w:rPr>
        <w:t xml:space="preserve"> 33: 24-2.</w:t>
      </w:r>
    </w:p>
    <w:p w14:paraId="62B78CAD" w14:textId="77777777" w:rsidR="009C0DF0" w:rsidRPr="003A30C7" w:rsidRDefault="009C0DF0" w:rsidP="009C0DF0"/>
    <w:p w14:paraId="369CC382" w14:textId="77777777" w:rsidR="009C0DF0" w:rsidRPr="00082015" w:rsidRDefault="009C0DF0">
      <w:pPr>
        <w:spacing w:after="0"/>
        <w:rPr>
          <w:rStyle w:val="Heading1Char3"/>
          <w:color w:val="auto"/>
          <w:sz w:val="24"/>
          <w:lang w:eastAsia="zh-CN"/>
        </w:rPr>
      </w:pPr>
      <w:bookmarkStart w:id="133" w:name="_Toc293054758"/>
      <w:bookmarkStart w:id="134" w:name="_Toc324255721"/>
      <w:bookmarkEnd w:id="132"/>
      <w:r w:rsidRPr="00082015">
        <w:rPr>
          <w:rStyle w:val="Heading1Char3"/>
          <w:color w:val="auto"/>
          <w:sz w:val="24"/>
          <w:lang w:eastAsia="zh-CN"/>
        </w:rPr>
        <w:br w:type="page"/>
      </w:r>
    </w:p>
    <w:p w14:paraId="58B5652C" w14:textId="2B450CEA" w:rsidR="008D5F24" w:rsidRPr="003655C2" w:rsidRDefault="008D5F24" w:rsidP="006A54A1">
      <w:pPr>
        <w:pStyle w:val="Heading1"/>
        <w:rPr>
          <w:rStyle w:val="Heading1Char2"/>
          <w:rFonts w:ascii="Times New Roman" w:hAnsi="Times New Roman"/>
        </w:rPr>
      </w:pPr>
      <w:bookmarkStart w:id="135" w:name="_Toc461183785"/>
      <w:r w:rsidRPr="00410122">
        <w:rPr>
          <w:rStyle w:val="Heading1Char2"/>
          <w:rFonts w:ascii="Times New Roman" w:hAnsi="Times New Roman"/>
          <w:b/>
        </w:rPr>
        <w:lastRenderedPageBreak/>
        <w:t xml:space="preserve">ANNEX </w:t>
      </w:r>
      <w:bookmarkEnd w:id="133"/>
      <w:r w:rsidR="00172B7E" w:rsidRPr="00F263E1">
        <w:t xml:space="preserve">I - </w:t>
      </w:r>
      <w:bookmarkStart w:id="136" w:name="_Toc293054759"/>
      <w:r w:rsidRPr="00F263E1">
        <w:t>Decision IX/6</w:t>
      </w:r>
      <w:bookmarkEnd w:id="134"/>
      <w:r w:rsidR="00AA5A08" w:rsidRPr="00F263E1">
        <w:t xml:space="preserve"> Critical Use Exemptions for Methyl Bromide</w:t>
      </w:r>
      <w:bookmarkEnd w:id="135"/>
      <w:bookmarkEnd w:id="136"/>
    </w:p>
    <w:p w14:paraId="41F721D9" w14:textId="77777777" w:rsidR="008D5F24" w:rsidRPr="00220275" w:rsidRDefault="008D5F24" w:rsidP="009446BE">
      <w:pPr>
        <w:tabs>
          <w:tab w:val="left" w:pos="720"/>
        </w:tabs>
        <w:spacing w:after="120"/>
        <w:jc w:val="both"/>
        <w:rPr>
          <w:snapToGrid w:val="0"/>
        </w:rPr>
      </w:pPr>
      <w:r w:rsidRPr="00220275">
        <w:rPr>
          <w:i/>
          <w:snapToGrid w:val="0"/>
        </w:rPr>
        <w:t>1.</w:t>
      </w:r>
      <w:r w:rsidRPr="00220275">
        <w:rPr>
          <w:i/>
          <w:snapToGrid w:val="0"/>
        </w:rPr>
        <w:tab/>
      </w:r>
      <w:r w:rsidRPr="00220275">
        <w:rPr>
          <w:snapToGrid w:val="0"/>
        </w:rPr>
        <w:t xml:space="preserve"> To apply the following criteria and procedure in assessing a critical methyl bromide use for the purposes of control measures in Article 2 of the Protocol:</w:t>
      </w:r>
    </w:p>
    <w:p w14:paraId="40DA6C01" w14:textId="77777777" w:rsidR="008D5F24" w:rsidRPr="00B87B95" w:rsidRDefault="008D5F24" w:rsidP="009446BE">
      <w:pPr>
        <w:tabs>
          <w:tab w:val="left" w:pos="2155"/>
        </w:tabs>
        <w:spacing w:after="120"/>
        <w:ind w:left="867" w:hanging="510"/>
        <w:jc w:val="both"/>
        <w:rPr>
          <w:snapToGrid w:val="0"/>
        </w:rPr>
      </w:pPr>
      <w:r w:rsidRPr="00220275">
        <w:rPr>
          <w:snapToGrid w:val="0"/>
        </w:rPr>
        <w:t>(a)</w:t>
      </w:r>
      <w:r w:rsidRPr="00220275">
        <w:rPr>
          <w:snapToGrid w:val="0"/>
        </w:rPr>
        <w:tab/>
        <w:t xml:space="preserve">That a use of </w:t>
      </w:r>
      <w:r w:rsidRPr="00B87B95">
        <w:rPr>
          <w:snapToGrid w:val="0"/>
        </w:rPr>
        <w:t>methyl bromide should qualify as “critical” only if the nominating Party determines that:</w:t>
      </w:r>
    </w:p>
    <w:p w14:paraId="166E4AF7" w14:textId="77777777" w:rsidR="008D5F24" w:rsidRPr="00563BC0" w:rsidRDefault="008D5F24" w:rsidP="009446BE">
      <w:pPr>
        <w:tabs>
          <w:tab w:val="left" w:pos="2835"/>
        </w:tabs>
        <w:ind w:left="1378" w:hanging="510"/>
        <w:jc w:val="both"/>
        <w:rPr>
          <w:snapToGrid w:val="0"/>
        </w:rPr>
      </w:pPr>
      <w:r w:rsidRPr="00B87B95">
        <w:rPr>
          <w:snapToGrid w:val="0"/>
        </w:rPr>
        <w:t>(</w:t>
      </w:r>
      <w:proofErr w:type="spellStart"/>
      <w:r w:rsidRPr="00B87B95">
        <w:rPr>
          <w:snapToGrid w:val="0"/>
        </w:rPr>
        <w:t>i</w:t>
      </w:r>
      <w:proofErr w:type="spellEnd"/>
      <w:r w:rsidRPr="00B87B95">
        <w:rPr>
          <w:snapToGrid w:val="0"/>
        </w:rPr>
        <w:t xml:space="preserve">) </w:t>
      </w:r>
      <w:r w:rsidRPr="00B87B95">
        <w:rPr>
          <w:snapToGrid w:val="0"/>
        </w:rPr>
        <w:tab/>
        <w:t>The specific use is critical because the lack of availability of methyl bromide for that use would result in a significant market disruption; an</w:t>
      </w:r>
      <w:r w:rsidRPr="00563BC0">
        <w:rPr>
          <w:snapToGrid w:val="0"/>
        </w:rPr>
        <w:t>d</w:t>
      </w:r>
    </w:p>
    <w:p w14:paraId="203EAF16" w14:textId="77777777" w:rsidR="008D5F24" w:rsidRPr="00563BC0" w:rsidRDefault="008D5F24" w:rsidP="009446BE">
      <w:pPr>
        <w:tabs>
          <w:tab w:val="left" w:pos="2835"/>
        </w:tabs>
        <w:ind w:left="1378" w:hanging="510"/>
        <w:jc w:val="both"/>
        <w:rPr>
          <w:snapToGrid w:val="0"/>
        </w:rPr>
      </w:pPr>
      <w:r w:rsidRPr="00563BC0">
        <w:rPr>
          <w:snapToGrid w:val="0"/>
        </w:rPr>
        <w:t xml:space="preserve">(ii) </w:t>
      </w:r>
      <w:r w:rsidRPr="00563BC0">
        <w:rPr>
          <w:snapToGrid w:val="0"/>
        </w:rPr>
        <w:tab/>
        <w:t>There are no technically and economically feasible alternatives or substitutes available to the user that are acceptable from the standpoint of environment and health and are suitable to the crops and circumstances of the nomination;</w:t>
      </w:r>
    </w:p>
    <w:p w14:paraId="1FCFB22A" w14:textId="77777777" w:rsidR="008D5F24" w:rsidRPr="00563BC0" w:rsidRDefault="008D5F24" w:rsidP="009446BE">
      <w:pPr>
        <w:tabs>
          <w:tab w:val="left" w:pos="2155"/>
        </w:tabs>
        <w:spacing w:after="120"/>
        <w:ind w:left="867" w:hanging="510"/>
        <w:jc w:val="both"/>
        <w:rPr>
          <w:snapToGrid w:val="0"/>
        </w:rPr>
      </w:pPr>
      <w:r w:rsidRPr="00563BC0">
        <w:rPr>
          <w:snapToGrid w:val="0"/>
        </w:rPr>
        <w:t>(b)</w:t>
      </w:r>
      <w:r w:rsidRPr="00563BC0">
        <w:rPr>
          <w:snapToGrid w:val="0"/>
        </w:rPr>
        <w:tab/>
        <w:t>That production and consumption, if any, of methyl bromide for critical uses should be permitted only if:</w:t>
      </w:r>
    </w:p>
    <w:p w14:paraId="7DF2C08F" w14:textId="77777777" w:rsidR="008D5F24" w:rsidRPr="00563BC0" w:rsidRDefault="008D5F24" w:rsidP="009446BE">
      <w:pPr>
        <w:tabs>
          <w:tab w:val="left" w:pos="2835"/>
        </w:tabs>
        <w:ind w:left="1378" w:hanging="510"/>
        <w:jc w:val="both"/>
        <w:rPr>
          <w:snapToGrid w:val="0"/>
        </w:rPr>
      </w:pPr>
      <w:r w:rsidRPr="00563BC0">
        <w:rPr>
          <w:snapToGrid w:val="0"/>
        </w:rPr>
        <w:t>(</w:t>
      </w:r>
      <w:proofErr w:type="spellStart"/>
      <w:r w:rsidRPr="00563BC0">
        <w:rPr>
          <w:snapToGrid w:val="0"/>
        </w:rPr>
        <w:t>i</w:t>
      </w:r>
      <w:proofErr w:type="spellEnd"/>
      <w:r w:rsidRPr="00563BC0">
        <w:rPr>
          <w:snapToGrid w:val="0"/>
        </w:rPr>
        <w:t xml:space="preserve">) </w:t>
      </w:r>
      <w:r w:rsidRPr="00563BC0">
        <w:rPr>
          <w:snapToGrid w:val="0"/>
        </w:rPr>
        <w:tab/>
        <w:t>All technically and economically feasible steps have been taken to minimise the critical use and any associated emission of methyl bromide;</w:t>
      </w:r>
    </w:p>
    <w:p w14:paraId="64D21CD7" w14:textId="77777777" w:rsidR="008D5F24" w:rsidRPr="000F08B5" w:rsidRDefault="008D5F24" w:rsidP="009446BE">
      <w:pPr>
        <w:tabs>
          <w:tab w:val="left" w:pos="2835"/>
        </w:tabs>
        <w:ind w:left="1378" w:hanging="510"/>
        <w:jc w:val="both"/>
        <w:rPr>
          <w:snapToGrid w:val="0"/>
        </w:rPr>
      </w:pPr>
      <w:r w:rsidRPr="000F08B5">
        <w:rPr>
          <w:snapToGrid w:val="0"/>
        </w:rPr>
        <w:t>(ii)</w:t>
      </w:r>
      <w:r w:rsidRPr="000F08B5">
        <w:rPr>
          <w:snapToGrid w:val="0"/>
        </w:rPr>
        <w:tab/>
        <w:t xml:space="preserve"> Methyl bromide is not available in sufficient quantity and quality from existing stocks of banked or recycled methyl bromide, also bearing in mind the developing countries’ need for methyl bromide;</w:t>
      </w:r>
    </w:p>
    <w:p w14:paraId="6BA95DB6" w14:textId="77777777" w:rsidR="008D5F24" w:rsidRPr="00F9037E" w:rsidRDefault="008D5F24" w:rsidP="009446BE">
      <w:pPr>
        <w:tabs>
          <w:tab w:val="left" w:pos="2835"/>
        </w:tabs>
        <w:ind w:left="1378" w:hanging="510"/>
        <w:jc w:val="both"/>
        <w:rPr>
          <w:snapToGrid w:val="0"/>
        </w:rPr>
      </w:pPr>
      <w:r w:rsidRPr="00365366">
        <w:rPr>
          <w:snapToGrid w:val="0"/>
        </w:rPr>
        <w:t>(iii)</w:t>
      </w:r>
      <w:r w:rsidRPr="00365366">
        <w:rPr>
          <w:snapToGrid w:val="0"/>
        </w:rPr>
        <w:tab/>
        <w:t xml:space="preserve"> It is demonstrated that an appropriate effort is being made to evaluate, commercialise and secure national regulatory approval of alternatives and substitutes, taking into consideration the circumstances of the particular nomination and the </w:t>
      </w:r>
      <w:r w:rsidRPr="00F9037E">
        <w:rPr>
          <w:snapToGrid w:val="0"/>
        </w:rPr>
        <w:t>special needs of Article 5 Parties, including lack of financial and expert resources, institutional capacity, and information. Non-Article 5 Parties must demonstrate that research programmes are in place to develop and deploy alternatives and substitutes. Article 5 Parties must demonstrate that feasible alternatives shall be adopted as soon as they are confirmed as suitable to the Party’s specific conditions and/or that they have applied to the Multilateral Fund or other sources for assistance in identifying, evaluating, adapting and demonstrating such options;</w:t>
      </w:r>
    </w:p>
    <w:p w14:paraId="5B7D07C0" w14:textId="77777777" w:rsidR="008D5F24" w:rsidRPr="00F9037E" w:rsidRDefault="008D5F24" w:rsidP="009446BE">
      <w:pPr>
        <w:tabs>
          <w:tab w:val="left" w:pos="720"/>
        </w:tabs>
        <w:spacing w:before="120"/>
        <w:jc w:val="both"/>
        <w:rPr>
          <w:snapToGrid w:val="0"/>
        </w:rPr>
      </w:pPr>
      <w:r w:rsidRPr="00F9037E">
        <w:rPr>
          <w:snapToGrid w:val="0"/>
        </w:rPr>
        <w:t xml:space="preserve">2. </w:t>
      </w:r>
      <w:r w:rsidRPr="00F9037E">
        <w:rPr>
          <w:snapToGrid w:val="0"/>
        </w:rPr>
        <w:tab/>
        <w:t>To request the Technology and Economic Assessment Panel to review nominations and make recommendations based on the criteria established in paragraphs 1 (a) (ii) and 1 (b) of the present decision;</w:t>
      </w:r>
    </w:p>
    <w:p w14:paraId="669F3BAC" w14:textId="77777777" w:rsidR="008D5F24" w:rsidRPr="00F9037E" w:rsidRDefault="008D5F24" w:rsidP="009446BE">
      <w:pPr>
        <w:tabs>
          <w:tab w:val="left" w:pos="720"/>
        </w:tabs>
        <w:jc w:val="both"/>
      </w:pPr>
      <w:r w:rsidRPr="00F9037E">
        <w:rPr>
          <w:snapToGrid w:val="0"/>
        </w:rPr>
        <w:t xml:space="preserve">3. </w:t>
      </w:r>
      <w:r w:rsidRPr="00F9037E">
        <w:rPr>
          <w:snapToGrid w:val="0"/>
        </w:rPr>
        <w:tab/>
        <w:t>That the present decision will apply to Parties operating under Article 5 and Parties not so operating only after the phase-out date applicable to those Parties.</w:t>
      </w:r>
    </w:p>
    <w:p w14:paraId="05C1170B" w14:textId="77777777" w:rsidR="008D5F24" w:rsidRPr="00F9037E" w:rsidRDefault="008D5F24" w:rsidP="009446BE">
      <w:pPr>
        <w:keepNext/>
        <w:keepLines/>
        <w:jc w:val="both"/>
      </w:pPr>
      <w:r w:rsidRPr="00F9037E">
        <w:t>Para. 2 of Decision IX/6 does not assign TEAP the responsibility for determining the existence of “significant market disruption” specified in paragraph 1(a</w:t>
      </w:r>
      <w:proofErr w:type="gramStart"/>
      <w:r w:rsidRPr="00F9037E">
        <w:t>)(</w:t>
      </w:r>
      <w:proofErr w:type="spellStart"/>
      <w:proofErr w:type="gramEnd"/>
      <w:r w:rsidRPr="00F9037E">
        <w:t>i</w:t>
      </w:r>
      <w:proofErr w:type="spellEnd"/>
      <w:r w:rsidRPr="00F9037E">
        <w:t>).</w:t>
      </w:r>
    </w:p>
    <w:p w14:paraId="5B9DC781" w14:textId="77777777" w:rsidR="008D5F24" w:rsidRPr="00F9037E" w:rsidRDefault="008D5F24" w:rsidP="009446BE">
      <w:pPr>
        <w:jc w:val="both"/>
        <w:rPr>
          <w:snapToGrid w:val="0"/>
        </w:rPr>
      </w:pPr>
      <w:r w:rsidRPr="00F9037E">
        <w:t xml:space="preserve">TEAP assigned its Methyl Bromide Technical Options Committee (MBTOC) to determine whether there are </w:t>
      </w:r>
      <w:r w:rsidRPr="00F9037E">
        <w:rPr>
          <w:snapToGrid w:val="0"/>
        </w:rPr>
        <w:t>no technically and economically feasible alternatives or substitutes available to the user that are acceptable from the standpoint of environment and health and are suitable to the crops and circumstances of the nomination, and to address the criteria listed in Decision IX/6 1(b).</w:t>
      </w:r>
    </w:p>
    <w:p w14:paraId="4EFB76C8" w14:textId="77777777" w:rsidR="00214DED" w:rsidRPr="00F9037E" w:rsidRDefault="00214DED">
      <w:pPr>
        <w:spacing w:after="0"/>
        <w:rPr>
          <w:snapToGrid w:val="0"/>
        </w:rPr>
      </w:pPr>
      <w:r w:rsidRPr="00F9037E">
        <w:rPr>
          <w:snapToGrid w:val="0"/>
        </w:rPr>
        <w:br w:type="page"/>
      </w:r>
    </w:p>
    <w:p w14:paraId="2008A51C" w14:textId="77777777" w:rsidR="008B741B" w:rsidRPr="00F9037E" w:rsidRDefault="008B741B" w:rsidP="00F108F5">
      <w:pPr>
        <w:ind w:left="2890" w:hanging="1733"/>
        <w:rPr>
          <w:b/>
          <w:sz w:val="20"/>
        </w:rPr>
      </w:pPr>
      <w:bookmarkStart w:id="137" w:name="_Toc293054760"/>
    </w:p>
    <w:p w14:paraId="16E70436" w14:textId="408E83D3" w:rsidR="00F108F5" w:rsidRPr="00172B7E" w:rsidRDefault="008B741B" w:rsidP="006A54A1">
      <w:pPr>
        <w:pStyle w:val="Heading1"/>
        <w:rPr>
          <w:rStyle w:val="Heading1Char2"/>
          <w:rFonts w:ascii="Times New Roman" w:hAnsi="Times New Roman"/>
          <w:b/>
        </w:rPr>
      </w:pPr>
      <w:bookmarkStart w:id="138" w:name="_Toc453277834"/>
      <w:bookmarkStart w:id="139" w:name="_Toc334710774"/>
      <w:bookmarkStart w:id="140" w:name="_Toc461183786"/>
      <w:r w:rsidRPr="00172B7E">
        <w:rPr>
          <w:rStyle w:val="Heading1Char2"/>
          <w:rFonts w:ascii="Times New Roman" w:hAnsi="Times New Roman"/>
          <w:b/>
        </w:rPr>
        <w:t>ANNEX II</w:t>
      </w:r>
      <w:bookmarkEnd w:id="138"/>
      <w:bookmarkEnd w:id="139"/>
      <w:r w:rsidR="00172B7E" w:rsidRPr="00172B7E">
        <w:rPr>
          <w:rStyle w:val="Heading1Char2"/>
          <w:rFonts w:ascii="Times New Roman" w:hAnsi="Times New Roman"/>
          <w:b/>
        </w:rPr>
        <w:t xml:space="preserve"> - </w:t>
      </w:r>
      <w:r w:rsidR="00F108F5" w:rsidRPr="00172B7E">
        <w:rPr>
          <w:rStyle w:val="Heading1Char2"/>
          <w:rFonts w:ascii="Times New Roman" w:hAnsi="Times New Roman"/>
          <w:b/>
        </w:rPr>
        <w:t xml:space="preserve">Decision </w:t>
      </w:r>
      <w:proofErr w:type="spellStart"/>
      <w:r w:rsidR="00F108F5" w:rsidRPr="00172B7E">
        <w:rPr>
          <w:rStyle w:val="Heading1Char2"/>
          <w:rFonts w:ascii="Times New Roman" w:hAnsi="Times New Roman"/>
          <w:b/>
        </w:rPr>
        <w:t>Ex.I</w:t>
      </w:r>
      <w:proofErr w:type="spellEnd"/>
      <w:r w:rsidR="00F108F5" w:rsidRPr="00172B7E">
        <w:rPr>
          <w:rStyle w:val="Heading1Char2"/>
          <w:rFonts w:ascii="Times New Roman" w:hAnsi="Times New Roman"/>
          <w:b/>
        </w:rPr>
        <w:t>/4.</w:t>
      </w:r>
      <w:r w:rsidR="002873C0" w:rsidRPr="00172B7E">
        <w:rPr>
          <w:rStyle w:val="Heading1Char2"/>
          <w:rFonts w:ascii="Times New Roman" w:hAnsi="Times New Roman"/>
          <w:b/>
        </w:rPr>
        <w:t xml:space="preserve"> C</w:t>
      </w:r>
      <w:r w:rsidR="00F108F5" w:rsidRPr="00172B7E">
        <w:rPr>
          <w:rStyle w:val="Heading1Char2"/>
          <w:rFonts w:ascii="Times New Roman" w:hAnsi="Times New Roman"/>
          <w:b/>
        </w:rPr>
        <w:t>onditions for granting and reporting critical-use exemptions for methyl bromide</w:t>
      </w:r>
      <w:bookmarkEnd w:id="140"/>
    </w:p>
    <w:p w14:paraId="37994743" w14:textId="77777777" w:rsidR="00F108F5" w:rsidRPr="003A30C7" w:rsidRDefault="00F108F5" w:rsidP="009446BE">
      <w:pPr>
        <w:widowControl w:val="0"/>
        <w:spacing w:after="120"/>
        <w:ind w:left="851" w:hanging="425"/>
        <w:jc w:val="both"/>
        <w:rPr>
          <w:szCs w:val="22"/>
        </w:rPr>
      </w:pPr>
      <w:r w:rsidRPr="00CD3CBD">
        <w:rPr>
          <w:i/>
          <w:szCs w:val="22"/>
        </w:rPr>
        <w:t xml:space="preserve">Mindful </w:t>
      </w:r>
      <w:r w:rsidRPr="00501812">
        <w:rPr>
          <w:szCs w:val="22"/>
        </w:rPr>
        <w:t>of the principles set forth in the report</w:t>
      </w:r>
      <w:r w:rsidRPr="00CD3CBD">
        <w:rPr>
          <w:rStyle w:val="FootnoteReference"/>
          <w:szCs w:val="22"/>
        </w:rPr>
        <w:footnoteReference w:id="2"/>
      </w:r>
      <w:r w:rsidRPr="00CD3CBD">
        <w:rPr>
          <w:szCs w:val="22"/>
        </w:rPr>
        <w:t xml:space="preserve"> by the chair of the informal consultation on methyl bromide held in Buenos Aires on 4 and 5 March 2004, namely, </w:t>
      </w:r>
      <w:r w:rsidRPr="00501812">
        <w:rPr>
          <w:szCs w:val="22"/>
        </w:rPr>
        <w:t>fairness, certainty and confidence, practi</w:t>
      </w:r>
      <w:r w:rsidRPr="003A30C7">
        <w:rPr>
          <w:szCs w:val="22"/>
        </w:rPr>
        <w:t>cality and flexibility, and transparency,</w:t>
      </w:r>
    </w:p>
    <w:p w14:paraId="0E4F9F4C" w14:textId="77777777" w:rsidR="00F108F5" w:rsidRPr="00082015" w:rsidRDefault="00F108F5" w:rsidP="009446BE">
      <w:pPr>
        <w:widowControl w:val="0"/>
        <w:spacing w:after="120"/>
        <w:ind w:left="851" w:hanging="425"/>
        <w:jc w:val="both"/>
        <w:rPr>
          <w:szCs w:val="22"/>
        </w:rPr>
      </w:pPr>
      <w:r w:rsidRPr="00082015">
        <w:rPr>
          <w:i/>
          <w:szCs w:val="22"/>
        </w:rPr>
        <w:t>Recognizing</w:t>
      </w:r>
      <w:r w:rsidRPr="00082015">
        <w:rPr>
          <w:szCs w:val="22"/>
        </w:rPr>
        <w:t xml:space="preserve"> that technically and economically feasible alternatives exist for most uses of methyl bromide,</w:t>
      </w:r>
    </w:p>
    <w:p w14:paraId="1F9EE4CD" w14:textId="77777777" w:rsidR="00F108F5" w:rsidRPr="00220275" w:rsidRDefault="00F108F5" w:rsidP="009446BE">
      <w:pPr>
        <w:widowControl w:val="0"/>
        <w:spacing w:after="120"/>
        <w:ind w:left="851" w:hanging="425"/>
        <w:jc w:val="both"/>
        <w:rPr>
          <w:szCs w:val="22"/>
        </w:rPr>
      </w:pPr>
      <w:r w:rsidRPr="00F5313E">
        <w:rPr>
          <w:i/>
          <w:szCs w:val="22"/>
        </w:rPr>
        <w:t>Noting</w:t>
      </w:r>
      <w:r w:rsidRPr="00220275">
        <w:rPr>
          <w:szCs w:val="22"/>
        </w:rPr>
        <w:t xml:space="preserve"> that those alternatives are not always technically and economically feasible in the circumstances of nominations,</w:t>
      </w:r>
    </w:p>
    <w:p w14:paraId="2DBC5D2C" w14:textId="77777777" w:rsidR="00F108F5" w:rsidRPr="00220275" w:rsidRDefault="00F108F5" w:rsidP="009446BE">
      <w:pPr>
        <w:widowControl w:val="0"/>
        <w:spacing w:after="120"/>
        <w:ind w:left="851" w:hanging="425"/>
        <w:jc w:val="both"/>
        <w:rPr>
          <w:szCs w:val="22"/>
        </w:rPr>
      </w:pPr>
      <w:r w:rsidRPr="00220275">
        <w:rPr>
          <w:i/>
          <w:szCs w:val="22"/>
        </w:rPr>
        <w:t xml:space="preserve">Noting </w:t>
      </w:r>
      <w:r w:rsidRPr="00220275">
        <w:rPr>
          <w:szCs w:val="22"/>
        </w:rPr>
        <w:t>that Article 5 and non-Article 5 Parties have made substantial progress in the adoption of effective alternatives,</w:t>
      </w:r>
    </w:p>
    <w:p w14:paraId="2E4F2C83" w14:textId="77777777" w:rsidR="00F108F5" w:rsidRPr="00B87B95" w:rsidRDefault="00F108F5" w:rsidP="009446BE">
      <w:pPr>
        <w:widowControl w:val="0"/>
        <w:spacing w:after="120"/>
        <w:ind w:left="851" w:hanging="425"/>
        <w:jc w:val="both"/>
        <w:rPr>
          <w:szCs w:val="22"/>
        </w:rPr>
      </w:pPr>
      <w:r w:rsidRPr="00220275">
        <w:rPr>
          <w:i/>
          <w:szCs w:val="22"/>
        </w:rPr>
        <w:t>Mindful</w:t>
      </w:r>
      <w:r w:rsidRPr="00B87B95">
        <w:rPr>
          <w:szCs w:val="22"/>
        </w:rPr>
        <w:t xml:space="preserve"> that exemptions must comply fully with decision IX/6 and are intended to be limited, temporary derogations from the phase-out of methyl bromide,</w:t>
      </w:r>
    </w:p>
    <w:p w14:paraId="2E6B7B07" w14:textId="77777777" w:rsidR="00F108F5" w:rsidRPr="00563BC0" w:rsidRDefault="00F108F5" w:rsidP="009446BE">
      <w:pPr>
        <w:widowControl w:val="0"/>
        <w:spacing w:after="120"/>
        <w:ind w:left="851" w:hanging="425"/>
        <w:jc w:val="both"/>
        <w:rPr>
          <w:szCs w:val="22"/>
        </w:rPr>
      </w:pPr>
      <w:r w:rsidRPr="00B87B95">
        <w:rPr>
          <w:i/>
          <w:szCs w:val="22"/>
        </w:rPr>
        <w:t xml:space="preserve">Recognizing </w:t>
      </w:r>
      <w:r w:rsidRPr="00563BC0">
        <w:rPr>
          <w:szCs w:val="22"/>
        </w:rPr>
        <w:t>the desirability of a transparent presentation of data on alternatives to methyl bromide to assist the Parties to understand better the critical-use volumes and to gauge progress on and impediments to the transition from methyl bromide,</w:t>
      </w:r>
    </w:p>
    <w:p w14:paraId="6C5B826C" w14:textId="77777777" w:rsidR="00F108F5" w:rsidRPr="00563BC0" w:rsidRDefault="00F108F5" w:rsidP="009446BE">
      <w:pPr>
        <w:widowControl w:val="0"/>
        <w:spacing w:after="120"/>
        <w:ind w:left="851" w:hanging="425"/>
        <w:jc w:val="both"/>
        <w:rPr>
          <w:szCs w:val="22"/>
        </w:rPr>
      </w:pPr>
      <w:r w:rsidRPr="00563BC0">
        <w:rPr>
          <w:i/>
          <w:szCs w:val="22"/>
        </w:rPr>
        <w:t>Resolved</w:t>
      </w:r>
      <w:r w:rsidRPr="00563BC0">
        <w:rPr>
          <w:szCs w:val="22"/>
        </w:rPr>
        <w:t xml:space="preserve"> that each Party should aim at significantly and progressively decreasing its production and consumption of methyl bromide for critical uses with the intention of completely phasing out methyl bromide as soon as technically and economically feasible alternatives are available,</w:t>
      </w:r>
    </w:p>
    <w:p w14:paraId="0DA762FF" w14:textId="77777777" w:rsidR="00F108F5" w:rsidRPr="00563BC0" w:rsidRDefault="00F108F5" w:rsidP="009446BE">
      <w:pPr>
        <w:widowControl w:val="0"/>
        <w:spacing w:after="120"/>
        <w:ind w:left="851" w:hanging="425"/>
        <w:jc w:val="both"/>
        <w:rPr>
          <w:szCs w:val="22"/>
        </w:rPr>
      </w:pPr>
      <w:r w:rsidRPr="00563BC0">
        <w:rPr>
          <w:i/>
          <w:szCs w:val="22"/>
        </w:rPr>
        <w:t>Recognizing</w:t>
      </w:r>
      <w:r w:rsidRPr="00563BC0">
        <w:rPr>
          <w:szCs w:val="22"/>
        </w:rPr>
        <w:t xml:space="preserve"> that Parties should revert to methyl bromide only as a last resort, in the event that a technically and economically feasible alternative to methyl bromide which is in use ceases to be available as a result of de-registration or for other reasons,</w:t>
      </w:r>
    </w:p>
    <w:p w14:paraId="698D8A8E" w14:textId="77777777" w:rsidR="00F108F5" w:rsidRPr="00F9037E" w:rsidRDefault="00F108F5" w:rsidP="00E417DF">
      <w:pPr>
        <w:widowControl w:val="0"/>
        <w:numPr>
          <w:ilvl w:val="0"/>
          <w:numId w:val="12"/>
        </w:numPr>
        <w:spacing w:after="120"/>
        <w:ind w:left="851" w:hanging="425"/>
        <w:jc w:val="both"/>
        <w:rPr>
          <w:szCs w:val="22"/>
        </w:rPr>
      </w:pPr>
      <w:r w:rsidRPr="000F08B5">
        <w:rPr>
          <w:szCs w:val="22"/>
        </w:rPr>
        <w:t>That each Party which has an agreed critical use under the present decision should submit available information to the Ozone Secretariat before 1 February 2005 on the alternatives available, listed according to their pre-harvest or post-harvest uses and the possible date of registration, if required, for each alternative; and on the alternatives which the Parties can disclose to be under development, listed according to their pre</w:t>
      </w:r>
      <w:r w:rsidRPr="00365366">
        <w:rPr>
          <w:szCs w:val="22"/>
        </w:rPr>
        <w:t>-harvest or post</w:t>
      </w:r>
      <w:r w:rsidRPr="00F9037E">
        <w:rPr>
          <w:szCs w:val="22"/>
        </w:rPr>
        <w:t>-harvest uses and the likely date of registration, if required and known, for those alternatives, and that the Ozone Secretariat shall be requested to provide a template for that information and to post the said information in a database entitled “Methyl Bromide Alternatives” on its web site;</w:t>
      </w:r>
    </w:p>
    <w:p w14:paraId="76095315" w14:textId="77777777" w:rsidR="00F108F5" w:rsidRPr="00F9037E" w:rsidRDefault="00F108F5" w:rsidP="00E417DF">
      <w:pPr>
        <w:widowControl w:val="0"/>
        <w:numPr>
          <w:ilvl w:val="0"/>
          <w:numId w:val="12"/>
        </w:numPr>
        <w:spacing w:after="120"/>
        <w:ind w:left="851" w:hanging="425"/>
        <w:jc w:val="both"/>
        <w:rPr>
          <w:szCs w:val="22"/>
        </w:rPr>
      </w:pPr>
      <w:r w:rsidRPr="00F9037E">
        <w:rPr>
          <w:szCs w:val="22"/>
        </w:rPr>
        <w:t>That each Party which submits a nomination for the production and consumption of methyl bromide for years after 2005 should also submit information listed in paragraph 1 to the Ozone Secretariat to include in its Methyl Bromide Alternatives database and that any other Party which no longer consumes methyl bromide should also submit information on alternatives to the Secretariat for inclusion in that database;</w:t>
      </w:r>
    </w:p>
    <w:p w14:paraId="5EC5433D" w14:textId="77777777" w:rsidR="00F108F5" w:rsidRPr="00F9037E" w:rsidRDefault="00F108F5" w:rsidP="00E417DF">
      <w:pPr>
        <w:widowControl w:val="0"/>
        <w:numPr>
          <w:ilvl w:val="0"/>
          <w:numId w:val="12"/>
        </w:numPr>
        <w:spacing w:after="120"/>
        <w:ind w:left="851" w:hanging="425"/>
        <w:jc w:val="both"/>
        <w:rPr>
          <w:szCs w:val="22"/>
        </w:rPr>
      </w:pPr>
      <w:r w:rsidRPr="00F9037E">
        <w:rPr>
          <w:szCs w:val="22"/>
        </w:rPr>
        <w:t>To request each Party which makes a critical-use nomination after 2005 to submit a national management strategy for phase-out of critical uses of methyl bromide to the Ozone Secretariat before 1 February 2006. The management strategy should aim, among other things:</w:t>
      </w:r>
    </w:p>
    <w:p w14:paraId="50B169AE" w14:textId="77777777" w:rsidR="00F108F5" w:rsidRPr="00F9037E" w:rsidRDefault="00F108F5" w:rsidP="00E417DF">
      <w:pPr>
        <w:widowControl w:val="0"/>
        <w:numPr>
          <w:ilvl w:val="2"/>
          <w:numId w:val="12"/>
        </w:numPr>
        <w:spacing w:after="120"/>
        <w:ind w:left="851" w:hanging="425"/>
        <w:jc w:val="both"/>
        <w:rPr>
          <w:szCs w:val="22"/>
        </w:rPr>
      </w:pPr>
      <w:r w:rsidRPr="00F9037E">
        <w:rPr>
          <w:szCs w:val="22"/>
        </w:rPr>
        <w:t>To avoid any increase in methyl bromide consumption except for unforeseen circumstances;</w:t>
      </w:r>
    </w:p>
    <w:p w14:paraId="41300EFA" w14:textId="77777777" w:rsidR="00F108F5" w:rsidRPr="00F9037E" w:rsidRDefault="00F108F5" w:rsidP="00E417DF">
      <w:pPr>
        <w:widowControl w:val="0"/>
        <w:numPr>
          <w:ilvl w:val="2"/>
          <w:numId w:val="12"/>
        </w:numPr>
        <w:spacing w:after="120"/>
        <w:ind w:left="851" w:hanging="425"/>
        <w:jc w:val="both"/>
        <w:rPr>
          <w:szCs w:val="22"/>
        </w:rPr>
      </w:pPr>
      <w:r w:rsidRPr="00F9037E">
        <w:rPr>
          <w:szCs w:val="22"/>
        </w:rPr>
        <w:t>To encourage the use of alternatives through the use of expedited procedures, where possible, to develop, register and deploy technically and economically feasible alternatives;</w:t>
      </w:r>
    </w:p>
    <w:p w14:paraId="6BBB73B2" w14:textId="77777777" w:rsidR="00F108F5" w:rsidRPr="00F9037E" w:rsidRDefault="00F108F5" w:rsidP="00E417DF">
      <w:pPr>
        <w:widowControl w:val="0"/>
        <w:numPr>
          <w:ilvl w:val="2"/>
          <w:numId w:val="12"/>
        </w:numPr>
        <w:spacing w:after="120"/>
        <w:ind w:left="851" w:hanging="425"/>
        <w:jc w:val="both"/>
        <w:rPr>
          <w:szCs w:val="22"/>
        </w:rPr>
      </w:pPr>
      <w:r w:rsidRPr="00F9037E">
        <w:rPr>
          <w:szCs w:val="22"/>
        </w:rPr>
        <w:t xml:space="preserve">To provide information, for each current pre-harvest and post-harvest use for which a </w:t>
      </w:r>
      <w:r w:rsidRPr="00F9037E">
        <w:rPr>
          <w:szCs w:val="22"/>
        </w:rPr>
        <w:lastRenderedPageBreak/>
        <w:t>nomination is planned, on the potential market penetration of newly deployed alternatives and alternatives which may be used in the near future, to bring forward the time when it is estimated that methyl bromide consumption for such uses can be reduced and/or ultimately eliminated;</w:t>
      </w:r>
    </w:p>
    <w:p w14:paraId="11525C91" w14:textId="77777777" w:rsidR="00F108F5" w:rsidRPr="00F9037E" w:rsidRDefault="00F108F5" w:rsidP="00E417DF">
      <w:pPr>
        <w:widowControl w:val="0"/>
        <w:numPr>
          <w:ilvl w:val="2"/>
          <w:numId w:val="12"/>
        </w:numPr>
        <w:spacing w:after="120"/>
        <w:ind w:left="851" w:hanging="425"/>
        <w:jc w:val="both"/>
        <w:rPr>
          <w:szCs w:val="22"/>
        </w:rPr>
      </w:pPr>
      <w:r w:rsidRPr="00F9037E">
        <w:rPr>
          <w:szCs w:val="22"/>
        </w:rPr>
        <w:t>To promote the implementation of measures which ensure that any emissions of methyl bromide are minimized;</w:t>
      </w:r>
    </w:p>
    <w:p w14:paraId="1FB5E58B" w14:textId="77777777" w:rsidR="00F108F5" w:rsidRPr="00F9037E" w:rsidRDefault="00F108F5" w:rsidP="00E417DF">
      <w:pPr>
        <w:widowControl w:val="0"/>
        <w:numPr>
          <w:ilvl w:val="2"/>
          <w:numId w:val="12"/>
        </w:numPr>
        <w:spacing w:after="120"/>
        <w:ind w:left="851" w:hanging="425"/>
        <w:jc w:val="both"/>
        <w:rPr>
          <w:szCs w:val="22"/>
        </w:rPr>
      </w:pPr>
      <w:r w:rsidRPr="00F9037E">
        <w:rPr>
          <w:szCs w:val="22"/>
        </w:rPr>
        <w:t>To show how the management strategy will be implemented to promote the phase</w:t>
      </w:r>
      <w:r w:rsidRPr="00F9037E">
        <w:rPr>
          <w:szCs w:val="22"/>
        </w:rPr>
        <w:noBreakHyphen/>
        <w:t>out of uses of methyl bromide as soon as technically and economically feasible alternatives are available, in particular describing the steps which the Party is taking in regard to subparagraph (b) (iii) of paragraph 1 of decision IX/6 in respect of research programmes in non-Article 5 Parties and the adoption of alternatives by Article 5 Parties;</w:t>
      </w:r>
    </w:p>
    <w:p w14:paraId="2033C82F" w14:textId="77777777" w:rsidR="00F108F5" w:rsidRPr="00F9037E" w:rsidRDefault="00F108F5" w:rsidP="00E417DF">
      <w:pPr>
        <w:widowControl w:val="0"/>
        <w:numPr>
          <w:ilvl w:val="0"/>
          <w:numId w:val="12"/>
        </w:numPr>
        <w:spacing w:after="120"/>
        <w:ind w:left="851" w:hanging="425"/>
        <w:jc w:val="both"/>
        <w:rPr>
          <w:szCs w:val="22"/>
        </w:rPr>
      </w:pPr>
      <w:r w:rsidRPr="00F9037E">
        <w:rPr>
          <w:szCs w:val="22"/>
        </w:rPr>
        <w:t>To request the Meeting of the Parties to take into account information submitted pursuant to paragraphs 1 and 3 of the present decision when it considers permitting a Party to produce or consume methyl bromide for critical uses after 2006;</w:t>
      </w:r>
    </w:p>
    <w:p w14:paraId="7D937FDF" w14:textId="77777777" w:rsidR="00F108F5" w:rsidRPr="00F9037E" w:rsidRDefault="00F108F5" w:rsidP="00E417DF">
      <w:pPr>
        <w:widowControl w:val="0"/>
        <w:numPr>
          <w:ilvl w:val="0"/>
          <w:numId w:val="12"/>
        </w:numPr>
        <w:spacing w:after="120"/>
        <w:ind w:left="851" w:hanging="425"/>
        <w:jc w:val="both"/>
        <w:rPr>
          <w:szCs w:val="22"/>
        </w:rPr>
      </w:pPr>
      <w:r w:rsidRPr="00F9037E">
        <w:rPr>
          <w:szCs w:val="22"/>
        </w:rPr>
        <w:t>To request a Party that has submitted a request for a critical use exemption to consider and implement, if feasible, Technology and Economic Assessment Panel and Methyl Bromide Technical Options Committee recommendations on actions which a Party may take to reduce critical uses of methyl bromide;</w:t>
      </w:r>
    </w:p>
    <w:p w14:paraId="1E9D952F" w14:textId="77777777" w:rsidR="00F108F5" w:rsidRPr="00F9037E" w:rsidRDefault="00F108F5" w:rsidP="00E417DF">
      <w:pPr>
        <w:keepLines/>
        <w:widowControl w:val="0"/>
        <w:numPr>
          <w:ilvl w:val="0"/>
          <w:numId w:val="12"/>
        </w:numPr>
        <w:spacing w:after="120"/>
        <w:ind w:left="851" w:hanging="425"/>
        <w:jc w:val="both"/>
        <w:rPr>
          <w:szCs w:val="22"/>
        </w:rPr>
      </w:pPr>
      <w:r w:rsidRPr="00F9037E">
        <w:rPr>
          <w:szCs w:val="22"/>
        </w:rPr>
        <w:t>To request any Party submitting a critical-use nomination after 2004 to describe in its nomination the methodology used to determine economic feasibility in the event that economic feasibility is used as a criterion to justify the requirement for the critical use of methyl bromide, using as a guide the economic criteria contained in section 4 of annex I to the present report;</w:t>
      </w:r>
    </w:p>
    <w:p w14:paraId="1E70F9A1" w14:textId="77777777" w:rsidR="00F108F5" w:rsidRPr="00F9037E" w:rsidRDefault="00F108F5" w:rsidP="00E417DF">
      <w:pPr>
        <w:widowControl w:val="0"/>
        <w:numPr>
          <w:ilvl w:val="0"/>
          <w:numId w:val="12"/>
        </w:numPr>
        <w:spacing w:after="120"/>
        <w:ind w:left="851" w:hanging="425"/>
        <w:jc w:val="both"/>
        <w:rPr>
          <w:szCs w:val="22"/>
        </w:rPr>
      </w:pPr>
      <w:r w:rsidRPr="00F9037E">
        <w:rPr>
          <w:szCs w:val="22"/>
        </w:rPr>
        <w:t>To request each Party from 1 January 2005 to provide to the Ozone Secretariat a summary of each crop or post-harvest nomination containing the following information:</w:t>
      </w:r>
    </w:p>
    <w:p w14:paraId="6F2548E3" w14:textId="77777777" w:rsidR="00F108F5" w:rsidRPr="00F9037E" w:rsidRDefault="00F108F5" w:rsidP="00E417DF">
      <w:pPr>
        <w:widowControl w:val="0"/>
        <w:numPr>
          <w:ilvl w:val="2"/>
          <w:numId w:val="12"/>
        </w:numPr>
        <w:spacing w:after="120"/>
        <w:ind w:left="851" w:hanging="425"/>
        <w:jc w:val="both"/>
        <w:rPr>
          <w:szCs w:val="22"/>
        </w:rPr>
      </w:pPr>
      <w:r w:rsidRPr="00F9037E">
        <w:rPr>
          <w:szCs w:val="22"/>
        </w:rPr>
        <w:t>Name of the nominating Party;</w:t>
      </w:r>
    </w:p>
    <w:p w14:paraId="046A1D89" w14:textId="77777777" w:rsidR="00F108F5" w:rsidRPr="00F9037E" w:rsidRDefault="00F108F5" w:rsidP="00E417DF">
      <w:pPr>
        <w:widowControl w:val="0"/>
        <w:numPr>
          <w:ilvl w:val="2"/>
          <w:numId w:val="12"/>
        </w:numPr>
        <w:spacing w:after="120"/>
        <w:ind w:left="851" w:hanging="425"/>
        <w:jc w:val="both"/>
        <w:rPr>
          <w:szCs w:val="22"/>
        </w:rPr>
      </w:pPr>
      <w:r w:rsidRPr="00F9037E">
        <w:rPr>
          <w:szCs w:val="22"/>
        </w:rPr>
        <w:t>Descriptive title of the nomination;</w:t>
      </w:r>
    </w:p>
    <w:p w14:paraId="75FBC7FD" w14:textId="77777777" w:rsidR="00F108F5" w:rsidRPr="00F9037E" w:rsidRDefault="00F108F5" w:rsidP="00E417DF">
      <w:pPr>
        <w:widowControl w:val="0"/>
        <w:numPr>
          <w:ilvl w:val="2"/>
          <w:numId w:val="12"/>
        </w:numPr>
        <w:spacing w:after="120"/>
        <w:ind w:left="851" w:hanging="425"/>
        <w:jc w:val="both"/>
        <w:rPr>
          <w:szCs w:val="22"/>
        </w:rPr>
      </w:pPr>
      <w:r w:rsidRPr="00F9037E">
        <w:rPr>
          <w:szCs w:val="22"/>
        </w:rPr>
        <w:t>Crop name (open field or protected) or post-harvest use;</w:t>
      </w:r>
    </w:p>
    <w:p w14:paraId="57343017" w14:textId="77777777" w:rsidR="00F108F5" w:rsidRPr="00F9037E" w:rsidRDefault="00F108F5" w:rsidP="00E417DF">
      <w:pPr>
        <w:widowControl w:val="0"/>
        <w:numPr>
          <w:ilvl w:val="2"/>
          <w:numId w:val="12"/>
        </w:numPr>
        <w:spacing w:after="120"/>
        <w:ind w:left="851" w:hanging="425"/>
        <w:jc w:val="both"/>
        <w:rPr>
          <w:szCs w:val="22"/>
        </w:rPr>
      </w:pPr>
      <w:r w:rsidRPr="00F9037E">
        <w:rPr>
          <w:szCs w:val="22"/>
        </w:rPr>
        <w:t>Quantity of methyl bromide requested in each year;</w:t>
      </w:r>
    </w:p>
    <w:p w14:paraId="0825D3E0" w14:textId="77777777" w:rsidR="00F108F5" w:rsidRPr="00F9037E" w:rsidRDefault="00F108F5" w:rsidP="00E417DF">
      <w:pPr>
        <w:widowControl w:val="0"/>
        <w:numPr>
          <w:ilvl w:val="2"/>
          <w:numId w:val="12"/>
        </w:numPr>
        <w:spacing w:after="120"/>
        <w:ind w:left="851" w:hanging="425"/>
        <w:jc w:val="both"/>
        <w:rPr>
          <w:szCs w:val="22"/>
        </w:rPr>
      </w:pPr>
      <w:r w:rsidRPr="00F9037E">
        <w:rPr>
          <w:szCs w:val="22"/>
        </w:rPr>
        <w:t>Reason or reasons why alternatives to methyl bromide are not technically and economically feasible;</w:t>
      </w:r>
    </w:p>
    <w:p w14:paraId="2E3DF2F8" w14:textId="77777777" w:rsidR="00F108F5" w:rsidRPr="00F9037E" w:rsidRDefault="00F108F5" w:rsidP="00E417DF">
      <w:pPr>
        <w:numPr>
          <w:ilvl w:val="0"/>
          <w:numId w:val="12"/>
        </w:numPr>
        <w:spacing w:after="120"/>
        <w:ind w:left="851" w:hanging="425"/>
        <w:jc w:val="both"/>
        <w:rPr>
          <w:szCs w:val="22"/>
        </w:rPr>
      </w:pPr>
      <w:r w:rsidRPr="00F9037E">
        <w:rPr>
          <w:szCs w:val="22"/>
        </w:rPr>
        <w:t>To request the Ozone Secretariat to post the information submitted pursuant to paragraph 7 above, categorized according to the year in which it was received, on its web site within 10 days of receiving the nomination;</w:t>
      </w:r>
    </w:p>
    <w:p w14:paraId="199EEF95" w14:textId="77777777" w:rsidR="00F108F5" w:rsidRPr="00F9037E" w:rsidRDefault="00F108F5" w:rsidP="00E417DF">
      <w:pPr>
        <w:widowControl w:val="0"/>
        <w:numPr>
          <w:ilvl w:val="0"/>
          <w:numId w:val="12"/>
        </w:numPr>
        <w:spacing w:after="120"/>
        <w:ind w:left="851" w:hanging="425"/>
        <w:jc w:val="both"/>
        <w:rPr>
          <w:szCs w:val="22"/>
        </w:rPr>
      </w:pPr>
      <w:r w:rsidRPr="00F9037E">
        <w:rPr>
          <w:szCs w:val="22"/>
        </w:rPr>
        <w:t>To request the Technology and Economic Assessment Panel:</w:t>
      </w:r>
    </w:p>
    <w:p w14:paraId="0159F8A8" w14:textId="77777777" w:rsidR="00F108F5" w:rsidRPr="00F9037E" w:rsidRDefault="00F108F5" w:rsidP="00E417DF">
      <w:pPr>
        <w:widowControl w:val="0"/>
        <w:numPr>
          <w:ilvl w:val="2"/>
          <w:numId w:val="12"/>
        </w:numPr>
        <w:spacing w:after="120"/>
        <w:ind w:left="851" w:hanging="425"/>
        <w:jc w:val="both"/>
        <w:rPr>
          <w:szCs w:val="22"/>
        </w:rPr>
      </w:pPr>
      <w:r w:rsidRPr="00F9037E">
        <w:rPr>
          <w:szCs w:val="22"/>
        </w:rPr>
        <w:t>To identify options which Parties may consider for preventing potential harmful trade of methyl bromide stocks to Article 5 Parties as consumption is reduced in non-Article 5 Parties and to publish its evaluation in 2005 to enable the Seventeenth Meeting of the Parties to decide if suitable mitigating steps are necessary;</w:t>
      </w:r>
    </w:p>
    <w:p w14:paraId="73A4EA1E" w14:textId="77777777" w:rsidR="00F108F5" w:rsidRPr="00F9037E" w:rsidRDefault="00F108F5" w:rsidP="00E417DF">
      <w:pPr>
        <w:widowControl w:val="0"/>
        <w:numPr>
          <w:ilvl w:val="2"/>
          <w:numId w:val="12"/>
        </w:numPr>
        <w:spacing w:after="120"/>
        <w:ind w:left="851" w:hanging="425"/>
        <w:jc w:val="both"/>
        <w:rPr>
          <w:szCs w:val="22"/>
        </w:rPr>
      </w:pPr>
      <w:r w:rsidRPr="00F9037E">
        <w:rPr>
          <w:szCs w:val="22"/>
        </w:rPr>
        <w:t>To identify factors which Article 5 Parties may wish to take into account in evaluating whether they should either undertake new accelerated phase-out commitments through the Multilateral Fund for the Implementation of the Montreal Protocol or seek changes to already agreed accelerated phase-outs of methyl bromide under the Multilateral Fund;</w:t>
      </w:r>
    </w:p>
    <w:p w14:paraId="18B67DBC" w14:textId="77777777" w:rsidR="00F108F5" w:rsidRPr="00F9037E" w:rsidRDefault="00F108F5" w:rsidP="00E417DF">
      <w:pPr>
        <w:widowControl w:val="0"/>
        <w:numPr>
          <w:ilvl w:val="2"/>
          <w:numId w:val="12"/>
        </w:numPr>
        <w:spacing w:after="120"/>
        <w:ind w:left="851" w:hanging="425"/>
        <w:jc w:val="both"/>
        <w:rPr>
          <w:szCs w:val="22"/>
        </w:rPr>
      </w:pPr>
      <w:r w:rsidRPr="00F9037E">
        <w:rPr>
          <w:szCs w:val="22"/>
        </w:rPr>
        <w:t>To assess economic infeasibility, based on the methodology submitted by the nominating Party under paragraph 6 above, in making its recommendations on each critical-use nomination. The report by the Technology and Economic Assessment Panel should be made with a view to encouraging nominating Parties to adopt a common approach in assessing the economic feasibility of alternatives;</w:t>
      </w:r>
    </w:p>
    <w:p w14:paraId="2C02457A" w14:textId="77777777" w:rsidR="00F108F5" w:rsidRPr="00F9037E" w:rsidRDefault="00F108F5" w:rsidP="00E417DF">
      <w:pPr>
        <w:widowControl w:val="0"/>
        <w:numPr>
          <w:ilvl w:val="2"/>
          <w:numId w:val="12"/>
        </w:numPr>
        <w:spacing w:after="120"/>
        <w:ind w:left="851" w:hanging="425"/>
        <w:jc w:val="both"/>
        <w:rPr>
          <w:szCs w:val="22"/>
        </w:rPr>
      </w:pPr>
      <w:r w:rsidRPr="00F9037E">
        <w:rPr>
          <w:szCs w:val="22"/>
        </w:rPr>
        <w:t xml:space="preserve">To submit a report to the Open-ended Working Group at its twenty-sixth session on the </w:t>
      </w:r>
      <w:r w:rsidRPr="00F9037E">
        <w:rPr>
          <w:szCs w:val="22"/>
        </w:rPr>
        <w:lastRenderedPageBreak/>
        <w:t>possible need for methyl bromide critical uses over the next few years, based on a review of the management strategies submitted by Parties pursuant to paragraph 3 of the present decision;</w:t>
      </w:r>
    </w:p>
    <w:p w14:paraId="6E302B4A" w14:textId="77777777" w:rsidR="00F108F5" w:rsidRPr="00F9037E" w:rsidRDefault="00F108F5" w:rsidP="00E417DF">
      <w:pPr>
        <w:widowControl w:val="0"/>
        <w:numPr>
          <w:ilvl w:val="2"/>
          <w:numId w:val="12"/>
        </w:numPr>
        <w:spacing w:after="120"/>
        <w:ind w:left="851" w:hanging="425"/>
        <w:jc w:val="both"/>
        <w:rPr>
          <w:szCs w:val="22"/>
        </w:rPr>
      </w:pPr>
      <w:r w:rsidRPr="00F9037E">
        <w:rPr>
          <w:szCs w:val="22"/>
        </w:rPr>
        <w:t>To review critical-use nominations on an annual basis and apply the criteria set forth in decision IX/6 and of other relevant criteria agreed by the Parties;</w:t>
      </w:r>
    </w:p>
    <w:p w14:paraId="48F9AB25" w14:textId="77777777" w:rsidR="00F108F5" w:rsidRPr="00F9037E" w:rsidRDefault="00F108F5" w:rsidP="00E417DF">
      <w:pPr>
        <w:widowControl w:val="0"/>
        <w:numPr>
          <w:ilvl w:val="2"/>
          <w:numId w:val="12"/>
        </w:numPr>
        <w:spacing w:after="120"/>
        <w:ind w:left="851" w:hanging="425"/>
        <w:jc w:val="both"/>
        <w:rPr>
          <w:szCs w:val="22"/>
        </w:rPr>
      </w:pPr>
      <w:r w:rsidRPr="00F9037E">
        <w:rPr>
          <w:szCs w:val="22"/>
        </w:rPr>
        <w:t>To recommend an accounting framework for adoption by the Sixteenth Meeting of the Parties which can be used for reporting quantities of methyl bromide produced, imported and exported by Parties under the terms of critical-use exemptions, and after the end of 2005 to request each Party which has been granted a critical-use exemption to submit information together with its nomination using the agreed format;</w:t>
      </w:r>
    </w:p>
    <w:p w14:paraId="2D278E9F" w14:textId="77777777" w:rsidR="00F108F5" w:rsidRPr="00F9037E" w:rsidRDefault="00F108F5" w:rsidP="00E417DF">
      <w:pPr>
        <w:widowControl w:val="0"/>
        <w:numPr>
          <w:ilvl w:val="2"/>
          <w:numId w:val="12"/>
        </w:numPr>
        <w:spacing w:after="120"/>
        <w:ind w:left="851" w:hanging="425"/>
        <w:jc w:val="both"/>
        <w:rPr>
          <w:szCs w:val="22"/>
        </w:rPr>
      </w:pPr>
      <w:r w:rsidRPr="00F9037E">
        <w:rPr>
          <w:szCs w:val="22"/>
        </w:rPr>
        <w:t>To provide, in consultation with interested Parties, a format for a critical-use exemption report, based on the content of annex I to the present report, for adoption by the Sixteenth Meeting of the Parties, and to request each Party which reapplies for a methyl bromide critical-use exemption after the end of 2005 to submit a critical-use exemption report in the agreed format;</w:t>
      </w:r>
    </w:p>
    <w:p w14:paraId="61973DFB" w14:textId="77777777" w:rsidR="00F108F5" w:rsidRPr="00F9037E" w:rsidRDefault="00F108F5" w:rsidP="00E417DF">
      <w:pPr>
        <w:widowControl w:val="0"/>
        <w:numPr>
          <w:ilvl w:val="2"/>
          <w:numId w:val="12"/>
        </w:numPr>
        <w:spacing w:after="120"/>
        <w:ind w:left="851" w:hanging="425"/>
        <w:jc w:val="both"/>
        <w:rPr>
          <w:szCs w:val="22"/>
        </w:rPr>
      </w:pPr>
      <w:r w:rsidRPr="00F9037E">
        <w:rPr>
          <w:szCs w:val="22"/>
        </w:rPr>
        <w:t>To assess, annually where appropriate, any critical-use nomination made after the end of 2006 in the light of the Methyl Bromide Alternatives database information submitted pursuant to paragraph 1 of the present decision, and to compare, annually where appropriate, the quantity, in the nomination, of methyl bromide requested and recommended for each pre-harvest and post-harvest use with the management strategy submitted by the Party pursuant to paragraph 3 of the present decision;</w:t>
      </w:r>
    </w:p>
    <w:p w14:paraId="0231A652" w14:textId="77777777" w:rsidR="00F108F5" w:rsidRPr="00F9037E" w:rsidRDefault="00F108F5" w:rsidP="00E417DF">
      <w:pPr>
        <w:widowControl w:val="0"/>
        <w:numPr>
          <w:ilvl w:val="2"/>
          <w:numId w:val="12"/>
        </w:numPr>
        <w:spacing w:after="120"/>
        <w:ind w:left="851" w:hanging="425"/>
        <w:jc w:val="both"/>
        <w:rPr>
          <w:szCs w:val="22"/>
        </w:rPr>
      </w:pPr>
      <w:r w:rsidRPr="00F9037E">
        <w:rPr>
          <w:szCs w:val="22"/>
        </w:rPr>
        <w:t>To report annually on the status of re-registration and review of methyl bromide uses for the applications reflected in the critical-use exemptions, including any information on health effects and environmental acceptability;</w:t>
      </w:r>
    </w:p>
    <w:p w14:paraId="45C64CFD" w14:textId="77777777" w:rsidR="00F108F5" w:rsidRPr="00F9037E" w:rsidRDefault="00F108F5" w:rsidP="00E417DF">
      <w:pPr>
        <w:widowControl w:val="0"/>
        <w:numPr>
          <w:ilvl w:val="2"/>
          <w:numId w:val="12"/>
        </w:numPr>
        <w:spacing w:after="120"/>
        <w:ind w:left="851" w:hanging="425"/>
        <w:jc w:val="both"/>
        <w:rPr>
          <w:szCs w:val="22"/>
        </w:rPr>
      </w:pPr>
      <w:r w:rsidRPr="00F9037E">
        <w:rPr>
          <w:szCs w:val="22"/>
        </w:rPr>
        <w:t xml:space="preserve">To report annually on the status of registration of alternatives and substitutes for methyl bromide, with particular emphasis on possible regulatory actions that will increase or decrease dependence on methyl bromide; </w:t>
      </w:r>
    </w:p>
    <w:p w14:paraId="63845E67" w14:textId="77777777" w:rsidR="00F108F5" w:rsidRPr="00F9037E" w:rsidRDefault="00F108F5" w:rsidP="00E417DF">
      <w:pPr>
        <w:widowControl w:val="0"/>
        <w:numPr>
          <w:ilvl w:val="2"/>
          <w:numId w:val="12"/>
        </w:numPr>
        <w:spacing w:after="120"/>
        <w:ind w:left="851" w:hanging="425"/>
        <w:jc w:val="both"/>
        <w:rPr>
          <w:szCs w:val="22"/>
        </w:rPr>
      </w:pPr>
      <w:r w:rsidRPr="00F9037E">
        <w:rPr>
          <w:szCs w:val="22"/>
        </w:rPr>
        <w:t>To modify the handbook on critical-use nominations for methyl bromide to take the present decision and other relevant information into account, for submission to the Sixteenth Meeting of the Parties.</w:t>
      </w:r>
    </w:p>
    <w:bookmarkEnd w:id="137"/>
    <w:p w14:paraId="682673C0" w14:textId="77777777" w:rsidR="00214DED" w:rsidRPr="00F9037E" w:rsidRDefault="00214DED" w:rsidP="009446BE">
      <w:pPr>
        <w:jc w:val="both"/>
        <w:rPr>
          <w:szCs w:val="22"/>
        </w:rPr>
      </w:pPr>
    </w:p>
    <w:p w14:paraId="263380E4" w14:textId="77777777" w:rsidR="008D5F24" w:rsidRPr="00F9037E" w:rsidRDefault="008D5F24" w:rsidP="009D2B4C">
      <w:pPr>
        <w:rPr>
          <w:snapToGrid w:val="0"/>
        </w:rPr>
      </w:pPr>
    </w:p>
    <w:p w14:paraId="20E47323" w14:textId="77777777" w:rsidR="00A81059" w:rsidRPr="00F9037E" w:rsidRDefault="008D5F24" w:rsidP="00986AB9">
      <w:pPr>
        <w:spacing w:before="120" w:after="120"/>
        <w:rPr>
          <w:rFonts w:ascii="Arial" w:hAnsi="Arial" w:cs="Arial"/>
          <w:color w:val="595959"/>
          <w:szCs w:val="22"/>
        </w:rPr>
        <w:sectPr w:rsidR="00A81059" w:rsidRPr="00F9037E" w:rsidSect="003753FB">
          <w:headerReference w:type="even" r:id="rId56"/>
          <w:headerReference w:type="default" r:id="rId57"/>
          <w:footerReference w:type="even" r:id="rId58"/>
          <w:footerReference w:type="default" r:id="rId59"/>
          <w:headerReference w:type="first" r:id="rId60"/>
          <w:pgSz w:w="11909" w:h="16834" w:code="9"/>
          <w:pgMar w:top="1168" w:right="1440" w:bottom="1134" w:left="1440" w:header="708" w:footer="708" w:gutter="0"/>
          <w:cols w:space="708"/>
          <w:docGrid w:linePitch="360"/>
        </w:sectPr>
      </w:pPr>
      <w:r w:rsidRPr="00F9037E">
        <w:br w:type="page"/>
      </w:r>
      <w:bookmarkStart w:id="141" w:name="_Toc324255723"/>
    </w:p>
    <w:p w14:paraId="7721C40D" w14:textId="77777777" w:rsidR="008D5F24" w:rsidRPr="003655C2" w:rsidRDefault="008D5F24" w:rsidP="006A54A1">
      <w:pPr>
        <w:pStyle w:val="Heading1"/>
        <w:rPr>
          <w:rStyle w:val="Heading1Char2"/>
          <w:rFonts w:ascii="Times New Roman" w:hAnsi="Times New Roman"/>
        </w:rPr>
      </w:pPr>
      <w:bookmarkStart w:id="142" w:name="_Toc321747477"/>
      <w:bookmarkStart w:id="143" w:name="_Toc293054761"/>
      <w:bookmarkStart w:id="144" w:name="_Toc461183787"/>
      <w:r w:rsidRPr="003655C2">
        <w:rPr>
          <w:rStyle w:val="Heading1Char2"/>
          <w:rFonts w:ascii="Times New Roman" w:hAnsi="Times New Roman"/>
          <w:b/>
        </w:rPr>
        <w:lastRenderedPageBreak/>
        <w:t>ANNEX II</w:t>
      </w:r>
      <w:r w:rsidR="007E3C82" w:rsidRPr="003655C2">
        <w:rPr>
          <w:rStyle w:val="Heading1Char2"/>
          <w:rFonts w:ascii="Times New Roman" w:hAnsi="Times New Roman"/>
          <w:b/>
        </w:rPr>
        <w:t>I</w:t>
      </w:r>
      <w:r w:rsidRPr="003655C2">
        <w:rPr>
          <w:rStyle w:val="Heading1Char2"/>
          <w:rFonts w:ascii="Times New Roman" w:hAnsi="Times New Roman"/>
          <w:b/>
        </w:rPr>
        <w:t xml:space="preserve"> - Part A:</w:t>
      </w:r>
      <w:r w:rsidRPr="003655C2">
        <w:rPr>
          <w:rStyle w:val="Heading1Char2"/>
          <w:rFonts w:ascii="Times New Roman" w:hAnsi="Times New Roman"/>
        </w:rPr>
        <w:t xml:space="preserve"> </w:t>
      </w:r>
      <w:r w:rsidR="00DD40B2" w:rsidRPr="009663A4">
        <w:rPr>
          <w:rStyle w:val="Heading1Char2"/>
          <w:rFonts w:ascii="Times New Roman" w:hAnsi="Times New Roman"/>
          <w:b/>
        </w:rPr>
        <w:t xml:space="preserve">Historic </w:t>
      </w:r>
      <w:r w:rsidRPr="009663A4">
        <w:rPr>
          <w:rStyle w:val="Heading1Char2"/>
          <w:rFonts w:ascii="Times New Roman" w:hAnsi="Times New Roman"/>
          <w:b/>
        </w:rPr>
        <w:t>Trend</w:t>
      </w:r>
      <w:r w:rsidR="00DD40B2" w:rsidRPr="009663A4">
        <w:rPr>
          <w:rStyle w:val="Heading1Char2"/>
          <w:rFonts w:ascii="Times New Roman" w:hAnsi="Times New Roman"/>
          <w:b/>
        </w:rPr>
        <w:t>s</w:t>
      </w:r>
      <w:r w:rsidRPr="009663A4">
        <w:rPr>
          <w:rStyle w:val="Heading1Char2"/>
          <w:rFonts w:ascii="Times New Roman" w:hAnsi="Times New Roman"/>
          <w:b/>
        </w:rPr>
        <w:t xml:space="preserve"> in </w:t>
      </w:r>
      <w:r w:rsidR="00D34C6F" w:rsidRPr="009663A4">
        <w:rPr>
          <w:rStyle w:val="Heading1Char2"/>
          <w:rFonts w:ascii="Times New Roman" w:hAnsi="Times New Roman"/>
          <w:b/>
        </w:rPr>
        <w:t xml:space="preserve">non A5 </w:t>
      </w:r>
      <w:proofErr w:type="spellStart"/>
      <w:r w:rsidRPr="009663A4">
        <w:rPr>
          <w:rStyle w:val="Heading1Char2"/>
          <w:rFonts w:ascii="Times New Roman" w:hAnsi="Times New Roman"/>
          <w:b/>
        </w:rPr>
        <w:t>Preplant</w:t>
      </w:r>
      <w:proofErr w:type="spellEnd"/>
      <w:r w:rsidRPr="009663A4">
        <w:rPr>
          <w:rStyle w:val="Heading1Char2"/>
          <w:rFonts w:ascii="Times New Roman" w:hAnsi="Times New Roman"/>
          <w:b/>
        </w:rPr>
        <w:t xml:space="preserve"> Soil Nominations and Exemptions</w:t>
      </w:r>
      <w:bookmarkEnd w:id="141"/>
      <w:r w:rsidR="003753FB" w:rsidRPr="009663A4">
        <w:rPr>
          <w:rStyle w:val="Heading1Char2"/>
          <w:rFonts w:ascii="Times New Roman" w:hAnsi="Times New Roman"/>
          <w:b/>
        </w:rPr>
        <w:t xml:space="preserve"> </w:t>
      </w:r>
      <w:r w:rsidR="00DC7383" w:rsidRPr="009663A4">
        <w:rPr>
          <w:rStyle w:val="Heading1Char2"/>
          <w:rFonts w:ascii="Times New Roman" w:hAnsi="Times New Roman"/>
          <w:b/>
        </w:rPr>
        <w:t>for MB</w:t>
      </w:r>
      <w:r w:rsidR="003753FB" w:rsidRPr="009663A4">
        <w:rPr>
          <w:rStyle w:val="Heading1Char2"/>
          <w:rFonts w:ascii="Times New Roman" w:hAnsi="Times New Roman"/>
          <w:b/>
        </w:rPr>
        <w:t xml:space="preserve"> </w:t>
      </w:r>
      <w:r w:rsidR="00DC7383" w:rsidRPr="009663A4">
        <w:rPr>
          <w:rStyle w:val="Heading1Char2"/>
          <w:rFonts w:ascii="Times New Roman" w:hAnsi="Times New Roman"/>
          <w:b/>
        </w:rPr>
        <w:t>Use</w:t>
      </w:r>
      <w:bookmarkEnd w:id="142"/>
      <w:bookmarkEnd w:id="143"/>
      <w:bookmarkEnd w:id="144"/>
    </w:p>
    <w:p w14:paraId="656B2BB8" w14:textId="77777777" w:rsidR="008D5F24" w:rsidRPr="000F08B5" w:rsidRDefault="008D5F24" w:rsidP="00F9037E">
      <w:pPr>
        <w:pStyle w:val="Tableandfigureheadings"/>
      </w:pPr>
      <w:r w:rsidRPr="00563BC0">
        <w:t>List of nominated (2005 – 201</w:t>
      </w:r>
      <w:r w:rsidR="00986AB9" w:rsidRPr="00563BC0">
        <w:t>5</w:t>
      </w:r>
      <w:r w:rsidRPr="00563BC0">
        <w:t>) and exempted (2005 – 201</w:t>
      </w:r>
      <w:r w:rsidR="00986AB9" w:rsidRPr="00563BC0">
        <w:t>4</w:t>
      </w:r>
      <w:r w:rsidRPr="00563BC0">
        <w:t xml:space="preserve">) amounts of MB granted by Parties under the CUE process for each crop. </w:t>
      </w:r>
    </w:p>
    <w:tbl>
      <w:tblPr>
        <w:tblW w:w="16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
        <w:gridCol w:w="824"/>
        <w:gridCol w:w="708"/>
        <w:gridCol w:w="709"/>
        <w:gridCol w:w="709"/>
        <w:gridCol w:w="567"/>
        <w:gridCol w:w="709"/>
        <w:gridCol w:w="567"/>
        <w:gridCol w:w="708"/>
        <w:gridCol w:w="567"/>
        <w:gridCol w:w="567"/>
        <w:gridCol w:w="629"/>
        <w:gridCol w:w="567"/>
        <w:gridCol w:w="567"/>
        <w:gridCol w:w="709"/>
        <w:gridCol w:w="709"/>
        <w:gridCol w:w="708"/>
        <w:gridCol w:w="709"/>
        <w:gridCol w:w="567"/>
        <w:gridCol w:w="647"/>
        <w:gridCol w:w="567"/>
        <w:gridCol w:w="567"/>
        <w:gridCol w:w="567"/>
        <w:gridCol w:w="567"/>
        <w:gridCol w:w="567"/>
        <w:gridCol w:w="567"/>
      </w:tblGrid>
      <w:tr w:rsidR="00E723F5" w:rsidRPr="00F9037E" w14:paraId="346C9BCC" w14:textId="77777777" w:rsidTr="00C05C97">
        <w:trPr>
          <w:trHeight w:val="270"/>
          <w:tblHeader/>
          <w:jc w:val="center"/>
        </w:trPr>
        <w:tc>
          <w:tcPr>
            <w:tcW w:w="662" w:type="dxa"/>
            <w:vMerge w:val="restart"/>
            <w:shd w:val="clear" w:color="auto" w:fill="auto"/>
            <w:vAlign w:val="center"/>
          </w:tcPr>
          <w:p w14:paraId="5B791B91" w14:textId="77777777" w:rsidR="00E723F5" w:rsidRPr="00220275" w:rsidRDefault="00E723F5" w:rsidP="00C05C97">
            <w:pPr>
              <w:spacing w:before="120" w:after="120"/>
              <w:rPr>
                <w:b/>
                <w:bCs/>
                <w:color w:val="auto"/>
                <w:sz w:val="12"/>
                <w:szCs w:val="12"/>
              </w:rPr>
            </w:pPr>
            <w:bookmarkStart w:id="145" w:name="_Toc324255724"/>
            <w:bookmarkStart w:id="146" w:name="_Toc210294181"/>
            <w:r w:rsidRPr="00220275">
              <w:rPr>
                <w:b/>
                <w:bCs/>
                <w:color w:val="auto"/>
                <w:sz w:val="12"/>
                <w:szCs w:val="12"/>
              </w:rPr>
              <w:t>Party</w:t>
            </w:r>
          </w:p>
        </w:tc>
        <w:tc>
          <w:tcPr>
            <w:tcW w:w="824" w:type="dxa"/>
            <w:vMerge w:val="restart"/>
            <w:shd w:val="clear" w:color="auto" w:fill="auto"/>
            <w:vAlign w:val="center"/>
          </w:tcPr>
          <w:p w14:paraId="50236ED4" w14:textId="77777777" w:rsidR="00E723F5" w:rsidRPr="00220275" w:rsidRDefault="00E723F5" w:rsidP="00C05C97">
            <w:pPr>
              <w:spacing w:before="120" w:after="120"/>
              <w:rPr>
                <w:b/>
                <w:bCs/>
                <w:color w:val="auto"/>
                <w:sz w:val="12"/>
                <w:szCs w:val="12"/>
              </w:rPr>
            </w:pPr>
            <w:r w:rsidRPr="00220275">
              <w:rPr>
                <w:b/>
                <w:bCs/>
                <w:color w:val="auto"/>
                <w:sz w:val="12"/>
                <w:szCs w:val="12"/>
              </w:rPr>
              <w:t>Industry</w:t>
            </w:r>
          </w:p>
        </w:tc>
        <w:tc>
          <w:tcPr>
            <w:tcW w:w="7574" w:type="dxa"/>
            <w:gridSpan w:val="12"/>
            <w:shd w:val="clear" w:color="auto" w:fill="auto"/>
            <w:vAlign w:val="center"/>
          </w:tcPr>
          <w:p w14:paraId="7A5F9D18" w14:textId="77777777" w:rsidR="00E723F5" w:rsidRPr="00082015" w:rsidRDefault="00E723F5" w:rsidP="00C05C97">
            <w:pPr>
              <w:spacing w:before="120" w:after="120"/>
              <w:jc w:val="center"/>
              <w:rPr>
                <w:b/>
                <w:bCs/>
                <w:color w:val="auto"/>
                <w:sz w:val="12"/>
                <w:szCs w:val="12"/>
              </w:rPr>
            </w:pPr>
            <w:r w:rsidRPr="00082015">
              <w:rPr>
                <w:b/>
                <w:bCs/>
                <w:color w:val="auto"/>
                <w:sz w:val="12"/>
                <w:szCs w:val="12"/>
              </w:rPr>
              <w:t>Total CUN MB Quantities</w:t>
            </w:r>
          </w:p>
        </w:tc>
        <w:tc>
          <w:tcPr>
            <w:tcW w:w="7451" w:type="dxa"/>
            <w:gridSpan w:val="12"/>
            <w:shd w:val="clear" w:color="auto" w:fill="auto"/>
            <w:vAlign w:val="center"/>
          </w:tcPr>
          <w:p w14:paraId="411A9901" w14:textId="77777777" w:rsidR="00E723F5" w:rsidRPr="00082015" w:rsidRDefault="00E723F5" w:rsidP="00C05C97">
            <w:pPr>
              <w:spacing w:before="120" w:after="120"/>
              <w:jc w:val="center"/>
              <w:rPr>
                <w:b/>
                <w:bCs/>
                <w:color w:val="auto"/>
                <w:sz w:val="12"/>
                <w:szCs w:val="12"/>
              </w:rPr>
            </w:pPr>
            <w:r w:rsidRPr="00082015">
              <w:rPr>
                <w:b/>
                <w:bCs/>
                <w:color w:val="auto"/>
                <w:sz w:val="12"/>
                <w:szCs w:val="12"/>
              </w:rPr>
              <w:t>Total CUE Quantities</w:t>
            </w:r>
          </w:p>
        </w:tc>
      </w:tr>
      <w:tr w:rsidR="00D34C6F" w:rsidRPr="00F9037E" w14:paraId="4A32080B" w14:textId="77777777" w:rsidTr="00C05C97">
        <w:trPr>
          <w:trHeight w:val="393"/>
          <w:tblHeader/>
          <w:jc w:val="center"/>
        </w:trPr>
        <w:tc>
          <w:tcPr>
            <w:tcW w:w="662" w:type="dxa"/>
            <w:vMerge/>
            <w:shd w:val="clear" w:color="auto" w:fill="auto"/>
            <w:vAlign w:val="center"/>
          </w:tcPr>
          <w:p w14:paraId="45A1B22F" w14:textId="77777777" w:rsidR="00D34C6F" w:rsidRPr="00F9037E" w:rsidRDefault="00D34C6F" w:rsidP="00C05C97">
            <w:pPr>
              <w:spacing w:before="120" w:after="120"/>
              <w:rPr>
                <w:b/>
                <w:bCs/>
                <w:color w:val="auto"/>
                <w:sz w:val="12"/>
                <w:szCs w:val="12"/>
              </w:rPr>
            </w:pPr>
          </w:p>
        </w:tc>
        <w:tc>
          <w:tcPr>
            <w:tcW w:w="824" w:type="dxa"/>
            <w:vMerge/>
            <w:shd w:val="clear" w:color="auto" w:fill="auto"/>
            <w:vAlign w:val="center"/>
          </w:tcPr>
          <w:p w14:paraId="673D7D14" w14:textId="77777777" w:rsidR="00D34C6F" w:rsidRPr="00F9037E" w:rsidRDefault="00D34C6F" w:rsidP="00C05C97">
            <w:pPr>
              <w:spacing w:before="120" w:after="120"/>
              <w:rPr>
                <w:b/>
                <w:bCs/>
                <w:color w:val="auto"/>
                <w:sz w:val="12"/>
                <w:szCs w:val="12"/>
              </w:rPr>
            </w:pPr>
          </w:p>
        </w:tc>
        <w:tc>
          <w:tcPr>
            <w:tcW w:w="708" w:type="dxa"/>
            <w:shd w:val="clear" w:color="auto" w:fill="auto"/>
            <w:vAlign w:val="center"/>
          </w:tcPr>
          <w:p w14:paraId="3CF45776" w14:textId="77777777" w:rsidR="00D34C6F" w:rsidRPr="00220275" w:rsidRDefault="00D34C6F" w:rsidP="00C05C97">
            <w:pPr>
              <w:spacing w:before="120" w:after="120"/>
              <w:jc w:val="center"/>
              <w:rPr>
                <w:b/>
                <w:bCs/>
                <w:color w:val="auto"/>
                <w:sz w:val="12"/>
                <w:szCs w:val="12"/>
              </w:rPr>
            </w:pPr>
            <w:r w:rsidRPr="00220275">
              <w:rPr>
                <w:b/>
                <w:bCs/>
                <w:color w:val="auto"/>
                <w:sz w:val="12"/>
                <w:szCs w:val="12"/>
              </w:rPr>
              <w:t>2005</w:t>
            </w:r>
          </w:p>
        </w:tc>
        <w:tc>
          <w:tcPr>
            <w:tcW w:w="709" w:type="dxa"/>
            <w:shd w:val="clear" w:color="auto" w:fill="auto"/>
            <w:vAlign w:val="center"/>
          </w:tcPr>
          <w:p w14:paraId="04CC12A0" w14:textId="77777777" w:rsidR="00D34C6F" w:rsidRPr="00B87B95" w:rsidRDefault="00D34C6F" w:rsidP="00C05C97">
            <w:pPr>
              <w:spacing w:before="120" w:after="120"/>
              <w:jc w:val="center"/>
              <w:rPr>
                <w:b/>
                <w:bCs/>
                <w:color w:val="auto"/>
                <w:sz w:val="12"/>
                <w:szCs w:val="12"/>
              </w:rPr>
            </w:pPr>
            <w:r w:rsidRPr="00B87B95">
              <w:rPr>
                <w:b/>
                <w:bCs/>
                <w:color w:val="auto"/>
                <w:sz w:val="12"/>
                <w:szCs w:val="12"/>
              </w:rPr>
              <w:t>2006</w:t>
            </w:r>
          </w:p>
        </w:tc>
        <w:tc>
          <w:tcPr>
            <w:tcW w:w="709" w:type="dxa"/>
            <w:shd w:val="clear" w:color="auto" w:fill="auto"/>
            <w:vAlign w:val="center"/>
          </w:tcPr>
          <w:p w14:paraId="23F345EA" w14:textId="77777777" w:rsidR="00D34C6F" w:rsidRPr="00B87B95" w:rsidRDefault="00D34C6F" w:rsidP="00C05C97">
            <w:pPr>
              <w:spacing w:before="120" w:after="120"/>
              <w:jc w:val="center"/>
              <w:rPr>
                <w:b/>
                <w:bCs/>
                <w:color w:val="auto"/>
                <w:sz w:val="12"/>
                <w:szCs w:val="12"/>
              </w:rPr>
            </w:pPr>
            <w:r w:rsidRPr="00B87B95">
              <w:rPr>
                <w:b/>
                <w:bCs/>
                <w:color w:val="auto"/>
                <w:sz w:val="12"/>
                <w:szCs w:val="12"/>
              </w:rPr>
              <w:t>2007</w:t>
            </w:r>
          </w:p>
        </w:tc>
        <w:tc>
          <w:tcPr>
            <w:tcW w:w="567" w:type="dxa"/>
            <w:shd w:val="clear" w:color="auto" w:fill="auto"/>
            <w:vAlign w:val="center"/>
          </w:tcPr>
          <w:p w14:paraId="46CDE7EA" w14:textId="77777777" w:rsidR="00D34C6F" w:rsidRPr="00B87B95" w:rsidRDefault="00D34C6F" w:rsidP="00C05C97">
            <w:pPr>
              <w:spacing w:before="120" w:after="120"/>
              <w:jc w:val="center"/>
              <w:rPr>
                <w:b/>
                <w:bCs/>
                <w:color w:val="auto"/>
                <w:sz w:val="12"/>
                <w:szCs w:val="12"/>
              </w:rPr>
            </w:pPr>
            <w:r w:rsidRPr="00B87B95">
              <w:rPr>
                <w:b/>
                <w:bCs/>
                <w:color w:val="auto"/>
                <w:sz w:val="12"/>
                <w:szCs w:val="12"/>
              </w:rPr>
              <w:t>2008</w:t>
            </w:r>
          </w:p>
        </w:tc>
        <w:tc>
          <w:tcPr>
            <w:tcW w:w="709" w:type="dxa"/>
            <w:shd w:val="clear" w:color="auto" w:fill="auto"/>
            <w:vAlign w:val="center"/>
          </w:tcPr>
          <w:p w14:paraId="6446E7E7" w14:textId="77777777" w:rsidR="00D34C6F" w:rsidRPr="00563BC0" w:rsidRDefault="00D34C6F" w:rsidP="00C05C97">
            <w:pPr>
              <w:spacing w:before="120" w:after="120"/>
              <w:jc w:val="center"/>
              <w:rPr>
                <w:b/>
                <w:bCs/>
                <w:color w:val="auto"/>
                <w:sz w:val="12"/>
                <w:szCs w:val="12"/>
              </w:rPr>
            </w:pPr>
            <w:r w:rsidRPr="00563BC0">
              <w:rPr>
                <w:b/>
                <w:bCs/>
                <w:color w:val="auto"/>
                <w:sz w:val="12"/>
                <w:szCs w:val="12"/>
              </w:rPr>
              <w:t>2009</w:t>
            </w:r>
          </w:p>
        </w:tc>
        <w:tc>
          <w:tcPr>
            <w:tcW w:w="567" w:type="dxa"/>
            <w:shd w:val="clear" w:color="auto" w:fill="auto"/>
            <w:vAlign w:val="center"/>
          </w:tcPr>
          <w:p w14:paraId="0F3B7857" w14:textId="77777777" w:rsidR="00D34C6F" w:rsidRPr="00563BC0" w:rsidRDefault="00D34C6F" w:rsidP="00C05C97">
            <w:pPr>
              <w:spacing w:before="120" w:after="120"/>
              <w:jc w:val="center"/>
              <w:rPr>
                <w:b/>
                <w:bCs/>
                <w:color w:val="auto"/>
                <w:sz w:val="12"/>
                <w:szCs w:val="12"/>
              </w:rPr>
            </w:pPr>
            <w:r w:rsidRPr="00563BC0">
              <w:rPr>
                <w:b/>
                <w:bCs/>
                <w:color w:val="auto"/>
                <w:sz w:val="12"/>
                <w:szCs w:val="12"/>
              </w:rPr>
              <w:t>2010</w:t>
            </w:r>
          </w:p>
        </w:tc>
        <w:tc>
          <w:tcPr>
            <w:tcW w:w="708" w:type="dxa"/>
            <w:shd w:val="clear" w:color="auto" w:fill="auto"/>
            <w:vAlign w:val="center"/>
          </w:tcPr>
          <w:p w14:paraId="778458E6" w14:textId="77777777" w:rsidR="00D34C6F" w:rsidRPr="00563BC0" w:rsidRDefault="00D34C6F" w:rsidP="00C05C97">
            <w:pPr>
              <w:spacing w:before="120" w:after="120"/>
              <w:jc w:val="center"/>
              <w:rPr>
                <w:b/>
                <w:bCs/>
                <w:color w:val="auto"/>
                <w:sz w:val="12"/>
                <w:szCs w:val="12"/>
              </w:rPr>
            </w:pPr>
            <w:r w:rsidRPr="00563BC0">
              <w:rPr>
                <w:b/>
                <w:bCs/>
                <w:color w:val="auto"/>
                <w:sz w:val="12"/>
                <w:szCs w:val="12"/>
              </w:rPr>
              <w:t>2011</w:t>
            </w:r>
          </w:p>
        </w:tc>
        <w:tc>
          <w:tcPr>
            <w:tcW w:w="567" w:type="dxa"/>
            <w:shd w:val="clear" w:color="auto" w:fill="auto"/>
            <w:vAlign w:val="center"/>
          </w:tcPr>
          <w:p w14:paraId="2B5371B5" w14:textId="77777777" w:rsidR="00D34C6F" w:rsidRPr="00563BC0" w:rsidRDefault="00D34C6F" w:rsidP="00C05C97">
            <w:pPr>
              <w:spacing w:before="120" w:after="120"/>
              <w:jc w:val="center"/>
              <w:rPr>
                <w:b/>
                <w:bCs/>
                <w:color w:val="auto"/>
                <w:sz w:val="12"/>
                <w:szCs w:val="12"/>
              </w:rPr>
            </w:pPr>
            <w:r w:rsidRPr="00563BC0">
              <w:rPr>
                <w:b/>
                <w:bCs/>
                <w:color w:val="auto"/>
                <w:sz w:val="12"/>
                <w:szCs w:val="12"/>
              </w:rPr>
              <w:t>2012</w:t>
            </w:r>
          </w:p>
        </w:tc>
        <w:tc>
          <w:tcPr>
            <w:tcW w:w="567" w:type="dxa"/>
            <w:shd w:val="clear" w:color="auto" w:fill="auto"/>
            <w:vAlign w:val="center"/>
          </w:tcPr>
          <w:p w14:paraId="3B3DF3DD" w14:textId="77777777" w:rsidR="00D34C6F" w:rsidRPr="00563BC0" w:rsidRDefault="00D34C6F" w:rsidP="00C05C97">
            <w:pPr>
              <w:spacing w:before="120" w:after="120"/>
              <w:jc w:val="center"/>
              <w:rPr>
                <w:b/>
                <w:bCs/>
                <w:color w:val="auto"/>
                <w:sz w:val="12"/>
                <w:szCs w:val="12"/>
              </w:rPr>
            </w:pPr>
            <w:r w:rsidRPr="00563BC0">
              <w:rPr>
                <w:b/>
                <w:bCs/>
                <w:color w:val="auto"/>
                <w:sz w:val="12"/>
                <w:szCs w:val="12"/>
              </w:rPr>
              <w:t>2013</w:t>
            </w:r>
          </w:p>
        </w:tc>
        <w:tc>
          <w:tcPr>
            <w:tcW w:w="629" w:type="dxa"/>
            <w:vAlign w:val="center"/>
          </w:tcPr>
          <w:p w14:paraId="52C12739" w14:textId="77777777" w:rsidR="00D34C6F" w:rsidRPr="00563BC0" w:rsidRDefault="00D34C6F" w:rsidP="00C05C97">
            <w:pPr>
              <w:spacing w:before="120" w:after="120"/>
              <w:jc w:val="center"/>
              <w:rPr>
                <w:b/>
                <w:bCs/>
                <w:color w:val="auto"/>
                <w:sz w:val="12"/>
                <w:szCs w:val="12"/>
              </w:rPr>
            </w:pPr>
            <w:r w:rsidRPr="00563BC0">
              <w:rPr>
                <w:b/>
                <w:bCs/>
                <w:color w:val="auto"/>
                <w:sz w:val="12"/>
                <w:szCs w:val="12"/>
              </w:rPr>
              <w:t>2014</w:t>
            </w:r>
          </w:p>
        </w:tc>
        <w:tc>
          <w:tcPr>
            <w:tcW w:w="567" w:type="dxa"/>
            <w:vAlign w:val="center"/>
          </w:tcPr>
          <w:p w14:paraId="570A898D" w14:textId="77777777" w:rsidR="00D34C6F" w:rsidRPr="000F08B5" w:rsidRDefault="00D34C6F" w:rsidP="00C05C97">
            <w:pPr>
              <w:spacing w:before="120" w:after="120"/>
              <w:jc w:val="center"/>
              <w:rPr>
                <w:b/>
                <w:bCs/>
                <w:color w:val="auto"/>
                <w:sz w:val="12"/>
                <w:szCs w:val="12"/>
              </w:rPr>
            </w:pPr>
            <w:r w:rsidRPr="000F08B5">
              <w:rPr>
                <w:b/>
                <w:bCs/>
                <w:color w:val="auto"/>
                <w:sz w:val="12"/>
                <w:szCs w:val="12"/>
              </w:rPr>
              <w:t>2015</w:t>
            </w:r>
          </w:p>
        </w:tc>
        <w:tc>
          <w:tcPr>
            <w:tcW w:w="567" w:type="dxa"/>
            <w:vAlign w:val="center"/>
          </w:tcPr>
          <w:p w14:paraId="4A4BC9E1" w14:textId="77777777" w:rsidR="00D34C6F" w:rsidRPr="000F08B5" w:rsidRDefault="00D34C6F" w:rsidP="00C05C97">
            <w:pPr>
              <w:spacing w:before="120" w:after="120"/>
              <w:jc w:val="center"/>
              <w:rPr>
                <w:b/>
                <w:bCs/>
                <w:color w:val="auto"/>
                <w:sz w:val="12"/>
                <w:szCs w:val="12"/>
              </w:rPr>
            </w:pPr>
            <w:r w:rsidRPr="000F08B5">
              <w:rPr>
                <w:b/>
                <w:bCs/>
                <w:color w:val="auto"/>
                <w:sz w:val="12"/>
                <w:szCs w:val="12"/>
              </w:rPr>
              <w:t>2016</w:t>
            </w:r>
          </w:p>
        </w:tc>
        <w:tc>
          <w:tcPr>
            <w:tcW w:w="709" w:type="dxa"/>
            <w:shd w:val="clear" w:color="auto" w:fill="auto"/>
            <w:vAlign w:val="center"/>
          </w:tcPr>
          <w:p w14:paraId="588C868B" w14:textId="77777777" w:rsidR="00D34C6F" w:rsidRPr="00365366" w:rsidRDefault="00D34C6F" w:rsidP="00C05C97">
            <w:pPr>
              <w:spacing w:before="120" w:after="120"/>
              <w:jc w:val="center"/>
              <w:rPr>
                <w:b/>
                <w:bCs/>
                <w:color w:val="auto"/>
                <w:sz w:val="12"/>
                <w:szCs w:val="12"/>
              </w:rPr>
            </w:pPr>
            <w:r w:rsidRPr="00365366">
              <w:rPr>
                <w:b/>
                <w:bCs/>
                <w:color w:val="auto"/>
                <w:sz w:val="12"/>
                <w:szCs w:val="12"/>
              </w:rPr>
              <w:t>2005</w:t>
            </w:r>
          </w:p>
        </w:tc>
        <w:tc>
          <w:tcPr>
            <w:tcW w:w="709" w:type="dxa"/>
            <w:shd w:val="clear" w:color="auto" w:fill="auto"/>
            <w:vAlign w:val="center"/>
          </w:tcPr>
          <w:p w14:paraId="2212591E" w14:textId="77777777" w:rsidR="00D34C6F" w:rsidRPr="00F9037E" w:rsidRDefault="00D34C6F" w:rsidP="00C05C97">
            <w:pPr>
              <w:spacing w:before="120" w:after="120"/>
              <w:jc w:val="center"/>
              <w:rPr>
                <w:b/>
                <w:bCs/>
                <w:color w:val="auto"/>
                <w:sz w:val="12"/>
                <w:szCs w:val="12"/>
              </w:rPr>
            </w:pPr>
            <w:r w:rsidRPr="00F9037E">
              <w:rPr>
                <w:b/>
                <w:bCs/>
                <w:color w:val="auto"/>
                <w:sz w:val="12"/>
                <w:szCs w:val="12"/>
              </w:rPr>
              <w:t>2006</w:t>
            </w:r>
          </w:p>
        </w:tc>
        <w:tc>
          <w:tcPr>
            <w:tcW w:w="708" w:type="dxa"/>
            <w:shd w:val="clear" w:color="auto" w:fill="auto"/>
            <w:vAlign w:val="center"/>
          </w:tcPr>
          <w:p w14:paraId="34F1867A" w14:textId="77777777" w:rsidR="00D34C6F" w:rsidRPr="00F9037E" w:rsidRDefault="00D34C6F" w:rsidP="00C05C97">
            <w:pPr>
              <w:spacing w:before="120" w:after="120"/>
              <w:jc w:val="center"/>
              <w:rPr>
                <w:b/>
                <w:bCs/>
                <w:color w:val="auto"/>
                <w:sz w:val="12"/>
                <w:szCs w:val="12"/>
              </w:rPr>
            </w:pPr>
            <w:r w:rsidRPr="00F9037E">
              <w:rPr>
                <w:b/>
                <w:bCs/>
                <w:color w:val="auto"/>
                <w:sz w:val="12"/>
                <w:szCs w:val="12"/>
              </w:rPr>
              <w:t>2007</w:t>
            </w:r>
          </w:p>
        </w:tc>
        <w:tc>
          <w:tcPr>
            <w:tcW w:w="709" w:type="dxa"/>
            <w:shd w:val="clear" w:color="auto" w:fill="auto"/>
            <w:vAlign w:val="center"/>
          </w:tcPr>
          <w:p w14:paraId="30C0C11A" w14:textId="77777777" w:rsidR="00D34C6F" w:rsidRPr="00F9037E" w:rsidRDefault="00D34C6F" w:rsidP="00C05C97">
            <w:pPr>
              <w:spacing w:before="120" w:after="120"/>
              <w:jc w:val="center"/>
              <w:rPr>
                <w:b/>
                <w:bCs/>
                <w:color w:val="auto"/>
                <w:sz w:val="12"/>
                <w:szCs w:val="12"/>
              </w:rPr>
            </w:pPr>
            <w:r w:rsidRPr="00F9037E">
              <w:rPr>
                <w:b/>
                <w:bCs/>
                <w:color w:val="auto"/>
                <w:sz w:val="12"/>
                <w:szCs w:val="12"/>
              </w:rPr>
              <w:t>2008</w:t>
            </w:r>
          </w:p>
        </w:tc>
        <w:tc>
          <w:tcPr>
            <w:tcW w:w="567" w:type="dxa"/>
            <w:shd w:val="clear" w:color="auto" w:fill="auto"/>
            <w:vAlign w:val="center"/>
          </w:tcPr>
          <w:p w14:paraId="6DBCC08F" w14:textId="77777777" w:rsidR="00D34C6F" w:rsidRPr="00F9037E" w:rsidRDefault="00D34C6F" w:rsidP="00C05C97">
            <w:pPr>
              <w:spacing w:before="120" w:after="120"/>
              <w:jc w:val="center"/>
              <w:rPr>
                <w:b/>
                <w:bCs/>
                <w:color w:val="auto"/>
                <w:sz w:val="12"/>
                <w:szCs w:val="12"/>
              </w:rPr>
            </w:pPr>
            <w:r w:rsidRPr="00F9037E">
              <w:rPr>
                <w:b/>
                <w:bCs/>
                <w:color w:val="auto"/>
                <w:sz w:val="12"/>
                <w:szCs w:val="12"/>
              </w:rPr>
              <w:t>2009</w:t>
            </w:r>
          </w:p>
        </w:tc>
        <w:tc>
          <w:tcPr>
            <w:tcW w:w="647" w:type="dxa"/>
            <w:shd w:val="clear" w:color="auto" w:fill="auto"/>
            <w:vAlign w:val="center"/>
          </w:tcPr>
          <w:p w14:paraId="7D341E0A" w14:textId="77777777" w:rsidR="00D34C6F" w:rsidRPr="00F9037E" w:rsidRDefault="00D34C6F" w:rsidP="00C05C97">
            <w:pPr>
              <w:spacing w:before="120" w:after="120"/>
              <w:jc w:val="center"/>
              <w:rPr>
                <w:b/>
                <w:bCs/>
                <w:color w:val="auto"/>
                <w:sz w:val="12"/>
                <w:szCs w:val="12"/>
              </w:rPr>
            </w:pPr>
            <w:r w:rsidRPr="00F9037E">
              <w:rPr>
                <w:b/>
                <w:bCs/>
                <w:color w:val="auto"/>
                <w:sz w:val="12"/>
                <w:szCs w:val="12"/>
              </w:rPr>
              <w:t>2010</w:t>
            </w:r>
          </w:p>
        </w:tc>
        <w:tc>
          <w:tcPr>
            <w:tcW w:w="567" w:type="dxa"/>
            <w:shd w:val="clear" w:color="auto" w:fill="auto"/>
            <w:vAlign w:val="center"/>
          </w:tcPr>
          <w:p w14:paraId="53715BA5" w14:textId="77777777" w:rsidR="00D34C6F" w:rsidRPr="00F9037E" w:rsidRDefault="00D34C6F" w:rsidP="00C05C97">
            <w:pPr>
              <w:spacing w:before="120" w:after="120"/>
              <w:jc w:val="center"/>
              <w:rPr>
                <w:b/>
                <w:bCs/>
                <w:color w:val="auto"/>
                <w:sz w:val="12"/>
                <w:szCs w:val="12"/>
              </w:rPr>
            </w:pPr>
            <w:r w:rsidRPr="00F9037E">
              <w:rPr>
                <w:b/>
                <w:bCs/>
                <w:color w:val="auto"/>
                <w:sz w:val="12"/>
                <w:szCs w:val="12"/>
              </w:rPr>
              <w:t>2011</w:t>
            </w:r>
          </w:p>
        </w:tc>
        <w:tc>
          <w:tcPr>
            <w:tcW w:w="567" w:type="dxa"/>
            <w:shd w:val="clear" w:color="auto" w:fill="auto"/>
            <w:vAlign w:val="center"/>
          </w:tcPr>
          <w:p w14:paraId="3ED5A614" w14:textId="77777777" w:rsidR="00D34C6F" w:rsidRPr="00F9037E" w:rsidRDefault="00D34C6F" w:rsidP="00C05C97">
            <w:pPr>
              <w:spacing w:before="120" w:after="120"/>
              <w:jc w:val="center"/>
              <w:rPr>
                <w:b/>
                <w:bCs/>
                <w:color w:val="auto"/>
                <w:sz w:val="12"/>
                <w:szCs w:val="12"/>
              </w:rPr>
            </w:pPr>
            <w:r w:rsidRPr="00F9037E">
              <w:rPr>
                <w:b/>
                <w:bCs/>
                <w:color w:val="auto"/>
                <w:sz w:val="12"/>
                <w:szCs w:val="12"/>
              </w:rPr>
              <w:t>2012</w:t>
            </w:r>
          </w:p>
        </w:tc>
        <w:tc>
          <w:tcPr>
            <w:tcW w:w="567" w:type="dxa"/>
            <w:vAlign w:val="center"/>
          </w:tcPr>
          <w:p w14:paraId="25511EA4" w14:textId="77777777" w:rsidR="00D34C6F" w:rsidRPr="00F9037E" w:rsidRDefault="00D34C6F" w:rsidP="00C05C97">
            <w:pPr>
              <w:spacing w:before="120" w:after="120"/>
              <w:jc w:val="center"/>
              <w:rPr>
                <w:b/>
                <w:bCs/>
                <w:color w:val="auto"/>
                <w:sz w:val="12"/>
                <w:szCs w:val="12"/>
              </w:rPr>
            </w:pPr>
            <w:r w:rsidRPr="00F9037E">
              <w:rPr>
                <w:b/>
                <w:bCs/>
                <w:color w:val="auto"/>
                <w:sz w:val="12"/>
                <w:szCs w:val="12"/>
              </w:rPr>
              <w:t>2013</w:t>
            </w:r>
          </w:p>
        </w:tc>
        <w:tc>
          <w:tcPr>
            <w:tcW w:w="567" w:type="dxa"/>
            <w:vAlign w:val="center"/>
          </w:tcPr>
          <w:p w14:paraId="34113718" w14:textId="77777777" w:rsidR="00D34C6F" w:rsidRPr="00F9037E" w:rsidRDefault="00D34C6F" w:rsidP="00C05C97">
            <w:pPr>
              <w:spacing w:before="120" w:after="120"/>
              <w:jc w:val="center"/>
              <w:rPr>
                <w:b/>
                <w:bCs/>
                <w:color w:val="auto"/>
                <w:sz w:val="12"/>
                <w:szCs w:val="12"/>
              </w:rPr>
            </w:pPr>
            <w:r w:rsidRPr="00F9037E">
              <w:rPr>
                <w:b/>
                <w:bCs/>
                <w:color w:val="auto"/>
                <w:sz w:val="12"/>
                <w:szCs w:val="12"/>
              </w:rPr>
              <w:t>2014</w:t>
            </w:r>
          </w:p>
        </w:tc>
        <w:tc>
          <w:tcPr>
            <w:tcW w:w="567" w:type="dxa"/>
            <w:vAlign w:val="center"/>
          </w:tcPr>
          <w:p w14:paraId="137B726E" w14:textId="77777777" w:rsidR="00D34C6F" w:rsidRPr="00F9037E" w:rsidRDefault="00D34C6F" w:rsidP="00C05C97">
            <w:pPr>
              <w:spacing w:before="120" w:after="120"/>
              <w:jc w:val="center"/>
              <w:rPr>
                <w:b/>
                <w:bCs/>
                <w:color w:val="auto"/>
                <w:sz w:val="12"/>
                <w:szCs w:val="12"/>
              </w:rPr>
            </w:pPr>
            <w:r w:rsidRPr="00F9037E">
              <w:rPr>
                <w:b/>
                <w:bCs/>
                <w:color w:val="auto"/>
                <w:sz w:val="12"/>
                <w:szCs w:val="12"/>
              </w:rPr>
              <w:t>2015</w:t>
            </w:r>
          </w:p>
        </w:tc>
        <w:tc>
          <w:tcPr>
            <w:tcW w:w="567" w:type="dxa"/>
            <w:vAlign w:val="center"/>
          </w:tcPr>
          <w:p w14:paraId="01E1B038" w14:textId="77777777" w:rsidR="00D34C6F" w:rsidRPr="00F9037E" w:rsidRDefault="00D34C6F" w:rsidP="00C05C97">
            <w:pPr>
              <w:spacing w:before="120" w:after="120"/>
              <w:jc w:val="center"/>
              <w:rPr>
                <w:b/>
                <w:bCs/>
                <w:color w:val="auto"/>
                <w:sz w:val="12"/>
                <w:szCs w:val="12"/>
              </w:rPr>
            </w:pPr>
            <w:r w:rsidRPr="00F9037E">
              <w:rPr>
                <w:b/>
                <w:bCs/>
                <w:color w:val="auto"/>
                <w:sz w:val="12"/>
                <w:szCs w:val="12"/>
              </w:rPr>
              <w:t>2016</w:t>
            </w:r>
          </w:p>
        </w:tc>
      </w:tr>
      <w:tr w:rsidR="00D34C6F" w:rsidRPr="00F9037E" w14:paraId="3D0E3650" w14:textId="77777777" w:rsidTr="00C05C97">
        <w:trPr>
          <w:trHeight w:val="465"/>
          <w:jc w:val="center"/>
        </w:trPr>
        <w:tc>
          <w:tcPr>
            <w:tcW w:w="662" w:type="dxa"/>
            <w:shd w:val="clear" w:color="auto" w:fill="auto"/>
            <w:vAlign w:val="center"/>
          </w:tcPr>
          <w:p w14:paraId="7C6B7492" w14:textId="77777777" w:rsidR="00D34C6F" w:rsidRPr="00F9037E" w:rsidRDefault="00D34C6F" w:rsidP="00C05C97">
            <w:pPr>
              <w:spacing w:before="120" w:after="120"/>
              <w:rPr>
                <w:color w:val="auto"/>
                <w:sz w:val="12"/>
                <w:szCs w:val="12"/>
              </w:rPr>
            </w:pPr>
            <w:r w:rsidRPr="00F9037E">
              <w:rPr>
                <w:color w:val="auto"/>
                <w:sz w:val="12"/>
                <w:szCs w:val="12"/>
              </w:rPr>
              <w:t>Australia</w:t>
            </w:r>
          </w:p>
        </w:tc>
        <w:tc>
          <w:tcPr>
            <w:tcW w:w="824" w:type="dxa"/>
            <w:shd w:val="clear" w:color="auto" w:fill="auto"/>
            <w:vAlign w:val="center"/>
          </w:tcPr>
          <w:p w14:paraId="41640F6F" w14:textId="77777777" w:rsidR="00D34C6F" w:rsidRPr="00F9037E" w:rsidRDefault="00D34C6F" w:rsidP="00C05C97">
            <w:pPr>
              <w:spacing w:before="120" w:after="120"/>
              <w:rPr>
                <w:color w:val="auto"/>
                <w:sz w:val="12"/>
                <w:szCs w:val="12"/>
              </w:rPr>
            </w:pPr>
            <w:r w:rsidRPr="00F9037E">
              <w:rPr>
                <w:color w:val="auto"/>
                <w:sz w:val="12"/>
                <w:szCs w:val="12"/>
              </w:rPr>
              <w:t>Cut Flowers – field</w:t>
            </w:r>
          </w:p>
        </w:tc>
        <w:tc>
          <w:tcPr>
            <w:tcW w:w="708" w:type="dxa"/>
            <w:shd w:val="clear" w:color="auto" w:fill="auto"/>
            <w:vAlign w:val="center"/>
          </w:tcPr>
          <w:p w14:paraId="36B0DBAF" w14:textId="77777777" w:rsidR="00D34C6F" w:rsidRPr="00F9037E" w:rsidRDefault="00D34C6F" w:rsidP="00C05C97">
            <w:pPr>
              <w:spacing w:before="120" w:after="120"/>
              <w:jc w:val="center"/>
              <w:rPr>
                <w:color w:val="auto"/>
                <w:sz w:val="10"/>
                <w:szCs w:val="10"/>
              </w:rPr>
            </w:pPr>
            <w:r w:rsidRPr="00F9037E">
              <w:rPr>
                <w:color w:val="auto"/>
                <w:sz w:val="10"/>
                <w:szCs w:val="10"/>
              </w:rPr>
              <w:t>40.000</w:t>
            </w:r>
          </w:p>
        </w:tc>
        <w:tc>
          <w:tcPr>
            <w:tcW w:w="709" w:type="dxa"/>
            <w:shd w:val="clear" w:color="auto" w:fill="auto"/>
            <w:vAlign w:val="center"/>
          </w:tcPr>
          <w:p w14:paraId="39E8918E" w14:textId="77777777" w:rsidR="00D34C6F" w:rsidRPr="00F9037E" w:rsidRDefault="00D34C6F" w:rsidP="00C05C97">
            <w:pPr>
              <w:spacing w:before="120" w:after="120"/>
              <w:jc w:val="center"/>
              <w:rPr>
                <w:color w:val="auto"/>
                <w:sz w:val="10"/>
                <w:szCs w:val="10"/>
              </w:rPr>
            </w:pPr>
            <w:r w:rsidRPr="00F9037E">
              <w:rPr>
                <w:color w:val="auto"/>
                <w:sz w:val="10"/>
                <w:szCs w:val="10"/>
              </w:rPr>
              <w:t>22.350</w:t>
            </w:r>
          </w:p>
        </w:tc>
        <w:tc>
          <w:tcPr>
            <w:tcW w:w="709" w:type="dxa"/>
            <w:shd w:val="clear" w:color="auto" w:fill="auto"/>
            <w:vAlign w:val="center"/>
          </w:tcPr>
          <w:p w14:paraId="2A24CB48" w14:textId="357436FA"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09742B3" w14:textId="466DDB41"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25E6BA0D" w14:textId="7F811C8F"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F7C4337" w14:textId="173192E3"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7D2B5B2F" w14:textId="63DCC862" w:rsidR="00D34C6F" w:rsidRPr="00F9037E" w:rsidRDefault="00D34C6F" w:rsidP="00C05C97">
            <w:pPr>
              <w:spacing w:before="120" w:after="120"/>
              <w:jc w:val="center"/>
              <w:rPr>
                <w:b/>
                <w:bCs/>
                <w:color w:val="auto"/>
                <w:sz w:val="10"/>
                <w:szCs w:val="10"/>
              </w:rPr>
            </w:pPr>
          </w:p>
        </w:tc>
        <w:tc>
          <w:tcPr>
            <w:tcW w:w="567" w:type="dxa"/>
            <w:shd w:val="clear" w:color="auto" w:fill="auto"/>
            <w:vAlign w:val="center"/>
          </w:tcPr>
          <w:p w14:paraId="035621D9" w14:textId="2800411A"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A5D3A68" w14:textId="2CCE52B2" w:rsidR="00D34C6F" w:rsidRPr="00F9037E" w:rsidRDefault="00D34C6F" w:rsidP="00C05C97">
            <w:pPr>
              <w:spacing w:before="120" w:after="120"/>
              <w:jc w:val="center"/>
              <w:rPr>
                <w:color w:val="auto"/>
                <w:sz w:val="10"/>
                <w:szCs w:val="10"/>
              </w:rPr>
            </w:pPr>
          </w:p>
        </w:tc>
        <w:tc>
          <w:tcPr>
            <w:tcW w:w="629" w:type="dxa"/>
            <w:vAlign w:val="center"/>
          </w:tcPr>
          <w:p w14:paraId="05966095" w14:textId="77777777" w:rsidR="00D34C6F" w:rsidRPr="00F9037E" w:rsidRDefault="00D34C6F" w:rsidP="00C05C97">
            <w:pPr>
              <w:spacing w:before="120" w:after="120"/>
              <w:jc w:val="center"/>
              <w:rPr>
                <w:color w:val="auto"/>
                <w:sz w:val="10"/>
                <w:szCs w:val="10"/>
              </w:rPr>
            </w:pPr>
          </w:p>
        </w:tc>
        <w:tc>
          <w:tcPr>
            <w:tcW w:w="567" w:type="dxa"/>
            <w:vAlign w:val="center"/>
          </w:tcPr>
          <w:p w14:paraId="7503DB77" w14:textId="77777777" w:rsidR="00D34C6F" w:rsidRPr="00F9037E" w:rsidRDefault="00D34C6F" w:rsidP="00C05C97">
            <w:pPr>
              <w:spacing w:before="120" w:after="120"/>
              <w:jc w:val="center"/>
              <w:rPr>
                <w:color w:val="auto"/>
                <w:sz w:val="10"/>
                <w:szCs w:val="10"/>
              </w:rPr>
            </w:pPr>
          </w:p>
        </w:tc>
        <w:tc>
          <w:tcPr>
            <w:tcW w:w="567" w:type="dxa"/>
            <w:vAlign w:val="center"/>
          </w:tcPr>
          <w:p w14:paraId="30074BEF"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22F8D24A" w14:textId="77777777" w:rsidR="00D34C6F" w:rsidRPr="00F9037E" w:rsidRDefault="00D34C6F" w:rsidP="00C05C97">
            <w:pPr>
              <w:spacing w:before="120" w:after="120"/>
              <w:jc w:val="center"/>
              <w:rPr>
                <w:color w:val="auto"/>
                <w:sz w:val="10"/>
                <w:szCs w:val="10"/>
              </w:rPr>
            </w:pPr>
            <w:r w:rsidRPr="00F9037E">
              <w:rPr>
                <w:color w:val="auto"/>
                <w:sz w:val="10"/>
                <w:szCs w:val="10"/>
              </w:rPr>
              <w:t>18.375</w:t>
            </w:r>
          </w:p>
        </w:tc>
        <w:tc>
          <w:tcPr>
            <w:tcW w:w="709" w:type="dxa"/>
            <w:shd w:val="clear" w:color="auto" w:fill="auto"/>
            <w:vAlign w:val="center"/>
          </w:tcPr>
          <w:p w14:paraId="3EA818C8" w14:textId="77777777" w:rsidR="00D34C6F" w:rsidRPr="00F9037E" w:rsidRDefault="00D34C6F" w:rsidP="00C05C97">
            <w:pPr>
              <w:spacing w:before="120" w:after="120"/>
              <w:ind w:right="-108"/>
              <w:jc w:val="center"/>
              <w:rPr>
                <w:color w:val="auto"/>
                <w:sz w:val="10"/>
                <w:szCs w:val="10"/>
              </w:rPr>
            </w:pPr>
            <w:r w:rsidRPr="00F9037E">
              <w:rPr>
                <w:color w:val="auto"/>
                <w:sz w:val="10"/>
                <w:szCs w:val="10"/>
              </w:rPr>
              <w:t>22.350</w:t>
            </w:r>
          </w:p>
        </w:tc>
        <w:tc>
          <w:tcPr>
            <w:tcW w:w="708" w:type="dxa"/>
            <w:shd w:val="clear" w:color="auto" w:fill="auto"/>
            <w:vAlign w:val="center"/>
          </w:tcPr>
          <w:p w14:paraId="51CB7776" w14:textId="02473EC0"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05B2DCA9" w14:textId="023EF530"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39C7FD5C" w14:textId="4450F713"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484F9494" w14:textId="71236D0F"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3003C9A8" w14:textId="771BD6DA"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1C5C0E58" w14:textId="020E5386" w:rsidR="00D34C6F" w:rsidRPr="00F9037E" w:rsidRDefault="00D34C6F" w:rsidP="00C05C97">
            <w:pPr>
              <w:spacing w:before="120" w:after="120"/>
              <w:jc w:val="center"/>
              <w:rPr>
                <w:b/>
                <w:color w:val="auto"/>
                <w:sz w:val="10"/>
                <w:szCs w:val="10"/>
              </w:rPr>
            </w:pPr>
          </w:p>
        </w:tc>
        <w:tc>
          <w:tcPr>
            <w:tcW w:w="567" w:type="dxa"/>
            <w:vAlign w:val="center"/>
          </w:tcPr>
          <w:p w14:paraId="129F176B" w14:textId="77777777" w:rsidR="00D34C6F" w:rsidRPr="00F9037E" w:rsidRDefault="00D34C6F" w:rsidP="00C05C97">
            <w:pPr>
              <w:spacing w:before="120" w:after="120"/>
              <w:jc w:val="center"/>
              <w:rPr>
                <w:b/>
                <w:color w:val="auto"/>
                <w:sz w:val="10"/>
                <w:szCs w:val="10"/>
              </w:rPr>
            </w:pPr>
          </w:p>
        </w:tc>
        <w:tc>
          <w:tcPr>
            <w:tcW w:w="567" w:type="dxa"/>
            <w:vAlign w:val="center"/>
          </w:tcPr>
          <w:p w14:paraId="7C52285A" w14:textId="77777777" w:rsidR="00D34C6F" w:rsidRPr="00F9037E" w:rsidRDefault="00D34C6F" w:rsidP="00C05C97">
            <w:pPr>
              <w:spacing w:before="120" w:after="120"/>
              <w:jc w:val="center"/>
              <w:rPr>
                <w:b/>
                <w:color w:val="auto"/>
                <w:sz w:val="10"/>
                <w:szCs w:val="10"/>
              </w:rPr>
            </w:pPr>
          </w:p>
        </w:tc>
        <w:tc>
          <w:tcPr>
            <w:tcW w:w="567" w:type="dxa"/>
            <w:vAlign w:val="center"/>
          </w:tcPr>
          <w:p w14:paraId="76E305A5" w14:textId="77777777" w:rsidR="00D34C6F" w:rsidRPr="00F9037E" w:rsidRDefault="00D34C6F" w:rsidP="00C05C97">
            <w:pPr>
              <w:spacing w:before="120" w:after="120"/>
              <w:jc w:val="center"/>
              <w:rPr>
                <w:b/>
                <w:color w:val="auto"/>
                <w:sz w:val="10"/>
                <w:szCs w:val="10"/>
              </w:rPr>
            </w:pPr>
          </w:p>
        </w:tc>
        <w:tc>
          <w:tcPr>
            <w:tcW w:w="567" w:type="dxa"/>
            <w:vAlign w:val="center"/>
          </w:tcPr>
          <w:p w14:paraId="7E5C7C01" w14:textId="77777777" w:rsidR="00D34C6F" w:rsidRPr="00F9037E" w:rsidRDefault="00D34C6F" w:rsidP="00C05C97">
            <w:pPr>
              <w:spacing w:before="120" w:after="120"/>
              <w:jc w:val="center"/>
              <w:rPr>
                <w:b/>
                <w:color w:val="auto"/>
                <w:sz w:val="10"/>
                <w:szCs w:val="10"/>
              </w:rPr>
            </w:pPr>
          </w:p>
        </w:tc>
      </w:tr>
      <w:tr w:rsidR="00D34C6F" w:rsidRPr="00F9037E" w14:paraId="52CF52F3" w14:textId="77777777" w:rsidTr="00C05C97">
        <w:trPr>
          <w:trHeight w:val="465"/>
          <w:jc w:val="center"/>
        </w:trPr>
        <w:tc>
          <w:tcPr>
            <w:tcW w:w="662" w:type="dxa"/>
            <w:shd w:val="clear" w:color="auto" w:fill="auto"/>
            <w:vAlign w:val="center"/>
          </w:tcPr>
          <w:p w14:paraId="65466FF4" w14:textId="77777777" w:rsidR="00D34C6F" w:rsidRPr="00F9037E" w:rsidRDefault="00D34C6F" w:rsidP="00C05C97">
            <w:pPr>
              <w:spacing w:before="120" w:after="120"/>
              <w:rPr>
                <w:color w:val="auto"/>
                <w:sz w:val="12"/>
                <w:szCs w:val="12"/>
              </w:rPr>
            </w:pPr>
            <w:r w:rsidRPr="00F9037E">
              <w:rPr>
                <w:color w:val="auto"/>
                <w:sz w:val="12"/>
                <w:szCs w:val="12"/>
              </w:rPr>
              <w:t>Australia</w:t>
            </w:r>
          </w:p>
        </w:tc>
        <w:tc>
          <w:tcPr>
            <w:tcW w:w="824" w:type="dxa"/>
            <w:shd w:val="clear" w:color="auto" w:fill="auto"/>
            <w:vAlign w:val="center"/>
          </w:tcPr>
          <w:p w14:paraId="5A41DC20" w14:textId="77777777" w:rsidR="00D34C6F" w:rsidRPr="00F9037E" w:rsidRDefault="00D34C6F" w:rsidP="00C05C97">
            <w:pPr>
              <w:spacing w:before="120" w:after="120"/>
              <w:rPr>
                <w:color w:val="auto"/>
                <w:sz w:val="12"/>
                <w:szCs w:val="12"/>
              </w:rPr>
            </w:pPr>
            <w:r w:rsidRPr="00F9037E">
              <w:rPr>
                <w:color w:val="auto"/>
                <w:sz w:val="12"/>
                <w:szCs w:val="12"/>
              </w:rPr>
              <w:t>Cut flowers – protected</w:t>
            </w:r>
          </w:p>
        </w:tc>
        <w:tc>
          <w:tcPr>
            <w:tcW w:w="708" w:type="dxa"/>
            <w:shd w:val="clear" w:color="auto" w:fill="auto"/>
            <w:vAlign w:val="center"/>
          </w:tcPr>
          <w:p w14:paraId="2BA69476" w14:textId="77777777" w:rsidR="00D34C6F" w:rsidRPr="00F9037E" w:rsidRDefault="00D34C6F" w:rsidP="00C05C97">
            <w:pPr>
              <w:spacing w:before="120" w:after="120"/>
              <w:jc w:val="center"/>
              <w:rPr>
                <w:color w:val="auto"/>
                <w:sz w:val="10"/>
                <w:szCs w:val="10"/>
              </w:rPr>
            </w:pPr>
            <w:r w:rsidRPr="00F9037E">
              <w:rPr>
                <w:color w:val="auto"/>
                <w:sz w:val="10"/>
                <w:szCs w:val="10"/>
              </w:rPr>
              <w:t>20.000</w:t>
            </w:r>
          </w:p>
        </w:tc>
        <w:tc>
          <w:tcPr>
            <w:tcW w:w="709" w:type="dxa"/>
            <w:shd w:val="clear" w:color="auto" w:fill="auto"/>
            <w:vAlign w:val="center"/>
          </w:tcPr>
          <w:p w14:paraId="309A4EBB" w14:textId="7AA6E590"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2ACB29F0" w14:textId="6FC1B3C2"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F149309" w14:textId="751A0033"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6359989C" w14:textId="0186A5EF"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7F40786D" w14:textId="2598699D"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6758F30B" w14:textId="631870D2" w:rsidR="00D34C6F" w:rsidRPr="00F9037E" w:rsidRDefault="00D34C6F" w:rsidP="00C05C97">
            <w:pPr>
              <w:spacing w:before="120" w:after="120"/>
              <w:jc w:val="center"/>
              <w:rPr>
                <w:b/>
                <w:bCs/>
                <w:color w:val="auto"/>
                <w:sz w:val="10"/>
                <w:szCs w:val="10"/>
              </w:rPr>
            </w:pPr>
          </w:p>
        </w:tc>
        <w:tc>
          <w:tcPr>
            <w:tcW w:w="567" w:type="dxa"/>
            <w:shd w:val="clear" w:color="auto" w:fill="auto"/>
            <w:vAlign w:val="center"/>
          </w:tcPr>
          <w:p w14:paraId="5A70DA2A" w14:textId="3BAD03E4"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366E700D" w14:textId="777B0AA8" w:rsidR="00D34C6F" w:rsidRPr="00F9037E" w:rsidRDefault="00D34C6F" w:rsidP="00C05C97">
            <w:pPr>
              <w:spacing w:before="120" w:after="120"/>
              <w:jc w:val="center"/>
              <w:rPr>
                <w:color w:val="auto"/>
                <w:sz w:val="10"/>
                <w:szCs w:val="10"/>
              </w:rPr>
            </w:pPr>
          </w:p>
        </w:tc>
        <w:tc>
          <w:tcPr>
            <w:tcW w:w="629" w:type="dxa"/>
            <w:vAlign w:val="center"/>
          </w:tcPr>
          <w:p w14:paraId="45CD60B0" w14:textId="77777777" w:rsidR="00D34C6F" w:rsidRPr="00F9037E" w:rsidRDefault="00D34C6F" w:rsidP="00C05C97">
            <w:pPr>
              <w:spacing w:before="120" w:after="120"/>
              <w:jc w:val="center"/>
              <w:rPr>
                <w:color w:val="auto"/>
                <w:sz w:val="10"/>
                <w:szCs w:val="10"/>
              </w:rPr>
            </w:pPr>
          </w:p>
        </w:tc>
        <w:tc>
          <w:tcPr>
            <w:tcW w:w="567" w:type="dxa"/>
            <w:vAlign w:val="center"/>
          </w:tcPr>
          <w:p w14:paraId="73032217" w14:textId="77777777" w:rsidR="00D34C6F" w:rsidRPr="00F9037E" w:rsidRDefault="00D34C6F" w:rsidP="00C05C97">
            <w:pPr>
              <w:spacing w:before="120" w:after="120"/>
              <w:jc w:val="center"/>
              <w:rPr>
                <w:color w:val="auto"/>
                <w:sz w:val="10"/>
                <w:szCs w:val="10"/>
              </w:rPr>
            </w:pPr>
          </w:p>
        </w:tc>
        <w:tc>
          <w:tcPr>
            <w:tcW w:w="567" w:type="dxa"/>
            <w:vAlign w:val="center"/>
          </w:tcPr>
          <w:p w14:paraId="5A3FCA9C"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5C4C9F0F" w14:textId="77777777" w:rsidR="00D34C6F" w:rsidRPr="00F9037E" w:rsidRDefault="00D34C6F" w:rsidP="00C05C97">
            <w:pPr>
              <w:spacing w:before="120" w:after="120"/>
              <w:jc w:val="center"/>
              <w:rPr>
                <w:color w:val="auto"/>
                <w:sz w:val="10"/>
                <w:szCs w:val="10"/>
              </w:rPr>
            </w:pPr>
            <w:r w:rsidRPr="00F9037E">
              <w:rPr>
                <w:color w:val="auto"/>
                <w:sz w:val="10"/>
                <w:szCs w:val="10"/>
              </w:rPr>
              <w:t>10.425</w:t>
            </w:r>
          </w:p>
        </w:tc>
        <w:tc>
          <w:tcPr>
            <w:tcW w:w="709" w:type="dxa"/>
            <w:shd w:val="clear" w:color="auto" w:fill="auto"/>
            <w:vAlign w:val="center"/>
          </w:tcPr>
          <w:p w14:paraId="027EDADE" w14:textId="4654BE26"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579F3703" w14:textId="3C0FA008"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120E490F" w14:textId="3E7B1FC8"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9157C32" w14:textId="147F236F"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584A6966" w14:textId="6C7F22C0"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39BA42B9" w14:textId="64652040"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399E96CA" w14:textId="169324DF" w:rsidR="00D34C6F" w:rsidRPr="00F9037E" w:rsidRDefault="00D34C6F" w:rsidP="00C05C97">
            <w:pPr>
              <w:spacing w:before="120" w:after="120"/>
              <w:jc w:val="center"/>
              <w:rPr>
                <w:b/>
                <w:color w:val="auto"/>
                <w:sz w:val="10"/>
                <w:szCs w:val="10"/>
              </w:rPr>
            </w:pPr>
          </w:p>
        </w:tc>
        <w:tc>
          <w:tcPr>
            <w:tcW w:w="567" w:type="dxa"/>
            <w:vAlign w:val="center"/>
          </w:tcPr>
          <w:p w14:paraId="140B8639" w14:textId="77777777" w:rsidR="00D34C6F" w:rsidRPr="00F9037E" w:rsidRDefault="00D34C6F" w:rsidP="00C05C97">
            <w:pPr>
              <w:spacing w:before="120" w:after="120"/>
              <w:jc w:val="center"/>
              <w:rPr>
                <w:b/>
                <w:color w:val="auto"/>
                <w:sz w:val="10"/>
                <w:szCs w:val="10"/>
              </w:rPr>
            </w:pPr>
          </w:p>
        </w:tc>
        <w:tc>
          <w:tcPr>
            <w:tcW w:w="567" w:type="dxa"/>
            <w:vAlign w:val="center"/>
          </w:tcPr>
          <w:p w14:paraId="1928ED16" w14:textId="77777777" w:rsidR="00D34C6F" w:rsidRPr="00F9037E" w:rsidRDefault="00D34C6F" w:rsidP="00C05C97">
            <w:pPr>
              <w:spacing w:before="120" w:after="120"/>
              <w:jc w:val="center"/>
              <w:rPr>
                <w:b/>
                <w:color w:val="auto"/>
                <w:sz w:val="10"/>
                <w:szCs w:val="10"/>
              </w:rPr>
            </w:pPr>
          </w:p>
        </w:tc>
        <w:tc>
          <w:tcPr>
            <w:tcW w:w="567" w:type="dxa"/>
            <w:vAlign w:val="center"/>
          </w:tcPr>
          <w:p w14:paraId="521C1732" w14:textId="77777777" w:rsidR="00D34C6F" w:rsidRPr="00F9037E" w:rsidRDefault="00D34C6F" w:rsidP="00C05C97">
            <w:pPr>
              <w:spacing w:before="120" w:after="120"/>
              <w:jc w:val="center"/>
              <w:rPr>
                <w:b/>
                <w:color w:val="auto"/>
                <w:sz w:val="10"/>
                <w:szCs w:val="10"/>
              </w:rPr>
            </w:pPr>
          </w:p>
        </w:tc>
        <w:tc>
          <w:tcPr>
            <w:tcW w:w="567" w:type="dxa"/>
            <w:vAlign w:val="center"/>
          </w:tcPr>
          <w:p w14:paraId="1AB2A777" w14:textId="77777777" w:rsidR="00D34C6F" w:rsidRPr="00F9037E" w:rsidRDefault="00D34C6F" w:rsidP="00C05C97">
            <w:pPr>
              <w:spacing w:before="120" w:after="120"/>
              <w:jc w:val="center"/>
              <w:rPr>
                <w:b/>
                <w:color w:val="auto"/>
                <w:sz w:val="10"/>
                <w:szCs w:val="10"/>
              </w:rPr>
            </w:pPr>
          </w:p>
        </w:tc>
      </w:tr>
      <w:tr w:rsidR="00D34C6F" w:rsidRPr="00F9037E" w14:paraId="41518CDF" w14:textId="77777777" w:rsidTr="00C05C97">
        <w:trPr>
          <w:trHeight w:val="915"/>
          <w:jc w:val="center"/>
        </w:trPr>
        <w:tc>
          <w:tcPr>
            <w:tcW w:w="662" w:type="dxa"/>
            <w:shd w:val="clear" w:color="auto" w:fill="auto"/>
            <w:vAlign w:val="center"/>
          </w:tcPr>
          <w:p w14:paraId="76AE227E" w14:textId="77777777" w:rsidR="00D34C6F" w:rsidRPr="00F9037E" w:rsidRDefault="00D34C6F" w:rsidP="00C05C97">
            <w:pPr>
              <w:spacing w:before="120" w:after="120"/>
              <w:rPr>
                <w:color w:val="auto"/>
                <w:sz w:val="12"/>
                <w:szCs w:val="12"/>
              </w:rPr>
            </w:pPr>
            <w:r w:rsidRPr="00F9037E">
              <w:rPr>
                <w:color w:val="auto"/>
                <w:sz w:val="12"/>
                <w:szCs w:val="12"/>
              </w:rPr>
              <w:t>Australia</w:t>
            </w:r>
          </w:p>
        </w:tc>
        <w:tc>
          <w:tcPr>
            <w:tcW w:w="824" w:type="dxa"/>
            <w:shd w:val="clear" w:color="auto" w:fill="auto"/>
            <w:vAlign w:val="center"/>
          </w:tcPr>
          <w:p w14:paraId="116E4366" w14:textId="77777777" w:rsidR="00D34C6F" w:rsidRPr="00F9037E" w:rsidRDefault="00D34C6F" w:rsidP="00C05C97">
            <w:pPr>
              <w:spacing w:before="120" w:after="120"/>
              <w:rPr>
                <w:color w:val="auto"/>
                <w:sz w:val="12"/>
                <w:szCs w:val="12"/>
              </w:rPr>
            </w:pPr>
            <w:r w:rsidRPr="00F9037E">
              <w:rPr>
                <w:color w:val="auto"/>
                <w:sz w:val="12"/>
                <w:szCs w:val="12"/>
              </w:rPr>
              <w:t>Cut flowers, bulbs – protected Vic</w:t>
            </w:r>
          </w:p>
        </w:tc>
        <w:tc>
          <w:tcPr>
            <w:tcW w:w="708" w:type="dxa"/>
            <w:shd w:val="clear" w:color="auto" w:fill="auto"/>
            <w:vAlign w:val="center"/>
          </w:tcPr>
          <w:p w14:paraId="4E1C4AD7" w14:textId="77777777" w:rsidR="00D34C6F" w:rsidRPr="00F9037E" w:rsidRDefault="00D34C6F" w:rsidP="00C05C97">
            <w:pPr>
              <w:spacing w:before="120" w:after="120"/>
              <w:jc w:val="center"/>
              <w:rPr>
                <w:color w:val="auto"/>
                <w:sz w:val="10"/>
                <w:szCs w:val="10"/>
              </w:rPr>
            </w:pPr>
            <w:r w:rsidRPr="00F9037E">
              <w:rPr>
                <w:color w:val="auto"/>
                <w:sz w:val="10"/>
                <w:szCs w:val="10"/>
              </w:rPr>
              <w:t>7.000</w:t>
            </w:r>
          </w:p>
        </w:tc>
        <w:tc>
          <w:tcPr>
            <w:tcW w:w="709" w:type="dxa"/>
            <w:shd w:val="clear" w:color="auto" w:fill="auto"/>
            <w:vAlign w:val="center"/>
          </w:tcPr>
          <w:p w14:paraId="2E6FE915" w14:textId="77777777" w:rsidR="00D34C6F" w:rsidRPr="00F9037E" w:rsidRDefault="00D34C6F" w:rsidP="00C05C97">
            <w:pPr>
              <w:spacing w:before="120" w:after="120"/>
              <w:jc w:val="center"/>
              <w:rPr>
                <w:color w:val="auto"/>
                <w:sz w:val="10"/>
                <w:szCs w:val="10"/>
              </w:rPr>
            </w:pPr>
            <w:r w:rsidRPr="00F9037E">
              <w:rPr>
                <w:color w:val="auto"/>
                <w:sz w:val="10"/>
                <w:szCs w:val="10"/>
              </w:rPr>
              <w:t>7.000</w:t>
            </w:r>
          </w:p>
        </w:tc>
        <w:tc>
          <w:tcPr>
            <w:tcW w:w="709" w:type="dxa"/>
            <w:shd w:val="clear" w:color="auto" w:fill="auto"/>
            <w:vAlign w:val="center"/>
          </w:tcPr>
          <w:p w14:paraId="164D8F57" w14:textId="77777777" w:rsidR="00D34C6F" w:rsidRPr="00F9037E" w:rsidRDefault="00D34C6F" w:rsidP="00C05C97">
            <w:pPr>
              <w:spacing w:before="120" w:after="120"/>
              <w:jc w:val="center"/>
              <w:rPr>
                <w:color w:val="auto"/>
                <w:sz w:val="10"/>
                <w:szCs w:val="10"/>
              </w:rPr>
            </w:pPr>
            <w:r w:rsidRPr="00F9037E">
              <w:rPr>
                <w:color w:val="auto"/>
                <w:sz w:val="10"/>
                <w:szCs w:val="10"/>
              </w:rPr>
              <w:t>6.170</w:t>
            </w:r>
          </w:p>
        </w:tc>
        <w:tc>
          <w:tcPr>
            <w:tcW w:w="567" w:type="dxa"/>
            <w:shd w:val="clear" w:color="auto" w:fill="auto"/>
            <w:vAlign w:val="center"/>
          </w:tcPr>
          <w:p w14:paraId="3880C5BC" w14:textId="77777777" w:rsidR="00D34C6F" w:rsidRPr="00F9037E" w:rsidRDefault="00D34C6F" w:rsidP="00C05C97">
            <w:pPr>
              <w:spacing w:before="120" w:after="120"/>
              <w:jc w:val="center"/>
              <w:rPr>
                <w:color w:val="auto"/>
                <w:sz w:val="10"/>
                <w:szCs w:val="10"/>
              </w:rPr>
            </w:pPr>
            <w:r w:rsidRPr="00F9037E">
              <w:rPr>
                <w:color w:val="auto"/>
                <w:sz w:val="10"/>
                <w:szCs w:val="10"/>
              </w:rPr>
              <w:t>6.150</w:t>
            </w:r>
          </w:p>
        </w:tc>
        <w:tc>
          <w:tcPr>
            <w:tcW w:w="709" w:type="dxa"/>
            <w:shd w:val="clear" w:color="auto" w:fill="auto"/>
            <w:vAlign w:val="center"/>
          </w:tcPr>
          <w:p w14:paraId="3F2EA1ED" w14:textId="25FA4EE3"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7B06D8C3" w14:textId="0EB12612"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50B69E9C" w14:textId="3D0E3E95" w:rsidR="00D34C6F" w:rsidRPr="00F9037E" w:rsidRDefault="00D34C6F" w:rsidP="00C05C97">
            <w:pPr>
              <w:spacing w:before="120" w:after="120"/>
              <w:jc w:val="center"/>
              <w:rPr>
                <w:b/>
                <w:bCs/>
                <w:color w:val="auto"/>
                <w:sz w:val="10"/>
                <w:szCs w:val="10"/>
              </w:rPr>
            </w:pPr>
          </w:p>
        </w:tc>
        <w:tc>
          <w:tcPr>
            <w:tcW w:w="567" w:type="dxa"/>
            <w:shd w:val="clear" w:color="auto" w:fill="auto"/>
            <w:vAlign w:val="center"/>
          </w:tcPr>
          <w:p w14:paraId="08EFA490" w14:textId="66839CE3"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C88CC47" w14:textId="6226AA99" w:rsidR="00D34C6F" w:rsidRPr="00F9037E" w:rsidRDefault="00D34C6F" w:rsidP="00C05C97">
            <w:pPr>
              <w:spacing w:before="120" w:after="120"/>
              <w:jc w:val="center"/>
              <w:rPr>
                <w:color w:val="auto"/>
                <w:sz w:val="10"/>
                <w:szCs w:val="10"/>
              </w:rPr>
            </w:pPr>
          </w:p>
        </w:tc>
        <w:tc>
          <w:tcPr>
            <w:tcW w:w="629" w:type="dxa"/>
            <w:vAlign w:val="center"/>
          </w:tcPr>
          <w:p w14:paraId="5711A0D3" w14:textId="77777777" w:rsidR="00D34C6F" w:rsidRPr="00F9037E" w:rsidRDefault="00D34C6F" w:rsidP="00C05C97">
            <w:pPr>
              <w:spacing w:before="120" w:after="120"/>
              <w:jc w:val="center"/>
              <w:rPr>
                <w:color w:val="auto"/>
                <w:sz w:val="10"/>
                <w:szCs w:val="10"/>
              </w:rPr>
            </w:pPr>
          </w:p>
        </w:tc>
        <w:tc>
          <w:tcPr>
            <w:tcW w:w="567" w:type="dxa"/>
            <w:vAlign w:val="center"/>
          </w:tcPr>
          <w:p w14:paraId="5A53A12F" w14:textId="77777777" w:rsidR="00D34C6F" w:rsidRPr="00F9037E" w:rsidRDefault="00D34C6F" w:rsidP="00C05C97">
            <w:pPr>
              <w:spacing w:before="120" w:after="120"/>
              <w:jc w:val="center"/>
              <w:rPr>
                <w:color w:val="auto"/>
                <w:sz w:val="10"/>
                <w:szCs w:val="10"/>
              </w:rPr>
            </w:pPr>
          </w:p>
        </w:tc>
        <w:tc>
          <w:tcPr>
            <w:tcW w:w="567" w:type="dxa"/>
            <w:vAlign w:val="center"/>
          </w:tcPr>
          <w:p w14:paraId="555B5C71"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2CF6491F" w14:textId="77777777" w:rsidR="00D34C6F" w:rsidRPr="00F9037E" w:rsidRDefault="00D34C6F" w:rsidP="00C05C97">
            <w:pPr>
              <w:spacing w:before="120" w:after="120"/>
              <w:jc w:val="center"/>
              <w:rPr>
                <w:color w:val="auto"/>
                <w:sz w:val="10"/>
                <w:szCs w:val="10"/>
              </w:rPr>
            </w:pPr>
            <w:r w:rsidRPr="00F9037E">
              <w:rPr>
                <w:color w:val="auto"/>
                <w:sz w:val="10"/>
                <w:szCs w:val="10"/>
              </w:rPr>
              <w:t>7.000</w:t>
            </w:r>
          </w:p>
        </w:tc>
        <w:tc>
          <w:tcPr>
            <w:tcW w:w="709" w:type="dxa"/>
            <w:shd w:val="clear" w:color="auto" w:fill="auto"/>
            <w:vAlign w:val="center"/>
          </w:tcPr>
          <w:p w14:paraId="7F5FFD94" w14:textId="77777777" w:rsidR="00D34C6F" w:rsidRPr="00F9037E" w:rsidRDefault="00D34C6F" w:rsidP="00C05C97">
            <w:pPr>
              <w:spacing w:before="120" w:after="120"/>
              <w:jc w:val="center"/>
              <w:rPr>
                <w:color w:val="auto"/>
                <w:sz w:val="10"/>
                <w:szCs w:val="10"/>
              </w:rPr>
            </w:pPr>
            <w:r w:rsidRPr="00F9037E">
              <w:rPr>
                <w:color w:val="auto"/>
                <w:sz w:val="10"/>
                <w:szCs w:val="10"/>
              </w:rPr>
              <w:t>7.000</w:t>
            </w:r>
          </w:p>
        </w:tc>
        <w:tc>
          <w:tcPr>
            <w:tcW w:w="708" w:type="dxa"/>
            <w:shd w:val="clear" w:color="auto" w:fill="auto"/>
            <w:vAlign w:val="center"/>
          </w:tcPr>
          <w:p w14:paraId="2090165F" w14:textId="77777777" w:rsidR="00D34C6F" w:rsidRPr="00F9037E" w:rsidRDefault="00D34C6F" w:rsidP="00C05C97">
            <w:pPr>
              <w:spacing w:before="120" w:after="120"/>
              <w:jc w:val="center"/>
              <w:rPr>
                <w:color w:val="auto"/>
                <w:sz w:val="10"/>
                <w:szCs w:val="10"/>
              </w:rPr>
            </w:pPr>
            <w:r w:rsidRPr="00F9037E">
              <w:rPr>
                <w:color w:val="auto"/>
                <w:sz w:val="10"/>
                <w:szCs w:val="10"/>
              </w:rPr>
              <w:t>3.598</w:t>
            </w:r>
          </w:p>
        </w:tc>
        <w:tc>
          <w:tcPr>
            <w:tcW w:w="709" w:type="dxa"/>
            <w:shd w:val="clear" w:color="auto" w:fill="auto"/>
            <w:vAlign w:val="center"/>
          </w:tcPr>
          <w:p w14:paraId="52B6FAE0" w14:textId="77777777" w:rsidR="00D34C6F" w:rsidRPr="00F9037E" w:rsidRDefault="00D34C6F" w:rsidP="00C05C97">
            <w:pPr>
              <w:spacing w:before="120" w:after="120"/>
              <w:jc w:val="center"/>
              <w:rPr>
                <w:color w:val="auto"/>
                <w:sz w:val="10"/>
                <w:szCs w:val="10"/>
              </w:rPr>
            </w:pPr>
            <w:r w:rsidRPr="00F9037E">
              <w:rPr>
                <w:color w:val="auto"/>
                <w:sz w:val="10"/>
                <w:szCs w:val="10"/>
              </w:rPr>
              <w:t>3.500</w:t>
            </w:r>
          </w:p>
        </w:tc>
        <w:tc>
          <w:tcPr>
            <w:tcW w:w="567" w:type="dxa"/>
            <w:shd w:val="clear" w:color="auto" w:fill="auto"/>
            <w:vAlign w:val="center"/>
          </w:tcPr>
          <w:p w14:paraId="50C33E56" w14:textId="006B8C46"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6D3B56B6" w14:textId="38F100FE"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87A6C6C" w14:textId="10BFE685"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2B9E18B8" w14:textId="2CFB3DE1" w:rsidR="00D34C6F" w:rsidRPr="00F9037E" w:rsidRDefault="00D34C6F" w:rsidP="00C05C97">
            <w:pPr>
              <w:spacing w:before="120" w:after="120"/>
              <w:jc w:val="center"/>
              <w:rPr>
                <w:b/>
                <w:color w:val="auto"/>
                <w:sz w:val="10"/>
                <w:szCs w:val="10"/>
              </w:rPr>
            </w:pPr>
          </w:p>
        </w:tc>
        <w:tc>
          <w:tcPr>
            <w:tcW w:w="567" w:type="dxa"/>
            <w:vAlign w:val="center"/>
          </w:tcPr>
          <w:p w14:paraId="6B270822" w14:textId="77777777" w:rsidR="00D34C6F" w:rsidRPr="00F9037E" w:rsidRDefault="00D34C6F" w:rsidP="00C05C97">
            <w:pPr>
              <w:spacing w:before="120" w:after="120"/>
              <w:jc w:val="center"/>
              <w:rPr>
                <w:b/>
                <w:color w:val="auto"/>
                <w:sz w:val="10"/>
                <w:szCs w:val="10"/>
              </w:rPr>
            </w:pPr>
          </w:p>
        </w:tc>
        <w:tc>
          <w:tcPr>
            <w:tcW w:w="567" w:type="dxa"/>
            <w:vAlign w:val="center"/>
          </w:tcPr>
          <w:p w14:paraId="536FF085" w14:textId="77777777" w:rsidR="00D34C6F" w:rsidRPr="00F9037E" w:rsidRDefault="00D34C6F" w:rsidP="00C05C97">
            <w:pPr>
              <w:spacing w:before="120" w:after="120"/>
              <w:jc w:val="center"/>
              <w:rPr>
                <w:b/>
                <w:color w:val="auto"/>
                <w:sz w:val="10"/>
                <w:szCs w:val="10"/>
              </w:rPr>
            </w:pPr>
          </w:p>
        </w:tc>
        <w:tc>
          <w:tcPr>
            <w:tcW w:w="567" w:type="dxa"/>
            <w:vAlign w:val="center"/>
          </w:tcPr>
          <w:p w14:paraId="086AF503" w14:textId="77777777" w:rsidR="00D34C6F" w:rsidRPr="00F9037E" w:rsidRDefault="00D34C6F" w:rsidP="00C05C97">
            <w:pPr>
              <w:spacing w:before="120" w:after="120"/>
              <w:jc w:val="center"/>
              <w:rPr>
                <w:b/>
                <w:color w:val="auto"/>
                <w:sz w:val="10"/>
                <w:szCs w:val="10"/>
              </w:rPr>
            </w:pPr>
          </w:p>
        </w:tc>
        <w:tc>
          <w:tcPr>
            <w:tcW w:w="567" w:type="dxa"/>
            <w:vAlign w:val="center"/>
          </w:tcPr>
          <w:p w14:paraId="0A462DA3" w14:textId="77777777" w:rsidR="00D34C6F" w:rsidRPr="00F9037E" w:rsidRDefault="00D34C6F" w:rsidP="00C05C97">
            <w:pPr>
              <w:spacing w:before="120" w:after="120"/>
              <w:jc w:val="center"/>
              <w:rPr>
                <w:b/>
                <w:color w:val="auto"/>
                <w:sz w:val="10"/>
                <w:szCs w:val="10"/>
              </w:rPr>
            </w:pPr>
          </w:p>
        </w:tc>
      </w:tr>
      <w:tr w:rsidR="00D34C6F" w:rsidRPr="00F9037E" w14:paraId="25AFB76E" w14:textId="77777777" w:rsidTr="00C05C97">
        <w:trPr>
          <w:trHeight w:val="465"/>
          <w:jc w:val="center"/>
        </w:trPr>
        <w:tc>
          <w:tcPr>
            <w:tcW w:w="662" w:type="dxa"/>
            <w:shd w:val="clear" w:color="auto" w:fill="auto"/>
            <w:vAlign w:val="center"/>
          </w:tcPr>
          <w:p w14:paraId="70962BDD" w14:textId="77777777" w:rsidR="00D34C6F" w:rsidRPr="00F9037E" w:rsidRDefault="00D34C6F" w:rsidP="00C05C97">
            <w:pPr>
              <w:spacing w:before="120" w:after="120"/>
              <w:rPr>
                <w:color w:val="auto"/>
                <w:sz w:val="12"/>
                <w:szCs w:val="12"/>
              </w:rPr>
            </w:pPr>
            <w:r w:rsidRPr="00F9037E">
              <w:rPr>
                <w:color w:val="auto"/>
                <w:sz w:val="12"/>
                <w:szCs w:val="12"/>
              </w:rPr>
              <w:t>Australia</w:t>
            </w:r>
          </w:p>
        </w:tc>
        <w:tc>
          <w:tcPr>
            <w:tcW w:w="824" w:type="dxa"/>
            <w:shd w:val="clear" w:color="auto" w:fill="auto"/>
            <w:vAlign w:val="center"/>
          </w:tcPr>
          <w:p w14:paraId="4C1DA9DB" w14:textId="77777777" w:rsidR="00D34C6F" w:rsidRPr="00F9037E" w:rsidRDefault="00D34C6F" w:rsidP="00C05C97">
            <w:pPr>
              <w:spacing w:before="120" w:after="120"/>
              <w:rPr>
                <w:color w:val="auto"/>
                <w:sz w:val="12"/>
                <w:szCs w:val="12"/>
              </w:rPr>
            </w:pPr>
            <w:r w:rsidRPr="00F9037E">
              <w:rPr>
                <w:color w:val="auto"/>
                <w:sz w:val="12"/>
                <w:szCs w:val="12"/>
              </w:rPr>
              <w:t>Strawberry Fruit</w:t>
            </w:r>
          </w:p>
        </w:tc>
        <w:tc>
          <w:tcPr>
            <w:tcW w:w="708" w:type="dxa"/>
            <w:shd w:val="clear" w:color="auto" w:fill="auto"/>
            <w:vAlign w:val="center"/>
          </w:tcPr>
          <w:p w14:paraId="290A180B" w14:textId="77777777" w:rsidR="00D34C6F" w:rsidRPr="00F9037E" w:rsidRDefault="00D34C6F" w:rsidP="00C05C97">
            <w:pPr>
              <w:spacing w:before="120" w:after="120"/>
              <w:jc w:val="center"/>
              <w:rPr>
                <w:color w:val="auto"/>
                <w:sz w:val="10"/>
                <w:szCs w:val="10"/>
              </w:rPr>
            </w:pPr>
            <w:r w:rsidRPr="00F9037E">
              <w:rPr>
                <w:color w:val="auto"/>
                <w:sz w:val="10"/>
                <w:szCs w:val="10"/>
              </w:rPr>
              <w:t>90.000</w:t>
            </w:r>
          </w:p>
        </w:tc>
        <w:tc>
          <w:tcPr>
            <w:tcW w:w="709" w:type="dxa"/>
            <w:shd w:val="clear" w:color="auto" w:fill="auto"/>
            <w:vAlign w:val="center"/>
          </w:tcPr>
          <w:p w14:paraId="03491D8A" w14:textId="3D81B81B"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26FEEBCF" w14:textId="3480B5B5"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CA93248" w14:textId="48C7A8AF"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21FAA29D" w14:textId="2E9F29CD"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273D2C31" w14:textId="2B136A5A"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70D50E64" w14:textId="22E3C01C" w:rsidR="00D34C6F" w:rsidRPr="00F9037E" w:rsidRDefault="00D34C6F" w:rsidP="00C05C97">
            <w:pPr>
              <w:spacing w:before="120" w:after="120"/>
              <w:jc w:val="center"/>
              <w:rPr>
                <w:b/>
                <w:bCs/>
                <w:color w:val="auto"/>
                <w:sz w:val="10"/>
                <w:szCs w:val="10"/>
              </w:rPr>
            </w:pPr>
          </w:p>
        </w:tc>
        <w:tc>
          <w:tcPr>
            <w:tcW w:w="567" w:type="dxa"/>
            <w:shd w:val="clear" w:color="auto" w:fill="auto"/>
            <w:vAlign w:val="center"/>
          </w:tcPr>
          <w:p w14:paraId="3896142E" w14:textId="164DBB9B"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7090FA4E" w14:textId="3F22DD16" w:rsidR="00D34C6F" w:rsidRPr="00F9037E" w:rsidRDefault="00D34C6F" w:rsidP="00C05C97">
            <w:pPr>
              <w:spacing w:before="120" w:after="120"/>
              <w:jc w:val="center"/>
              <w:rPr>
                <w:color w:val="auto"/>
                <w:sz w:val="10"/>
                <w:szCs w:val="10"/>
              </w:rPr>
            </w:pPr>
          </w:p>
        </w:tc>
        <w:tc>
          <w:tcPr>
            <w:tcW w:w="629" w:type="dxa"/>
            <w:vAlign w:val="center"/>
          </w:tcPr>
          <w:p w14:paraId="04DF7B20" w14:textId="77777777" w:rsidR="00D34C6F" w:rsidRPr="00F9037E" w:rsidRDefault="00D34C6F" w:rsidP="00C05C97">
            <w:pPr>
              <w:spacing w:before="120" w:after="120"/>
              <w:jc w:val="center"/>
              <w:rPr>
                <w:color w:val="auto"/>
                <w:sz w:val="10"/>
                <w:szCs w:val="10"/>
              </w:rPr>
            </w:pPr>
          </w:p>
        </w:tc>
        <w:tc>
          <w:tcPr>
            <w:tcW w:w="567" w:type="dxa"/>
            <w:vAlign w:val="center"/>
          </w:tcPr>
          <w:p w14:paraId="0C83269D" w14:textId="77777777" w:rsidR="00D34C6F" w:rsidRPr="00F9037E" w:rsidRDefault="00D34C6F" w:rsidP="00C05C97">
            <w:pPr>
              <w:spacing w:before="120" w:after="120"/>
              <w:jc w:val="center"/>
              <w:rPr>
                <w:color w:val="auto"/>
                <w:sz w:val="10"/>
                <w:szCs w:val="10"/>
              </w:rPr>
            </w:pPr>
          </w:p>
        </w:tc>
        <w:tc>
          <w:tcPr>
            <w:tcW w:w="567" w:type="dxa"/>
            <w:vAlign w:val="center"/>
          </w:tcPr>
          <w:p w14:paraId="1E6CFA0D"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55C19438" w14:textId="77777777" w:rsidR="00D34C6F" w:rsidRPr="00F9037E" w:rsidRDefault="00D34C6F" w:rsidP="00C05C97">
            <w:pPr>
              <w:spacing w:before="120" w:after="120"/>
              <w:jc w:val="center"/>
              <w:rPr>
                <w:color w:val="auto"/>
                <w:sz w:val="10"/>
                <w:szCs w:val="10"/>
              </w:rPr>
            </w:pPr>
            <w:r w:rsidRPr="00F9037E">
              <w:rPr>
                <w:color w:val="auto"/>
                <w:sz w:val="10"/>
                <w:szCs w:val="10"/>
              </w:rPr>
              <w:t>67.000</w:t>
            </w:r>
          </w:p>
        </w:tc>
        <w:tc>
          <w:tcPr>
            <w:tcW w:w="709" w:type="dxa"/>
            <w:shd w:val="clear" w:color="auto" w:fill="auto"/>
            <w:vAlign w:val="center"/>
          </w:tcPr>
          <w:p w14:paraId="7E601DD4" w14:textId="37885C2D"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48654706" w14:textId="0544F342"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70629881" w14:textId="4134D456"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1817936" w14:textId="22C2CB46"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2F13D945" w14:textId="25FD02B7"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2782FEF0" w14:textId="765DE87D"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677B12FA" w14:textId="0BAD0497" w:rsidR="00D34C6F" w:rsidRPr="00F9037E" w:rsidRDefault="00D34C6F" w:rsidP="00C05C97">
            <w:pPr>
              <w:spacing w:before="120" w:after="120"/>
              <w:jc w:val="center"/>
              <w:rPr>
                <w:b/>
                <w:color w:val="auto"/>
                <w:sz w:val="10"/>
                <w:szCs w:val="10"/>
              </w:rPr>
            </w:pPr>
          </w:p>
        </w:tc>
        <w:tc>
          <w:tcPr>
            <w:tcW w:w="567" w:type="dxa"/>
            <w:vAlign w:val="center"/>
          </w:tcPr>
          <w:p w14:paraId="77940032" w14:textId="77777777" w:rsidR="00D34C6F" w:rsidRPr="00F9037E" w:rsidRDefault="00D34C6F" w:rsidP="00C05C97">
            <w:pPr>
              <w:spacing w:before="120" w:after="120"/>
              <w:jc w:val="center"/>
              <w:rPr>
                <w:b/>
                <w:color w:val="auto"/>
                <w:sz w:val="10"/>
                <w:szCs w:val="10"/>
              </w:rPr>
            </w:pPr>
          </w:p>
        </w:tc>
        <w:tc>
          <w:tcPr>
            <w:tcW w:w="567" w:type="dxa"/>
            <w:vAlign w:val="center"/>
          </w:tcPr>
          <w:p w14:paraId="03D87647" w14:textId="77777777" w:rsidR="00D34C6F" w:rsidRPr="00F9037E" w:rsidRDefault="00D34C6F" w:rsidP="00C05C97">
            <w:pPr>
              <w:spacing w:before="120" w:after="120"/>
              <w:jc w:val="center"/>
              <w:rPr>
                <w:b/>
                <w:color w:val="auto"/>
                <w:sz w:val="10"/>
                <w:szCs w:val="10"/>
              </w:rPr>
            </w:pPr>
          </w:p>
        </w:tc>
        <w:tc>
          <w:tcPr>
            <w:tcW w:w="567" w:type="dxa"/>
            <w:vAlign w:val="center"/>
          </w:tcPr>
          <w:p w14:paraId="223E3BDD" w14:textId="77777777" w:rsidR="00D34C6F" w:rsidRPr="00F9037E" w:rsidRDefault="00D34C6F" w:rsidP="00C05C97">
            <w:pPr>
              <w:spacing w:before="120" w:after="120"/>
              <w:jc w:val="center"/>
              <w:rPr>
                <w:b/>
                <w:color w:val="auto"/>
                <w:sz w:val="10"/>
                <w:szCs w:val="10"/>
              </w:rPr>
            </w:pPr>
          </w:p>
        </w:tc>
        <w:tc>
          <w:tcPr>
            <w:tcW w:w="567" w:type="dxa"/>
            <w:vAlign w:val="center"/>
          </w:tcPr>
          <w:p w14:paraId="488B5E5B" w14:textId="77777777" w:rsidR="00D34C6F" w:rsidRPr="00F9037E" w:rsidRDefault="00D34C6F" w:rsidP="00C05C97">
            <w:pPr>
              <w:spacing w:before="120" w:after="120"/>
              <w:jc w:val="center"/>
              <w:rPr>
                <w:b/>
                <w:color w:val="auto"/>
                <w:sz w:val="10"/>
                <w:szCs w:val="10"/>
              </w:rPr>
            </w:pPr>
          </w:p>
        </w:tc>
      </w:tr>
      <w:tr w:rsidR="00D34C6F" w:rsidRPr="00F9037E" w14:paraId="721B1156" w14:textId="77777777" w:rsidTr="00C05C97">
        <w:trPr>
          <w:trHeight w:val="465"/>
          <w:jc w:val="center"/>
        </w:trPr>
        <w:tc>
          <w:tcPr>
            <w:tcW w:w="662" w:type="dxa"/>
            <w:shd w:val="clear" w:color="auto" w:fill="auto"/>
            <w:vAlign w:val="center"/>
          </w:tcPr>
          <w:p w14:paraId="611CBFCA" w14:textId="77777777" w:rsidR="00D34C6F" w:rsidRPr="00F9037E" w:rsidRDefault="00D34C6F" w:rsidP="00C05C97">
            <w:pPr>
              <w:spacing w:before="120" w:after="120"/>
              <w:rPr>
                <w:color w:val="auto"/>
                <w:sz w:val="12"/>
                <w:szCs w:val="12"/>
              </w:rPr>
            </w:pPr>
            <w:r w:rsidRPr="00F9037E">
              <w:rPr>
                <w:color w:val="auto"/>
                <w:sz w:val="12"/>
                <w:szCs w:val="12"/>
              </w:rPr>
              <w:t>Australia</w:t>
            </w:r>
          </w:p>
        </w:tc>
        <w:tc>
          <w:tcPr>
            <w:tcW w:w="824" w:type="dxa"/>
            <w:shd w:val="clear" w:color="auto" w:fill="auto"/>
            <w:vAlign w:val="center"/>
          </w:tcPr>
          <w:p w14:paraId="26F69781" w14:textId="77777777" w:rsidR="00D34C6F" w:rsidRPr="00F9037E" w:rsidRDefault="00D34C6F" w:rsidP="00C05C97">
            <w:pPr>
              <w:spacing w:before="120" w:after="120"/>
              <w:rPr>
                <w:color w:val="auto"/>
                <w:sz w:val="12"/>
                <w:szCs w:val="12"/>
              </w:rPr>
            </w:pPr>
            <w:r w:rsidRPr="00F9037E">
              <w:rPr>
                <w:color w:val="auto"/>
                <w:sz w:val="12"/>
                <w:szCs w:val="12"/>
              </w:rPr>
              <w:t>Strawberry runners</w:t>
            </w:r>
          </w:p>
        </w:tc>
        <w:tc>
          <w:tcPr>
            <w:tcW w:w="708" w:type="dxa"/>
            <w:shd w:val="clear" w:color="auto" w:fill="auto"/>
            <w:vAlign w:val="center"/>
          </w:tcPr>
          <w:p w14:paraId="5D1EF1A6" w14:textId="77777777" w:rsidR="00D34C6F" w:rsidRPr="00F9037E" w:rsidRDefault="00D34C6F" w:rsidP="00C05C97">
            <w:pPr>
              <w:spacing w:before="120" w:after="120"/>
              <w:jc w:val="center"/>
              <w:rPr>
                <w:color w:val="auto"/>
                <w:sz w:val="10"/>
                <w:szCs w:val="10"/>
              </w:rPr>
            </w:pPr>
            <w:r w:rsidRPr="00F9037E">
              <w:rPr>
                <w:color w:val="auto"/>
                <w:sz w:val="10"/>
                <w:szCs w:val="10"/>
              </w:rPr>
              <w:t>35.750</w:t>
            </w:r>
          </w:p>
        </w:tc>
        <w:tc>
          <w:tcPr>
            <w:tcW w:w="709" w:type="dxa"/>
            <w:shd w:val="clear" w:color="auto" w:fill="auto"/>
            <w:vAlign w:val="center"/>
          </w:tcPr>
          <w:p w14:paraId="07295994" w14:textId="77777777" w:rsidR="00D34C6F" w:rsidRPr="00F9037E" w:rsidRDefault="00D34C6F" w:rsidP="00C05C97">
            <w:pPr>
              <w:spacing w:before="120" w:after="120"/>
              <w:jc w:val="center"/>
              <w:rPr>
                <w:color w:val="auto"/>
                <w:sz w:val="10"/>
                <w:szCs w:val="10"/>
              </w:rPr>
            </w:pPr>
            <w:r w:rsidRPr="00F9037E">
              <w:rPr>
                <w:color w:val="auto"/>
                <w:sz w:val="10"/>
                <w:szCs w:val="10"/>
              </w:rPr>
              <w:t>37.500</w:t>
            </w:r>
          </w:p>
        </w:tc>
        <w:tc>
          <w:tcPr>
            <w:tcW w:w="709" w:type="dxa"/>
            <w:shd w:val="clear" w:color="auto" w:fill="auto"/>
            <w:vAlign w:val="center"/>
          </w:tcPr>
          <w:p w14:paraId="585E484C" w14:textId="77777777" w:rsidR="00D34C6F" w:rsidRPr="00F9037E" w:rsidRDefault="00D34C6F" w:rsidP="00C05C97">
            <w:pPr>
              <w:spacing w:before="120" w:after="120"/>
              <w:jc w:val="center"/>
              <w:rPr>
                <w:color w:val="auto"/>
                <w:sz w:val="10"/>
                <w:szCs w:val="10"/>
              </w:rPr>
            </w:pPr>
            <w:r w:rsidRPr="00F9037E">
              <w:rPr>
                <w:color w:val="auto"/>
                <w:sz w:val="10"/>
                <w:szCs w:val="10"/>
              </w:rPr>
              <w:t>35.750</w:t>
            </w:r>
          </w:p>
        </w:tc>
        <w:tc>
          <w:tcPr>
            <w:tcW w:w="567" w:type="dxa"/>
            <w:shd w:val="clear" w:color="auto" w:fill="auto"/>
            <w:vAlign w:val="center"/>
          </w:tcPr>
          <w:p w14:paraId="34087B07" w14:textId="77777777" w:rsidR="00D34C6F" w:rsidRPr="00F9037E" w:rsidRDefault="00D34C6F" w:rsidP="00C05C97">
            <w:pPr>
              <w:spacing w:before="120" w:after="120"/>
              <w:jc w:val="center"/>
              <w:rPr>
                <w:color w:val="auto"/>
                <w:sz w:val="10"/>
                <w:szCs w:val="10"/>
              </w:rPr>
            </w:pPr>
            <w:r w:rsidRPr="00F9037E">
              <w:rPr>
                <w:color w:val="auto"/>
                <w:sz w:val="10"/>
                <w:szCs w:val="10"/>
              </w:rPr>
              <w:t>35.750</w:t>
            </w:r>
          </w:p>
        </w:tc>
        <w:tc>
          <w:tcPr>
            <w:tcW w:w="709" w:type="dxa"/>
            <w:shd w:val="clear" w:color="auto" w:fill="auto"/>
            <w:vAlign w:val="center"/>
          </w:tcPr>
          <w:p w14:paraId="44649934" w14:textId="77777777" w:rsidR="00D34C6F" w:rsidRPr="00F9037E" w:rsidRDefault="00D34C6F" w:rsidP="00C05C97">
            <w:pPr>
              <w:spacing w:before="120" w:after="120"/>
              <w:jc w:val="center"/>
              <w:rPr>
                <w:color w:val="auto"/>
                <w:sz w:val="10"/>
                <w:szCs w:val="10"/>
              </w:rPr>
            </w:pPr>
            <w:r w:rsidRPr="00F9037E">
              <w:rPr>
                <w:color w:val="auto"/>
                <w:sz w:val="10"/>
                <w:szCs w:val="10"/>
              </w:rPr>
              <w:t>29.790</w:t>
            </w:r>
          </w:p>
        </w:tc>
        <w:tc>
          <w:tcPr>
            <w:tcW w:w="567" w:type="dxa"/>
            <w:shd w:val="clear" w:color="auto" w:fill="auto"/>
            <w:vAlign w:val="center"/>
          </w:tcPr>
          <w:p w14:paraId="62563BAD" w14:textId="77777777" w:rsidR="00D34C6F" w:rsidRPr="00F9037E" w:rsidRDefault="00D34C6F" w:rsidP="00C05C97">
            <w:pPr>
              <w:spacing w:before="120" w:after="120"/>
              <w:jc w:val="center"/>
              <w:rPr>
                <w:color w:val="auto"/>
                <w:sz w:val="10"/>
                <w:szCs w:val="10"/>
              </w:rPr>
            </w:pPr>
            <w:r w:rsidRPr="00F9037E">
              <w:rPr>
                <w:color w:val="auto"/>
                <w:sz w:val="10"/>
                <w:szCs w:val="10"/>
              </w:rPr>
              <w:t>29.790</w:t>
            </w:r>
          </w:p>
        </w:tc>
        <w:tc>
          <w:tcPr>
            <w:tcW w:w="708" w:type="dxa"/>
            <w:shd w:val="clear" w:color="auto" w:fill="auto"/>
            <w:vAlign w:val="center"/>
          </w:tcPr>
          <w:p w14:paraId="213C493F" w14:textId="77777777" w:rsidR="00D34C6F" w:rsidRPr="00F9037E" w:rsidRDefault="00D34C6F" w:rsidP="00C05C97">
            <w:pPr>
              <w:spacing w:before="120" w:after="120"/>
              <w:jc w:val="center"/>
              <w:rPr>
                <w:color w:val="auto"/>
                <w:sz w:val="10"/>
                <w:szCs w:val="10"/>
              </w:rPr>
            </w:pPr>
            <w:r w:rsidRPr="00F9037E">
              <w:rPr>
                <w:color w:val="auto"/>
                <w:sz w:val="10"/>
                <w:szCs w:val="10"/>
              </w:rPr>
              <w:t>29.790</w:t>
            </w:r>
          </w:p>
        </w:tc>
        <w:tc>
          <w:tcPr>
            <w:tcW w:w="567" w:type="dxa"/>
            <w:shd w:val="clear" w:color="auto" w:fill="auto"/>
            <w:vAlign w:val="center"/>
          </w:tcPr>
          <w:p w14:paraId="20D2B0DC" w14:textId="77777777" w:rsidR="00D34C6F" w:rsidRPr="00F9037E" w:rsidRDefault="00D34C6F" w:rsidP="00C05C97">
            <w:pPr>
              <w:spacing w:before="120" w:after="120"/>
              <w:jc w:val="center"/>
              <w:rPr>
                <w:color w:val="auto"/>
                <w:sz w:val="10"/>
                <w:szCs w:val="10"/>
              </w:rPr>
            </w:pPr>
            <w:r w:rsidRPr="00F9037E">
              <w:rPr>
                <w:color w:val="auto"/>
                <w:sz w:val="10"/>
                <w:szCs w:val="10"/>
              </w:rPr>
              <w:t>29.790</w:t>
            </w:r>
          </w:p>
        </w:tc>
        <w:tc>
          <w:tcPr>
            <w:tcW w:w="567" w:type="dxa"/>
            <w:shd w:val="clear" w:color="auto" w:fill="auto"/>
            <w:vAlign w:val="center"/>
          </w:tcPr>
          <w:p w14:paraId="4DD79986" w14:textId="77777777" w:rsidR="00D34C6F" w:rsidRPr="00F9037E" w:rsidRDefault="00D34C6F" w:rsidP="00C05C97">
            <w:pPr>
              <w:spacing w:before="120" w:after="120"/>
              <w:jc w:val="center"/>
              <w:rPr>
                <w:color w:val="auto"/>
                <w:sz w:val="10"/>
                <w:szCs w:val="10"/>
              </w:rPr>
            </w:pPr>
            <w:r w:rsidRPr="00F9037E">
              <w:rPr>
                <w:color w:val="auto"/>
                <w:sz w:val="10"/>
                <w:szCs w:val="10"/>
              </w:rPr>
              <w:t>29.760</w:t>
            </w:r>
          </w:p>
        </w:tc>
        <w:tc>
          <w:tcPr>
            <w:tcW w:w="629" w:type="dxa"/>
            <w:vAlign w:val="center"/>
          </w:tcPr>
          <w:p w14:paraId="63298CF5" w14:textId="77777777" w:rsidR="00D34C6F" w:rsidRPr="00F9037E" w:rsidRDefault="00D34C6F" w:rsidP="00C05C97">
            <w:pPr>
              <w:spacing w:before="120" w:after="120"/>
              <w:jc w:val="center"/>
              <w:rPr>
                <w:color w:val="auto"/>
                <w:sz w:val="10"/>
                <w:szCs w:val="10"/>
              </w:rPr>
            </w:pPr>
            <w:r w:rsidRPr="00F9037E">
              <w:rPr>
                <w:color w:val="auto"/>
                <w:sz w:val="10"/>
                <w:szCs w:val="10"/>
              </w:rPr>
              <w:t>29.760</w:t>
            </w:r>
          </w:p>
        </w:tc>
        <w:tc>
          <w:tcPr>
            <w:tcW w:w="567" w:type="dxa"/>
            <w:vAlign w:val="center"/>
          </w:tcPr>
          <w:p w14:paraId="4C1186B1" w14:textId="77777777" w:rsidR="00D34C6F" w:rsidRPr="00F9037E" w:rsidRDefault="00D34C6F" w:rsidP="00C05C97">
            <w:pPr>
              <w:spacing w:before="120" w:after="120"/>
              <w:jc w:val="center"/>
              <w:rPr>
                <w:color w:val="auto"/>
                <w:sz w:val="10"/>
                <w:szCs w:val="10"/>
              </w:rPr>
            </w:pPr>
            <w:r w:rsidRPr="00F9037E">
              <w:rPr>
                <w:color w:val="auto"/>
                <w:sz w:val="10"/>
                <w:szCs w:val="10"/>
              </w:rPr>
              <w:t>29.760</w:t>
            </w:r>
          </w:p>
        </w:tc>
        <w:tc>
          <w:tcPr>
            <w:tcW w:w="567" w:type="dxa"/>
            <w:vAlign w:val="center"/>
          </w:tcPr>
          <w:p w14:paraId="57691F86" w14:textId="77777777" w:rsidR="00D34C6F" w:rsidRPr="00F9037E" w:rsidRDefault="00D34C6F" w:rsidP="00C05C97">
            <w:pPr>
              <w:spacing w:before="120" w:after="120"/>
              <w:jc w:val="center"/>
              <w:rPr>
                <w:b/>
                <w:color w:val="auto"/>
                <w:sz w:val="10"/>
                <w:szCs w:val="10"/>
              </w:rPr>
            </w:pPr>
            <w:r w:rsidRPr="00F9037E">
              <w:rPr>
                <w:b/>
                <w:color w:val="auto"/>
                <w:sz w:val="10"/>
                <w:szCs w:val="10"/>
              </w:rPr>
              <w:t>29.76</w:t>
            </w:r>
          </w:p>
        </w:tc>
        <w:tc>
          <w:tcPr>
            <w:tcW w:w="709" w:type="dxa"/>
            <w:shd w:val="clear" w:color="auto" w:fill="auto"/>
            <w:vAlign w:val="center"/>
          </w:tcPr>
          <w:p w14:paraId="76EB2EBE" w14:textId="77777777" w:rsidR="00D34C6F" w:rsidRPr="00F9037E" w:rsidRDefault="00D34C6F" w:rsidP="00C05C97">
            <w:pPr>
              <w:spacing w:before="120" w:after="120"/>
              <w:jc w:val="center"/>
              <w:rPr>
                <w:color w:val="auto"/>
                <w:sz w:val="10"/>
                <w:szCs w:val="10"/>
              </w:rPr>
            </w:pPr>
            <w:r w:rsidRPr="00F9037E">
              <w:rPr>
                <w:color w:val="auto"/>
                <w:sz w:val="10"/>
                <w:szCs w:val="10"/>
              </w:rPr>
              <w:t>35.750</w:t>
            </w:r>
          </w:p>
        </w:tc>
        <w:tc>
          <w:tcPr>
            <w:tcW w:w="709" w:type="dxa"/>
            <w:shd w:val="clear" w:color="auto" w:fill="auto"/>
            <w:vAlign w:val="center"/>
          </w:tcPr>
          <w:p w14:paraId="376D31C6" w14:textId="77777777" w:rsidR="00D34C6F" w:rsidRPr="00F9037E" w:rsidRDefault="00D34C6F" w:rsidP="00C05C97">
            <w:pPr>
              <w:spacing w:before="120" w:after="120"/>
              <w:jc w:val="center"/>
              <w:rPr>
                <w:color w:val="auto"/>
                <w:sz w:val="10"/>
                <w:szCs w:val="10"/>
              </w:rPr>
            </w:pPr>
            <w:r w:rsidRPr="00F9037E">
              <w:rPr>
                <w:color w:val="auto"/>
                <w:sz w:val="10"/>
                <w:szCs w:val="10"/>
              </w:rPr>
              <w:t>37.500</w:t>
            </w:r>
          </w:p>
        </w:tc>
        <w:tc>
          <w:tcPr>
            <w:tcW w:w="708" w:type="dxa"/>
            <w:shd w:val="clear" w:color="auto" w:fill="auto"/>
            <w:vAlign w:val="center"/>
          </w:tcPr>
          <w:p w14:paraId="731B516B" w14:textId="77777777" w:rsidR="00D34C6F" w:rsidRPr="00F9037E" w:rsidRDefault="00D34C6F" w:rsidP="00C05C97">
            <w:pPr>
              <w:spacing w:before="120" w:after="120"/>
              <w:jc w:val="center"/>
              <w:rPr>
                <w:color w:val="auto"/>
                <w:sz w:val="10"/>
                <w:szCs w:val="10"/>
              </w:rPr>
            </w:pPr>
            <w:r w:rsidRPr="00F9037E">
              <w:rPr>
                <w:color w:val="auto"/>
                <w:sz w:val="10"/>
                <w:szCs w:val="10"/>
              </w:rPr>
              <w:t>35.750</w:t>
            </w:r>
          </w:p>
        </w:tc>
        <w:tc>
          <w:tcPr>
            <w:tcW w:w="709" w:type="dxa"/>
            <w:shd w:val="clear" w:color="auto" w:fill="auto"/>
            <w:vAlign w:val="center"/>
          </w:tcPr>
          <w:p w14:paraId="7A0F6390" w14:textId="77777777" w:rsidR="00D34C6F" w:rsidRPr="00F9037E" w:rsidRDefault="00D34C6F" w:rsidP="00C05C97">
            <w:pPr>
              <w:spacing w:before="120" w:after="120"/>
              <w:jc w:val="center"/>
              <w:rPr>
                <w:color w:val="auto"/>
                <w:sz w:val="10"/>
                <w:szCs w:val="10"/>
              </w:rPr>
            </w:pPr>
            <w:r w:rsidRPr="00F9037E">
              <w:rPr>
                <w:color w:val="auto"/>
                <w:sz w:val="10"/>
                <w:szCs w:val="10"/>
              </w:rPr>
              <w:t>35.750</w:t>
            </w:r>
          </w:p>
        </w:tc>
        <w:tc>
          <w:tcPr>
            <w:tcW w:w="567" w:type="dxa"/>
            <w:shd w:val="clear" w:color="auto" w:fill="auto"/>
            <w:vAlign w:val="center"/>
          </w:tcPr>
          <w:p w14:paraId="3B6B8885" w14:textId="77777777" w:rsidR="00D34C6F" w:rsidRPr="00F9037E" w:rsidRDefault="00D34C6F" w:rsidP="00C05C97">
            <w:pPr>
              <w:spacing w:before="120" w:after="120"/>
              <w:jc w:val="center"/>
              <w:rPr>
                <w:color w:val="auto"/>
                <w:sz w:val="10"/>
                <w:szCs w:val="10"/>
              </w:rPr>
            </w:pPr>
            <w:r w:rsidRPr="00F9037E">
              <w:rPr>
                <w:color w:val="auto"/>
                <w:sz w:val="10"/>
                <w:szCs w:val="10"/>
              </w:rPr>
              <w:t>29.790</w:t>
            </w:r>
          </w:p>
        </w:tc>
        <w:tc>
          <w:tcPr>
            <w:tcW w:w="647" w:type="dxa"/>
            <w:shd w:val="clear" w:color="auto" w:fill="auto"/>
            <w:vAlign w:val="center"/>
          </w:tcPr>
          <w:p w14:paraId="27611DE0" w14:textId="77777777" w:rsidR="00D34C6F" w:rsidRPr="00F9037E" w:rsidRDefault="00D34C6F" w:rsidP="00C05C97">
            <w:pPr>
              <w:spacing w:before="120" w:after="120"/>
              <w:jc w:val="center"/>
              <w:rPr>
                <w:color w:val="auto"/>
                <w:sz w:val="10"/>
                <w:szCs w:val="10"/>
              </w:rPr>
            </w:pPr>
            <w:r w:rsidRPr="00F9037E">
              <w:rPr>
                <w:color w:val="auto"/>
                <w:sz w:val="10"/>
                <w:szCs w:val="10"/>
              </w:rPr>
              <w:t>29.790</w:t>
            </w:r>
          </w:p>
        </w:tc>
        <w:tc>
          <w:tcPr>
            <w:tcW w:w="567" w:type="dxa"/>
            <w:shd w:val="clear" w:color="auto" w:fill="auto"/>
            <w:vAlign w:val="center"/>
          </w:tcPr>
          <w:p w14:paraId="53C3DFC2" w14:textId="77777777" w:rsidR="00D34C6F" w:rsidRPr="00F9037E" w:rsidRDefault="00D34C6F" w:rsidP="00C05C97">
            <w:pPr>
              <w:spacing w:before="120" w:after="120"/>
              <w:jc w:val="center"/>
              <w:rPr>
                <w:color w:val="auto"/>
                <w:sz w:val="10"/>
                <w:szCs w:val="10"/>
              </w:rPr>
            </w:pPr>
            <w:r w:rsidRPr="00F9037E">
              <w:rPr>
                <w:color w:val="auto"/>
                <w:sz w:val="10"/>
                <w:szCs w:val="10"/>
              </w:rPr>
              <w:t>23.840+ 5.95</w:t>
            </w:r>
          </w:p>
        </w:tc>
        <w:tc>
          <w:tcPr>
            <w:tcW w:w="567" w:type="dxa"/>
            <w:shd w:val="clear" w:color="auto" w:fill="auto"/>
            <w:noWrap/>
            <w:vAlign w:val="center"/>
          </w:tcPr>
          <w:p w14:paraId="1C6BF6F6" w14:textId="0795CE08" w:rsidR="00D34C6F" w:rsidRPr="00F9037E" w:rsidRDefault="00D34C6F" w:rsidP="00C05C97">
            <w:pPr>
              <w:spacing w:before="120" w:after="120"/>
              <w:jc w:val="center"/>
              <w:rPr>
                <w:color w:val="auto"/>
                <w:sz w:val="10"/>
                <w:szCs w:val="10"/>
              </w:rPr>
            </w:pPr>
            <w:r w:rsidRPr="00F9037E">
              <w:rPr>
                <w:color w:val="auto"/>
                <w:sz w:val="10"/>
                <w:szCs w:val="10"/>
              </w:rPr>
              <w:t>29.760</w:t>
            </w:r>
          </w:p>
        </w:tc>
        <w:tc>
          <w:tcPr>
            <w:tcW w:w="567" w:type="dxa"/>
            <w:vAlign w:val="center"/>
          </w:tcPr>
          <w:p w14:paraId="74EDFAE7" w14:textId="77777777" w:rsidR="00D34C6F" w:rsidRPr="00F9037E" w:rsidRDefault="00D34C6F" w:rsidP="00C05C97">
            <w:pPr>
              <w:spacing w:before="120" w:after="120"/>
              <w:jc w:val="center"/>
              <w:rPr>
                <w:color w:val="auto"/>
                <w:sz w:val="10"/>
                <w:szCs w:val="10"/>
              </w:rPr>
            </w:pPr>
            <w:r w:rsidRPr="00F9037E">
              <w:rPr>
                <w:color w:val="auto"/>
                <w:sz w:val="10"/>
                <w:szCs w:val="10"/>
              </w:rPr>
              <w:t>29.760</w:t>
            </w:r>
          </w:p>
        </w:tc>
        <w:tc>
          <w:tcPr>
            <w:tcW w:w="567" w:type="dxa"/>
            <w:vAlign w:val="center"/>
          </w:tcPr>
          <w:p w14:paraId="68BF7151" w14:textId="77777777" w:rsidR="00D34C6F" w:rsidRPr="00F9037E" w:rsidRDefault="00D34C6F" w:rsidP="00C05C97">
            <w:pPr>
              <w:spacing w:before="120" w:after="120"/>
              <w:jc w:val="center"/>
              <w:rPr>
                <w:b/>
                <w:color w:val="auto"/>
                <w:sz w:val="10"/>
                <w:szCs w:val="10"/>
              </w:rPr>
            </w:pPr>
            <w:r w:rsidRPr="00F9037E">
              <w:rPr>
                <w:b/>
                <w:color w:val="auto"/>
                <w:sz w:val="10"/>
                <w:szCs w:val="10"/>
              </w:rPr>
              <w:t>29.760</w:t>
            </w:r>
          </w:p>
        </w:tc>
        <w:tc>
          <w:tcPr>
            <w:tcW w:w="567" w:type="dxa"/>
            <w:vAlign w:val="center"/>
          </w:tcPr>
          <w:p w14:paraId="136B24F1" w14:textId="77777777" w:rsidR="00D34C6F" w:rsidRPr="00F9037E" w:rsidRDefault="00D34C6F" w:rsidP="00C05C97">
            <w:pPr>
              <w:spacing w:before="120" w:after="120"/>
              <w:jc w:val="center"/>
              <w:rPr>
                <w:b/>
                <w:color w:val="auto"/>
                <w:sz w:val="10"/>
                <w:szCs w:val="10"/>
              </w:rPr>
            </w:pPr>
            <w:r w:rsidRPr="00F9037E">
              <w:rPr>
                <w:b/>
                <w:color w:val="auto"/>
                <w:sz w:val="10"/>
                <w:szCs w:val="10"/>
              </w:rPr>
              <w:t>29.760</w:t>
            </w:r>
          </w:p>
        </w:tc>
        <w:tc>
          <w:tcPr>
            <w:tcW w:w="567" w:type="dxa"/>
            <w:vAlign w:val="center"/>
          </w:tcPr>
          <w:p w14:paraId="1074F657" w14:textId="77777777" w:rsidR="00D34C6F" w:rsidRPr="00F9037E" w:rsidRDefault="00D34C6F" w:rsidP="00C05C97">
            <w:pPr>
              <w:spacing w:before="120" w:after="120"/>
              <w:jc w:val="center"/>
              <w:rPr>
                <w:b/>
                <w:color w:val="auto"/>
                <w:sz w:val="10"/>
                <w:szCs w:val="10"/>
              </w:rPr>
            </w:pPr>
            <w:r w:rsidRPr="00F9037E">
              <w:rPr>
                <w:b/>
                <w:color w:val="auto"/>
                <w:sz w:val="10"/>
                <w:szCs w:val="10"/>
              </w:rPr>
              <w:t>29.760</w:t>
            </w:r>
          </w:p>
        </w:tc>
      </w:tr>
      <w:tr w:rsidR="00D34C6F" w:rsidRPr="00F9037E" w14:paraId="1F39061C" w14:textId="77777777" w:rsidTr="00C05C97">
        <w:trPr>
          <w:trHeight w:val="270"/>
          <w:jc w:val="center"/>
        </w:trPr>
        <w:tc>
          <w:tcPr>
            <w:tcW w:w="662" w:type="dxa"/>
            <w:shd w:val="clear" w:color="auto" w:fill="auto"/>
            <w:vAlign w:val="center"/>
          </w:tcPr>
          <w:p w14:paraId="1375171E" w14:textId="77777777" w:rsidR="00D34C6F" w:rsidRPr="00F9037E" w:rsidRDefault="00D34C6F" w:rsidP="00C05C97">
            <w:pPr>
              <w:spacing w:before="120" w:after="120"/>
              <w:rPr>
                <w:color w:val="auto"/>
                <w:sz w:val="12"/>
                <w:szCs w:val="12"/>
              </w:rPr>
            </w:pPr>
            <w:r w:rsidRPr="00F9037E">
              <w:rPr>
                <w:color w:val="auto"/>
                <w:sz w:val="12"/>
                <w:szCs w:val="12"/>
              </w:rPr>
              <w:t>Belgium</w:t>
            </w:r>
          </w:p>
        </w:tc>
        <w:tc>
          <w:tcPr>
            <w:tcW w:w="824" w:type="dxa"/>
            <w:shd w:val="clear" w:color="auto" w:fill="auto"/>
            <w:vAlign w:val="center"/>
          </w:tcPr>
          <w:p w14:paraId="0E048B94" w14:textId="77777777" w:rsidR="00D34C6F" w:rsidRPr="00F9037E" w:rsidRDefault="00D34C6F" w:rsidP="00C05C97">
            <w:pPr>
              <w:spacing w:before="120" w:after="120"/>
              <w:rPr>
                <w:color w:val="auto"/>
                <w:sz w:val="12"/>
                <w:szCs w:val="12"/>
              </w:rPr>
            </w:pPr>
            <w:r w:rsidRPr="00F9037E">
              <w:rPr>
                <w:color w:val="auto"/>
                <w:sz w:val="12"/>
                <w:szCs w:val="12"/>
              </w:rPr>
              <w:t>Asparagus</w:t>
            </w:r>
          </w:p>
        </w:tc>
        <w:tc>
          <w:tcPr>
            <w:tcW w:w="708" w:type="dxa"/>
            <w:shd w:val="clear" w:color="auto" w:fill="auto"/>
            <w:vAlign w:val="center"/>
          </w:tcPr>
          <w:p w14:paraId="5F6B70A6" w14:textId="77777777" w:rsidR="00D34C6F" w:rsidRPr="00F9037E" w:rsidRDefault="00D34C6F" w:rsidP="00C05C97">
            <w:pPr>
              <w:spacing w:before="120" w:after="120"/>
              <w:jc w:val="center"/>
              <w:rPr>
                <w:color w:val="auto"/>
                <w:sz w:val="10"/>
                <w:szCs w:val="10"/>
              </w:rPr>
            </w:pPr>
            <w:r w:rsidRPr="00F9037E">
              <w:rPr>
                <w:color w:val="auto"/>
                <w:sz w:val="10"/>
                <w:szCs w:val="10"/>
              </w:rPr>
              <w:t>0.630</w:t>
            </w:r>
          </w:p>
        </w:tc>
        <w:tc>
          <w:tcPr>
            <w:tcW w:w="709" w:type="dxa"/>
            <w:shd w:val="clear" w:color="auto" w:fill="auto"/>
            <w:vAlign w:val="center"/>
          </w:tcPr>
          <w:p w14:paraId="37CD7FE0" w14:textId="77777777" w:rsidR="00D34C6F" w:rsidRPr="00F9037E" w:rsidRDefault="00D34C6F" w:rsidP="00C05C97">
            <w:pPr>
              <w:spacing w:before="120" w:after="120"/>
              <w:jc w:val="center"/>
              <w:rPr>
                <w:color w:val="auto"/>
                <w:sz w:val="10"/>
                <w:szCs w:val="10"/>
              </w:rPr>
            </w:pPr>
            <w:r w:rsidRPr="00F9037E">
              <w:rPr>
                <w:color w:val="auto"/>
                <w:sz w:val="10"/>
                <w:szCs w:val="10"/>
              </w:rPr>
              <w:t>0.225</w:t>
            </w:r>
          </w:p>
        </w:tc>
        <w:tc>
          <w:tcPr>
            <w:tcW w:w="709" w:type="dxa"/>
            <w:shd w:val="clear" w:color="auto" w:fill="auto"/>
            <w:vAlign w:val="center"/>
          </w:tcPr>
          <w:p w14:paraId="61AF799B" w14:textId="190DACBA"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23D92938" w14:textId="3CA8084E"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5D0F1120" w14:textId="15535CAC"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2610D2EA" w14:textId="3A16FF23"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6E783020" w14:textId="1F46B496"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3DB22A8" w14:textId="768AB448"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8CD3137" w14:textId="42332D89" w:rsidR="00D34C6F" w:rsidRPr="00F9037E" w:rsidRDefault="00D34C6F" w:rsidP="00C05C97">
            <w:pPr>
              <w:spacing w:before="120" w:after="120"/>
              <w:jc w:val="center"/>
              <w:rPr>
                <w:color w:val="auto"/>
                <w:sz w:val="10"/>
                <w:szCs w:val="10"/>
              </w:rPr>
            </w:pPr>
          </w:p>
        </w:tc>
        <w:tc>
          <w:tcPr>
            <w:tcW w:w="629" w:type="dxa"/>
            <w:vAlign w:val="center"/>
          </w:tcPr>
          <w:p w14:paraId="52E5EEEF" w14:textId="77777777" w:rsidR="00D34C6F" w:rsidRPr="00F9037E" w:rsidRDefault="00D34C6F" w:rsidP="00C05C97">
            <w:pPr>
              <w:spacing w:before="120" w:after="120"/>
              <w:jc w:val="center"/>
              <w:rPr>
                <w:color w:val="auto"/>
                <w:sz w:val="10"/>
                <w:szCs w:val="10"/>
              </w:rPr>
            </w:pPr>
          </w:p>
        </w:tc>
        <w:tc>
          <w:tcPr>
            <w:tcW w:w="567" w:type="dxa"/>
            <w:vAlign w:val="center"/>
          </w:tcPr>
          <w:p w14:paraId="5A0C2C80" w14:textId="77777777" w:rsidR="00D34C6F" w:rsidRPr="00F9037E" w:rsidRDefault="00D34C6F" w:rsidP="00C05C97">
            <w:pPr>
              <w:spacing w:before="120" w:after="120"/>
              <w:jc w:val="center"/>
              <w:rPr>
                <w:color w:val="auto"/>
                <w:sz w:val="10"/>
                <w:szCs w:val="10"/>
              </w:rPr>
            </w:pPr>
          </w:p>
        </w:tc>
        <w:tc>
          <w:tcPr>
            <w:tcW w:w="567" w:type="dxa"/>
            <w:vAlign w:val="center"/>
          </w:tcPr>
          <w:p w14:paraId="20141700"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3DC30F13" w14:textId="77777777" w:rsidR="00D34C6F" w:rsidRPr="00F9037E" w:rsidRDefault="00D34C6F" w:rsidP="00C05C97">
            <w:pPr>
              <w:spacing w:before="120" w:after="120"/>
              <w:jc w:val="center"/>
              <w:rPr>
                <w:color w:val="auto"/>
                <w:sz w:val="10"/>
                <w:szCs w:val="10"/>
              </w:rPr>
            </w:pPr>
            <w:r w:rsidRPr="00F9037E">
              <w:rPr>
                <w:color w:val="auto"/>
                <w:sz w:val="10"/>
                <w:szCs w:val="10"/>
              </w:rPr>
              <w:t>0.630</w:t>
            </w:r>
          </w:p>
        </w:tc>
        <w:tc>
          <w:tcPr>
            <w:tcW w:w="709" w:type="dxa"/>
            <w:shd w:val="clear" w:color="auto" w:fill="auto"/>
            <w:vAlign w:val="center"/>
          </w:tcPr>
          <w:p w14:paraId="7F262EF4" w14:textId="77777777" w:rsidR="00D34C6F" w:rsidRPr="00F9037E" w:rsidRDefault="00D34C6F" w:rsidP="00C05C97">
            <w:pPr>
              <w:spacing w:before="120" w:after="120"/>
              <w:jc w:val="center"/>
              <w:rPr>
                <w:color w:val="auto"/>
                <w:sz w:val="10"/>
                <w:szCs w:val="10"/>
              </w:rPr>
            </w:pPr>
            <w:r w:rsidRPr="00F9037E">
              <w:rPr>
                <w:color w:val="auto"/>
                <w:sz w:val="10"/>
                <w:szCs w:val="10"/>
              </w:rPr>
              <w:t>0.225</w:t>
            </w:r>
          </w:p>
        </w:tc>
        <w:tc>
          <w:tcPr>
            <w:tcW w:w="708" w:type="dxa"/>
            <w:shd w:val="clear" w:color="auto" w:fill="auto"/>
            <w:vAlign w:val="center"/>
          </w:tcPr>
          <w:p w14:paraId="76E44BC9" w14:textId="4066B284"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2F3C55AE" w14:textId="3EDB5250"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38AFD133" w14:textId="7EF1912A"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4BF954F6" w14:textId="145AEAC0"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373D4D7D" w14:textId="7EEC9034"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45D2925F" w14:textId="54650D88" w:rsidR="00D34C6F" w:rsidRPr="00F9037E" w:rsidRDefault="00D34C6F" w:rsidP="00C05C97">
            <w:pPr>
              <w:spacing w:before="120" w:after="120"/>
              <w:jc w:val="center"/>
              <w:rPr>
                <w:b/>
                <w:color w:val="auto"/>
                <w:sz w:val="10"/>
                <w:szCs w:val="10"/>
              </w:rPr>
            </w:pPr>
          </w:p>
        </w:tc>
        <w:tc>
          <w:tcPr>
            <w:tcW w:w="567" w:type="dxa"/>
            <w:vAlign w:val="center"/>
          </w:tcPr>
          <w:p w14:paraId="3A4617CF" w14:textId="77777777" w:rsidR="00D34C6F" w:rsidRPr="00F9037E" w:rsidRDefault="00D34C6F" w:rsidP="00C05C97">
            <w:pPr>
              <w:spacing w:before="120" w:after="120"/>
              <w:jc w:val="center"/>
              <w:rPr>
                <w:b/>
                <w:color w:val="auto"/>
                <w:sz w:val="10"/>
                <w:szCs w:val="10"/>
              </w:rPr>
            </w:pPr>
          </w:p>
        </w:tc>
        <w:tc>
          <w:tcPr>
            <w:tcW w:w="567" w:type="dxa"/>
            <w:vAlign w:val="center"/>
          </w:tcPr>
          <w:p w14:paraId="2E0C3D1D" w14:textId="77777777" w:rsidR="00D34C6F" w:rsidRPr="00F9037E" w:rsidRDefault="00D34C6F" w:rsidP="00C05C97">
            <w:pPr>
              <w:spacing w:before="120" w:after="120"/>
              <w:jc w:val="center"/>
              <w:rPr>
                <w:b/>
                <w:color w:val="auto"/>
                <w:sz w:val="10"/>
                <w:szCs w:val="10"/>
              </w:rPr>
            </w:pPr>
          </w:p>
        </w:tc>
        <w:tc>
          <w:tcPr>
            <w:tcW w:w="567" w:type="dxa"/>
            <w:vAlign w:val="center"/>
          </w:tcPr>
          <w:p w14:paraId="26913E01" w14:textId="77777777" w:rsidR="00D34C6F" w:rsidRPr="00F9037E" w:rsidRDefault="00D34C6F" w:rsidP="00C05C97">
            <w:pPr>
              <w:spacing w:before="120" w:after="120"/>
              <w:jc w:val="center"/>
              <w:rPr>
                <w:b/>
                <w:color w:val="auto"/>
                <w:sz w:val="10"/>
                <w:szCs w:val="10"/>
              </w:rPr>
            </w:pPr>
          </w:p>
        </w:tc>
        <w:tc>
          <w:tcPr>
            <w:tcW w:w="567" w:type="dxa"/>
            <w:vAlign w:val="center"/>
          </w:tcPr>
          <w:p w14:paraId="2D04763E" w14:textId="77777777" w:rsidR="00D34C6F" w:rsidRPr="00F9037E" w:rsidRDefault="00D34C6F" w:rsidP="00C05C97">
            <w:pPr>
              <w:spacing w:before="120" w:after="120"/>
              <w:jc w:val="center"/>
              <w:rPr>
                <w:b/>
                <w:color w:val="auto"/>
                <w:sz w:val="10"/>
                <w:szCs w:val="10"/>
              </w:rPr>
            </w:pPr>
          </w:p>
        </w:tc>
      </w:tr>
      <w:tr w:rsidR="00D34C6F" w:rsidRPr="00F9037E" w14:paraId="579D833B" w14:textId="77777777" w:rsidTr="00C05C97">
        <w:trPr>
          <w:trHeight w:val="270"/>
          <w:jc w:val="center"/>
        </w:trPr>
        <w:tc>
          <w:tcPr>
            <w:tcW w:w="662" w:type="dxa"/>
            <w:shd w:val="clear" w:color="auto" w:fill="auto"/>
            <w:vAlign w:val="center"/>
          </w:tcPr>
          <w:p w14:paraId="69AC34FD" w14:textId="77777777" w:rsidR="00D34C6F" w:rsidRPr="00F9037E" w:rsidRDefault="00D34C6F" w:rsidP="00C05C97">
            <w:pPr>
              <w:spacing w:before="120" w:after="120"/>
              <w:rPr>
                <w:color w:val="auto"/>
                <w:sz w:val="12"/>
                <w:szCs w:val="12"/>
              </w:rPr>
            </w:pPr>
            <w:r w:rsidRPr="00F9037E">
              <w:rPr>
                <w:color w:val="auto"/>
                <w:sz w:val="12"/>
                <w:szCs w:val="12"/>
              </w:rPr>
              <w:t>Belgium</w:t>
            </w:r>
          </w:p>
        </w:tc>
        <w:tc>
          <w:tcPr>
            <w:tcW w:w="824" w:type="dxa"/>
            <w:shd w:val="clear" w:color="auto" w:fill="auto"/>
            <w:vAlign w:val="center"/>
          </w:tcPr>
          <w:p w14:paraId="0E79BF6E" w14:textId="77777777" w:rsidR="00D34C6F" w:rsidRPr="00F9037E" w:rsidRDefault="00D34C6F" w:rsidP="00C05C97">
            <w:pPr>
              <w:spacing w:before="120" w:after="120"/>
              <w:rPr>
                <w:color w:val="auto"/>
                <w:sz w:val="12"/>
                <w:szCs w:val="12"/>
              </w:rPr>
            </w:pPr>
            <w:r w:rsidRPr="00F9037E">
              <w:rPr>
                <w:color w:val="auto"/>
                <w:sz w:val="12"/>
                <w:szCs w:val="12"/>
              </w:rPr>
              <w:t>Chicory</w:t>
            </w:r>
          </w:p>
        </w:tc>
        <w:tc>
          <w:tcPr>
            <w:tcW w:w="708" w:type="dxa"/>
            <w:shd w:val="clear" w:color="auto" w:fill="auto"/>
            <w:vAlign w:val="center"/>
          </w:tcPr>
          <w:p w14:paraId="6FB1998D" w14:textId="77777777" w:rsidR="00D34C6F" w:rsidRPr="00F9037E" w:rsidRDefault="00D34C6F" w:rsidP="00C05C97">
            <w:pPr>
              <w:spacing w:before="120" w:after="120"/>
              <w:jc w:val="center"/>
              <w:rPr>
                <w:color w:val="auto"/>
                <w:sz w:val="10"/>
                <w:szCs w:val="10"/>
              </w:rPr>
            </w:pPr>
            <w:r w:rsidRPr="00F9037E">
              <w:rPr>
                <w:color w:val="auto"/>
                <w:sz w:val="10"/>
                <w:szCs w:val="10"/>
              </w:rPr>
              <w:t>0.600</w:t>
            </w:r>
          </w:p>
        </w:tc>
        <w:tc>
          <w:tcPr>
            <w:tcW w:w="709" w:type="dxa"/>
            <w:shd w:val="clear" w:color="auto" w:fill="auto"/>
            <w:vAlign w:val="center"/>
          </w:tcPr>
          <w:p w14:paraId="0B5CB814" w14:textId="77777777" w:rsidR="00D34C6F" w:rsidRPr="00F9037E" w:rsidRDefault="00D34C6F" w:rsidP="00C05C97">
            <w:pPr>
              <w:spacing w:before="120" w:after="120"/>
              <w:jc w:val="center"/>
              <w:rPr>
                <w:color w:val="auto"/>
                <w:sz w:val="10"/>
                <w:szCs w:val="10"/>
              </w:rPr>
            </w:pPr>
            <w:r w:rsidRPr="00F9037E">
              <w:rPr>
                <w:color w:val="auto"/>
                <w:sz w:val="10"/>
                <w:szCs w:val="10"/>
              </w:rPr>
              <w:t>0.180</w:t>
            </w:r>
          </w:p>
        </w:tc>
        <w:tc>
          <w:tcPr>
            <w:tcW w:w="709" w:type="dxa"/>
            <w:shd w:val="clear" w:color="auto" w:fill="auto"/>
            <w:vAlign w:val="center"/>
          </w:tcPr>
          <w:p w14:paraId="7F0E827F" w14:textId="43C4F0CC"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AB13AEB" w14:textId="7556AC81"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2C2E4215" w14:textId="1924CE5F"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5A9EB03" w14:textId="340DCF94"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62A97B39" w14:textId="10E13C08"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AE92F32" w14:textId="2BC8BB86"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7EC463CE" w14:textId="4ECEDB7F" w:rsidR="00D34C6F" w:rsidRPr="00F9037E" w:rsidRDefault="00D34C6F" w:rsidP="00C05C97">
            <w:pPr>
              <w:spacing w:before="120" w:after="120"/>
              <w:jc w:val="center"/>
              <w:rPr>
                <w:color w:val="auto"/>
                <w:sz w:val="10"/>
                <w:szCs w:val="10"/>
              </w:rPr>
            </w:pPr>
          </w:p>
        </w:tc>
        <w:tc>
          <w:tcPr>
            <w:tcW w:w="629" w:type="dxa"/>
            <w:vAlign w:val="center"/>
          </w:tcPr>
          <w:p w14:paraId="4F35E373" w14:textId="77777777" w:rsidR="00D34C6F" w:rsidRPr="00F9037E" w:rsidRDefault="00D34C6F" w:rsidP="00C05C97">
            <w:pPr>
              <w:spacing w:before="120" w:after="120"/>
              <w:jc w:val="center"/>
              <w:rPr>
                <w:color w:val="auto"/>
                <w:sz w:val="10"/>
                <w:szCs w:val="10"/>
              </w:rPr>
            </w:pPr>
          </w:p>
        </w:tc>
        <w:tc>
          <w:tcPr>
            <w:tcW w:w="567" w:type="dxa"/>
            <w:vAlign w:val="center"/>
          </w:tcPr>
          <w:p w14:paraId="6163984E" w14:textId="77777777" w:rsidR="00D34C6F" w:rsidRPr="00F9037E" w:rsidRDefault="00D34C6F" w:rsidP="00C05C97">
            <w:pPr>
              <w:spacing w:before="120" w:after="120"/>
              <w:jc w:val="center"/>
              <w:rPr>
                <w:color w:val="auto"/>
                <w:sz w:val="10"/>
                <w:szCs w:val="10"/>
              </w:rPr>
            </w:pPr>
          </w:p>
        </w:tc>
        <w:tc>
          <w:tcPr>
            <w:tcW w:w="567" w:type="dxa"/>
            <w:vAlign w:val="center"/>
          </w:tcPr>
          <w:p w14:paraId="44D6C6E5"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7E9921DE" w14:textId="77777777" w:rsidR="00D34C6F" w:rsidRPr="00F9037E" w:rsidRDefault="00D34C6F" w:rsidP="00C05C97">
            <w:pPr>
              <w:spacing w:before="120" w:after="120"/>
              <w:jc w:val="center"/>
              <w:rPr>
                <w:color w:val="auto"/>
                <w:sz w:val="10"/>
                <w:szCs w:val="10"/>
              </w:rPr>
            </w:pPr>
            <w:r w:rsidRPr="00F9037E">
              <w:rPr>
                <w:color w:val="auto"/>
                <w:sz w:val="10"/>
                <w:szCs w:val="10"/>
              </w:rPr>
              <w:t>0.180</w:t>
            </w:r>
          </w:p>
        </w:tc>
        <w:tc>
          <w:tcPr>
            <w:tcW w:w="709" w:type="dxa"/>
            <w:shd w:val="clear" w:color="auto" w:fill="auto"/>
            <w:vAlign w:val="center"/>
          </w:tcPr>
          <w:p w14:paraId="53B54A51" w14:textId="77777777" w:rsidR="00D34C6F" w:rsidRPr="00F9037E" w:rsidRDefault="00D34C6F" w:rsidP="00C05C97">
            <w:pPr>
              <w:spacing w:before="120" w:after="120"/>
              <w:jc w:val="center"/>
              <w:rPr>
                <w:color w:val="auto"/>
                <w:sz w:val="10"/>
                <w:szCs w:val="10"/>
              </w:rPr>
            </w:pPr>
            <w:r w:rsidRPr="00F9037E">
              <w:rPr>
                <w:color w:val="auto"/>
                <w:sz w:val="10"/>
                <w:szCs w:val="10"/>
              </w:rPr>
              <w:t>0.180</w:t>
            </w:r>
          </w:p>
        </w:tc>
        <w:tc>
          <w:tcPr>
            <w:tcW w:w="708" w:type="dxa"/>
            <w:shd w:val="clear" w:color="auto" w:fill="auto"/>
            <w:vAlign w:val="center"/>
          </w:tcPr>
          <w:p w14:paraId="6CF0EB40" w14:textId="70C76C7A"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717DF0AE" w14:textId="2D998041"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7873BED" w14:textId="74DA01B8"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6A12982F" w14:textId="6A80F451"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6653FE7" w14:textId="7029A6A8"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55517249" w14:textId="08EB7611" w:rsidR="00D34C6F" w:rsidRPr="00F9037E" w:rsidRDefault="00D34C6F" w:rsidP="00C05C97">
            <w:pPr>
              <w:spacing w:before="120" w:after="120"/>
              <w:jc w:val="center"/>
              <w:rPr>
                <w:b/>
                <w:color w:val="auto"/>
                <w:sz w:val="10"/>
                <w:szCs w:val="10"/>
              </w:rPr>
            </w:pPr>
          </w:p>
        </w:tc>
        <w:tc>
          <w:tcPr>
            <w:tcW w:w="567" w:type="dxa"/>
            <w:vAlign w:val="center"/>
          </w:tcPr>
          <w:p w14:paraId="309A2D8B" w14:textId="77777777" w:rsidR="00D34C6F" w:rsidRPr="00F9037E" w:rsidRDefault="00D34C6F" w:rsidP="00C05C97">
            <w:pPr>
              <w:spacing w:before="120" w:after="120"/>
              <w:jc w:val="center"/>
              <w:rPr>
                <w:b/>
                <w:color w:val="auto"/>
                <w:sz w:val="10"/>
                <w:szCs w:val="10"/>
              </w:rPr>
            </w:pPr>
          </w:p>
        </w:tc>
        <w:tc>
          <w:tcPr>
            <w:tcW w:w="567" w:type="dxa"/>
            <w:vAlign w:val="center"/>
          </w:tcPr>
          <w:p w14:paraId="25D1EADD" w14:textId="77777777" w:rsidR="00D34C6F" w:rsidRPr="00F9037E" w:rsidRDefault="00D34C6F" w:rsidP="00C05C97">
            <w:pPr>
              <w:spacing w:before="120" w:after="120"/>
              <w:jc w:val="center"/>
              <w:rPr>
                <w:b/>
                <w:color w:val="auto"/>
                <w:sz w:val="10"/>
                <w:szCs w:val="10"/>
              </w:rPr>
            </w:pPr>
          </w:p>
        </w:tc>
        <w:tc>
          <w:tcPr>
            <w:tcW w:w="567" w:type="dxa"/>
            <w:vAlign w:val="center"/>
          </w:tcPr>
          <w:p w14:paraId="012BF110" w14:textId="77777777" w:rsidR="00D34C6F" w:rsidRPr="00F9037E" w:rsidRDefault="00D34C6F" w:rsidP="00C05C97">
            <w:pPr>
              <w:spacing w:before="120" w:after="120"/>
              <w:jc w:val="center"/>
              <w:rPr>
                <w:b/>
                <w:color w:val="auto"/>
                <w:sz w:val="10"/>
                <w:szCs w:val="10"/>
              </w:rPr>
            </w:pPr>
          </w:p>
        </w:tc>
        <w:tc>
          <w:tcPr>
            <w:tcW w:w="567" w:type="dxa"/>
            <w:vAlign w:val="center"/>
          </w:tcPr>
          <w:p w14:paraId="0DCB9EF3" w14:textId="77777777" w:rsidR="00D34C6F" w:rsidRPr="00F9037E" w:rsidRDefault="00D34C6F" w:rsidP="00C05C97">
            <w:pPr>
              <w:spacing w:before="120" w:after="120"/>
              <w:jc w:val="center"/>
              <w:rPr>
                <w:b/>
                <w:color w:val="auto"/>
                <w:sz w:val="10"/>
                <w:szCs w:val="10"/>
              </w:rPr>
            </w:pPr>
          </w:p>
        </w:tc>
      </w:tr>
      <w:tr w:rsidR="00D34C6F" w:rsidRPr="00F9037E" w14:paraId="030C8FA0" w14:textId="77777777" w:rsidTr="00C05C97">
        <w:trPr>
          <w:trHeight w:val="465"/>
          <w:jc w:val="center"/>
        </w:trPr>
        <w:tc>
          <w:tcPr>
            <w:tcW w:w="662" w:type="dxa"/>
            <w:shd w:val="clear" w:color="auto" w:fill="auto"/>
            <w:vAlign w:val="center"/>
          </w:tcPr>
          <w:p w14:paraId="50C04131" w14:textId="77777777" w:rsidR="00D34C6F" w:rsidRPr="00F9037E" w:rsidRDefault="00D34C6F" w:rsidP="00C05C97">
            <w:pPr>
              <w:spacing w:before="120" w:after="120"/>
              <w:rPr>
                <w:color w:val="auto"/>
                <w:sz w:val="12"/>
                <w:szCs w:val="12"/>
              </w:rPr>
            </w:pPr>
            <w:r w:rsidRPr="00F9037E">
              <w:rPr>
                <w:color w:val="auto"/>
                <w:sz w:val="12"/>
                <w:szCs w:val="12"/>
              </w:rPr>
              <w:t>Belgium</w:t>
            </w:r>
          </w:p>
        </w:tc>
        <w:tc>
          <w:tcPr>
            <w:tcW w:w="824" w:type="dxa"/>
            <w:shd w:val="clear" w:color="auto" w:fill="auto"/>
            <w:vAlign w:val="center"/>
          </w:tcPr>
          <w:p w14:paraId="7A91D35B" w14:textId="77777777" w:rsidR="00D34C6F" w:rsidRPr="00F9037E" w:rsidRDefault="00D34C6F" w:rsidP="00C05C97">
            <w:pPr>
              <w:spacing w:before="120" w:after="120"/>
              <w:rPr>
                <w:color w:val="auto"/>
                <w:sz w:val="12"/>
                <w:szCs w:val="12"/>
              </w:rPr>
            </w:pPr>
            <w:r w:rsidRPr="00F9037E">
              <w:rPr>
                <w:color w:val="auto"/>
                <w:sz w:val="12"/>
                <w:szCs w:val="12"/>
              </w:rPr>
              <w:t>Chrysanthemums</w:t>
            </w:r>
          </w:p>
        </w:tc>
        <w:tc>
          <w:tcPr>
            <w:tcW w:w="708" w:type="dxa"/>
            <w:shd w:val="clear" w:color="auto" w:fill="auto"/>
            <w:vAlign w:val="center"/>
          </w:tcPr>
          <w:p w14:paraId="4766531A" w14:textId="77777777" w:rsidR="00D34C6F" w:rsidRPr="00F9037E" w:rsidRDefault="00D34C6F" w:rsidP="00C05C97">
            <w:pPr>
              <w:spacing w:before="120" w:after="120"/>
              <w:jc w:val="center"/>
              <w:rPr>
                <w:color w:val="auto"/>
                <w:sz w:val="10"/>
                <w:szCs w:val="10"/>
              </w:rPr>
            </w:pPr>
            <w:r w:rsidRPr="00F9037E">
              <w:rPr>
                <w:color w:val="auto"/>
                <w:sz w:val="10"/>
                <w:szCs w:val="10"/>
              </w:rPr>
              <w:t>1.800</w:t>
            </w:r>
          </w:p>
        </w:tc>
        <w:tc>
          <w:tcPr>
            <w:tcW w:w="709" w:type="dxa"/>
            <w:shd w:val="clear" w:color="auto" w:fill="auto"/>
            <w:vAlign w:val="center"/>
          </w:tcPr>
          <w:p w14:paraId="3B8EEED4" w14:textId="77777777" w:rsidR="00D34C6F" w:rsidRPr="00F9037E" w:rsidRDefault="00D34C6F" w:rsidP="00C05C97">
            <w:pPr>
              <w:spacing w:before="120" w:after="120"/>
              <w:jc w:val="center"/>
              <w:rPr>
                <w:color w:val="auto"/>
                <w:sz w:val="10"/>
                <w:szCs w:val="10"/>
              </w:rPr>
            </w:pPr>
            <w:r w:rsidRPr="00F9037E">
              <w:rPr>
                <w:color w:val="auto"/>
                <w:sz w:val="10"/>
                <w:szCs w:val="10"/>
              </w:rPr>
              <w:t>0.720</w:t>
            </w:r>
          </w:p>
        </w:tc>
        <w:tc>
          <w:tcPr>
            <w:tcW w:w="709" w:type="dxa"/>
            <w:shd w:val="clear" w:color="auto" w:fill="auto"/>
            <w:vAlign w:val="center"/>
          </w:tcPr>
          <w:p w14:paraId="756D0172" w14:textId="4C1D2764"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71DD68B9" w14:textId="157D1088"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56077A37" w14:textId="79EFE5C7"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77E8774E" w14:textId="034F023A"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2C35D7AF" w14:textId="09151303"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28A0213A" w14:textId="08870674"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222780F1" w14:textId="3F0F48A1" w:rsidR="00D34C6F" w:rsidRPr="00F9037E" w:rsidRDefault="00D34C6F" w:rsidP="00C05C97">
            <w:pPr>
              <w:spacing w:before="120" w:after="120"/>
              <w:jc w:val="center"/>
              <w:rPr>
                <w:color w:val="auto"/>
                <w:sz w:val="10"/>
                <w:szCs w:val="10"/>
              </w:rPr>
            </w:pPr>
          </w:p>
        </w:tc>
        <w:tc>
          <w:tcPr>
            <w:tcW w:w="629" w:type="dxa"/>
            <w:vAlign w:val="center"/>
          </w:tcPr>
          <w:p w14:paraId="608A7358" w14:textId="77777777" w:rsidR="00D34C6F" w:rsidRPr="00F9037E" w:rsidRDefault="00D34C6F" w:rsidP="00C05C97">
            <w:pPr>
              <w:spacing w:before="120" w:after="120"/>
              <w:jc w:val="center"/>
              <w:rPr>
                <w:color w:val="auto"/>
                <w:sz w:val="10"/>
                <w:szCs w:val="10"/>
              </w:rPr>
            </w:pPr>
          </w:p>
        </w:tc>
        <w:tc>
          <w:tcPr>
            <w:tcW w:w="567" w:type="dxa"/>
            <w:vAlign w:val="center"/>
          </w:tcPr>
          <w:p w14:paraId="3A77CFFC" w14:textId="77777777" w:rsidR="00D34C6F" w:rsidRPr="00F9037E" w:rsidRDefault="00D34C6F" w:rsidP="00C05C97">
            <w:pPr>
              <w:spacing w:before="120" w:after="120"/>
              <w:jc w:val="center"/>
              <w:rPr>
                <w:color w:val="auto"/>
                <w:sz w:val="10"/>
                <w:szCs w:val="10"/>
              </w:rPr>
            </w:pPr>
          </w:p>
        </w:tc>
        <w:tc>
          <w:tcPr>
            <w:tcW w:w="567" w:type="dxa"/>
            <w:vAlign w:val="center"/>
          </w:tcPr>
          <w:p w14:paraId="2172C84C"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4B7AC59A" w14:textId="77777777" w:rsidR="00D34C6F" w:rsidRPr="00F9037E" w:rsidRDefault="00D34C6F" w:rsidP="00C05C97">
            <w:pPr>
              <w:spacing w:before="120" w:after="120"/>
              <w:jc w:val="center"/>
              <w:rPr>
                <w:color w:val="auto"/>
                <w:sz w:val="10"/>
                <w:szCs w:val="10"/>
              </w:rPr>
            </w:pPr>
            <w:r w:rsidRPr="00F9037E">
              <w:rPr>
                <w:color w:val="auto"/>
                <w:sz w:val="10"/>
                <w:szCs w:val="10"/>
              </w:rPr>
              <w:t>1.120</w:t>
            </w:r>
          </w:p>
        </w:tc>
        <w:tc>
          <w:tcPr>
            <w:tcW w:w="709" w:type="dxa"/>
            <w:shd w:val="clear" w:color="auto" w:fill="auto"/>
            <w:vAlign w:val="center"/>
          </w:tcPr>
          <w:p w14:paraId="3FFB956A" w14:textId="4862116C"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319FCFA3" w14:textId="75433360"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5AED68AB" w14:textId="2E16CD3B"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0D55AC2" w14:textId="3BCC24BA"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7407C13B" w14:textId="21A9DAAC"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88CDED4" w14:textId="0C36CFEE"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7F4D6884" w14:textId="2DD38FF7" w:rsidR="00D34C6F" w:rsidRPr="00F9037E" w:rsidRDefault="00D34C6F" w:rsidP="00C05C97">
            <w:pPr>
              <w:spacing w:before="120" w:after="120"/>
              <w:jc w:val="center"/>
              <w:rPr>
                <w:b/>
                <w:color w:val="auto"/>
                <w:sz w:val="10"/>
                <w:szCs w:val="10"/>
              </w:rPr>
            </w:pPr>
          </w:p>
        </w:tc>
        <w:tc>
          <w:tcPr>
            <w:tcW w:w="567" w:type="dxa"/>
            <w:vAlign w:val="center"/>
          </w:tcPr>
          <w:p w14:paraId="57AF99AC" w14:textId="77777777" w:rsidR="00D34C6F" w:rsidRPr="00F9037E" w:rsidRDefault="00D34C6F" w:rsidP="00C05C97">
            <w:pPr>
              <w:spacing w:before="120" w:after="120"/>
              <w:jc w:val="center"/>
              <w:rPr>
                <w:b/>
                <w:color w:val="auto"/>
                <w:sz w:val="10"/>
                <w:szCs w:val="10"/>
              </w:rPr>
            </w:pPr>
          </w:p>
        </w:tc>
        <w:tc>
          <w:tcPr>
            <w:tcW w:w="567" w:type="dxa"/>
            <w:vAlign w:val="center"/>
          </w:tcPr>
          <w:p w14:paraId="06A72FEF" w14:textId="77777777" w:rsidR="00D34C6F" w:rsidRPr="00F9037E" w:rsidRDefault="00D34C6F" w:rsidP="00C05C97">
            <w:pPr>
              <w:spacing w:before="120" w:after="120"/>
              <w:jc w:val="center"/>
              <w:rPr>
                <w:b/>
                <w:color w:val="auto"/>
                <w:sz w:val="10"/>
                <w:szCs w:val="10"/>
              </w:rPr>
            </w:pPr>
          </w:p>
        </w:tc>
        <w:tc>
          <w:tcPr>
            <w:tcW w:w="567" w:type="dxa"/>
            <w:vAlign w:val="center"/>
          </w:tcPr>
          <w:p w14:paraId="56E68C22" w14:textId="77777777" w:rsidR="00D34C6F" w:rsidRPr="00F9037E" w:rsidRDefault="00D34C6F" w:rsidP="00C05C97">
            <w:pPr>
              <w:spacing w:before="120" w:after="120"/>
              <w:jc w:val="center"/>
              <w:rPr>
                <w:b/>
                <w:color w:val="auto"/>
                <w:sz w:val="10"/>
                <w:szCs w:val="10"/>
              </w:rPr>
            </w:pPr>
          </w:p>
        </w:tc>
        <w:tc>
          <w:tcPr>
            <w:tcW w:w="567" w:type="dxa"/>
            <w:vAlign w:val="center"/>
          </w:tcPr>
          <w:p w14:paraId="659AE9E9" w14:textId="77777777" w:rsidR="00D34C6F" w:rsidRPr="00F9037E" w:rsidRDefault="00D34C6F" w:rsidP="00C05C97">
            <w:pPr>
              <w:spacing w:before="120" w:after="120"/>
              <w:jc w:val="center"/>
              <w:rPr>
                <w:b/>
                <w:color w:val="auto"/>
                <w:sz w:val="10"/>
                <w:szCs w:val="10"/>
              </w:rPr>
            </w:pPr>
          </w:p>
        </w:tc>
      </w:tr>
      <w:tr w:rsidR="00D34C6F" w:rsidRPr="00F9037E" w14:paraId="7008EED0" w14:textId="77777777" w:rsidTr="00C05C97">
        <w:trPr>
          <w:trHeight w:val="270"/>
          <w:jc w:val="center"/>
        </w:trPr>
        <w:tc>
          <w:tcPr>
            <w:tcW w:w="662" w:type="dxa"/>
            <w:shd w:val="clear" w:color="auto" w:fill="auto"/>
            <w:vAlign w:val="center"/>
          </w:tcPr>
          <w:p w14:paraId="13EEA9E5" w14:textId="77777777" w:rsidR="00D34C6F" w:rsidRPr="00F9037E" w:rsidRDefault="00D34C6F" w:rsidP="00C05C97">
            <w:pPr>
              <w:spacing w:before="120" w:after="120"/>
              <w:rPr>
                <w:color w:val="auto"/>
                <w:sz w:val="12"/>
                <w:szCs w:val="12"/>
              </w:rPr>
            </w:pPr>
            <w:r w:rsidRPr="00F9037E">
              <w:rPr>
                <w:color w:val="auto"/>
                <w:sz w:val="12"/>
                <w:szCs w:val="12"/>
              </w:rPr>
              <w:t>Belgium</w:t>
            </w:r>
          </w:p>
        </w:tc>
        <w:tc>
          <w:tcPr>
            <w:tcW w:w="824" w:type="dxa"/>
            <w:shd w:val="clear" w:color="auto" w:fill="auto"/>
            <w:vAlign w:val="center"/>
          </w:tcPr>
          <w:p w14:paraId="45F87595" w14:textId="77777777" w:rsidR="00D34C6F" w:rsidRPr="00F9037E" w:rsidRDefault="00D34C6F" w:rsidP="00C05C97">
            <w:pPr>
              <w:spacing w:before="120" w:after="120"/>
              <w:rPr>
                <w:color w:val="auto"/>
                <w:sz w:val="12"/>
                <w:szCs w:val="12"/>
              </w:rPr>
            </w:pPr>
            <w:r w:rsidRPr="00F9037E">
              <w:rPr>
                <w:color w:val="auto"/>
                <w:sz w:val="12"/>
                <w:szCs w:val="12"/>
              </w:rPr>
              <w:t>Cucumber</w:t>
            </w:r>
          </w:p>
        </w:tc>
        <w:tc>
          <w:tcPr>
            <w:tcW w:w="708" w:type="dxa"/>
            <w:shd w:val="clear" w:color="auto" w:fill="auto"/>
            <w:vAlign w:val="center"/>
          </w:tcPr>
          <w:p w14:paraId="67C3B93B" w14:textId="77777777" w:rsidR="00D34C6F" w:rsidRPr="00F9037E" w:rsidRDefault="00D34C6F" w:rsidP="00C05C97">
            <w:pPr>
              <w:spacing w:before="120" w:after="120"/>
              <w:jc w:val="center"/>
              <w:rPr>
                <w:color w:val="auto"/>
                <w:sz w:val="10"/>
                <w:szCs w:val="10"/>
              </w:rPr>
            </w:pPr>
            <w:r w:rsidRPr="00F9037E">
              <w:rPr>
                <w:color w:val="auto"/>
                <w:sz w:val="10"/>
                <w:szCs w:val="10"/>
              </w:rPr>
              <w:t>0.610</w:t>
            </w:r>
          </w:p>
        </w:tc>
        <w:tc>
          <w:tcPr>
            <w:tcW w:w="709" w:type="dxa"/>
            <w:shd w:val="clear" w:color="auto" w:fill="auto"/>
            <w:vAlign w:val="center"/>
          </w:tcPr>
          <w:p w14:paraId="5AA6000C" w14:textId="77777777" w:rsidR="00D34C6F" w:rsidRPr="00F9037E" w:rsidRDefault="00D34C6F" w:rsidP="00C05C97">
            <w:pPr>
              <w:spacing w:before="120" w:after="120"/>
              <w:jc w:val="center"/>
              <w:rPr>
                <w:color w:val="auto"/>
                <w:sz w:val="10"/>
                <w:szCs w:val="10"/>
              </w:rPr>
            </w:pPr>
            <w:r w:rsidRPr="00F9037E">
              <w:rPr>
                <w:color w:val="auto"/>
                <w:sz w:val="10"/>
                <w:szCs w:val="10"/>
              </w:rPr>
              <w:t>0.545</w:t>
            </w:r>
          </w:p>
        </w:tc>
        <w:tc>
          <w:tcPr>
            <w:tcW w:w="709" w:type="dxa"/>
            <w:shd w:val="clear" w:color="auto" w:fill="auto"/>
            <w:vAlign w:val="center"/>
          </w:tcPr>
          <w:p w14:paraId="2D5CB09D" w14:textId="2846BA8B"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7F05239" w14:textId="3C6F28BC"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398F30B8" w14:textId="0F7A7DA8"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54CDEC8" w14:textId="693342D6"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310B73A0" w14:textId="6E97FD68"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F5F9A38" w14:textId="57E16DAD"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31AC08B2" w14:textId="7E395917" w:rsidR="00D34C6F" w:rsidRPr="00F9037E" w:rsidRDefault="00D34C6F" w:rsidP="00C05C97">
            <w:pPr>
              <w:spacing w:before="120" w:after="120"/>
              <w:jc w:val="center"/>
              <w:rPr>
                <w:color w:val="auto"/>
                <w:sz w:val="10"/>
                <w:szCs w:val="10"/>
              </w:rPr>
            </w:pPr>
          </w:p>
        </w:tc>
        <w:tc>
          <w:tcPr>
            <w:tcW w:w="629" w:type="dxa"/>
            <w:vAlign w:val="center"/>
          </w:tcPr>
          <w:p w14:paraId="2FD670E7" w14:textId="77777777" w:rsidR="00D34C6F" w:rsidRPr="00F9037E" w:rsidRDefault="00D34C6F" w:rsidP="00C05C97">
            <w:pPr>
              <w:spacing w:before="120" w:after="120"/>
              <w:jc w:val="center"/>
              <w:rPr>
                <w:color w:val="auto"/>
                <w:sz w:val="10"/>
                <w:szCs w:val="10"/>
              </w:rPr>
            </w:pPr>
          </w:p>
        </w:tc>
        <w:tc>
          <w:tcPr>
            <w:tcW w:w="567" w:type="dxa"/>
            <w:vAlign w:val="center"/>
          </w:tcPr>
          <w:p w14:paraId="50B61865" w14:textId="77777777" w:rsidR="00D34C6F" w:rsidRPr="00F9037E" w:rsidRDefault="00D34C6F" w:rsidP="00C05C97">
            <w:pPr>
              <w:spacing w:before="120" w:after="120"/>
              <w:jc w:val="center"/>
              <w:rPr>
                <w:color w:val="auto"/>
                <w:sz w:val="10"/>
                <w:szCs w:val="10"/>
              </w:rPr>
            </w:pPr>
          </w:p>
        </w:tc>
        <w:tc>
          <w:tcPr>
            <w:tcW w:w="567" w:type="dxa"/>
            <w:vAlign w:val="center"/>
          </w:tcPr>
          <w:p w14:paraId="74D2C9A8"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558F329B" w14:textId="77777777" w:rsidR="00D34C6F" w:rsidRPr="00F9037E" w:rsidRDefault="00D34C6F" w:rsidP="00C05C97">
            <w:pPr>
              <w:spacing w:before="120" w:after="120"/>
              <w:jc w:val="center"/>
              <w:rPr>
                <w:color w:val="auto"/>
                <w:sz w:val="10"/>
                <w:szCs w:val="10"/>
              </w:rPr>
            </w:pPr>
            <w:r w:rsidRPr="00F9037E">
              <w:rPr>
                <w:color w:val="auto"/>
                <w:sz w:val="10"/>
                <w:szCs w:val="10"/>
              </w:rPr>
              <w:t>0.610</w:t>
            </w:r>
          </w:p>
        </w:tc>
        <w:tc>
          <w:tcPr>
            <w:tcW w:w="709" w:type="dxa"/>
            <w:shd w:val="clear" w:color="auto" w:fill="auto"/>
            <w:vAlign w:val="center"/>
          </w:tcPr>
          <w:p w14:paraId="719558D2" w14:textId="77777777" w:rsidR="00D34C6F" w:rsidRPr="00F9037E" w:rsidRDefault="00D34C6F" w:rsidP="00C05C97">
            <w:pPr>
              <w:spacing w:before="120" w:after="120"/>
              <w:jc w:val="center"/>
              <w:rPr>
                <w:color w:val="auto"/>
                <w:sz w:val="10"/>
                <w:szCs w:val="10"/>
              </w:rPr>
            </w:pPr>
            <w:r w:rsidRPr="00F9037E">
              <w:rPr>
                <w:color w:val="auto"/>
                <w:sz w:val="10"/>
                <w:szCs w:val="10"/>
              </w:rPr>
              <w:t>0.545</w:t>
            </w:r>
          </w:p>
        </w:tc>
        <w:tc>
          <w:tcPr>
            <w:tcW w:w="708" w:type="dxa"/>
            <w:shd w:val="clear" w:color="auto" w:fill="auto"/>
            <w:vAlign w:val="center"/>
          </w:tcPr>
          <w:p w14:paraId="097D5B71" w14:textId="791BBFFD"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2929A7F0" w14:textId="38A137AF"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3E1C6A45" w14:textId="1BE20846"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6325A8DD" w14:textId="496414C9"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36CC1149" w14:textId="1F7E3511"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4DBFDFAE" w14:textId="47C6A30B" w:rsidR="00D34C6F" w:rsidRPr="00F9037E" w:rsidRDefault="00D34C6F" w:rsidP="00C05C97">
            <w:pPr>
              <w:spacing w:before="120" w:after="120"/>
              <w:jc w:val="center"/>
              <w:rPr>
                <w:b/>
                <w:color w:val="auto"/>
                <w:sz w:val="10"/>
                <w:szCs w:val="10"/>
              </w:rPr>
            </w:pPr>
          </w:p>
        </w:tc>
        <w:tc>
          <w:tcPr>
            <w:tcW w:w="567" w:type="dxa"/>
            <w:vAlign w:val="center"/>
          </w:tcPr>
          <w:p w14:paraId="54F4FEF6" w14:textId="77777777" w:rsidR="00D34C6F" w:rsidRPr="00F9037E" w:rsidRDefault="00D34C6F" w:rsidP="00C05C97">
            <w:pPr>
              <w:spacing w:before="120" w:after="120"/>
              <w:jc w:val="center"/>
              <w:rPr>
                <w:b/>
                <w:color w:val="auto"/>
                <w:sz w:val="10"/>
                <w:szCs w:val="10"/>
              </w:rPr>
            </w:pPr>
          </w:p>
        </w:tc>
        <w:tc>
          <w:tcPr>
            <w:tcW w:w="567" w:type="dxa"/>
            <w:vAlign w:val="center"/>
          </w:tcPr>
          <w:p w14:paraId="55E5FAA8" w14:textId="77777777" w:rsidR="00D34C6F" w:rsidRPr="00F9037E" w:rsidRDefault="00D34C6F" w:rsidP="00C05C97">
            <w:pPr>
              <w:spacing w:before="120" w:after="120"/>
              <w:jc w:val="center"/>
              <w:rPr>
                <w:b/>
                <w:color w:val="auto"/>
                <w:sz w:val="10"/>
                <w:szCs w:val="10"/>
              </w:rPr>
            </w:pPr>
          </w:p>
        </w:tc>
        <w:tc>
          <w:tcPr>
            <w:tcW w:w="567" w:type="dxa"/>
            <w:vAlign w:val="center"/>
          </w:tcPr>
          <w:p w14:paraId="72CDF052" w14:textId="77777777" w:rsidR="00D34C6F" w:rsidRPr="00F9037E" w:rsidRDefault="00D34C6F" w:rsidP="00C05C97">
            <w:pPr>
              <w:spacing w:before="120" w:after="120"/>
              <w:jc w:val="center"/>
              <w:rPr>
                <w:b/>
                <w:color w:val="auto"/>
                <w:sz w:val="10"/>
                <w:szCs w:val="10"/>
              </w:rPr>
            </w:pPr>
          </w:p>
        </w:tc>
        <w:tc>
          <w:tcPr>
            <w:tcW w:w="567" w:type="dxa"/>
            <w:vAlign w:val="center"/>
          </w:tcPr>
          <w:p w14:paraId="61896C34" w14:textId="77777777" w:rsidR="00D34C6F" w:rsidRPr="00F9037E" w:rsidRDefault="00D34C6F" w:rsidP="00C05C97">
            <w:pPr>
              <w:spacing w:before="120" w:after="120"/>
              <w:jc w:val="center"/>
              <w:rPr>
                <w:b/>
                <w:color w:val="auto"/>
                <w:sz w:val="10"/>
                <w:szCs w:val="10"/>
              </w:rPr>
            </w:pPr>
          </w:p>
        </w:tc>
      </w:tr>
      <w:tr w:rsidR="00D34C6F" w:rsidRPr="00F9037E" w14:paraId="14FE9A8C" w14:textId="77777777" w:rsidTr="00C05C97">
        <w:trPr>
          <w:trHeight w:val="465"/>
          <w:jc w:val="center"/>
        </w:trPr>
        <w:tc>
          <w:tcPr>
            <w:tcW w:w="662" w:type="dxa"/>
            <w:shd w:val="clear" w:color="auto" w:fill="auto"/>
            <w:vAlign w:val="center"/>
          </w:tcPr>
          <w:p w14:paraId="21BE9F4B" w14:textId="77777777" w:rsidR="00D34C6F" w:rsidRPr="00F9037E" w:rsidRDefault="00D34C6F" w:rsidP="00C05C97">
            <w:pPr>
              <w:spacing w:before="120" w:after="120"/>
              <w:rPr>
                <w:color w:val="auto"/>
                <w:sz w:val="12"/>
                <w:szCs w:val="12"/>
              </w:rPr>
            </w:pPr>
            <w:r w:rsidRPr="00F9037E">
              <w:rPr>
                <w:color w:val="auto"/>
                <w:sz w:val="12"/>
                <w:szCs w:val="12"/>
              </w:rPr>
              <w:t>Belgium</w:t>
            </w:r>
          </w:p>
        </w:tc>
        <w:tc>
          <w:tcPr>
            <w:tcW w:w="824" w:type="dxa"/>
            <w:shd w:val="clear" w:color="auto" w:fill="auto"/>
            <w:vAlign w:val="center"/>
          </w:tcPr>
          <w:p w14:paraId="28F1D24B" w14:textId="77777777" w:rsidR="00D34C6F" w:rsidRPr="00F9037E" w:rsidRDefault="00D34C6F" w:rsidP="00C05C97">
            <w:pPr>
              <w:spacing w:before="120" w:after="120"/>
              <w:rPr>
                <w:color w:val="auto"/>
                <w:sz w:val="12"/>
                <w:szCs w:val="12"/>
              </w:rPr>
            </w:pPr>
            <w:r w:rsidRPr="00F9037E">
              <w:rPr>
                <w:color w:val="auto"/>
                <w:sz w:val="12"/>
                <w:szCs w:val="12"/>
              </w:rPr>
              <w:t>Cut flowers – other</w:t>
            </w:r>
          </w:p>
        </w:tc>
        <w:tc>
          <w:tcPr>
            <w:tcW w:w="708" w:type="dxa"/>
            <w:shd w:val="clear" w:color="auto" w:fill="auto"/>
            <w:vAlign w:val="center"/>
          </w:tcPr>
          <w:p w14:paraId="601D5D1D" w14:textId="77777777" w:rsidR="00D34C6F" w:rsidRPr="00F9037E" w:rsidRDefault="00D34C6F" w:rsidP="00C05C97">
            <w:pPr>
              <w:spacing w:before="120" w:after="120"/>
              <w:jc w:val="center"/>
              <w:rPr>
                <w:color w:val="auto"/>
                <w:sz w:val="10"/>
                <w:szCs w:val="10"/>
              </w:rPr>
            </w:pPr>
            <w:r w:rsidRPr="00F9037E">
              <w:rPr>
                <w:color w:val="auto"/>
                <w:sz w:val="10"/>
                <w:szCs w:val="10"/>
              </w:rPr>
              <w:t>6.110</w:t>
            </w:r>
          </w:p>
        </w:tc>
        <w:tc>
          <w:tcPr>
            <w:tcW w:w="709" w:type="dxa"/>
            <w:shd w:val="clear" w:color="auto" w:fill="auto"/>
            <w:vAlign w:val="center"/>
          </w:tcPr>
          <w:p w14:paraId="618A0184" w14:textId="77777777" w:rsidR="00D34C6F" w:rsidRPr="00F9037E" w:rsidRDefault="00D34C6F" w:rsidP="00C05C97">
            <w:pPr>
              <w:spacing w:before="120" w:after="120"/>
              <w:jc w:val="center"/>
              <w:rPr>
                <w:color w:val="auto"/>
                <w:sz w:val="10"/>
                <w:szCs w:val="10"/>
              </w:rPr>
            </w:pPr>
            <w:r w:rsidRPr="00F9037E">
              <w:rPr>
                <w:color w:val="auto"/>
                <w:sz w:val="10"/>
                <w:szCs w:val="10"/>
              </w:rPr>
              <w:t>1.956</w:t>
            </w:r>
          </w:p>
        </w:tc>
        <w:tc>
          <w:tcPr>
            <w:tcW w:w="709" w:type="dxa"/>
            <w:shd w:val="clear" w:color="auto" w:fill="auto"/>
            <w:vAlign w:val="center"/>
          </w:tcPr>
          <w:p w14:paraId="066918F2" w14:textId="2A69BCFB"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8EEB649" w14:textId="3583B6CF"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48D3D51A" w14:textId="190903EF"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1A32456" w14:textId="09E8AE69"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6AB59B35" w14:textId="3E77A9AB"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4102149" w14:textId="0FB4CF74"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9D9DB71" w14:textId="26874FD0" w:rsidR="00D34C6F" w:rsidRPr="00F9037E" w:rsidRDefault="00D34C6F" w:rsidP="00C05C97">
            <w:pPr>
              <w:spacing w:before="120" w:after="120"/>
              <w:jc w:val="center"/>
              <w:rPr>
                <w:color w:val="auto"/>
                <w:sz w:val="10"/>
                <w:szCs w:val="10"/>
              </w:rPr>
            </w:pPr>
          </w:p>
        </w:tc>
        <w:tc>
          <w:tcPr>
            <w:tcW w:w="629" w:type="dxa"/>
            <w:vAlign w:val="center"/>
          </w:tcPr>
          <w:p w14:paraId="05C44370" w14:textId="77777777" w:rsidR="00D34C6F" w:rsidRPr="00F9037E" w:rsidRDefault="00D34C6F" w:rsidP="00C05C97">
            <w:pPr>
              <w:spacing w:before="120" w:after="120"/>
              <w:jc w:val="center"/>
              <w:rPr>
                <w:color w:val="auto"/>
                <w:sz w:val="10"/>
                <w:szCs w:val="10"/>
              </w:rPr>
            </w:pPr>
          </w:p>
        </w:tc>
        <w:tc>
          <w:tcPr>
            <w:tcW w:w="567" w:type="dxa"/>
            <w:vAlign w:val="center"/>
          </w:tcPr>
          <w:p w14:paraId="555BDACE" w14:textId="77777777" w:rsidR="00D34C6F" w:rsidRPr="00F9037E" w:rsidRDefault="00D34C6F" w:rsidP="00C05C97">
            <w:pPr>
              <w:spacing w:before="120" w:after="120"/>
              <w:jc w:val="center"/>
              <w:rPr>
                <w:color w:val="auto"/>
                <w:sz w:val="10"/>
                <w:szCs w:val="10"/>
              </w:rPr>
            </w:pPr>
          </w:p>
        </w:tc>
        <w:tc>
          <w:tcPr>
            <w:tcW w:w="567" w:type="dxa"/>
            <w:vAlign w:val="center"/>
          </w:tcPr>
          <w:p w14:paraId="3FE5F6BD"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74378BB2" w14:textId="77777777" w:rsidR="00D34C6F" w:rsidRPr="00F9037E" w:rsidRDefault="00D34C6F" w:rsidP="00C05C97">
            <w:pPr>
              <w:spacing w:before="120" w:after="120"/>
              <w:jc w:val="center"/>
              <w:rPr>
                <w:color w:val="auto"/>
                <w:sz w:val="10"/>
                <w:szCs w:val="10"/>
              </w:rPr>
            </w:pPr>
            <w:r w:rsidRPr="00F9037E">
              <w:rPr>
                <w:color w:val="auto"/>
                <w:sz w:val="10"/>
                <w:szCs w:val="10"/>
              </w:rPr>
              <w:t>4.000</w:t>
            </w:r>
          </w:p>
        </w:tc>
        <w:tc>
          <w:tcPr>
            <w:tcW w:w="709" w:type="dxa"/>
            <w:shd w:val="clear" w:color="auto" w:fill="auto"/>
            <w:vAlign w:val="center"/>
          </w:tcPr>
          <w:p w14:paraId="11F7201B" w14:textId="77777777" w:rsidR="00D34C6F" w:rsidRPr="00F9037E" w:rsidRDefault="00D34C6F" w:rsidP="00C05C97">
            <w:pPr>
              <w:spacing w:before="120" w:after="120"/>
              <w:jc w:val="center"/>
              <w:rPr>
                <w:color w:val="auto"/>
                <w:sz w:val="10"/>
                <w:szCs w:val="10"/>
              </w:rPr>
            </w:pPr>
            <w:r w:rsidRPr="00F9037E">
              <w:rPr>
                <w:color w:val="auto"/>
                <w:sz w:val="10"/>
                <w:szCs w:val="10"/>
              </w:rPr>
              <w:t>1.956</w:t>
            </w:r>
          </w:p>
        </w:tc>
        <w:tc>
          <w:tcPr>
            <w:tcW w:w="708" w:type="dxa"/>
            <w:shd w:val="clear" w:color="auto" w:fill="auto"/>
            <w:vAlign w:val="center"/>
          </w:tcPr>
          <w:p w14:paraId="509769C6" w14:textId="300D9AA8"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5BC1B316" w14:textId="14F2EC6F"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31002AE2" w14:textId="46652A27"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6E79FC69" w14:textId="320EED1D"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8D53FF4" w14:textId="01AB4E4D"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08035E91" w14:textId="23E78E81" w:rsidR="00D34C6F" w:rsidRPr="00F9037E" w:rsidRDefault="00D34C6F" w:rsidP="00C05C97">
            <w:pPr>
              <w:spacing w:before="120" w:after="120"/>
              <w:jc w:val="center"/>
              <w:rPr>
                <w:b/>
                <w:color w:val="auto"/>
                <w:sz w:val="10"/>
                <w:szCs w:val="10"/>
              </w:rPr>
            </w:pPr>
          </w:p>
        </w:tc>
        <w:tc>
          <w:tcPr>
            <w:tcW w:w="567" w:type="dxa"/>
            <w:vAlign w:val="center"/>
          </w:tcPr>
          <w:p w14:paraId="044F9BE0" w14:textId="77777777" w:rsidR="00D34C6F" w:rsidRPr="00F9037E" w:rsidRDefault="00D34C6F" w:rsidP="00C05C97">
            <w:pPr>
              <w:spacing w:before="120" w:after="120"/>
              <w:jc w:val="center"/>
              <w:rPr>
                <w:b/>
                <w:color w:val="auto"/>
                <w:sz w:val="10"/>
                <w:szCs w:val="10"/>
              </w:rPr>
            </w:pPr>
          </w:p>
        </w:tc>
        <w:tc>
          <w:tcPr>
            <w:tcW w:w="567" w:type="dxa"/>
            <w:vAlign w:val="center"/>
          </w:tcPr>
          <w:p w14:paraId="7D1B8084" w14:textId="77777777" w:rsidR="00D34C6F" w:rsidRPr="00F9037E" w:rsidRDefault="00D34C6F" w:rsidP="00C05C97">
            <w:pPr>
              <w:spacing w:before="120" w:after="120"/>
              <w:jc w:val="center"/>
              <w:rPr>
                <w:b/>
                <w:color w:val="auto"/>
                <w:sz w:val="10"/>
                <w:szCs w:val="10"/>
              </w:rPr>
            </w:pPr>
          </w:p>
        </w:tc>
        <w:tc>
          <w:tcPr>
            <w:tcW w:w="567" w:type="dxa"/>
            <w:vAlign w:val="center"/>
          </w:tcPr>
          <w:p w14:paraId="231E453C" w14:textId="77777777" w:rsidR="00D34C6F" w:rsidRPr="00F9037E" w:rsidRDefault="00D34C6F" w:rsidP="00C05C97">
            <w:pPr>
              <w:spacing w:before="120" w:after="120"/>
              <w:jc w:val="center"/>
              <w:rPr>
                <w:b/>
                <w:color w:val="auto"/>
                <w:sz w:val="10"/>
                <w:szCs w:val="10"/>
              </w:rPr>
            </w:pPr>
          </w:p>
        </w:tc>
        <w:tc>
          <w:tcPr>
            <w:tcW w:w="567" w:type="dxa"/>
            <w:vAlign w:val="center"/>
          </w:tcPr>
          <w:p w14:paraId="5B52DD3F" w14:textId="77777777" w:rsidR="00D34C6F" w:rsidRPr="00F9037E" w:rsidRDefault="00D34C6F" w:rsidP="00C05C97">
            <w:pPr>
              <w:spacing w:before="120" w:after="120"/>
              <w:jc w:val="center"/>
              <w:rPr>
                <w:b/>
                <w:color w:val="auto"/>
                <w:sz w:val="10"/>
                <w:szCs w:val="10"/>
              </w:rPr>
            </w:pPr>
          </w:p>
        </w:tc>
      </w:tr>
      <w:tr w:rsidR="00D34C6F" w:rsidRPr="00F9037E" w14:paraId="0FA57BA1" w14:textId="77777777" w:rsidTr="00C05C97">
        <w:trPr>
          <w:trHeight w:val="465"/>
          <w:jc w:val="center"/>
        </w:trPr>
        <w:tc>
          <w:tcPr>
            <w:tcW w:w="662" w:type="dxa"/>
            <w:shd w:val="clear" w:color="auto" w:fill="auto"/>
            <w:vAlign w:val="center"/>
          </w:tcPr>
          <w:p w14:paraId="067BAC7A" w14:textId="77777777" w:rsidR="00D34C6F" w:rsidRPr="00F9037E" w:rsidRDefault="00D34C6F" w:rsidP="00C05C97">
            <w:pPr>
              <w:spacing w:before="120" w:after="120"/>
              <w:rPr>
                <w:color w:val="auto"/>
                <w:sz w:val="12"/>
                <w:szCs w:val="12"/>
              </w:rPr>
            </w:pPr>
            <w:r w:rsidRPr="00F9037E">
              <w:rPr>
                <w:color w:val="auto"/>
                <w:sz w:val="12"/>
                <w:szCs w:val="12"/>
              </w:rPr>
              <w:t>Belgium</w:t>
            </w:r>
          </w:p>
        </w:tc>
        <w:tc>
          <w:tcPr>
            <w:tcW w:w="824" w:type="dxa"/>
            <w:shd w:val="clear" w:color="auto" w:fill="auto"/>
            <w:vAlign w:val="center"/>
          </w:tcPr>
          <w:p w14:paraId="51947FF6" w14:textId="77777777" w:rsidR="00D34C6F" w:rsidRPr="00F9037E" w:rsidRDefault="00D34C6F" w:rsidP="00C05C97">
            <w:pPr>
              <w:spacing w:before="120" w:after="120"/>
              <w:rPr>
                <w:color w:val="auto"/>
                <w:sz w:val="12"/>
                <w:szCs w:val="12"/>
              </w:rPr>
            </w:pPr>
            <w:r w:rsidRPr="00F9037E">
              <w:rPr>
                <w:color w:val="auto"/>
                <w:sz w:val="12"/>
                <w:szCs w:val="12"/>
              </w:rPr>
              <w:t>Cut flowers – roses</w:t>
            </w:r>
          </w:p>
        </w:tc>
        <w:tc>
          <w:tcPr>
            <w:tcW w:w="708" w:type="dxa"/>
            <w:shd w:val="clear" w:color="auto" w:fill="auto"/>
            <w:vAlign w:val="center"/>
          </w:tcPr>
          <w:p w14:paraId="48FDF0AF" w14:textId="77777777" w:rsidR="00D34C6F" w:rsidRPr="00F9037E" w:rsidRDefault="00D34C6F" w:rsidP="00C05C97">
            <w:pPr>
              <w:spacing w:before="120" w:after="120"/>
              <w:jc w:val="center"/>
              <w:rPr>
                <w:color w:val="auto"/>
                <w:sz w:val="10"/>
                <w:szCs w:val="10"/>
              </w:rPr>
            </w:pPr>
            <w:r w:rsidRPr="00F9037E">
              <w:rPr>
                <w:color w:val="auto"/>
                <w:sz w:val="10"/>
                <w:szCs w:val="10"/>
              </w:rPr>
              <w:t>1.640</w:t>
            </w:r>
          </w:p>
        </w:tc>
        <w:tc>
          <w:tcPr>
            <w:tcW w:w="709" w:type="dxa"/>
            <w:shd w:val="clear" w:color="auto" w:fill="auto"/>
            <w:vAlign w:val="center"/>
          </w:tcPr>
          <w:p w14:paraId="51074E21" w14:textId="0552BCFE"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204D18B0" w14:textId="52290363"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8B8E377" w14:textId="0A73BFC4"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77FB29AA" w14:textId="15906AAB"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797A4C00" w14:textId="6058D8E4"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63C295E8" w14:textId="4B859A90"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3AFDD380" w14:textId="5F876A31"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36A7B6C2" w14:textId="6901B882" w:rsidR="00D34C6F" w:rsidRPr="00F9037E" w:rsidRDefault="00D34C6F" w:rsidP="00C05C97">
            <w:pPr>
              <w:spacing w:before="120" w:after="120"/>
              <w:jc w:val="center"/>
              <w:rPr>
                <w:color w:val="auto"/>
                <w:sz w:val="10"/>
                <w:szCs w:val="10"/>
              </w:rPr>
            </w:pPr>
          </w:p>
        </w:tc>
        <w:tc>
          <w:tcPr>
            <w:tcW w:w="629" w:type="dxa"/>
            <w:vAlign w:val="center"/>
          </w:tcPr>
          <w:p w14:paraId="5B1B0179" w14:textId="77777777" w:rsidR="00D34C6F" w:rsidRPr="00F9037E" w:rsidRDefault="00D34C6F" w:rsidP="00C05C97">
            <w:pPr>
              <w:spacing w:before="120" w:after="120"/>
              <w:jc w:val="center"/>
              <w:rPr>
                <w:color w:val="auto"/>
                <w:sz w:val="10"/>
                <w:szCs w:val="10"/>
              </w:rPr>
            </w:pPr>
          </w:p>
        </w:tc>
        <w:tc>
          <w:tcPr>
            <w:tcW w:w="567" w:type="dxa"/>
            <w:vAlign w:val="center"/>
          </w:tcPr>
          <w:p w14:paraId="3614665C" w14:textId="77777777" w:rsidR="00D34C6F" w:rsidRPr="00F9037E" w:rsidRDefault="00D34C6F" w:rsidP="00C05C97">
            <w:pPr>
              <w:spacing w:before="120" w:after="120"/>
              <w:jc w:val="center"/>
              <w:rPr>
                <w:color w:val="auto"/>
                <w:sz w:val="10"/>
                <w:szCs w:val="10"/>
              </w:rPr>
            </w:pPr>
          </w:p>
        </w:tc>
        <w:tc>
          <w:tcPr>
            <w:tcW w:w="567" w:type="dxa"/>
            <w:vAlign w:val="center"/>
          </w:tcPr>
          <w:p w14:paraId="47A7A460"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0559BF42" w14:textId="021043D9"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5F0B0C49" w14:textId="45078F88"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45E32708" w14:textId="4E1A3AFC"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365D47EE" w14:textId="5F55B993"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339D5020" w14:textId="76BD290C"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3517AD39" w14:textId="51DC99BC"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85D3620" w14:textId="17029C30"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5AF26255" w14:textId="5A2E9D93" w:rsidR="00D34C6F" w:rsidRPr="00F9037E" w:rsidRDefault="00D34C6F" w:rsidP="00C05C97">
            <w:pPr>
              <w:spacing w:before="120" w:after="120"/>
              <w:jc w:val="center"/>
              <w:rPr>
                <w:b/>
                <w:color w:val="auto"/>
                <w:sz w:val="10"/>
                <w:szCs w:val="10"/>
              </w:rPr>
            </w:pPr>
          </w:p>
        </w:tc>
        <w:tc>
          <w:tcPr>
            <w:tcW w:w="567" w:type="dxa"/>
            <w:vAlign w:val="center"/>
          </w:tcPr>
          <w:p w14:paraId="1FB3489F" w14:textId="77777777" w:rsidR="00D34C6F" w:rsidRPr="00F9037E" w:rsidRDefault="00D34C6F" w:rsidP="00C05C97">
            <w:pPr>
              <w:spacing w:before="120" w:after="120"/>
              <w:jc w:val="center"/>
              <w:rPr>
                <w:b/>
                <w:color w:val="auto"/>
                <w:sz w:val="10"/>
                <w:szCs w:val="10"/>
              </w:rPr>
            </w:pPr>
          </w:p>
        </w:tc>
        <w:tc>
          <w:tcPr>
            <w:tcW w:w="567" w:type="dxa"/>
            <w:vAlign w:val="center"/>
          </w:tcPr>
          <w:p w14:paraId="3BF5CB43" w14:textId="77777777" w:rsidR="00D34C6F" w:rsidRPr="00F9037E" w:rsidRDefault="00D34C6F" w:rsidP="00C05C97">
            <w:pPr>
              <w:spacing w:before="120" w:after="120"/>
              <w:jc w:val="center"/>
              <w:rPr>
                <w:b/>
                <w:color w:val="auto"/>
                <w:sz w:val="10"/>
                <w:szCs w:val="10"/>
              </w:rPr>
            </w:pPr>
          </w:p>
        </w:tc>
        <w:tc>
          <w:tcPr>
            <w:tcW w:w="567" w:type="dxa"/>
            <w:vAlign w:val="center"/>
          </w:tcPr>
          <w:p w14:paraId="5F839876" w14:textId="77777777" w:rsidR="00D34C6F" w:rsidRPr="00F9037E" w:rsidRDefault="00D34C6F" w:rsidP="00C05C97">
            <w:pPr>
              <w:spacing w:before="120" w:after="120"/>
              <w:jc w:val="center"/>
              <w:rPr>
                <w:b/>
                <w:color w:val="auto"/>
                <w:sz w:val="10"/>
                <w:szCs w:val="10"/>
              </w:rPr>
            </w:pPr>
          </w:p>
        </w:tc>
        <w:tc>
          <w:tcPr>
            <w:tcW w:w="567" w:type="dxa"/>
            <w:vAlign w:val="center"/>
          </w:tcPr>
          <w:p w14:paraId="567CDFE0" w14:textId="77777777" w:rsidR="00D34C6F" w:rsidRPr="00F9037E" w:rsidRDefault="00D34C6F" w:rsidP="00C05C97">
            <w:pPr>
              <w:spacing w:before="120" w:after="120"/>
              <w:jc w:val="center"/>
              <w:rPr>
                <w:b/>
                <w:color w:val="auto"/>
                <w:sz w:val="10"/>
                <w:szCs w:val="10"/>
              </w:rPr>
            </w:pPr>
          </w:p>
        </w:tc>
      </w:tr>
      <w:tr w:rsidR="00D34C6F" w:rsidRPr="00F9037E" w14:paraId="133666C7" w14:textId="77777777" w:rsidTr="00C05C97">
        <w:trPr>
          <w:trHeight w:val="690"/>
          <w:jc w:val="center"/>
        </w:trPr>
        <w:tc>
          <w:tcPr>
            <w:tcW w:w="662" w:type="dxa"/>
            <w:shd w:val="clear" w:color="auto" w:fill="auto"/>
            <w:vAlign w:val="center"/>
          </w:tcPr>
          <w:p w14:paraId="5A848E80" w14:textId="77777777" w:rsidR="00D34C6F" w:rsidRPr="00F9037E" w:rsidRDefault="00D34C6F" w:rsidP="00C05C97">
            <w:pPr>
              <w:spacing w:before="120" w:after="120"/>
              <w:rPr>
                <w:color w:val="auto"/>
                <w:sz w:val="12"/>
                <w:szCs w:val="12"/>
              </w:rPr>
            </w:pPr>
            <w:r w:rsidRPr="00F9037E">
              <w:rPr>
                <w:color w:val="auto"/>
                <w:sz w:val="12"/>
                <w:szCs w:val="12"/>
              </w:rPr>
              <w:t>Belgium</w:t>
            </w:r>
          </w:p>
        </w:tc>
        <w:tc>
          <w:tcPr>
            <w:tcW w:w="824" w:type="dxa"/>
            <w:shd w:val="clear" w:color="auto" w:fill="auto"/>
            <w:vAlign w:val="center"/>
          </w:tcPr>
          <w:p w14:paraId="2A5BBB7D" w14:textId="77777777" w:rsidR="00D34C6F" w:rsidRPr="00F9037E" w:rsidRDefault="00D34C6F" w:rsidP="00C05C97">
            <w:pPr>
              <w:spacing w:before="120" w:after="120"/>
              <w:rPr>
                <w:color w:val="auto"/>
                <w:sz w:val="12"/>
                <w:szCs w:val="12"/>
              </w:rPr>
            </w:pPr>
            <w:r w:rsidRPr="00F9037E">
              <w:rPr>
                <w:color w:val="auto"/>
                <w:sz w:val="12"/>
                <w:szCs w:val="12"/>
              </w:rPr>
              <w:t>Endive (</w:t>
            </w:r>
            <w:proofErr w:type="spellStart"/>
            <w:r w:rsidRPr="00F9037E">
              <w:rPr>
                <w:color w:val="auto"/>
                <w:sz w:val="12"/>
                <w:szCs w:val="12"/>
              </w:rPr>
              <w:t>sep</w:t>
            </w:r>
            <w:proofErr w:type="spellEnd"/>
            <w:r w:rsidRPr="00F9037E">
              <w:rPr>
                <w:color w:val="auto"/>
                <w:sz w:val="12"/>
                <w:szCs w:val="12"/>
              </w:rPr>
              <w:t xml:space="preserve"> from lettuce)</w:t>
            </w:r>
          </w:p>
        </w:tc>
        <w:tc>
          <w:tcPr>
            <w:tcW w:w="708" w:type="dxa"/>
            <w:shd w:val="clear" w:color="auto" w:fill="auto"/>
            <w:vAlign w:val="center"/>
          </w:tcPr>
          <w:p w14:paraId="1C346EF9" w14:textId="495FFCD3"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229201A7" w14:textId="77777777" w:rsidR="00D34C6F" w:rsidRPr="00F9037E" w:rsidRDefault="00D34C6F" w:rsidP="00C05C97">
            <w:pPr>
              <w:spacing w:before="120" w:after="120"/>
              <w:jc w:val="center"/>
              <w:rPr>
                <w:color w:val="auto"/>
                <w:sz w:val="10"/>
                <w:szCs w:val="10"/>
              </w:rPr>
            </w:pPr>
            <w:r w:rsidRPr="00F9037E">
              <w:rPr>
                <w:color w:val="auto"/>
                <w:sz w:val="10"/>
                <w:szCs w:val="10"/>
              </w:rPr>
              <w:t>1.650</w:t>
            </w:r>
          </w:p>
        </w:tc>
        <w:tc>
          <w:tcPr>
            <w:tcW w:w="709" w:type="dxa"/>
            <w:shd w:val="clear" w:color="auto" w:fill="auto"/>
            <w:vAlign w:val="center"/>
          </w:tcPr>
          <w:p w14:paraId="56562A2D" w14:textId="0272FE20"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29CD744" w14:textId="108BD271"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15FB1A28" w14:textId="5F14F119"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D272AD3" w14:textId="417237D4"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42A2C6A1" w14:textId="55D4A17F"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79AAF07E" w14:textId="59446B0A"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2DD90218" w14:textId="30CB39AC" w:rsidR="00D34C6F" w:rsidRPr="00F9037E" w:rsidRDefault="00D34C6F" w:rsidP="00C05C97">
            <w:pPr>
              <w:spacing w:before="120" w:after="120"/>
              <w:jc w:val="center"/>
              <w:rPr>
                <w:color w:val="auto"/>
                <w:sz w:val="10"/>
                <w:szCs w:val="10"/>
              </w:rPr>
            </w:pPr>
          </w:p>
        </w:tc>
        <w:tc>
          <w:tcPr>
            <w:tcW w:w="629" w:type="dxa"/>
            <w:vAlign w:val="center"/>
          </w:tcPr>
          <w:p w14:paraId="793210FB" w14:textId="77777777" w:rsidR="00D34C6F" w:rsidRPr="00F9037E" w:rsidRDefault="00D34C6F" w:rsidP="00C05C97">
            <w:pPr>
              <w:spacing w:before="120" w:after="120"/>
              <w:jc w:val="center"/>
              <w:rPr>
                <w:color w:val="auto"/>
                <w:sz w:val="10"/>
                <w:szCs w:val="10"/>
              </w:rPr>
            </w:pPr>
          </w:p>
        </w:tc>
        <w:tc>
          <w:tcPr>
            <w:tcW w:w="567" w:type="dxa"/>
            <w:vAlign w:val="center"/>
          </w:tcPr>
          <w:p w14:paraId="10C26B37" w14:textId="77777777" w:rsidR="00D34C6F" w:rsidRPr="00F9037E" w:rsidRDefault="00D34C6F" w:rsidP="00C05C97">
            <w:pPr>
              <w:spacing w:before="120" w:after="120"/>
              <w:jc w:val="center"/>
              <w:rPr>
                <w:color w:val="auto"/>
                <w:sz w:val="10"/>
                <w:szCs w:val="10"/>
              </w:rPr>
            </w:pPr>
          </w:p>
        </w:tc>
        <w:tc>
          <w:tcPr>
            <w:tcW w:w="567" w:type="dxa"/>
            <w:vAlign w:val="center"/>
          </w:tcPr>
          <w:p w14:paraId="0D97E48A"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17274785" w14:textId="7F70498E"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58EF746F" w14:textId="77777777" w:rsidR="00D34C6F" w:rsidRPr="00F9037E" w:rsidRDefault="00D34C6F" w:rsidP="00C05C97">
            <w:pPr>
              <w:spacing w:before="120" w:after="120"/>
              <w:jc w:val="center"/>
              <w:rPr>
                <w:color w:val="auto"/>
                <w:sz w:val="10"/>
                <w:szCs w:val="10"/>
              </w:rPr>
            </w:pPr>
            <w:r w:rsidRPr="00F9037E">
              <w:rPr>
                <w:color w:val="auto"/>
                <w:sz w:val="10"/>
                <w:szCs w:val="10"/>
              </w:rPr>
              <w:t>1.650</w:t>
            </w:r>
          </w:p>
        </w:tc>
        <w:tc>
          <w:tcPr>
            <w:tcW w:w="708" w:type="dxa"/>
            <w:shd w:val="clear" w:color="auto" w:fill="auto"/>
            <w:vAlign w:val="center"/>
          </w:tcPr>
          <w:p w14:paraId="7552AC39" w14:textId="11C2D722"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7FA6081B" w14:textId="7AC3E148"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F91E853" w14:textId="47A66E42"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3B8A7D03" w14:textId="56E0B16B"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AEAB328" w14:textId="05032EBD"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28E7E1EB" w14:textId="6624CC78" w:rsidR="00D34C6F" w:rsidRPr="00F9037E" w:rsidRDefault="00D34C6F" w:rsidP="00C05C97">
            <w:pPr>
              <w:spacing w:before="120" w:after="120"/>
              <w:jc w:val="center"/>
              <w:rPr>
                <w:b/>
                <w:color w:val="auto"/>
                <w:sz w:val="10"/>
                <w:szCs w:val="10"/>
              </w:rPr>
            </w:pPr>
          </w:p>
        </w:tc>
        <w:tc>
          <w:tcPr>
            <w:tcW w:w="567" w:type="dxa"/>
            <w:vAlign w:val="center"/>
          </w:tcPr>
          <w:p w14:paraId="62D2CCC9" w14:textId="77777777" w:rsidR="00D34C6F" w:rsidRPr="00F9037E" w:rsidRDefault="00D34C6F" w:rsidP="00C05C97">
            <w:pPr>
              <w:spacing w:before="120" w:after="120"/>
              <w:jc w:val="center"/>
              <w:rPr>
                <w:b/>
                <w:color w:val="auto"/>
                <w:sz w:val="10"/>
                <w:szCs w:val="10"/>
              </w:rPr>
            </w:pPr>
          </w:p>
        </w:tc>
        <w:tc>
          <w:tcPr>
            <w:tcW w:w="567" w:type="dxa"/>
            <w:vAlign w:val="center"/>
          </w:tcPr>
          <w:p w14:paraId="4C0721BF" w14:textId="77777777" w:rsidR="00D34C6F" w:rsidRPr="00F9037E" w:rsidRDefault="00D34C6F" w:rsidP="00C05C97">
            <w:pPr>
              <w:spacing w:before="120" w:after="120"/>
              <w:jc w:val="center"/>
              <w:rPr>
                <w:b/>
                <w:color w:val="auto"/>
                <w:sz w:val="10"/>
                <w:szCs w:val="10"/>
              </w:rPr>
            </w:pPr>
          </w:p>
        </w:tc>
        <w:tc>
          <w:tcPr>
            <w:tcW w:w="567" w:type="dxa"/>
            <w:vAlign w:val="center"/>
          </w:tcPr>
          <w:p w14:paraId="48A67759" w14:textId="77777777" w:rsidR="00D34C6F" w:rsidRPr="00F9037E" w:rsidRDefault="00D34C6F" w:rsidP="00C05C97">
            <w:pPr>
              <w:spacing w:before="120" w:after="120"/>
              <w:jc w:val="center"/>
              <w:rPr>
                <w:b/>
                <w:color w:val="auto"/>
                <w:sz w:val="10"/>
                <w:szCs w:val="10"/>
              </w:rPr>
            </w:pPr>
          </w:p>
        </w:tc>
        <w:tc>
          <w:tcPr>
            <w:tcW w:w="567" w:type="dxa"/>
            <w:vAlign w:val="center"/>
          </w:tcPr>
          <w:p w14:paraId="353D7ECE" w14:textId="77777777" w:rsidR="00D34C6F" w:rsidRPr="00F9037E" w:rsidRDefault="00D34C6F" w:rsidP="00C05C97">
            <w:pPr>
              <w:spacing w:before="120" w:after="120"/>
              <w:jc w:val="center"/>
              <w:rPr>
                <w:b/>
                <w:color w:val="auto"/>
                <w:sz w:val="10"/>
                <w:szCs w:val="10"/>
              </w:rPr>
            </w:pPr>
          </w:p>
        </w:tc>
      </w:tr>
      <w:tr w:rsidR="00D34C6F" w:rsidRPr="00F9037E" w14:paraId="16F905DC" w14:textId="77777777" w:rsidTr="00C05C97">
        <w:trPr>
          <w:trHeight w:val="465"/>
          <w:jc w:val="center"/>
        </w:trPr>
        <w:tc>
          <w:tcPr>
            <w:tcW w:w="662" w:type="dxa"/>
            <w:shd w:val="clear" w:color="auto" w:fill="auto"/>
            <w:vAlign w:val="center"/>
          </w:tcPr>
          <w:p w14:paraId="29118DC7" w14:textId="77777777" w:rsidR="00D34C6F" w:rsidRPr="00F9037E" w:rsidRDefault="00D34C6F" w:rsidP="00C05C97">
            <w:pPr>
              <w:spacing w:before="120" w:after="120"/>
              <w:rPr>
                <w:color w:val="auto"/>
                <w:sz w:val="12"/>
                <w:szCs w:val="12"/>
              </w:rPr>
            </w:pPr>
            <w:r w:rsidRPr="00F9037E">
              <w:rPr>
                <w:color w:val="auto"/>
                <w:sz w:val="12"/>
                <w:szCs w:val="12"/>
              </w:rPr>
              <w:t>Belgium</w:t>
            </w:r>
          </w:p>
        </w:tc>
        <w:tc>
          <w:tcPr>
            <w:tcW w:w="824" w:type="dxa"/>
            <w:shd w:val="clear" w:color="auto" w:fill="auto"/>
            <w:vAlign w:val="center"/>
          </w:tcPr>
          <w:p w14:paraId="2178C896" w14:textId="77777777" w:rsidR="00D34C6F" w:rsidRPr="00F9037E" w:rsidRDefault="00D34C6F" w:rsidP="00C05C97">
            <w:pPr>
              <w:spacing w:before="120" w:after="120"/>
              <w:rPr>
                <w:color w:val="auto"/>
                <w:sz w:val="12"/>
                <w:szCs w:val="12"/>
              </w:rPr>
            </w:pPr>
            <w:r w:rsidRPr="00F9037E">
              <w:rPr>
                <w:color w:val="auto"/>
                <w:sz w:val="12"/>
                <w:szCs w:val="12"/>
              </w:rPr>
              <w:t>Leek &amp;onion seeds</w:t>
            </w:r>
          </w:p>
        </w:tc>
        <w:tc>
          <w:tcPr>
            <w:tcW w:w="708" w:type="dxa"/>
            <w:shd w:val="clear" w:color="auto" w:fill="auto"/>
            <w:vAlign w:val="center"/>
          </w:tcPr>
          <w:p w14:paraId="31B3EC4C" w14:textId="77777777" w:rsidR="00D34C6F" w:rsidRPr="00F9037E" w:rsidRDefault="00D34C6F" w:rsidP="00C05C97">
            <w:pPr>
              <w:spacing w:before="120" w:after="120"/>
              <w:jc w:val="center"/>
              <w:rPr>
                <w:color w:val="auto"/>
                <w:sz w:val="10"/>
                <w:szCs w:val="10"/>
              </w:rPr>
            </w:pPr>
            <w:r w:rsidRPr="00F9037E">
              <w:rPr>
                <w:color w:val="auto"/>
                <w:sz w:val="10"/>
                <w:szCs w:val="10"/>
              </w:rPr>
              <w:t>1.220</w:t>
            </w:r>
          </w:p>
        </w:tc>
        <w:tc>
          <w:tcPr>
            <w:tcW w:w="709" w:type="dxa"/>
            <w:shd w:val="clear" w:color="auto" w:fill="auto"/>
            <w:vAlign w:val="center"/>
          </w:tcPr>
          <w:p w14:paraId="5E7CF63A" w14:textId="77777777" w:rsidR="00D34C6F" w:rsidRPr="00F9037E" w:rsidRDefault="00D34C6F" w:rsidP="00C05C97">
            <w:pPr>
              <w:spacing w:before="120" w:after="120"/>
              <w:jc w:val="center"/>
              <w:rPr>
                <w:color w:val="auto"/>
                <w:sz w:val="10"/>
                <w:szCs w:val="10"/>
              </w:rPr>
            </w:pPr>
            <w:r w:rsidRPr="00F9037E">
              <w:rPr>
                <w:color w:val="auto"/>
                <w:sz w:val="10"/>
                <w:szCs w:val="10"/>
              </w:rPr>
              <w:t>0.155</w:t>
            </w:r>
          </w:p>
        </w:tc>
        <w:tc>
          <w:tcPr>
            <w:tcW w:w="709" w:type="dxa"/>
            <w:shd w:val="clear" w:color="auto" w:fill="auto"/>
            <w:vAlign w:val="center"/>
          </w:tcPr>
          <w:p w14:paraId="7AFEE802" w14:textId="2CC50032"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201785DF" w14:textId="1CA54785"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41777A47" w14:textId="0BB58C7E"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F9ACD76" w14:textId="4EDB62B6"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10C8EF47" w14:textId="5166CF03"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7902E3E" w14:textId="70207955"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14AC3E2" w14:textId="28DBAA84" w:rsidR="00D34C6F" w:rsidRPr="00F9037E" w:rsidRDefault="00D34C6F" w:rsidP="00C05C97">
            <w:pPr>
              <w:spacing w:before="120" w:after="120"/>
              <w:jc w:val="center"/>
              <w:rPr>
                <w:color w:val="auto"/>
                <w:sz w:val="10"/>
                <w:szCs w:val="10"/>
              </w:rPr>
            </w:pPr>
          </w:p>
        </w:tc>
        <w:tc>
          <w:tcPr>
            <w:tcW w:w="629" w:type="dxa"/>
            <w:vAlign w:val="center"/>
          </w:tcPr>
          <w:p w14:paraId="6C499A41" w14:textId="77777777" w:rsidR="00D34C6F" w:rsidRPr="00F9037E" w:rsidRDefault="00D34C6F" w:rsidP="00C05C97">
            <w:pPr>
              <w:spacing w:before="120" w:after="120"/>
              <w:jc w:val="center"/>
              <w:rPr>
                <w:color w:val="auto"/>
                <w:sz w:val="10"/>
                <w:szCs w:val="10"/>
              </w:rPr>
            </w:pPr>
          </w:p>
        </w:tc>
        <w:tc>
          <w:tcPr>
            <w:tcW w:w="567" w:type="dxa"/>
            <w:vAlign w:val="center"/>
          </w:tcPr>
          <w:p w14:paraId="5EAF91B1" w14:textId="77777777" w:rsidR="00D34C6F" w:rsidRPr="00F9037E" w:rsidRDefault="00D34C6F" w:rsidP="00C05C97">
            <w:pPr>
              <w:spacing w:before="120" w:after="120"/>
              <w:jc w:val="center"/>
              <w:rPr>
                <w:color w:val="auto"/>
                <w:sz w:val="10"/>
                <w:szCs w:val="10"/>
              </w:rPr>
            </w:pPr>
          </w:p>
        </w:tc>
        <w:tc>
          <w:tcPr>
            <w:tcW w:w="567" w:type="dxa"/>
            <w:vAlign w:val="center"/>
          </w:tcPr>
          <w:p w14:paraId="10752AAA"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79F27CCB" w14:textId="77777777" w:rsidR="00D34C6F" w:rsidRPr="00F9037E" w:rsidRDefault="00D34C6F" w:rsidP="00C05C97">
            <w:pPr>
              <w:spacing w:before="120" w:after="120"/>
              <w:jc w:val="center"/>
              <w:rPr>
                <w:color w:val="auto"/>
                <w:sz w:val="10"/>
                <w:szCs w:val="10"/>
              </w:rPr>
            </w:pPr>
            <w:r w:rsidRPr="00F9037E">
              <w:rPr>
                <w:color w:val="auto"/>
                <w:sz w:val="10"/>
                <w:szCs w:val="10"/>
              </w:rPr>
              <w:t>0.660</w:t>
            </w:r>
          </w:p>
        </w:tc>
        <w:tc>
          <w:tcPr>
            <w:tcW w:w="709" w:type="dxa"/>
            <w:shd w:val="clear" w:color="auto" w:fill="auto"/>
            <w:vAlign w:val="center"/>
          </w:tcPr>
          <w:p w14:paraId="66AA6B0F" w14:textId="0E294E5E"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32DA0D45" w14:textId="61B0196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723BDC57" w14:textId="3BCB7988"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7D80F25C" w14:textId="08022C94"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56DE9DE5" w14:textId="5674D8E5"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355C3861" w14:textId="5BB1ACB2"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2DEBA114" w14:textId="4A3B0AE5" w:rsidR="00D34C6F" w:rsidRPr="00F9037E" w:rsidRDefault="00D34C6F" w:rsidP="00C05C97">
            <w:pPr>
              <w:spacing w:before="120" w:after="120"/>
              <w:jc w:val="center"/>
              <w:rPr>
                <w:b/>
                <w:color w:val="auto"/>
                <w:sz w:val="10"/>
                <w:szCs w:val="10"/>
              </w:rPr>
            </w:pPr>
          </w:p>
        </w:tc>
        <w:tc>
          <w:tcPr>
            <w:tcW w:w="567" w:type="dxa"/>
            <w:vAlign w:val="center"/>
          </w:tcPr>
          <w:p w14:paraId="438F4CD0" w14:textId="77777777" w:rsidR="00D34C6F" w:rsidRPr="00F9037E" w:rsidRDefault="00D34C6F" w:rsidP="00C05C97">
            <w:pPr>
              <w:spacing w:before="120" w:after="120"/>
              <w:jc w:val="center"/>
              <w:rPr>
                <w:b/>
                <w:color w:val="auto"/>
                <w:sz w:val="10"/>
                <w:szCs w:val="10"/>
              </w:rPr>
            </w:pPr>
          </w:p>
        </w:tc>
        <w:tc>
          <w:tcPr>
            <w:tcW w:w="567" w:type="dxa"/>
            <w:vAlign w:val="center"/>
          </w:tcPr>
          <w:p w14:paraId="6B82AB84" w14:textId="77777777" w:rsidR="00D34C6F" w:rsidRPr="00F9037E" w:rsidRDefault="00D34C6F" w:rsidP="00C05C97">
            <w:pPr>
              <w:spacing w:before="120" w:after="120"/>
              <w:jc w:val="center"/>
              <w:rPr>
                <w:b/>
                <w:color w:val="auto"/>
                <w:sz w:val="10"/>
                <w:szCs w:val="10"/>
              </w:rPr>
            </w:pPr>
          </w:p>
        </w:tc>
        <w:tc>
          <w:tcPr>
            <w:tcW w:w="567" w:type="dxa"/>
            <w:vAlign w:val="center"/>
          </w:tcPr>
          <w:p w14:paraId="0EFACCA2" w14:textId="77777777" w:rsidR="00D34C6F" w:rsidRPr="00F9037E" w:rsidRDefault="00D34C6F" w:rsidP="00C05C97">
            <w:pPr>
              <w:spacing w:before="120" w:after="120"/>
              <w:jc w:val="center"/>
              <w:rPr>
                <w:b/>
                <w:color w:val="auto"/>
                <w:sz w:val="10"/>
                <w:szCs w:val="10"/>
              </w:rPr>
            </w:pPr>
          </w:p>
        </w:tc>
        <w:tc>
          <w:tcPr>
            <w:tcW w:w="567" w:type="dxa"/>
            <w:vAlign w:val="center"/>
          </w:tcPr>
          <w:p w14:paraId="4689290F" w14:textId="77777777" w:rsidR="00D34C6F" w:rsidRPr="00F9037E" w:rsidRDefault="00D34C6F" w:rsidP="00C05C97">
            <w:pPr>
              <w:spacing w:before="120" w:after="120"/>
              <w:jc w:val="center"/>
              <w:rPr>
                <w:b/>
                <w:color w:val="auto"/>
                <w:sz w:val="10"/>
                <w:szCs w:val="10"/>
              </w:rPr>
            </w:pPr>
          </w:p>
        </w:tc>
      </w:tr>
      <w:tr w:rsidR="00D34C6F" w:rsidRPr="00F9037E" w14:paraId="20F86B6B" w14:textId="77777777" w:rsidTr="00C05C97">
        <w:trPr>
          <w:trHeight w:val="465"/>
          <w:jc w:val="center"/>
        </w:trPr>
        <w:tc>
          <w:tcPr>
            <w:tcW w:w="662" w:type="dxa"/>
            <w:shd w:val="clear" w:color="auto" w:fill="auto"/>
            <w:vAlign w:val="center"/>
          </w:tcPr>
          <w:p w14:paraId="6A62817E" w14:textId="77777777" w:rsidR="00D34C6F" w:rsidRPr="00220275" w:rsidRDefault="00D34C6F" w:rsidP="00C05C97">
            <w:pPr>
              <w:spacing w:before="120" w:after="120"/>
              <w:rPr>
                <w:color w:val="auto"/>
                <w:sz w:val="12"/>
                <w:szCs w:val="12"/>
              </w:rPr>
            </w:pPr>
            <w:r w:rsidRPr="00220275">
              <w:rPr>
                <w:color w:val="auto"/>
                <w:sz w:val="12"/>
                <w:szCs w:val="12"/>
              </w:rPr>
              <w:lastRenderedPageBreak/>
              <w:t>Belgium</w:t>
            </w:r>
          </w:p>
        </w:tc>
        <w:tc>
          <w:tcPr>
            <w:tcW w:w="824" w:type="dxa"/>
            <w:shd w:val="clear" w:color="auto" w:fill="auto"/>
            <w:vAlign w:val="center"/>
          </w:tcPr>
          <w:p w14:paraId="600E9DEE" w14:textId="77777777" w:rsidR="00D34C6F" w:rsidRPr="00220275" w:rsidRDefault="00D34C6F" w:rsidP="00C05C97">
            <w:pPr>
              <w:spacing w:before="120" w:after="120"/>
              <w:rPr>
                <w:color w:val="auto"/>
                <w:sz w:val="12"/>
                <w:szCs w:val="12"/>
              </w:rPr>
            </w:pPr>
            <w:r w:rsidRPr="00220275">
              <w:rPr>
                <w:color w:val="auto"/>
                <w:sz w:val="12"/>
                <w:szCs w:val="12"/>
              </w:rPr>
              <w:t>Lettuce(&amp; endive)</w:t>
            </w:r>
          </w:p>
        </w:tc>
        <w:tc>
          <w:tcPr>
            <w:tcW w:w="708" w:type="dxa"/>
            <w:shd w:val="clear" w:color="auto" w:fill="auto"/>
            <w:vAlign w:val="center"/>
          </w:tcPr>
          <w:p w14:paraId="2BCDA787" w14:textId="77777777" w:rsidR="00D34C6F" w:rsidRPr="00B87B95" w:rsidRDefault="00D34C6F" w:rsidP="00C05C97">
            <w:pPr>
              <w:spacing w:before="120" w:after="120"/>
              <w:jc w:val="center"/>
              <w:rPr>
                <w:color w:val="auto"/>
                <w:sz w:val="10"/>
                <w:szCs w:val="10"/>
              </w:rPr>
            </w:pPr>
            <w:r w:rsidRPr="00B87B95">
              <w:rPr>
                <w:color w:val="auto"/>
                <w:sz w:val="10"/>
                <w:szCs w:val="10"/>
              </w:rPr>
              <w:t>42.250</w:t>
            </w:r>
          </w:p>
        </w:tc>
        <w:tc>
          <w:tcPr>
            <w:tcW w:w="709" w:type="dxa"/>
            <w:shd w:val="clear" w:color="auto" w:fill="auto"/>
            <w:vAlign w:val="center"/>
          </w:tcPr>
          <w:p w14:paraId="0BA0A762" w14:textId="77777777" w:rsidR="00D34C6F" w:rsidRPr="00B87B95" w:rsidRDefault="00D34C6F" w:rsidP="00C05C97">
            <w:pPr>
              <w:spacing w:before="120" w:after="120"/>
              <w:jc w:val="center"/>
              <w:rPr>
                <w:color w:val="auto"/>
                <w:sz w:val="10"/>
                <w:szCs w:val="10"/>
              </w:rPr>
            </w:pPr>
            <w:r w:rsidRPr="00B87B95">
              <w:rPr>
                <w:color w:val="auto"/>
                <w:sz w:val="10"/>
                <w:szCs w:val="10"/>
              </w:rPr>
              <w:t>22.425</w:t>
            </w:r>
          </w:p>
        </w:tc>
        <w:tc>
          <w:tcPr>
            <w:tcW w:w="709" w:type="dxa"/>
            <w:shd w:val="clear" w:color="auto" w:fill="auto"/>
            <w:vAlign w:val="center"/>
          </w:tcPr>
          <w:p w14:paraId="2D421D10" w14:textId="561DD20D" w:rsidR="00D34C6F" w:rsidRPr="00563BC0" w:rsidRDefault="00D34C6F" w:rsidP="00C05C97">
            <w:pPr>
              <w:spacing w:before="120" w:after="120"/>
              <w:jc w:val="center"/>
              <w:rPr>
                <w:color w:val="auto"/>
                <w:sz w:val="10"/>
                <w:szCs w:val="10"/>
              </w:rPr>
            </w:pPr>
          </w:p>
        </w:tc>
        <w:tc>
          <w:tcPr>
            <w:tcW w:w="567" w:type="dxa"/>
            <w:shd w:val="clear" w:color="auto" w:fill="auto"/>
            <w:vAlign w:val="center"/>
          </w:tcPr>
          <w:p w14:paraId="5C61CD12" w14:textId="511014EA" w:rsidR="00D34C6F" w:rsidRPr="00563BC0" w:rsidRDefault="00D34C6F" w:rsidP="00C05C97">
            <w:pPr>
              <w:spacing w:before="120" w:after="120"/>
              <w:jc w:val="center"/>
              <w:rPr>
                <w:color w:val="auto"/>
                <w:sz w:val="10"/>
                <w:szCs w:val="10"/>
              </w:rPr>
            </w:pPr>
          </w:p>
        </w:tc>
        <w:tc>
          <w:tcPr>
            <w:tcW w:w="709" w:type="dxa"/>
            <w:shd w:val="clear" w:color="auto" w:fill="auto"/>
            <w:vAlign w:val="center"/>
          </w:tcPr>
          <w:p w14:paraId="2F0518B6" w14:textId="70FF26D4" w:rsidR="00D34C6F" w:rsidRPr="00563BC0" w:rsidRDefault="00D34C6F" w:rsidP="00C05C97">
            <w:pPr>
              <w:spacing w:before="120" w:after="120"/>
              <w:jc w:val="center"/>
              <w:rPr>
                <w:color w:val="auto"/>
                <w:sz w:val="10"/>
                <w:szCs w:val="10"/>
              </w:rPr>
            </w:pPr>
          </w:p>
        </w:tc>
        <w:tc>
          <w:tcPr>
            <w:tcW w:w="567" w:type="dxa"/>
            <w:shd w:val="clear" w:color="auto" w:fill="auto"/>
            <w:vAlign w:val="center"/>
          </w:tcPr>
          <w:p w14:paraId="7191CA8B" w14:textId="07817A58" w:rsidR="00D34C6F" w:rsidRPr="00563BC0" w:rsidRDefault="00D34C6F" w:rsidP="00C05C97">
            <w:pPr>
              <w:spacing w:before="120" w:after="120"/>
              <w:jc w:val="center"/>
              <w:rPr>
                <w:color w:val="auto"/>
                <w:sz w:val="10"/>
                <w:szCs w:val="10"/>
              </w:rPr>
            </w:pPr>
          </w:p>
        </w:tc>
        <w:tc>
          <w:tcPr>
            <w:tcW w:w="708" w:type="dxa"/>
            <w:shd w:val="clear" w:color="auto" w:fill="auto"/>
            <w:vAlign w:val="center"/>
          </w:tcPr>
          <w:p w14:paraId="01141AD4" w14:textId="0D3F4808" w:rsidR="00D34C6F" w:rsidRPr="00563BC0" w:rsidRDefault="00D34C6F" w:rsidP="00C05C97">
            <w:pPr>
              <w:spacing w:before="120" w:after="120"/>
              <w:jc w:val="center"/>
              <w:rPr>
                <w:color w:val="auto"/>
                <w:sz w:val="10"/>
                <w:szCs w:val="10"/>
              </w:rPr>
            </w:pPr>
          </w:p>
        </w:tc>
        <w:tc>
          <w:tcPr>
            <w:tcW w:w="567" w:type="dxa"/>
            <w:shd w:val="clear" w:color="auto" w:fill="auto"/>
            <w:vAlign w:val="center"/>
          </w:tcPr>
          <w:p w14:paraId="7B55F2E1" w14:textId="4FBB0803" w:rsidR="00D34C6F" w:rsidRPr="00563BC0" w:rsidRDefault="00D34C6F" w:rsidP="00C05C97">
            <w:pPr>
              <w:spacing w:before="120" w:after="120"/>
              <w:jc w:val="center"/>
              <w:rPr>
                <w:color w:val="auto"/>
                <w:sz w:val="10"/>
                <w:szCs w:val="10"/>
              </w:rPr>
            </w:pPr>
          </w:p>
        </w:tc>
        <w:tc>
          <w:tcPr>
            <w:tcW w:w="567" w:type="dxa"/>
            <w:shd w:val="clear" w:color="auto" w:fill="auto"/>
            <w:vAlign w:val="center"/>
          </w:tcPr>
          <w:p w14:paraId="2B53A6F7" w14:textId="552F4244" w:rsidR="00D34C6F" w:rsidRPr="000F08B5" w:rsidRDefault="00D34C6F" w:rsidP="00C05C97">
            <w:pPr>
              <w:spacing w:before="120" w:after="120"/>
              <w:jc w:val="center"/>
              <w:rPr>
                <w:color w:val="auto"/>
                <w:sz w:val="10"/>
                <w:szCs w:val="10"/>
              </w:rPr>
            </w:pPr>
          </w:p>
        </w:tc>
        <w:tc>
          <w:tcPr>
            <w:tcW w:w="629" w:type="dxa"/>
            <w:vAlign w:val="center"/>
          </w:tcPr>
          <w:p w14:paraId="43390F19" w14:textId="77777777" w:rsidR="00D34C6F" w:rsidRPr="000F08B5" w:rsidRDefault="00D34C6F" w:rsidP="00C05C97">
            <w:pPr>
              <w:spacing w:before="120" w:after="120"/>
              <w:jc w:val="center"/>
              <w:rPr>
                <w:color w:val="auto"/>
                <w:sz w:val="10"/>
                <w:szCs w:val="10"/>
              </w:rPr>
            </w:pPr>
          </w:p>
        </w:tc>
        <w:tc>
          <w:tcPr>
            <w:tcW w:w="567" w:type="dxa"/>
            <w:vAlign w:val="center"/>
          </w:tcPr>
          <w:p w14:paraId="7F0502DA" w14:textId="77777777" w:rsidR="00D34C6F" w:rsidRPr="00365366" w:rsidRDefault="00D34C6F" w:rsidP="00C05C97">
            <w:pPr>
              <w:spacing w:before="120" w:after="120"/>
              <w:jc w:val="center"/>
              <w:rPr>
                <w:b/>
                <w:color w:val="auto"/>
                <w:sz w:val="10"/>
                <w:szCs w:val="10"/>
              </w:rPr>
            </w:pPr>
          </w:p>
        </w:tc>
        <w:tc>
          <w:tcPr>
            <w:tcW w:w="567" w:type="dxa"/>
            <w:vAlign w:val="center"/>
          </w:tcPr>
          <w:p w14:paraId="7E4B5E0D"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2C64187A" w14:textId="77777777" w:rsidR="00D34C6F" w:rsidRPr="00F9037E" w:rsidRDefault="00D34C6F" w:rsidP="00C05C97">
            <w:pPr>
              <w:spacing w:before="120" w:after="120"/>
              <w:jc w:val="center"/>
              <w:rPr>
                <w:color w:val="auto"/>
                <w:sz w:val="10"/>
                <w:szCs w:val="10"/>
              </w:rPr>
            </w:pPr>
            <w:r w:rsidRPr="00F9037E">
              <w:rPr>
                <w:color w:val="auto"/>
                <w:sz w:val="10"/>
                <w:szCs w:val="10"/>
              </w:rPr>
              <w:t>25.190</w:t>
            </w:r>
          </w:p>
        </w:tc>
        <w:tc>
          <w:tcPr>
            <w:tcW w:w="709" w:type="dxa"/>
            <w:shd w:val="clear" w:color="auto" w:fill="auto"/>
            <w:vAlign w:val="center"/>
          </w:tcPr>
          <w:p w14:paraId="170BCEA0" w14:textId="110E091E"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3B027C7C" w14:textId="6280724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696E68E7" w14:textId="74ACF857"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BBB472D" w14:textId="2AC006AF"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6AA65A58" w14:textId="23CD42C4"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AE4C960" w14:textId="14870EDB"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060E0E78" w14:textId="1C519D23" w:rsidR="00D34C6F" w:rsidRPr="00F9037E" w:rsidRDefault="00D34C6F" w:rsidP="00C05C97">
            <w:pPr>
              <w:spacing w:before="120" w:after="120"/>
              <w:jc w:val="center"/>
              <w:rPr>
                <w:b/>
                <w:color w:val="auto"/>
                <w:sz w:val="10"/>
                <w:szCs w:val="10"/>
              </w:rPr>
            </w:pPr>
          </w:p>
        </w:tc>
        <w:tc>
          <w:tcPr>
            <w:tcW w:w="567" w:type="dxa"/>
            <w:vAlign w:val="center"/>
          </w:tcPr>
          <w:p w14:paraId="644DB39C" w14:textId="77777777" w:rsidR="00D34C6F" w:rsidRPr="00F9037E" w:rsidRDefault="00D34C6F" w:rsidP="00C05C97">
            <w:pPr>
              <w:spacing w:before="120" w:after="120"/>
              <w:jc w:val="center"/>
              <w:rPr>
                <w:b/>
                <w:color w:val="auto"/>
                <w:sz w:val="10"/>
                <w:szCs w:val="10"/>
              </w:rPr>
            </w:pPr>
          </w:p>
        </w:tc>
        <w:tc>
          <w:tcPr>
            <w:tcW w:w="567" w:type="dxa"/>
            <w:vAlign w:val="center"/>
          </w:tcPr>
          <w:p w14:paraId="13F05359" w14:textId="77777777" w:rsidR="00D34C6F" w:rsidRPr="00F9037E" w:rsidRDefault="00D34C6F" w:rsidP="00C05C97">
            <w:pPr>
              <w:spacing w:before="120" w:after="120"/>
              <w:jc w:val="center"/>
              <w:rPr>
                <w:b/>
                <w:color w:val="auto"/>
                <w:sz w:val="10"/>
                <w:szCs w:val="10"/>
              </w:rPr>
            </w:pPr>
          </w:p>
        </w:tc>
        <w:tc>
          <w:tcPr>
            <w:tcW w:w="567" w:type="dxa"/>
            <w:vAlign w:val="center"/>
          </w:tcPr>
          <w:p w14:paraId="05BA317C" w14:textId="77777777" w:rsidR="00D34C6F" w:rsidRPr="00F9037E" w:rsidRDefault="00D34C6F" w:rsidP="00C05C97">
            <w:pPr>
              <w:spacing w:before="120" w:after="120"/>
              <w:jc w:val="center"/>
              <w:rPr>
                <w:b/>
                <w:color w:val="auto"/>
                <w:sz w:val="10"/>
                <w:szCs w:val="10"/>
              </w:rPr>
            </w:pPr>
          </w:p>
        </w:tc>
        <w:tc>
          <w:tcPr>
            <w:tcW w:w="567" w:type="dxa"/>
            <w:vAlign w:val="center"/>
          </w:tcPr>
          <w:p w14:paraId="530925B5" w14:textId="77777777" w:rsidR="00D34C6F" w:rsidRPr="00F9037E" w:rsidRDefault="00D34C6F" w:rsidP="00C05C97">
            <w:pPr>
              <w:spacing w:before="120" w:after="120"/>
              <w:jc w:val="center"/>
              <w:rPr>
                <w:b/>
                <w:color w:val="auto"/>
                <w:sz w:val="10"/>
                <w:szCs w:val="10"/>
              </w:rPr>
            </w:pPr>
          </w:p>
        </w:tc>
      </w:tr>
      <w:tr w:rsidR="00D34C6F" w:rsidRPr="00F9037E" w14:paraId="5F918AE1" w14:textId="77777777" w:rsidTr="00C05C97">
        <w:trPr>
          <w:trHeight w:val="465"/>
          <w:jc w:val="center"/>
        </w:trPr>
        <w:tc>
          <w:tcPr>
            <w:tcW w:w="662" w:type="dxa"/>
            <w:shd w:val="clear" w:color="auto" w:fill="auto"/>
            <w:vAlign w:val="center"/>
          </w:tcPr>
          <w:p w14:paraId="753DB977" w14:textId="77777777" w:rsidR="00D34C6F" w:rsidRPr="00F9037E" w:rsidRDefault="00D34C6F" w:rsidP="00C05C97">
            <w:pPr>
              <w:spacing w:before="120" w:after="120"/>
              <w:rPr>
                <w:color w:val="auto"/>
                <w:sz w:val="12"/>
                <w:szCs w:val="12"/>
              </w:rPr>
            </w:pPr>
            <w:r w:rsidRPr="00F9037E">
              <w:rPr>
                <w:color w:val="auto"/>
                <w:sz w:val="12"/>
                <w:szCs w:val="12"/>
              </w:rPr>
              <w:t>Belgium</w:t>
            </w:r>
          </w:p>
        </w:tc>
        <w:tc>
          <w:tcPr>
            <w:tcW w:w="824" w:type="dxa"/>
            <w:shd w:val="clear" w:color="auto" w:fill="auto"/>
            <w:vAlign w:val="center"/>
          </w:tcPr>
          <w:p w14:paraId="5C010303" w14:textId="77777777" w:rsidR="00D34C6F" w:rsidRPr="00F9037E" w:rsidRDefault="00D34C6F" w:rsidP="00C05C97">
            <w:pPr>
              <w:spacing w:before="120" w:after="120"/>
              <w:rPr>
                <w:color w:val="auto"/>
                <w:sz w:val="12"/>
                <w:szCs w:val="12"/>
              </w:rPr>
            </w:pPr>
            <w:r w:rsidRPr="00F9037E">
              <w:rPr>
                <w:color w:val="auto"/>
                <w:sz w:val="12"/>
                <w:szCs w:val="12"/>
              </w:rPr>
              <w:t>Nursery</w:t>
            </w:r>
          </w:p>
        </w:tc>
        <w:tc>
          <w:tcPr>
            <w:tcW w:w="708" w:type="dxa"/>
            <w:shd w:val="clear" w:color="auto" w:fill="auto"/>
            <w:vAlign w:val="center"/>
          </w:tcPr>
          <w:p w14:paraId="2DDD82CD" w14:textId="77777777" w:rsidR="00D34C6F" w:rsidRPr="00F9037E" w:rsidRDefault="00D34C6F" w:rsidP="00C05C97">
            <w:pPr>
              <w:spacing w:before="120" w:after="120"/>
              <w:jc w:val="center"/>
              <w:rPr>
                <w:color w:val="auto"/>
                <w:sz w:val="10"/>
                <w:szCs w:val="10"/>
              </w:rPr>
            </w:pPr>
            <w:r w:rsidRPr="00F9037E">
              <w:rPr>
                <w:color w:val="auto"/>
                <w:sz w:val="10"/>
                <w:szCs w:val="10"/>
              </w:rPr>
              <w:t>Not Predictable</w:t>
            </w:r>
          </w:p>
        </w:tc>
        <w:tc>
          <w:tcPr>
            <w:tcW w:w="709" w:type="dxa"/>
            <w:shd w:val="clear" w:color="auto" w:fill="auto"/>
            <w:vAlign w:val="center"/>
          </w:tcPr>
          <w:p w14:paraId="25EFBDDA" w14:textId="77777777" w:rsidR="00D34C6F" w:rsidRPr="00F9037E" w:rsidRDefault="00D34C6F" w:rsidP="00C05C97">
            <w:pPr>
              <w:spacing w:before="120" w:after="120"/>
              <w:jc w:val="center"/>
              <w:rPr>
                <w:color w:val="auto"/>
                <w:sz w:val="10"/>
                <w:szCs w:val="10"/>
              </w:rPr>
            </w:pPr>
            <w:r w:rsidRPr="00F9037E">
              <w:rPr>
                <w:color w:val="auto"/>
                <w:sz w:val="10"/>
                <w:szCs w:val="10"/>
              </w:rPr>
              <w:t>0.384</w:t>
            </w:r>
          </w:p>
        </w:tc>
        <w:tc>
          <w:tcPr>
            <w:tcW w:w="709" w:type="dxa"/>
            <w:shd w:val="clear" w:color="auto" w:fill="auto"/>
            <w:vAlign w:val="center"/>
          </w:tcPr>
          <w:p w14:paraId="795323B1" w14:textId="0205F653"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58D32CB" w14:textId="39C780E1"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14E24208" w14:textId="35A81075"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70BEDCB" w14:textId="0B8C2562"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2FAE6A20" w14:textId="1A82E204"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12A1E3F" w14:textId="2A257CE2"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7D741CF" w14:textId="7B34C43D" w:rsidR="00D34C6F" w:rsidRPr="00F9037E" w:rsidRDefault="00D34C6F" w:rsidP="00C05C97">
            <w:pPr>
              <w:spacing w:before="120" w:after="120"/>
              <w:jc w:val="center"/>
              <w:rPr>
                <w:color w:val="auto"/>
                <w:sz w:val="10"/>
                <w:szCs w:val="10"/>
              </w:rPr>
            </w:pPr>
          </w:p>
        </w:tc>
        <w:tc>
          <w:tcPr>
            <w:tcW w:w="629" w:type="dxa"/>
            <w:vAlign w:val="center"/>
          </w:tcPr>
          <w:p w14:paraId="780483C1" w14:textId="77777777" w:rsidR="00D34C6F" w:rsidRPr="00F9037E" w:rsidRDefault="00D34C6F" w:rsidP="00C05C97">
            <w:pPr>
              <w:spacing w:before="120" w:after="120"/>
              <w:jc w:val="center"/>
              <w:rPr>
                <w:color w:val="auto"/>
                <w:sz w:val="10"/>
                <w:szCs w:val="10"/>
              </w:rPr>
            </w:pPr>
          </w:p>
        </w:tc>
        <w:tc>
          <w:tcPr>
            <w:tcW w:w="567" w:type="dxa"/>
            <w:vAlign w:val="center"/>
          </w:tcPr>
          <w:p w14:paraId="603F6FFC" w14:textId="77777777" w:rsidR="00D34C6F" w:rsidRPr="00F9037E" w:rsidRDefault="00D34C6F" w:rsidP="00C05C97">
            <w:pPr>
              <w:spacing w:before="120" w:after="120"/>
              <w:jc w:val="center"/>
              <w:rPr>
                <w:color w:val="auto"/>
                <w:sz w:val="10"/>
                <w:szCs w:val="10"/>
              </w:rPr>
            </w:pPr>
          </w:p>
        </w:tc>
        <w:tc>
          <w:tcPr>
            <w:tcW w:w="567" w:type="dxa"/>
            <w:vAlign w:val="center"/>
          </w:tcPr>
          <w:p w14:paraId="7CB7ED89"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37209C8D" w14:textId="77777777" w:rsidR="00D34C6F" w:rsidRPr="00F9037E" w:rsidRDefault="00D34C6F" w:rsidP="00C05C97">
            <w:pPr>
              <w:spacing w:before="120" w:after="120"/>
              <w:jc w:val="center"/>
              <w:rPr>
                <w:color w:val="auto"/>
                <w:sz w:val="10"/>
                <w:szCs w:val="10"/>
              </w:rPr>
            </w:pPr>
            <w:r w:rsidRPr="00F9037E">
              <w:rPr>
                <w:color w:val="auto"/>
                <w:sz w:val="10"/>
                <w:szCs w:val="10"/>
              </w:rPr>
              <w:t>0.900</w:t>
            </w:r>
          </w:p>
        </w:tc>
        <w:tc>
          <w:tcPr>
            <w:tcW w:w="709" w:type="dxa"/>
            <w:shd w:val="clear" w:color="auto" w:fill="auto"/>
            <w:vAlign w:val="center"/>
          </w:tcPr>
          <w:p w14:paraId="7922A9C2" w14:textId="77777777" w:rsidR="00D34C6F" w:rsidRPr="00F9037E" w:rsidRDefault="00D34C6F" w:rsidP="00C05C97">
            <w:pPr>
              <w:spacing w:before="120" w:after="120"/>
              <w:jc w:val="center"/>
              <w:rPr>
                <w:color w:val="auto"/>
                <w:sz w:val="10"/>
                <w:szCs w:val="10"/>
              </w:rPr>
            </w:pPr>
            <w:r w:rsidRPr="00F9037E">
              <w:rPr>
                <w:color w:val="auto"/>
                <w:sz w:val="10"/>
                <w:szCs w:val="10"/>
              </w:rPr>
              <w:t>0.384</w:t>
            </w:r>
          </w:p>
        </w:tc>
        <w:tc>
          <w:tcPr>
            <w:tcW w:w="708" w:type="dxa"/>
            <w:shd w:val="clear" w:color="auto" w:fill="auto"/>
            <w:vAlign w:val="center"/>
          </w:tcPr>
          <w:p w14:paraId="41D75DD4" w14:textId="325945B5"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7E376CA6" w14:textId="25D3F9A9"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2F5005F4" w14:textId="501D981E"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2C013FFA" w14:textId="1A619AEE"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7002799" w14:textId="2D8162BF"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6BFBE0E3" w14:textId="57B5FB66" w:rsidR="00D34C6F" w:rsidRPr="00F9037E" w:rsidRDefault="00D34C6F" w:rsidP="00C05C97">
            <w:pPr>
              <w:spacing w:before="120" w:after="120"/>
              <w:jc w:val="center"/>
              <w:rPr>
                <w:b/>
                <w:color w:val="auto"/>
                <w:sz w:val="10"/>
                <w:szCs w:val="10"/>
              </w:rPr>
            </w:pPr>
          </w:p>
        </w:tc>
        <w:tc>
          <w:tcPr>
            <w:tcW w:w="567" w:type="dxa"/>
            <w:vAlign w:val="center"/>
          </w:tcPr>
          <w:p w14:paraId="38EF492B" w14:textId="77777777" w:rsidR="00D34C6F" w:rsidRPr="00F9037E" w:rsidRDefault="00D34C6F" w:rsidP="00C05C97">
            <w:pPr>
              <w:spacing w:before="120" w:after="120"/>
              <w:jc w:val="center"/>
              <w:rPr>
                <w:b/>
                <w:color w:val="auto"/>
                <w:sz w:val="10"/>
                <w:szCs w:val="10"/>
              </w:rPr>
            </w:pPr>
          </w:p>
        </w:tc>
        <w:tc>
          <w:tcPr>
            <w:tcW w:w="567" w:type="dxa"/>
            <w:vAlign w:val="center"/>
          </w:tcPr>
          <w:p w14:paraId="4ED6D541" w14:textId="77777777" w:rsidR="00D34C6F" w:rsidRPr="00F9037E" w:rsidRDefault="00D34C6F" w:rsidP="00C05C97">
            <w:pPr>
              <w:spacing w:before="120" w:after="120"/>
              <w:jc w:val="center"/>
              <w:rPr>
                <w:b/>
                <w:color w:val="auto"/>
                <w:sz w:val="10"/>
                <w:szCs w:val="10"/>
              </w:rPr>
            </w:pPr>
          </w:p>
        </w:tc>
        <w:tc>
          <w:tcPr>
            <w:tcW w:w="567" w:type="dxa"/>
            <w:vAlign w:val="center"/>
          </w:tcPr>
          <w:p w14:paraId="22C00844" w14:textId="77777777" w:rsidR="00D34C6F" w:rsidRPr="00F9037E" w:rsidRDefault="00D34C6F" w:rsidP="00C05C97">
            <w:pPr>
              <w:spacing w:before="120" w:after="120"/>
              <w:jc w:val="center"/>
              <w:rPr>
                <w:b/>
                <w:color w:val="auto"/>
                <w:sz w:val="10"/>
                <w:szCs w:val="10"/>
              </w:rPr>
            </w:pPr>
          </w:p>
        </w:tc>
        <w:tc>
          <w:tcPr>
            <w:tcW w:w="567" w:type="dxa"/>
            <w:vAlign w:val="center"/>
          </w:tcPr>
          <w:p w14:paraId="3C09D086" w14:textId="77777777" w:rsidR="00D34C6F" w:rsidRPr="00F9037E" w:rsidRDefault="00D34C6F" w:rsidP="00C05C97">
            <w:pPr>
              <w:spacing w:before="120" w:after="120"/>
              <w:jc w:val="center"/>
              <w:rPr>
                <w:b/>
                <w:color w:val="auto"/>
                <w:sz w:val="10"/>
                <w:szCs w:val="10"/>
              </w:rPr>
            </w:pPr>
          </w:p>
        </w:tc>
      </w:tr>
      <w:tr w:rsidR="00D34C6F" w:rsidRPr="00F9037E" w14:paraId="14862D6A" w14:textId="77777777" w:rsidTr="00C05C97">
        <w:trPr>
          <w:trHeight w:val="690"/>
          <w:jc w:val="center"/>
        </w:trPr>
        <w:tc>
          <w:tcPr>
            <w:tcW w:w="662" w:type="dxa"/>
            <w:shd w:val="clear" w:color="auto" w:fill="auto"/>
            <w:vAlign w:val="center"/>
          </w:tcPr>
          <w:p w14:paraId="6D89D0A6" w14:textId="77777777" w:rsidR="00D34C6F" w:rsidRPr="00F9037E" w:rsidRDefault="00D34C6F" w:rsidP="00C05C97">
            <w:pPr>
              <w:spacing w:before="120" w:after="120"/>
              <w:rPr>
                <w:color w:val="auto"/>
                <w:sz w:val="12"/>
                <w:szCs w:val="12"/>
              </w:rPr>
            </w:pPr>
            <w:r w:rsidRPr="00F9037E">
              <w:rPr>
                <w:color w:val="auto"/>
                <w:sz w:val="12"/>
                <w:szCs w:val="12"/>
              </w:rPr>
              <w:t>Belgium</w:t>
            </w:r>
          </w:p>
        </w:tc>
        <w:tc>
          <w:tcPr>
            <w:tcW w:w="824" w:type="dxa"/>
            <w:shd w:val="clear" w:color="auto" w:fill="auto"/>
            <w:vAlign w:val="center"/>
          </w:tcPr>
          <w:p w14:paraId="5B165442" w14:textId="77777777" w:rsidR="00D34C6F" w:rsidRPr="00F9037E" w:rsidRDefault="00D34C6F" w:rsidP="00C05C97">
            <w:pPr>
              <w:spacing w:before="120" w:after="120"/>
              <w:rPr>
                <w:color w:val="auto"/>
                <w:sz w:val="12"/>
                <w:szCs w:val="12"/>
              </w:rPr>
            </w:pPr>
            <w:r w:rsidRPr="00F9037E">
              <w:rPr>
                <w:color w:val="auto"/>
                <w:sz w:val="12"/>
                <w:szCs w:val="12"/>
              </w:rPr>
              <w:t>Orchard pome &amp; berry</w:t>
            </w:r>
          </w:p>
        </w:tc>
        <w:tc>
          <w:tcPr>
            <w:tcW w:w="708" w:type="dxa"/>
            <w:shd w:val="clear" w:color="auto" w:fill="auto"/>
            <w:vAlign w:val="center"/>
          </w:tcPr>
          <w:p w14:paraId="02AB4DCF" w14:textId="77777777" w:rsidR="00D34C6F" w:rsidRPr="00F9037E" w:rsidRDefault="00D34C6F" w:rsidP="00C05C97">
            <w:pPr>
              <w:spacing w:before="120" w:after="120"/>
              <w:jc w:val="center"/>
              <w:rPr>
                <w:color w:val="auto"/>
                <w:sz w:val="10"/>
                <w:szCs w:val="10"/>
              </w:rPr>
            </w:pPr>
            <w:r w:rsidRPr="00F9037E">
              <w:rPr>
                <w:color w:val="auto"/>
                <w:sz w:val="10"/>
                <w:szCs w:val="10"/>
              </w:rPr>
              <w:t>1.350</w:t>
            </w:r>
          </w:p>
        </w:tc>
        <w:tc>
          <w:tcPr>
            <w:tcW w:w="709" w:type="dxa"/>
            <w:shd w:val="clear" w:color="auto" w:fill="auto"/>
            <w:vAlign w:val="center"/>
          </w:tcPr>
          <w:p w14:paraId="00D4ABE9" w14:textId="77777777" w:rsidR="00D34C6F" w:rsidRPr="00F9037E" w:rsidRDefault="00D34C6F" w:rsidP="00C05C97">
            <w:pPr>
              <w:spacing w:before="120" w:after="120"/>
              <w:jc w:val="center"/>
              <w:rPr>
                <w:color w:val="auto"/>
                <w:sz w:val="10"/>
                <w:szCs w:val="10"/>
              </w:rPr>
            </w:pPr>
            <w:r w:rsidRPr="00F9037E">
              <w:rPr>
                <w:color w:val="auto"/>
                <w:sz w:val="10"/>
                <w:szCs w:val="10"/>
              </w:rPr>
              <w:t>0.621</w:t>
            </w:r>
          </w:p>
        </w:tc>
        <w:tc>
          <w:tcPr>
            <w:tcW w:w="709" w:type="dxa"/>
            <w:shd w:val="clear" w:color="auto" w:fill="auto"/>
            <w:vAlign w:val="center"/>
          </w:tcPr>
          <w:p w14:paraId="79D3B57A" w14:textId="7B7A52DD"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9E6041F" w14:textId="1EC9EE2F"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1838FB32" w14:textId="43C34B54"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D097026" w14:textId="362DAF95"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4E204A7B" w14:textId="11B5A758"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7D62102" w14:textId="00E1A800"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7CBD18C6" w14:textId="6BF6B0FC" w:rsidR="00D34C6F" w:rsidRPr="00F9037E" w:rsidRDefault="00D34C6F" w:rsidP="00C05C97">
            <w:pPr>
              <w:spacing w:before="120" w:after="120"/>
              <w:jc w:val="center"/>
              <w:rPr>
                <w:color w:val="auto"/>
                <w:sz w:val="10"/>
                <w:szCs w:val="10"/>
              </w:rPr>
            </w:pPr>
          </w:p>
        </w:tc>
        <w:tc>
          <w:tcPr>
            <w:tcW w:w="629" w:type="dxa"/>
            <w:vAlign w:val="center"/>
          </w:tcPr>
          <w:p w14:paraId="7D6C55F8" w14:textId="77777777" w:rsidR="00D34C6F" w:rsidRPr="00F9037E" w:rsidRDefault="00D34C6F" w:rsidP="00C05C97">
            <w:pPr>
              <w:spacing w:before="120" w:after="120"/>
              <w:jc w:val="center"/>
              <w:rPr>
                <w:color w:val="auto"/>
                <w:sz w:val="10"/>
                <w:szCs w:val="10"/>
              </w:rPr>
            </w:pPr>
          </w:p>
        </w:tc>
        <w:tc>
          <w:tcPr>
            <w:tcW w:w="567" w:type="dxa"/>
            <w:vAlign w:val="center"/>
          </w:tcPr>
          <w:p w14:paraId="402AF69E" w14:textId="77777777" w:rsidR="00D34C6F" w:rsidRPr="00F9037E" w:rsidRDefault="00D34C6F" w:rsidP="00C05C97">
            <w:pPr>
              <w:spacing w:before="120" w:after="120"/>
              <w:jc w:val="center"/>
              <w:rPr>
                <w:color w:val="auto"/>
                <w:sz w:val="10"/>
                <w:szCs w:val="10"/>
              </w:rPr>
            </w:pPr>
          </w:p>
        </w:tc>
        <w:tc>
          <w:tcPr>
            <w:tcW w:w="567" w:type="dxa"/>
            <w:vAlign w:val="center"/>
          </w:tcPr>
          <w:p w14:paraId="4B43D80D"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04C43D99" w14:textId="77777777" w:rsidR="00D34C6F" w:rsidRPr="00F9037E" w:rsidRDefault="00D34C6F" w:rsidP="00C05C97">
            <w:pPr>
              <w:spacing w:before="120" w:after="120"/>
              <w:jc w:val="center"/>
              <w:rPr>
                <w:color w:val="auto"/>
                <w:sz w:val="10"/>
                <w:szCs w:val="10"/>
              </w:rPr>
            </w:pPr>
            <w:r w:rsidRPr="00F9037E">
              <w:rPr>
                <w:color w:val="auto"/>
                <w:sz w:val="10"/>
                <w:szCs w:val="10"/>
              </w:rPr>
              <w:t>1.350</w:t>
            </w:r>
          </w:p>
        </w:tc>
        <w:tc>
          <w:tcPr>
            <w:tcW w:w="709" w:type="dxa"/>
            <w:shd w:val="clear" w:color="auto" w:fill="auto"/>
            <w:vAlign w:val="center"/>
          </w:tcPr>
          <w:p w14:paraId="777BC602" w14:textId="77777777" w:rsidR="00D34C6F" w:rsidRPr="00F9037E" w:rsidRDefault="00D34C6F" w:rsidP="00C05C97">
            <w:pPr>
              <w:spacing w:before="120" w:after="120"/>
              <w:jc w:val="center"/>
              <w:rPr>
                <w:color w:val="auto"/>
                <w:sz w:val="10"/>
                <w:szCs w:val="10"/>
              </w:rPr>
            </w:pPr>
            <w:r w:rsidRPr="00F9037E">
              <w:rPr>
                <w:color w:val="auto"/>
                <w:sz w:val="10"/>
                <w:szCs w:val="10"/>
              </w:rPr>
              <w:t>0.621</w:t>
            </w:r>
          </w:p>
        </w:tc>
        <w:tc>
          <w:tcPr>
            <w:tcW w:w="708" w:type="dxa"/>
            <w:shd w:val="clear" w:color="auto" w:fill="auto"/>
            <w:vAlign w:val="center"/>
          </w:tcPr>
          <w:p w14:paraId="62683A1A" w14:textId="71F09B19"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5389EF8E" w14:textId="367AF483"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DB7FAF1" w14:textId="260304C2"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4622E005" w14:textId="5CDA3EAC"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2F8EC05" w14:textId="3BA32F2A"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62834B3D" w14:textId="7E55408F" w:rsidR="00D34C6F" w:rsidRPr="00F9037E" w:rsidRDefault="00D34C6F" w:rsidP="00C05C97">
            <w:pPr>
              <w:spacing w:before="120" w:after="120"/>
              <w:jc w:val="center"/>
              <w:rPr>
                <w:b/>
                <w:color w:val="auto"/>
                <w:sz w:val="10"/>
                <w:szCs w:val="10"/>
              </w:rPr>
            </w:pPr>
          </w:p>
        </w:tc>
        <w:tc>
          <w:tcPr>
            <w:tcW w:w="567" w:type="dxa"/>
            <w:vAlign w:val="center"/>
          </w:tcPr>
          <w:p w14:paraId="61EA51AD" w14:textId="77777777" w:rsidR="00D34C6F" w:rsidRPr="00F9037E" w:rsidRDefault="00D34C6F" w:rsidP="00C05C97">
            <w:pPr>
              <w:spacing w:before="120" w:after="120"/>
              <w:jc w:val="center"/>
              <w:rPr>
                <w:b/>
                <w:color w:val="auto"/>
                <w:sz w:val="10"/>
                <w:szCs w:val="10"/>
              </w:rPr>
            </w:pPr>
          </w:p>
        </w:tc>
        <w:tc>
          <w:tcPr>
            <w:tcW w:w="567" w:type="dxa"/>
            <w:vAlign w:val="center"/>
          </w:tcPr>
          <w:p w14:paraId="754C56FA" w14:textId="77777777" w:rsidR="00D34C6F" w:rsidRPr="00F9037E" w:rsidRDefault="00D34C6F" w:rsidP="00C05C97">
            <w:pPr>
              <w:spacing w:before="120" w:after="120"/>
              <w:jc w:val="center"/>
              <w:rPr>
                <w:b/>
                <w:color w:val="auto"/>
                <w:sz w:val="10"/>
                <w:szCs w:val="10"/>
              </w:rPr>
            </w:pPr>
          </w:p>
        </w:tc>
        <w:tc>
          <w:tcPr>
            <w:tcW w:w="567" w:type="dxa"/>
            <w:vAlign w:val="center"/>
          </w:tcPr>
          <w:p w14:paraId="0CB19BB3" w14:textId="77777777" w:rsidR="00D34C6F" w:rsidRPr="00F9037E" w:rsidRDefault="00D34C6F" w:rsidP="00C05C97">
            <w:pPr>
              <w:spacing w:before="120" w:after="120"/>
              <w:jc w:val="center"/>
              <w:rPr>
                <w:b/>
                <w:color w:val="auto"/>
                <w:sz w:val="10"/>
                <w:szCs w:val="10"/>
              </w:rPr>
            </w:pPr>
          </w:p>
        </w:tc>
        <w:tc>
          <w:tcPr>
            <w:tcW w:w="567" w:type="dxa"/>
            <w:vAlign w:val="center"/>
          </w:tcPr>
          <w:p w14:paraId="14AEE4A4" w14:textId="77777777" w:rsidR="00D34C6F" w:rsidRPr="00F9037E" w:rsidRDefault="00D34C6F" w:rsidP="00C05C97">
            <w:pPr>
              <w:spacing w:before="120" w:after="120"/>
              <w:jc w:val="center"/>
              <w:rPr>
                <w:b/>
                <w:color w:val="auto"/>
                <w:sz w:val="10"/>
                <w:szCs w:val="10"/>
              </w:rPr>
            </w:pPr>
          </w:p>
        </w:tc>
      </w:tr>
      <w:tr w:rsidR="00D34C6F" w:rsidRPr="00F9037E" w14:paraId="418B2877" w14:textId="77777777" w:rsidTr="00C05C97">
        <w:trPr>
          <w:trHeight w:val="465"/>
          <w:jc w:val="center"/>
        </w:trPr>
        <w:tc>
          <w:tcPr>
            <w:tcW w:w="662" w:type="dxa"/>
            <w:shd w:val="clear" w:color="auto" w:fill="auto"/>
            <w:vAlign w:val="center"/>
          </w:tcPr>
          <w:p w14:paraId="7A88FA12" w14:textId="77777777" w:rsidR="00D34C6F" w:rsidRPr="00F9037E" w:rsidRDefault="00D34C6F" w:rsidP="00C05C97">
            <w:pPr>
              <w:spacing w:before="120" w:after="120"/>
              <w:rPr>
                <w:color w:val="auto"/>
                <w:sz w:val="12"/>
                <w:szCs w:val="12"/>
              </w:rPr>
            </w:pPr>
            <w:r w:rsidRPr="00F9037E">
              <w:rPr>
                <w:color w:val="auto"/>
                <w:sz w:val="12"/>
                <w:szCs w:val="12"/>
              </w:rPr>
              <w:t>Belgium</w:t>
            </w:r>
          </w:p>
        </w:tc>
        <w:tc>
          <w:tcPr>
            <w:tcW w:w="824" w:type="dxa"/>
            <w:shd w:val="clear" w:color="auto" w:fill="auto"/>
            <w:vAlign w:val="center"/>
          </w:tcPr>
          <w:p w14:paraId="73EE7813" w14:textId="77777777" w:rsidR="00D34C6F" w:rsidRPr="00F9037E" w:rsidRDefault="00D34C6F" w:rsidP="00C05C97">
            <w:pPr>
              <w:spacing w:before="120" w:after="120"/>
              <w:rPr>
                <w:color w:val="auto"/>
                <w:sz w:val="12"/>
                <w:szCs w:val="12"/>
              </w:rPr>
            </w:pPr>
            <w:r w:rsidRPr="00F9037E">
              <w:rPr>
                <w:color w:val="auto"/>
                <w:sz w:val="12"/>
                <w:szCs w:val="12"/>
              </w:rPr>
              <w:t>Ornamental plants</w:t>
            </w:r>
          </w:p>
        </w:tc>
        <w:tc>
          <w:tcPr>
            <w:tcW w:w="708" w:type="dxa"/>
            <w:shd w:val="clear" w:color="auto" w:fill="auto"/>
            <w:vAlign w:val="center"/>
          </w:tcPr>
          <w:p w14:paraId="1E8174B4" w14:textId="77777777" w:rsidR="00D34C6F" w:rsidRPr="00F9037E" w:rsidRDefault="00D34C6F" w:rsidP="00C05C97">
            <w:pPr>
              <w:spacing w:before="120" w:after="120"/>
              <w:jc w:val="center"/>
              <w:rPr>
                <w:color w:val="auto"/>
                <w:sz w:val="10"/>
                <w:szCs w:val="10"/>
              </w:rPr>
            </w:pPr>
            <w:r w:rsidRPr="00F9037E">
              <w:rPr>
                <w:color w:val="auto"/>
                <w:sz w:val="10"/>
                <w:szCs w:val="10"/>
              </w:rPr>
              <w:t>5.660</w:t>
            </w:r>
          </w:p>
        </w:tc>
        <w:tc>
          <w:tcPr>
            <w:tcW w:w="709" w:type="dxa"/>
            <w:shd w:val="clear" w:color="auto" w:fill="auto"/>
            <w:vAlign w:val="center"/>
          </w:tcPr>
          <w:p w14:paraId="6766E458" w14:textId="279ABA24"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715304B1" w14:textId="75E3CB38"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8E7FCC1" w14:textId="3EF822DF"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16D834BC" w14:textId="505EA4B2"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7F6BC1BF" w14:textId="59E118C7"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63F4B817" w14:textId="2B807B83"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3E47465D" w14:textId="7B0F15AC"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F6328DD" w14:textId="0CBF5376" w:rsidR="00D34C6F" w:rsidRPr="00F9037E" w:rsidRDefault="00D34C6F" w:rsidP="00C05C97">
            <w:pPr>
              <w:spacing w:before="120" w:after="120"/>
              <w:jc w:val="center"/>
              <w:rPr>
                <w:color w:val="auto"/>
                <w:sz w:val="10"/>
                <w:szCs w:val="10"/>
              </w:rPr>
            </w:pPr>
          </w:p>
        </w:tc>
        <w:tc>
          <w:tcPr>
            <w:tcW w:w="629" w:type="dxa"/>
            <w:vAlign w:val="center"/>
          </w:tcPr>
          <w:p w14:paraId="2A238047" w14:textId="77777777" w:rsidR="00D34C6F" w:rsidRPr="00F9037E" w:rsidRDefault="00D34C6F" w:rsidP="00C05C97">
            <w:pPr>
              <w:spacing w:before="120" w:after="120"/>
              <w:jc w:val="center"/>
              <w:rPr>
                <w:color w:val="auto"/>
                <w:sz w:val="10"/>
                <w:szCs w:val="10"/>
              </w:rPr>
            </w:pPr>
          </w:p>
        </w:tc>
        <w:tc>
          <w:tcPr>
            <w:tcW w:w="567" w:type="dxa"/>
            <w:vAlign w:val="center"/>
          </w:tcPr>
          <w:p w14:paraId="2EFCDD0A" w14:textId="77777777" w:rsidR="00D34C6F" w:rsidRPr="00F9037E" w:rsidRDefault="00D34C6F" w:rsidP="00C05C97">
            <w:pPr>
              <w:spacing w:before="120" w:after="120"/>
              <w:jc w:val="center"/>
              <w:rPr>
                <w:color w:val="auto"/>
                <w:sz w:val="10"/>
                <w:szCs w:val="10"/>
              </w:rPr>
            </w:pPr>
          </w:p>
        </w:tc>
        <w:tc>
          <w:tcPr>
            <w:tcW w:w="567" w:type="dxa"/>
            <w:vAlign w:val="center"/>
          </w:tcPr>
          <w:p w14:paraId="35B899C8"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05F05CA2" w14:textId="77777777" w:rsidR="00D34C6F" w:rsidRPr="00F9037E" w:rsidRDefault="00D34C6F" w:rsidP="00C05C97">
            <w:pPr>
              <w:spacing w:before="120" w:after="120"/>
              <w:jc w:val="center"/>
              <w:rPr>
                <w:color w:val="auto"/>
                <w:sz w:val="10"/>
                <w:szCs w:val="10"/>
              </w:rPr>
            </w:pPr>
            <w:r w:rsidRPr="00F9037E">
              <w:rPr>
                <w:color w:val="auto"/>
                <w:sz w:val="10"/>
                <w:szCs w:val="10"/>
              </w:rPr>
              <w:t>0.000</w:t>
            </w:r>
          </w:p>
        </w:tc>
        <w:tc>
          <w:tcPr>
            <w:tcW w:w="709" w:type="dxa"/>
            <w:shd w:val="clear" w:color="auto" w:fill="auto"/>
            <w:vAlign w:val="center"/>
          </w:tcPr>
          <w:p w14:paraId="711E778F" w14:textId="22F17F9B"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38DD9871" w14:textId="25B91774"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282E0BAE" w14:textId="48C5952E"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982E9E1" w14:textId="5EF8EFF5"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7E532424" w14:textId="0F1A7993"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69E7D40" w14:textId="05B6C1A4"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1937E9FA" w14:textId="4F2F5DC2" w:rsidR="00D34C6F" w:rsidRPr="00F9037E" w:rsidRDefault="00D34C6F" w:rsidP="00C05C97">
            <w:pPr>
              <w:spacing w:before="120" w:after="120"/>
              <w:jc w:val="center"/>
              <w:rPr>
                <w:b/>
                <w:color w:val="auto"/>
                <w:sz w:val="10"/>
                <w:szCs w:val="10"/>
              </w:rPr>
            </w:pPr>
          </w:p>
        </w:tc>
        <w:tc>
          <w:tcPr>
            <w:tcW w:w="567" w:type="dxa"/>
            <w:vAlign w:val="center"/>
          </w:tcPr>
          <w:p w14:paraId="1117DA9D" w14:textId="77777777" w:rsidR="00D34C6F" w:rsidRPr="00F9037E" w:rsidRDefault="00D34C6F" w:rsidP="00C05C97">
            <w:pPr>
              <w:spacing w:before="120" w:after="120"/>
              <w:jc w:val="center"/>
              <w:rPr>
                <w:b/>
                <w:color w:val="auto"/>
                <w:sz w:val="10"/>
                <w:szCs w:val="10"/>
              </w:rPr>
            </w:pPr>
          </w:p>
        </w:tc>
        <w:tc>
          <w:tcPr>
            <w:tcW w:w="567" w:type="dxa"/>
            <w:vAlign w:val="center"/>
          </w:tcPr>
          <w:p w14:paraId="5B2A74C0" w14:textId="77777777" w:rsidR="00D34C6F" w:rsidRPr="00F9037E" w:rsidRDefault="00D34C6F" w:rsidP="00C05C97">
            <w:pPr>
              <w:spacing w:before="120" w:after="120"/>
              <w:jc w:val="center"/>
              <w:rPr>
                <w:b/>
                <w:color w:val="auto"/>
                <w:sz w:val="10"/>
                <w:szCs w:val="10"/>
              </w:rPr>
            </w:pPr>
          </w:p>
        </w:tc>
        <w:tc>
          <w:tcPr>
            <w:tcW w:w="567" w:type="dxa"/>
            <w:vAlign w:val="center"/>
          </w:tcPr>
          <w:p w14:paraId="06CDE10A" w14:textId="77777777" w:rsidR="00D34C6F" w:rsidRPr="00F9037E" w:rsidRDefault="00D34C6F" w:rsidP="00C05C97">
            <w:pPr>
              <w:spacing w:before="120" w:after="120"/>
              <w:jc w:val="center"/>
              <w:rPr>
                <w:b/>
                <w:color w:val="auto"/>
                <w:sz w:val="10"/>
                <w:szCs w:val="10"/>
              </w:rPr>
            </w:pPr>
          </w:p>
        </w:tc>
        <w:tc>
          <w:tcPr>
            <w:tcW w:w="567" w:type="dxa"/>
            <w:vAlign w:val="center"/>
          </w:tcPr>
          <w:p w14:paraId="233EF6B4" w14:textId="77777777" w:rsidR="00D34C6F" w:rsidRPr="00F9037E" w:rsidRDefault="00D34C6F" w:rsidP="00C05C97">
            <w:pPr>
              <w:spacing w:before="120" w:after="120"/>
              <w:jc w:val="center"/>
              <w:rPr>
                <w:b/>
                <w:color w:val="auto"/>
                <w:sz w:val="10"/>
                <w:szCs w:val="10"/>
              </w:rPr>
            </w:pPr>
          </w:p>
        </w:tc>
      </w:tr>
      <w:tr w:rsidR="00D34C6F" w:rsidRPr="00F9037E" w14:paraId="3D9F80A3" w14:textId="77777777" w:rsidTr="00C05C97">
        <w:trPr>
          <w:trHeight w:val="465"/>
          <w:jc w:val="center"/>
        </w:trPr>
        <w:tc>
          <w:tcPr>
            <w:tcW w:w="662" w:type="dxa"/>
            <w:shd w:val="clear" w:color="auto" w:fill="auto"/>
            <w:vAlign w:val="center"/>
          </w:tcPr>
          <w:p w14:paraId="129C253D" w14:textId="77777777" w:rsidR="00D34C6F" w:rsidRPr="00F9037E" w:rsidRDefault="00D34C6F" w:rsidP="00C05C97">
            <w:pPr>
              <w:spacing w:before="120" w:after="120"/>
              <w:rPr>
                <w:color w:val="auto"/>
                <w:sz w:val="12"/>
                <w:szCs w:val="12"/>
              </w:rPr>
            </w:pPr>
            <w:r w:rsidRPr="00F9037E">
              <w:rPr>
                <w:color w:val="auto"/>
                <w:sz w:val="12"/>
                <w:szCs w:val="12"/>
              </w:rPr>
              <w:t>Belgium</w:t>
            </w:r>
          </w:p>
        </w:tc>
        <w:tc>
          <w:tcPr>
            <w:tcW w:w="824" w:type="dxa"/>
            <w:shd w:val="clear" w:color="auto" w:fill="auto"/>
            <w:vAlign w:val="center"/>
          </w:tcPr>
          <w:p w14:paraId="0B4D5DFE" w14:textId="77777777" w:rsidR="00D34C6F" w:rsidRPr="00F9037E" w:rsidRDefault="00D34C6F" w:rsidP="00C05C97">
            <w:pPr>
              <w:spacing w:before="120" w:after="120"/>
              <w:rPr>
                <w:color w:val="auto"/>
                <w:sz w:val="12"/>
                <w:szCs w:val="12"/>
              </w:rPr>
            </w:pPr>
            <w:r w:rsidRPr="00F9037E">
              <w:rPr>
                <w:color w:val="auto"/>
                <w:sz w:val="12"/>
                <w:szCs w:val="12"/>
              </w:rPr>
              <w:t>Pepper &amp; egg plant</w:t>
            </w:r>
          </w:p>
        </w:tc>
        <w:tc>
          <w:tcPr>
            <w:tcW w:w="708" w:type="dxa"/>
            <w:shd w:val="clear" w:color="auto" w:fill="auto"/>
            <w:vAlign w:val="center"/>
          </w:tcPr>
          <w:p w14:paraId="321BA208" w14:textId="77777777" w:rsidR="00D34C6F" w:rsidRPr="00F9037E" w:rsidRDefault="00D34C6F" w:rsidP="00C05C97">
            <w:pPr>
              <w:spacing w:before="120" w:after="120"/>
              <w:jc w:val="center"/>
              <w:rPr>
                <w:color w:val="auto"/>
                <w:sz w:val="10"/>
                <w:szCs w:val="10"/>
              </w:rPr>
            </w:pPr>
            <w:r w:rsidRPr="00F9037E">
              <w:rPr>
                <w:color w:val="auto"/>
                <w:sz w:val="10"/>
                <w:szCs w:val="10"/>
              </w:rPr>
              <w:t>5.270</w:t>
            </w:r>
          </w:p>
        </w:tc>
        <w:tc>
          <w:tcPr>
            <w:tcW w:w="709" w:type="dxa"/>
            <w:shd w:val="clear" w:color="auto" w:fill="auto"/>
            <w:vAlign w:val="center"/>
          </w:tcPr>
          <w:p w14:paraId="6923CEB1" w14:textId="77777777" w:rsidR="00D34C6F" w:rsidRPr="00F9037E" w:rsidRDefault="00D34C6F" w:rsidP="00C05C97">
            <w:pPr>
              <w:spacing w:before="120" w:after="120"/>
              <w:jc w:val="center"/>
              <w:rPr>
                <w:color w:val="auto"/>
                <w:sz w:val="10"/>
                <w:szCs w:val="10"/>
              </w:rPr>
            </w:pPr>
            <w:r w:rsidRPr="00F9037E">
              <w:rPr>
                <w:color w:val="auto"/>
                <w:sz w:val="10"/>
                <w:szCs w:val="10"/>
              </w:rPr>
              <w:t>1.350</w:t>
            </w:r>
          </w:p>
        </w:tc>
        <w:tc>
          <w:tcPr>
            <w:tcW w:w="709" w:type="dxa"/>
            <w:shd w:val="clear" w:color="auto" w:fill="auto"/>
            <w:vAlign w:val="center"/>
          </w:tcPr>
          <w:p w14:paraId="1DBD4893" w14:textId="672CC99E"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195F4F1" w14:textId="3C3FB30D"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70E2643D" w14:textId="72C4CED7"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382C7C30" w14:textId="033FF523"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1DA4FE67" w14:textId="47ABE9E6"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DC07B66" w14:textId="29390083"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3C4AEAEC" w14:textId="0AD577E9" w:rsidR="00D34C6F" w:rsidRPr="00F9037E" w:rsidRDefault="00D34C6F" w:rsidP="00C05C97">
            <w:pPr>
              <w:spacing w:before="120" w:after="120"/>
              <w:jc w:val="center"/>
              <w:rPr>
                <w:color w:val="auto"/>
                <w:sz w:val="10"/>
                <w:szCs w:val="10"/>
              </w:rPr>
            </w:pPr>
          </w:p>
        </w:tc>
        <w:tc>
          <w:tcPr>
            <w:tcW w:w="629" w:type="dxa"/>
            <w:vAlign w:val="center"/>
          </w:tcPr>
          <w:p w14:paraId="212324AC" w14:textId="77777777" w:rsidR="00D34C6F" w:rsidRPr="00F9037E" w:rsidRDefault="00D34C6F" w:rsidP="00C05C97">
            <w:pPr>
              <w:spacing w:before="120" w:after="120"/>
              <w:jc w:val="center"/>
              <w:rPr>
                <w:color w:val="auto"/>
                <w:sz w:val="10"/>
                <w:szCs w:val="10"/>
              </w:rPr>
            </w:pPr>
          </w:p>
        </w:tc>
        <w:tc>
          <w:tcPr>
            <w:tcW w:w="567" w:type="dxa"/>
            <w:vAlign w:val="center"/>
          </w:tcPr>
          <w:p w14:paraId="5C429228" w14:textId="77777777" w:rsidR="00D34C6F" w:rsidRPr="00F9037E" w:rsidRDefault="00D34C6F" w:rsidP="00C05C97">
            <w:pPr>
              <w:spacing w:before="120" w:after="120"/>
              <w:jc w:val="center"/>
              <w:rPr>
                <w:color w:val="auto"/>
                <w:sz w:val="10"/>
                <w:szCs w:val="10"/>
              </w:rPr>
            </w:pPr>
          </w:p>
        </w:tc>
        <w:tc>
          <w:tcPr>
            <w:tcW w:w="567" w:type="dxa"/>
            <w:vAlign w:val="center"/>
          </w:tcPr>
          <w:p w14:paraId="00EDE0CD"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40D5CAE6" w14:textId="77777777" w:rsidR="00D34C6F" w:rsidRPr="00F9037E" w:rsidRDefault="00D34C6F" w:rsidP="00C05C97">
            <w:pPr>
              <w:spacing w:before="120" w:after="120"/>
              <w:jc w:val="center"/>
              <w:rPr>
                <w:color w:val="auto"/>
                <w:sz w:val="10"/>
                <w:szCs w:val="10"/>
              </w:rPr>
            </w:pPr>
            <w:r w:rsidRPr="00F9037E">
              <w:rPr>
                <w:color w:val="auto"/>
                <w:sz w:val="10"/>
                <w:szCs w:val="10"/>
              </w:rPr>
              <w:t>3.000</w:t>
            </w:r>
          </w:p>
        </w:tc>
        <w:tc>
          <w:tcPr>
            <w:tcW w:w="709" w:type="dxa"/>
            <w:shd w:val="clear" w:color="auto" w:fill="auto"/>
            <w:vAlign w:val="center"/>
          </w:tcPr>
          <w:p w14:paraId="64D5BCC2" w14:textId="77777777" w:rsidR="00D34C6F" w:rsidRPr="00F9037E" w:rsidRDefault="00D34C6F" w:rsidP="00C05C97">
            <w:pPr>
              <w:spacing w:before="120" w:after="120"/>
              <w:jc w:val="center"/>
              <w:rPr>
                <w:color w:val="auto"/>
                <w:sz w:val="10"/>
                <w:szCs w:val="10"/>
              </w:rPr>
            </w:pPr>
            <w:r w:rsidRPr="00F9037E">
              <w:rPr>
                <w:color w:val="auto"/>
                <w:sz w:val="10"/>
                <w:szCs w:val="10"/>
              </w:rPr>
              <w:t>1.350</w:t>
            </w:r>
          </w:p>
        </w:tc>
        <w:tc>
          <w:tcPr>
            <w:tcW w:w="708" w:type="dxa"/>
            <w:shd w:val="clear" w:color="auto" w:fill="auto"/>
            <w:vAlign w:val="center"/>
          </w:tcPr>
          <w:p w14:paraId="76B756A9" w14:textId="3A65E2B6"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728478B8" w14:textId="71B73B61"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F181743" w14:textId="1D6DDB39"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3A415F40" w14:textId="1A7FCB3D"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78EFE207" w14:textId="33A4991C"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25BF2732" w14:textId="4C92989E" w:rsidR="00D34C6F" w:rsidRPr="00F9037E" w:rsidRDefault="00D34C6F" w:rsidP="00C05C97">
            <w:pPr>
              <w:spacing w:before="120" w:after="120"/>
              <w:jc w:val="center"/>
              <w:rPr>
                <w:b/>
                <w:color w:val="auto"/>
                <w:sz w:val="10"/>
                <w:szCs w:val="10"/>
              </w:rPr>
            </w:pPr>
          </w:p>
        </w:tc>
        <w:tc>
          <w:tcPr>
            <w:tcW w:w="567" w:type="dxa"/>
            <w:vAlign w:val="center"/>
          </w:tcPr>
          <w:p w14:paraId="314F7E5C" w14:textId="77777777" w:rsidR="00D34C6F" w:rsidRPr="00F9037E" w:rsidRDefault="00D34C6F" w:rsidP="00C05C97">
            <w:pPr>
              <w:spacing w:before="120" w:after="120"/>
              <w:jc w:val="center"/>
              <w:rPr>
                <w:b/>
                <w:color w:val="auto"/>
                <w:sz w:val="10"/>
                <w:szCs w:val="10"/>
              </w:rPr>
            </w:pPr>
          </w:p>
        </w:tc>
        <w:tc>
          <w:tcPr>
            <w:tcW w:w="567" w:type="dxa"/>
            <w:vAlign w:val="center"/>
          </w:tcPr>
          <w:p w14:paraId="51AF570D" w14:textId="77777777" w:rsidR="00D34C6F" w:rsidRPr="00F9037E" w:rsidRDefault="00D34C6F" w:rsidP="00C05C97">
            <w:pPr>
              <w:spacing w:before="120" w:after="120"/>
              <w:jc w:val="center"/>
              <w:rPr>
                <w:b/>
                <w:color w:val="auto"/>
                <w:sz w:val="10"/>
                <w:szCs w:val="10"/>
              </w:rPr>
            </w:pPr>
          </w:p>
        </w:tc>
        <w:tc>
          <w:tcPr>
            <w:tcW w:w="567" w:type="dxa"/>
            <w:vAlign w:val="center"/>
          </w:tcPr>
          <w:p w14:paraId="4EAB8070" w14:textId="77777777" w:rsidR="00D34C6F" w:rsidRPr="00F9037E" w:rsidRDefault="00D34C6F" w:rsidP="00C05C97">
            <w:pPr>
              <w:spacing w:before="120" w:after="120"/>
              <w:jc w:val="center"/>
              <w:rPr>
                <w:b/>
                <w:color w:val="auto"/>
                <w:sz w:val="10"/>
                <w:szCs w:val="10"/>
              </w:rPr>
            </w:pPr>
          </w:p>
        </w:tc>
        <w:tc>
          <w:tcPr>
            <w:tcW w:w="567" w:type="dxa"/>
            <w:vAlign w:val="center"/>
          </w:tcPr>
          <w:p w14:paraId="246B260D" w14:textId="77777777" w:rsidR="00D34C6F" w:rsidRPr="00F9037E" w:rsidRDefault="00D34C6F" w:rsidP="00C05C97">
            <w:pPr>
              <w:spacing w:before="120" w:after="120"/>
              <w:jc w:val="center"/>
              <w:rPr>
                <w:b/>
                <w:color w:val="auto"/>
                <w:sz w:val="10"/>
                <w:szCs w:val="10"/>
              </w:rPr>
            </w:pPr>
          </w:p>
        </w:tc>
      </w:tr>
      <w:tr w:rsidR="00D34C6F" w:rsidRPr="00F9037E" w14:paraId="0CB78C80" w14:textId="77777777" w:rsidTr="00C05C97">
        <w:trPr>
          <w:trHeight w:val="465"/>
          <w:jc w:val="center"/>
        </w:trPr>
        <w:tc>
          <w:tcPr>
            <w:tcW w:w="662" w:type="dxa"/>
            <w:shd w:val="clear" w:color="auto" w:fill="auto"/>
            <w:vAlign w:val="center"/>
          </w:tcPr>
          <w:p w14:paraId="2B16C4BC" w14:textId="77777777" w:rsidR="00D34C6F" w:rsidRPr="00F9037E" w:rsidRDefault="00D34C6F" w:rsidP="00C05C97">
            <w:pPr>
              <w:spacing w:before="120" w:after="120"/>
              <w:rPr>
                <w:color w:val="auto"/>
                <w:sz w:val="12"/>
                <w:szCs w:val="12"/>
              </w:rPr>
            </w:pPr>
            <w:r w:rsidRPr="00F9037E">
              <w:rPr>
                <w:color w:val="auto"/>
                <w:sz w:val="12"/>
                <w:szCs w:val="12"/>
              </w:rPr>
              <w:t>Belgium</w:t>
            </w:r>
          </w:p>
        </w:tc>
        <w:tc>
          <w:tcPr>
            <w:tcW w:w="824" w:type="dxa"/>
            <w:shd w:val="clear" w:color="auto" w:fill="auto"/>
            <w:vAlign w:val="center"/>
          </w:tcPr>
          <w:p w14:paraId="238619C5" w14:textId="77777777" w:rsidR="00D34C6F" w:rsidRPr="00F9037E" w:rsidRDefault="00D34C6F" w:rsidP="00C05C97">
            <w:pPr>
              <w:spacing w:before="120" w:after="120"/>
              <w:rPr>
                <w:color w:val="auto"/>
                <w:sz w:val="12"/>
                <w:szCs w:val="12"/>
              </w:rPr>
            </w:pPr>
            <w:r w:rsidRPr="00F9037E">
              <w:rPr>
                <w:color w:val="auto"/>
                <w:sz w:val="12"/>
                <w:szCs w:val="12"/>
              </w:rPr>
              <w:t>Strawberry runners</w:t>
            </w:r>
          </w:p>
        </w:tc>
        <w:tc>
          <w:tcPr>
            <w:tcW w:w="708" w:type="dxa"/>
            <w:shd w:val="clear" w:color="auto" w:fill="auto"/>
            <w:vAlign w:val="center"/>
          </w:tcPr>
          <w:p w14:paraId="6A975A41" w14:textId="77777777" w:rsidR="00D34C6F" w:rsidRPr="00F9037E" w:rsidRDefault="00D34C6F" w:rsidP="00C05C97">
            <w:pPr>
              <w:spacing w:before="120" w:after="120"/>
              <w:jc w:val="center"/>
              <w:rPr>
                <w:color w:val="auto"/>
                <w:sz w:val="10"/>
                <w:szCs w:val="10"/>
              </w:rPr>
            </w:pPr>
            <w:r w:rsidRPr="00F9037E">
              <w:rPr>
                <w:color w:val="auto"/>
                <w:sz w:val="10"/>
                <w:szCs w:val="10"/>
              </w:rPr>
              <w:t>3.400</w:t>
            </w:r>
          </w:p>
        </w:tc>
        <w:tc>
          <w:tcPr>
            <w:tcW w:w="709" w:type="dxa"/>
            <w:shd w:val="clear" w:color="auto" w:fill="auto"/>
            <w:vAlign w:val="center"/>
          </w:tcPr>
          <w:p w14:paraId="4B6E5896" w14:textId="77777777" w:rsidR="00D34C6F" w:rsidRPr="00F9037E" w:rsidRDefault="00D34C6F" w:rsidP="00C05C97">
            <w:pPr>
              <w:spacing w:before="120" w:after="120"/>
              <w:jc w:val="center"/>
              <w:rPr>
                <w:color w:val="auto"/>
                <w:sz w:val="10"/>
                <w:szCs w:val="10"/>
              </w:rPr>
            </w:pPr>
            <w:r w:rsidRPr="00F9037E">
              <w:rPr>
                <w:color w:val="auto"/>
                <w:sz w:val="10"/>
                <w:szCs w:val="10"/>
              </w:rPr>
              <w:t>0.900</w:t>
            </w:r>
          </w:p>
        </w:tc>
        <w:tc>
          <w:tcPr>
            <w:tcW w:w="709" w:type="dxa"/>
            <w:shd w:val="clear" w:color="auto" w:fill="auto"/>
            <w:vAlign w:val="center"/>
          </w:tcPr>
          <w:p w14:paraId="63495EB0" w14:textId="2EF5D03F"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0C26ADE" w14:textId="2742DB7A"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0D8A93D4" w14:textId="4AEAA1F3"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855E2F1" w14:textId="2653BDD2"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31EFF07F" w14:textId="75A5F342"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CEA13C6" w14:textId="7A72203C"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B057264" w14:textId="074BA858" w:rsidR="00D34C6F" w:rsidRPr="00F9037E" w:rsidRDefault="00D34C6F" w:rsidP="00C05C97">
            <w:pPr>
              <w:spacing w:before="120" w:after="120"/>
              <w:jc w:val="center"/>
              <w:rPr>
                <w:color w:val="auto"/>
                <w:sz w:val="10"/>
                <w:szCs w:val="10"/>
              </w:rPr>
            </w:pPr>
          </w:p>
        </w:tc>
        <w:tc>
          <w:tcPr>
            <w:tcW w:w="629" w:type="dxa"/>
            <w:vAlign w:val="center"/>
          </w:tcPr>
          <w:p w14:paraId="3B02298A" w14:textId="77777777" w:rsidR="00D34C6F" w:rsidRPr="00F9037E" w:rsidRDefault="00D34C6F" w:rsidP="00C05C97">
            <w:pPr>
              <w:spacing w:before="120" w:after="120"/>
              <w:jc w:val="center"/>
              <w:rPr>
                <w:color w:val="auto"/>
                <w:sz w:val="10"/>
                <w:szCs w:val="10"/>
              </w:rPr>
            </w:pPr>
          </w:p>
        </w:tc>
        <w:tc>
          <w:tcPr>
            <w:tcW w:w="567" w:type="dxa"/>
            <w:vAlign w:val="center"/>
          </w:tcPr>
          <w:p w14:paraId="5D006A59" w14:textId="77777777" w:rsidR="00D34C6F" w:rsidRPr="00F9037E" w:rsidRDefault="00D34C6F" w:rsidP="00C05C97">
            <w:pPr>
              <w:spacing w:before="120" w:after="120"/>
              <w:jc w:val="center"/>
              <w:rPr>
                <w:color w:val="auto"/>
                <w:sz w:val="10"/>
                <w:szCs w:val="10"/>
              </w:rPr>
            </w:pPr>
          </w:p>
        </w:tc>
        <w:tc>
          <w:tcPr>
            <w:tcW w:w="567" w:type="dxa"/>
            <w:vAlign w:val="center"/>
          </w:tcPr>
          <w:p w14:paraId="73FCC2A7"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42C47734" w14:textId="77777777" w:rsidR="00D34C6F" w:rsidRPr="00F9037E" w:rsidRDefault="00D34C6F" w:rsidP="00C05C97">
            <w:pPr>
              <w:spacing w:before="120" w:after="120"/>
              <w:jc w:val="center"/>
              <w:rPr>
                <w:color w:val="auto"/>
                <w:sz w:val="10"/>
                <w:szCs w:val="10"/>
              </w:rPr>
            </w:pPr>
            <w:r w:rsidRPr="00F9037E">
              <w:rPr>
                <w:color w:val="auto"/>
                <w:sz w:val="10"/>
                <w:szCs w:val="10"/>
              </w:rPr>
              <w:t>3.400</w:t>
            </w:r>
          </w:p>
        </w:tc>
        <w:tc>
          <w:tcPr>
            <w:tcW w:w="709" w:type="dxa"/>
            <w:shd w:val="clear" w:color="auto" w:fill="auto"/>
            <w:vAlign w:val="center"/>
          </w:tcPr>
          <w:p w14:paraId="061DED85" w14:textId="77777777" w:rsidR="00D34C6F" w:rsidRPr="00F9037E" w:rsidRDefault="00D34C6F" w:rsidP="00C05C97">
            <w:pPr>
              <w:spacing w:before="120" w:after="120"/>
              <w:jc w:val="center"/>
              <w:rPr>
                <w:color w:val="auto"/>
                <w:sz w:val="10"/>
                <w:szCs w:val="10"/>
              </w:rPr>
            </w:pPr>
            <w:r w:rsidRPr="00F9037E">
              <w:rPr>
                <w:color w:val="auto"/>
                <w:sz w:val="10"/>
                <w:szCs w:val="10"/>
              </w:rPr>
              <w:t>0.900</w:t>
            </w:r>
          </w:p>
        </w:tc>
        <w:tc>
          <w:tcPr>
            <w:tcW w:w="708" w:type="dxa"/>
            <w:shd w:val="clear" w:color="auto" w:fill="auto"/>
            <w:vAlign w:val="center"/>
          </w:tcPr>
          <w:p w14:paraId="452DC2CF" w14:textId="7C85E5E5"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07976195" w14:textId="37D18FA8"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587578F" w14:textId="7D80F778"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4436FF43" w14:textId="57A2B5D2"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CEB7FEA" w14:textId="18262377"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4196EDED" w14:textId="0A2B4E78" w:rsidR="00D34C6F" w:rsidRPr="00F9037E" w:rsidRDefault="00D34C6F" w:rsidP="00C05C97">
            <w:pPr>
              <w:spacing w:before="120" w:after="120"/>
              <w:jc w:val="center"/>
              <w:rPr>
                <w:b/>
                <w:color w:val="auto"/>
                <w:sz w:val="10"/>
                <w:szCs w:val="10"/>
              </w:rPr>
            </w:pPr>
          </w:p>
        </w:tc>
        <w:tc>
          <w:tcPr>
            <w:tcW w:w="567" w:type="dxa"/>
            <w:vAlign w:val="center"/>
          </w:tcPr>
          <w:p w14:paraId="56328698" w14:textId="77777777" w:rsidR="00D34C6F" w:rsidRPr="00F9037E" w:rsidRDefault="00D34C6F" w:rsidP="00C05C97">
            <w:pPr>
              <w:spacing w:before="120" w:after="120"/>
              <w:jc w:val="center"/>
              <w:rPr>
                <w:b/>
                <w:color w:val="auto"/>
                <w:sz w:val="10"/>
                <w:szCs w:val="10"/>
              </w:rPr>
            </w:pPr>
          </w:p>
        </w:tc>
        <w:tc>
          <w:tcPr>
            <w:tcW w:w="567" w:type="dxa"/>
            <w:vAlign w:val="center"/>
          </w:tcPr>
          <w:p w14:paraId="6B626BD4" w14:textId="77777777" w:rsidR="00D34C6F" w:rsidRPr="00F9037E" w:rsidRDefault="00D34C6F" w:rsidP="00C05C97">
            <w:pPr>
              <w:spacing w:before="120" w:after="120"/>
              <w:jc w:val="center"/>
              <w:rPr>
                <w:b/>
                <w:color w:val="auto"/>
                <w:sz w:val="10"/>
                <w:szCs w:val="10"/>
              </w:rPr>
            </w:pPr>
          </w:p>
        </w:tc>
        <w:tc>
          <w:tcPr>
            <w:tcW w:w="567" w:type="dxa"/>
            <w:vAlign w:val="center"/>
          </w:tcPr>
          <w:p w14:paraId="39CF9276" w14:textId="77777777" w:rsidR="00D34C6F" w:rsidRPr="00F9037E" w:rsidRDefault="00D34C6F" w:rsidP="00C05C97">
            <w:pPr>
              <w:spacing w:before="120" w:after="120"/>
              <w:jc w:val="center"/>
              <w:rPr>
                <w:b/>
                <w:color w:val="auto"/>
                <w:sz w:val="10"/>
                <w:szCs w:val="10"/>
              </w:rPr>
            </w:pPr>
          </w:p>
        </w:tc>
        <w:tc>
          <w:tcPr>
            <w:tcW w:w="567" w:type="dxa"/>
            <w:vAlign w:val="center"/>
          </w:tcPr>
          <w:p w14:paraId="6B3288D0" w14:textId="77777777" w:rsidR="00D34C6F" w:rsidRPr="00F9037E" w:rsidRDefault="00D34C6F" w:rsidP="00C05C97">
            <w:pPr>
              <w:spacing w:before="120" w:after="120"/>
              <w:jc w:val="center"/>
              <w:rPr>
                <w:b/>
                <w:color w:val="auto"/>
                <w:sz w:val="10"/>
                <w:szCs w:val="10"/>
              </w:rPr>
            </w:pPr>
          </w:p>
        </w:tc>
      </w:tr>
      <w:tr w:rsidR="00D34C6F" w:rsidRPr="00F9037E" w14:paraId="28D89CBE" w14:textId="77777777" w:rsidTr="00C05C97">
        <w:trPr>
          <w:trHeight w:val="465"/>
          <w:jc w:val="center"/>
        </w:trPr>
        <w:tc>
          <w:tcPr>
            <w:tcW w:w="662" w:type="dxa"/>
            <w:shd w:val="clear" w:color="auto" w:fill="auto"/>
            <w:vAlign w:val="center"/>
          </w:tcPr>
          <w:p w14:paraId="7895C491" w14:textId="77777777" w:rsidR="00D34C6F" w:rsidRPr="00F9037E" w:rsidRDefault="00D34C6F" w:rsidP="00C05C97">
            <w:pPr>
              <w:spacing w:before="120" w:after="120"/>
              <w:rPr>
                <w:color w:val="auto"/>
                <w:sz w:val="12"/>
                <w:szCs w:val="12"/>
              </w:rPr>
            </w:pPr>
            <w:r w:rsidRPr="00F9037E">
              <w:rPr>
                <w:color w:val="auto"/>
                <w:sz w:val="12"/>
                <w:szCs w:val="12"/>
              </w:rPr>
              <w:t>Belgium</w:t>
            </w:r>
          </w:p>
        </w:tc>
        <w:tc>
          <w:tcPr>
            <w:tcW w:w="824" w:type="dxa"/>
            <w:shd w:val="clear" w:color="auto" w:fill="auto"/>
            <w:vAlign w:val="center"/>
          </w:tcPr>
          <w:p w14:paraId="24A2E61D" w14:textId="77777777" w:rsidR="00D34C6F" w:rsidRPr="00F9037E" w:rsidRDefault="00D34C6F" w:rsidP="00C05C97">
            <w:pPr>
              <w:spacing w:before="120" w:after="120"/>
              <w:rPr>
                <w:color w:val="auto"/>
                <w:sz w:val="12"/>
                <w:szCs w:val="12"/>
              </w:rPr>
            </w:pPr>
            <w:r w:rsidRPr="00F9037E">
              <w:rPr>
                <w:color w:val="auto"/>
                <w:sz w:val="12"/>
                <w:szCs w:val="12"/>
              </w:rPr>
              <w:t>Tomato (protected)</w:t>
            </w:r>
          </w:p>
        </w:tc>
        <w:tc>
          <w:tcPr>
            <w:tcW w:w="708" w:type="dxa"/>
            <w:shd w:val="clear" w:color="auto" w:fill="auto"/>
            <w:vAlign w:val="center"/>
          </w:tcPr>
          <w:p w14:paraId="1862AEB2" w14:textId="77777777" w:rsidR="00D34C6F" w:rsidRPr="00F9037E" w:rsidRDefault="00D34C6F" w:rsidP="00C05C97">
            <w:pPr>
              <w:spacing w:before="120" w:after="120"/>
              <w:jc w:val="center"/>
              <w:rPr>
                <w:color w:val="auto"/>
                <w:sz w:val="10"/>
                <w:szCs w:val="10"/>
              </w:rPr>
            </w:pPr>
            <w:r w:rsidRPr="00F9037E">
              <w:rPr>
                <w:color w:val="auto"/>
                <w:sz w:val="10"/>
                <w:szCs w:val="10"/>
              </w:rPr>
              <w:t>17.170</w:t>
            </w:r>
          </w:p>
        </w:tc>
        <w:tc>
          <w:tcPr>
            <w:tcW w:w="709" w:type="dxa"/>
            <w:shd w:val="clear" w:color="auto" w:fill="auto"/>
            <w:vAlign w:val="center"/>
          </w:tcPr>
          <w:p w14:paraId="1CD49312" w14:textId="77777777" w:rsidR="00D34C6F" w:rsidRPr="00F9037E" w:rsidRDefault="00D34C6F" w:rsidP="00C05C97">
            <w:pPr>
              <w:spacing w:before="120" w:after="120"/>
              <w:jc w:val="center"/>
              <w:rPr>
                <w:color w:val="auto"/>
                <w:sz w:val="10"/>
                <w:szCs w:val="10"/>
              </w:rPr>
            </w:pPr>
            <w:r w:rsidRPr="00F9037E">
              <w:rPr>
                <w:color w:val="auto"/>
                <w:sz w:val="10"/>
                <w:szCs w:val="10"/>
              </w:rPr>
              <w:t>4.500</w:t>
            </w:r>
          </w:p>
        </w:tc>
        <w:tc>
          <w:tcPr>
            <w:tcW w:w="709" w:type="dxa"/>
            <w:shd w:val="clear" w:color="auto" w:fill="auto"/>
            <w:vAlign w:val="center"/>
          </w:tcPr>
          <w:p w14:paraId="221ADA0E" w14:textId="3A6E1AF3"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7B2C0D9E" w14:textId="2D0CAF73"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641371FD" w14:textId="5AB39A14"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908E009" w14:textId="372AE029"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44878D0A" w14:textId="02E65825"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F3A9552" w14:textId="59D02F59"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257F38B7" w14:textId="22B5541C" w:rsidR="00D34C6F" w:rsidRPr="00F9037E" w:rsidRDefault="00D34C6F" w:rsidP="00C05C97">
            <w:pPr>
              <w:spacing w:before="120" w:after="120"/>
              <w:jc w:val="center"/>
              <w:rPr>
                <w:color w:val="auto"/>
                <w:sz w:val="10"/>
                <w:szCs w:val="10"/>
              </w:rPr>
            </w:pPr>
          </w:p>
        </w:tc>
        <w:tc>
          <w:tcPr>
            <w:tcW w:w="629" w:type="dxa"/>
            <w:vAlign w:val="center"/>
          </w:tcPr>
          <w:p w14:paraId="1CAF9ABA" w14:textId="77777777" w:rsidR="00D34C6F" w:rsidRPr="00F9037E" w:rsidRDefault="00D34C6F" w:rsidP="00C05C97">
            <w:pPr>
              <w:spacing w:before="120" w:after="120"/>
              <w:jc w:val="center"/>
              <w:rPr>
                <w:color w:val="auto"/>
                <w:sz w:val="10"/>
                <w:szCs w:val="10"/>
              </w:rPr>
            </w:pPr>
          </w:p>
        </w:tc>
        <w:tc>
          <w:tcPr>
            <w:tcW w:w="567" w:type="dxa"/>
            <w:vAlign w:val="center"/>
          </w:tcPr>
          <w:p w14:paraId="17CF87AC" w14:textId="77777777" w:rsidR="00D34C6F" w:rsidRPr="00F9037E" w:rsidRDefault="00D34C6F" w:rsidP="00C05C97">
            <w:pPr>
              <w:spacing w:before="120" w:after="120"/>
              <w:jc w:val="center"/>
              <w:rPr>
                <w:color w:val="auto"/>
                <w:sz w:val="10"/>
                <w:szCs w:val="10"/>
              </w:rPr>
            </w:pPr>
          </w:p>
        </w:tc>
        <w:tc>
          <w:tcPr>
            <w:tcW w:w="567" w:type="dxa"/>
            <w:vAlign w:val="center"/>
          </w:tcPr>
          <w:p w14:paraId="0F948A82"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50925978" w14:textId="77777777" w:rsidR="00D34C6F" w:rsidRPr="00F9037E" w:rsidRDefault="00D34C6F" w:rsidP="00C05C97">
            <w:pPr>
              <w:spacing w:before="120" w:after="120"/>
              <w:jc w:val="center"/>
              <w:rPr>
                <w:color w:val="auto"/>
                <w:sz w:val="10"/>
                <w:szCs w:val="10"/>
              </w:rPr>
            </w:pPr>
            <w:r w:rsidRPr="00F9037E">
              <w:rPr>
                <w:color w:val="auto"/>
                <w:sz w:val="10"/>
                <w:szCs w:val="10"/>
              </w:rPr>
              <w:t>5.700</w:t>
            </w:r>
          </w:p>
        </w:tc>
        <w:tc>
          <w:tcPr>
            <w:tcW w:w="709" w:type="dxa"/>
            <w:shd w:val="clear" w:color="auto" w:fill="auto"/>
            <w:vAlign w:val="center"/>
          </w:tcPr>
          <w:p w14:paraId="197F2BEF" w14:textId="77777777" w:rsidR="00D34C6F" w:rsidRPr="00F9037E" w:rsidRDefault="00D34C6F" w:rsidP="00C05C97">
            <w:pPr>
              <w:spacing w:before="120" w:after="120"/>
              <w:jc w:val="center"/>
              <w:rPr>
                <w:color w:val="auto"/>
                <w:sz w:val="10"/>
                <w:szCs w:val="10"/>
              </w:rPr>
            </w:pPr>
            <w:r w:rsidRPr="00F9037E">
              <w:rPr>
                <w:color w:val="auto"/>
                <w:sz w:val="10"/>
                <w:szCs w:val="10"/>
              </w:rPr>
              <w:t>4.500</w:t>
            </w:r>
          </w:p>
        </w:tc>
        <w:tc>
          <w:tcPr>
            <w:tcW w:w="708" w:type="dxa"/>
            <w:shd w:val="clear" w:color="auto" w:fill="auto"/>
            <w:vAlign w:val="center"/>
          </w:tcPr>
          <w:p w14:paraId="3EC53369" w14:textId="21687A6F"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2E5216D7" w14:textId="402DBA02"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E430BD3" w14:textId="3545B5B8"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0D296FB4" w14:textId="4E592943"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9AEFBE6" w14:textId="4D90CBE0"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1902602D" w14:textId="46EA36BA" w:rsidR="00D34C6F" w:rsidRPr="00F9037E" w:rsidRDefault="00D34C6F" w:rsidP="00C05C97">
            <w:pPr>
              <w:spacing w:before="120" w:after="120"/>
              <w:jc w:val="center"/>
              <w:rPr>
                <w:b/>
                <w:color w:val="auto"/>
                <w:sz w:val="10"/>
                <w:szCs w:val="10"/>
              </w:rPr>
            </w:pPr>
          </w:p>
        </w:tc>
        <w:tc>
          <w:tcPr>
            <w:tcW w:w="567" w:type="dxa"/>
            <w:vAlign w:val="center"/>
          </w:tcPr>
          <w:p w14:paraId="0B306BFA" w14:textId="77777777" w:rsidR="00D34C6F" w:rsidRPr="00F9037E" w:rsidRDefault="00D34C6F" w:rsidP="00C05C97">
            <w:pPr>
              <w:spacing w:before="120" w:after="120"/>
              <w:jc w:val="center"/>
              <w:rPr>
                <w:b/>
                <w:color w:val="auto"/>
                <w:sz w:val="10"/>
                <w:szCs w:val="10"/>
              </w:rPr>
            </w:pPr>
          </w:p>
        </w:tc>
        <w:tc>
          <w:tcPr>
            <w:tcW w:w="567" w:type="dxa"/>
            <w:vAlign w:val="center"/>
          </w:tcPr>
          <w:p w14:paraId="5BAB1030" w14:textId="77777777" w:rsidR="00D34C6F" w:rsidRPr="00F9037E" w:rsidRDefault="00D34C6F" w:rsidP="00C05C97">
            <w:pPr>
              <w:spacing w:before="120" w:after="120"/>
              <w:jc w:val="center"/>
              <w:rPr>
                <w:b/>
                <w:color w:val="auto"/>
                <w:sz w:val="10"/>
                <w:szCs w:val="10"/>
              </w:rPr>
            </w:pPr>
          </w:p>
        </w:tc>
        <w:tc>
          <w:tcPr>
            <w:tcW w:w="567" w:type="dxa"/>
            <w:vAlign w:val="center"/>
          </w:tcPr>
          <w:p w14:paraId="4C98EE62" w14:textId="77777777" w:rsidR="00D34C6F" w:rsidRPr="00F9037E" w:rsidRDefault="00D34C6F" w:rsidP="00C05C97">
            <w:pPr>
              <w:spacing w:before="120" w:after="120"/>
              <w:jc w:val="center"/>
              <w:rPr>
                <w:b/>
                <w:color w:val="auto"/>
                <w:sz w:val="10"/>
                <w:szCs w:val="10"/>
              </w:rPr>
            </w:pPr>
          </w:p>
        </w:tc>
        <w:tc>
          <w:tcPr>
            <w:tcW w:w="567" w:type="dxa"/>
            <w:vAlign w:val="center"/>
          </w:tcPr>
          <w:p w14:paraId="21FE037D" w14:textId="77777777" w:rsidR="00D34C6F" w:rsidRPr="00F9037E" w:rsidRDefault="00D34C6F" w:rsidP="00C05C97">
            <w:pPr>
              <w:spacing w:before="120" w:after="120"/>
              <w:jc w:val="center"/>
              <w:rPr>
                <w:b/>
                <w:color w:val="auto"/>
                <w:sz w:val="10"/>
                <w:szCs w:val="10"/>
              </w:rPr>
            </w:pPr>
          </w:p>
        </w:tc>
      </w:tr>
      <w:tr w:rsidR="00D34C6F" w:rsidRPr="00F9037E" w14:paraId="20AF6413" w14:textId="77777777" w:rsidTr="00C05C97">
        <w:trPr>
          <w:trHeight w:val="465"/>
          <w:jc w:val="center"/>
        </w:trPr>
        <w:tc>
          <w:tcPr>
            <w:tcW w:w="662" w:type="dxa"/>
            <w:shd w:val="clear" w:color="auto" w:fill="auto"/>
            <w:vAlign w:val="center"/>
          </w:tcPr>
          <w:p w14:paraId="1901DFB2" w14:textId="77777777" w:rsidR="00D34C6F" w:rsidRPr="00F9037E" w:rsidRDefault="00D34C6F" w:rsidP="00C05C97">
            <w:pPr>
              <w:spacing w:before="120" w:after="120"/>
              <w:rPr>
                <w:color w:val="auto"/>
                <w:sz w:val="12"/>
                <w:szCs w:val="12"/>
              </w:rPr>
            </w:pPr>
            <w:r w:rsidRPr="00F9037E">
              <w:rPr>
                <w:color w:val="auto"/>
                <w:sz w:val="12"/>
                <w:szCs w:val="12"/>
              </w:rPr>
              <w:t>Belgium</w:t>
            </w:r>
          </w:p>
        </w:tc>
        <w:tc>
          <w:tcPr>
            <w:tcW w:w="824" w:type="dxa"/>
            <w:shd w:val="clear" w:color="auto" w:fill="auto"/>
            <w:vAlign w:val="center"/>
          </w:tcPr>
          <w:p w14:paraId="77EF6BC1" w14:textId="77777777" w:rsidR="00D34C6F" w:rsidRPr="00F9037E" w:rsidRDefault="00D34C6F" w:rsidP="00C05C97">
            <w:pPr>
              <w:spacing w:before="120" w:after="120"/>
              <w:rPr>
                <w:color w:val="auto"/>
                <w:sz w:val="12"/>
                <w:szCs w:val="12"/>
              </w:rPr>
            </w:pPr>
            <w:r w:rsidRPr="00F9037E">
              <w:rPr>
                <w:color w:val="auto"/>
                <w:sz w:val="12"/>
                <w:szCs w:val="12"/>
              </w:rPr>
              <w:t>Tree nursery</w:t>
            </w:r>
          </w:p>
        </w:tc>
        <w:tc>
          <w:tcPr>
            <w:tcW w:w="708" w:type="dxa"/>
            <w:shd w:val="clear" w:color="auto" w:fill="auto"/>
            <w:vAlign w:val="center"/>
          </w:tcPr>
          <w:p w14:paraId="3705BEE1" w14:textId="77777777" w:rsidR="00D34C6F" w:rsidRPr="00F9037E" w:rsidRDefault="00D34C6F" w:rsidP="00C05C97">
            <w:pPr>
              <w:spacing w:before="120" w:after="120"/>
              <w:jc w:val="center"/>
              <w:rPr>
                <w:color w:val="auto"/>
                <w:sz w:val="10"/>
                <w:szCs w:val="10"/>
              </w:rPr>
            </w:pPr>
            <w:r w:rsidRPr="00F9037E">
              <w:rPr>
                <w:color w:val="auto"/>
                <w:sz w:val="10"/>
                <w:szCs w:val="10"/>
              </w:rPr>
              <w:t>0.230</w:t>
            </w:r>
          </w:p>
        </w:tc>
        <w:tc>
          <w:tcPr>
            <w:tcW w:w="709" w:type="dxa"/>
            <w:shd w:val="clear" w:color="auto" w:fill="auto"/>
            <w:vAlign w:val="center"/>
          </w:tcPr>
          <w:p w14:paraId="727889A3" w14:textId="77777777" w:rsidR="00D34C6F" w:rsidRPr="00F9037E" w:rsidRDefault="00D34C6F" w:rsidP="00C05C97">
            <w:pPr>
              <w:spacing w:before="120" w:after="120"/>
              <w:jc w:val="center"/>
              <w:rPr>
                <w:color w:val="auto"/>
                <w:sz w:val="10"/>
                <w:szCs w:val="10"/>
              </w:rPr>
            </w:pPr>
            <w:r w:rsidRPr="00F9037E">
              <w:rPr>
                <w:color w:val="auto"/>
                <w:sz w:val="10"/>
                <w:szCs w:val="10"/>
              </w:rPr>
              <w:t>0.155</w:t>
            </w:r>
          </w:p>
        </w:tc>
        <w:tc>
          <w:tcPr>
            <w:tcW w:w="709" w:type="dxa"/>
            <w:shd w:val="clear" w:color="auto" w:fill="auto"/>
            <w:vAlign w:val="center"/>
          </w:tcPr>
          <w:p w14:paraId="1545327F" w14:textId="22425C0F"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AAEE46B" w14:textId="66D260CC"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427D8BC7" w14:textId="2FD8588A"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5681FE4" w14:textId="19C9653A"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669C5C6C" w14:textId="5E3D134C"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79278F9" w14:textId="681A3169"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937A4D9" w14:textId="4FE66B13" w:rsidR="00D34C6F" w:rsidRPr="00F9037E" w:rsidRDefault="00D34C6F" w:rsidP="00C05C97">
            <w:pPr>
              <w:spacing w:before="120" w:after="120"/>
              <w:jc w:val="center"/>
              <w:rPr>
                <w:color w:val="auto"/>
                <w:sz w:val="10"/>
                <w:szCs w:val="10"/>
              </w:rPr>
            </w:pPr>
          </w:p>
        </w:tc>
        <w:tc>
          <w:tcPr>
            <w:tcW w:w="629" w:type="dxa"/>
            <w:vAlign w:val="center"/>
          </w:tcPr>
          <w:p w14:paraId="16BC021C" w14:textId="77777777" w:rsidR="00D34C6F" w:rsidRPr="00F9037E" w:rsidRDefault="00D34C6F" w:rsidP="00C05C97">
            <w:pPr>
              <w:spacing w:before="120" w:after="120"/>
              <w:jc w:val="center"/>
              <w:rPr>
                <w:color w:val="auto"/>
                <w:sz w:val="10"/>
                <w:szCs w:val="10"/>
              </w:rPr>
            </w:pPr>
          </w:p>
        </w:tc>
        <w:tc>
          <w:tcPr>
            <w:tcW w:w="567" w:type="dxa"/>
            <w:vAlign w:val="center"/>
          </w:tcPr>
          <w:p w14:paraId="45A9A784" w14:textId="77777777" w:rsidR="00D34C6F" w:rsidRPr="00F9037E" w:rsidRDefault="00D34C6F" w:rsidP="00C05C97">
            <w:pPr>
              <w:spacing w:before="120" w:after="120"/>
              <w:jc w:val="center"/>
              <w:rPr>
                <w:color w:val="auto"/>
                <w:sz w:val="10"/>
                <w:szCs w:val="10"/>
              </w:rPr>
            </w:pPr>
          </w:p>
        </w:tc>
        <w:tc>
          <w:tcPr>
            <w:tcW w:w="567" w:type="dxa"/>
            <w:vAlign w:val="center"/>
          </w:tcPr>
          <w:p w14:paraId="188C4766"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589BE2BA" w14:textId="77777777" w:rsidR="00D34C6F" w:rsidRPr="00F9037E" w:rsidRDefault="00D34C6F" w:rsidP="00C05C97">
            <w:pPr>
              <w:spacing w:before="120" w:after="120"/>
              <w:jc w:val="center"/>
              <w:rPr>
                <w:color w:val="auto"/>
                <w:sz w:val="10"/>
                <w:szCs w:val="10"/>
              </w:rPr>
            </w:pPr>
            <w:r w:rsidRPr="00F9037E">
              <w:rPr>
                <w:color w:val="auto"/>
                <w:sz w:val="10"/>
                <w:szCs w:val="10"/>
              </w:rPr>
              <w:t>0.230</w:t>
            </w:r>
          </w:p>
        </w:tc>
        <w:tc>
          <w:tcPr>
            <w:tcW w:w="709" w:type="dxa"/>
            <w:shd w:val="clear" w:color="auto" w:fill="auto"/>
            <w:vAlign w:val="center"/>
          </w:tcPr>
          <w:p w14:paraId="6F55EF21" w14:textId="77777777" w:rsidR="00D34C6F" w:rsidRPr="00F9037E" w:rsidRDefault="00D34C6F" w:rsidP="00C05C97">
            <w:pPr>
              <w:spacing w:before="120" w:after="120"/>
              <w:jc w:val="center"/>
              <w:rPr>
                <w:color w:val="auto"/>
                <w:sz w:val="10"/>
                <w:szCs w:val="10"/>
              </w:rPr>
            </w:pPr>
            <w:r w:rsidRPr="00F9037E">
              <w:rPr>
                <w:color w:val="auto"/>
                <w:sz w:val="10"/>
                <w:szCs w:val="10"/>
              </w:rPr>
              <w:t>0.155</w:t>
            </w:r>
          </w:p>
        </w:tc>
        <w:tc>
          <w:tcPr>
            <w:tcW w:w="708" w:type="dxa"/>
            <w:shd w:val="clear" w:color="auto" w:fill="auto"/>
            <w:vAlign w:val="center"/>
          </w:tcPr>
          <w:p w14:paraId="4EC3C4F7" w14:textId="55A6A140"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47681ADC" w14:textId="7484FCEC"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7FDB4FAC" w14:textId="2CE7E06C"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1B8C6CF4" w14:textId="56995E48"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753C7CAB" w14:textId="54C2E232"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2C879685" w14:textId="536C8389" w:rsidR="00D34C6F" w:rsidRPr="00F9037E" w:rsidRDefault="00D34C6F" w:rsidP="00C05C97">
            <w:pPr>
              <w:spacing w:before="120" w:after="120"/>
              <w:jc w:val="center"/>
              <w:rPr>
                <w:b/>
                <w:color w:val="auto"/>
                <w:sz w:val="10"/>
                <w:szCs w:val="10"/>
              </w:rPr>
            </w:pPr>
          </w:p>
        </w:tc>
        <w:tc>
          <w:tcPr>
            <w:tcW w:w="567" w:type="dxa"/>
            <w:vAlign w:val="center"/>
          </w:tcPr>
          <w:p w14:paraId="68A64375" w14:textId="77777777" w:rsidR="00D34C6F" w:rsidRPr="00F9037E" w:rsidRDefault="00D34C6F" w:rsidP="00C05C97">
            <w:pPr>
              <w:spacing w:before="120" w:after="120"/>
              <w:jc w:val="center"/>
              <w:rPr>
                <w:b/>
                <w:color w:val="auto"/>
                <w:sz w:val="10"/>
                <w:szCs w:val="10"/>
              </w:rPr>
            </w:pPr>
          </w:p>
        </w:tc>
        <w:tc>
          <w:tcPr>
            <w:tcW w:w="567" w:type="dxa"/>
            <w:vAlign w:val="center"/>
          </w:tcPr>
          <w:p w14:paraId="4D76C2DC" w14:textId="77777777" w:rsidR="00D34C6F" w:rsidRPr="00F9037E" w:rsidRDefault="00D34C6F" w:rsidP="00C05C97">
            <w:pPr>
              <w:spacing w:before="120" w:after="120"/>
              <w:jc w:val="center"/>
              <w:rPr>
                <w:b/>
                <w:color w:val="auto"/>
                <w:sz w:val="10"/>
                <w:szCs w:val="10"/>
              </w:rPr>
            </w:pPr>
          </w:p>
        </w:tc>
        <w:tc>
          <w:tcPr>
            <w:tcW w:w="567" w:type="dxa"/>
            <w:vAlign w:val="center"/>
          </w:tcPr>
          <w:p w14:paraId="601E4637" w14:textId="77777777" w:rsidR="00D34C6F" w:rsidRPr="00F9037E" w:rsidRDefault="00D34C6F" w:rsidP="00C05C97">
            <w:pPr>
              <w:spacing w:before="120" w:after="120"/>
              <w:jc w:val="center"/>
              <w:rPr>
                <w:b/>
                <w:color w:val="auto"/>
                <w:sz w:val="10"/>
                <w:szCs w:val="10"/>
              </w:rPr>
            </w:pPr>
          </w:p>
        </w:tc>
        <w:tc>
          <w:tcPr>
            <w:tcW w:w="567" w:type="dxa"/>
            <w:vAlign w:val="center"/>
          </w:tcPr>
          <w:p w14:paraId="04789316" w14:textId="77777777" w:rsidR="00D34C6F" w:rsidRPr="00F9037E" w:rsidRDefault="00D34C6F" w:rsidP="00C05C97">
            <w:pPr>
              <w:spacing w:before="120" w:after="120"/>
              <w:jc w:val="center"/>
              <w:rPr>
                <w:b/>
                <w:color w:val="auto"/>
                <w:sz w:val="10"/>
                <w:szCs w:val="10"/>
              </w:rPr>
            </w:pPr>
          </w:p>
        </w:tc>
      </w:tr>
      <w:tr w:rsidR="00D34C6F" w:rsidRPr="00F9037E" w14:paraId="0439E821" w14:textId="77777777" w:rsidTr="00C05C97">
        <w:trPr>
          <w:trHeight w:val="690"/>
          <w:jc w:val="center"/>
        </w:trPr>
        <w:tc>
          <w:tcPr>
            <w:tcW w:w="662" w:type="dxa"/>
            <w:shd w:val="clear" w:color="auto" w:fill="auto"/>
            <w:vAlign w:val="center"/>
          </w:tcPr>
          <w:p w14:paraId="039EDF68" w14:textId="77777777" w:rsidR="00D34C6F" w:rsidRPr="00F9037E" w:rsidRDefault="00D34C6F" w:rsidP="00C05C97">
            <w:pPr>
              <w:spacing w:before="120" w:after="120"/>
              <w:rPr>
                <w:color w:val="auto"/>
                <w:sz w:val="12"/>
                <w:szCs w:val="12"/>
              </w:rPr>
            </w:pPr>
            <w:r w:rsidRPr="00F9037E">
              <w:rPr>
                <w:color w:val="auto"/>
                <w:sz w:val="12"/>
                <w:szCs w:val="12"/>
              </w:rPr>
              <w:t>Canada</w:t>
            </w:r>
          </w:p>
        </w:tc>
        <w:tc>
          <w:tcPr>
            <w:tcW w:w="824" w:type="dxa"/>
            <w:shd w:val="clear" w:color="auto" w:fill="auto"/>
            <w:vAlign w:val="center"/>
          </w:tcPr>
          <w:p w14:paraId="00ED5C98" w14:textId="77777777" w:rsidR="00D34C6F" w:rsidRPr="00F9037E" w:rsidRDefault="00D34C6F" w:rsidP="00C05C97">
            <w:pPr>
              <w:spacing w:before="120" w:after="120"/>
              <w:rPr>
                <w:color w:val="auto"/>
                <w:sz w:val="12"/>
                <w:szCs w:val="12"/>
              </w:rPr>
            </w:pPr>
            <w:r w:rsidRPr="00F9037E">
              <w:rPr>
                <w:color w:val="auto"/>
                <w:sz w:val="12"/>
                <w:szCs w:val="12"/>
              </w:rPr>
              <w:t>Strawberry runners (PEI)</w:t>
            </w:r>
          </w:p>
        </w:tc>
        <w:tc>
          <w:tcPr>
            <w:tcW w:w="708" w:type="dxa"/>
            <w:shd w:val="clear" w:color="auto" w:fill="auto"/>
            <w:vAlign w:val="center"/>
          </w:tcPr>
          <w:p w14:paraId="2D05F575" w14:textId="77777777" w:rsidR="00D34C6F" w:rsidRPr="00F9037E" w:rsidRDefault="00D34C6F" w:rsidP="00C05C97">
            <w:pPr>
              <w:spacing w:before="120" w:after="120"/>
              <w:jc w:val="center"/>
              <w:rPr>
                <w:color w:val="auto"/>
                <w:sz w:val="10"/>
                <w:szCs w:val="10"/>
              </w:rPr>
            </w:pPr>
            <w:r w:rsidRPr="00F9037E">
              <w:rPr>
                <w:color w:val="auto"/>
                <w:sz w:val="10"/>
                <w:szCs w:val="10"/>
              </w:rPr>
              <w:t>14.792</w:t>
            </w:r>
          </w:p>
        </w:tc>
        <w:tc>
          <w:tcPr>
            <w:tcW w:w="709" w:type="dxa"/>
            <w:shd w:val="clear" w:color="auto" w:fill="auto"/>
            <w:vAlign w:val="center"/>
          </w:tcPr>
          <w:p w14:paraId="58A652DC" w14:textId="77777777" w:rsidR="00D34C6F" w:rsidRPr="00F9037E" w:rsidRDefault="00D34C6F" w:rsidP="00C05C97">
            <w:pPr>
              <w:spacing w:before="120" w:after="120"/>
              <w:jc w:val="center"/>
              <w:rPr>
                <w:color w:val="auto"/>
                <w:sz w:val="10"/>
                <w:szCs w:val="10"/>
              </w:rPr>
            </w:pPr>
            <w:r w:rsidRPr="00F9037E">
              <w:rPr>
                <w:color w:val="auto"/>
                <w:sz w:val="10"/>
                <w:szCs w:val="10"/>
              </w:rPr>
              <w:t>6.840</w:t>
            </w:r>
          </w:p>
        </w:tc>
        <w:tc>
          <w:tcPr>
            <w:tcW w:w="709" w:type="dxa"/>
            <w:shd w:val="clear" w:color="auto" w:fill="auto"/>
            <w:vAlign w:val="center"/>
          </w:tcPr>
          <w:p w14:paraId="7FC5A097" w14:textId="77777777" w:rsidR="00D34C6F" w:rsidRPr="00F9037E" w:rsidRDefault="00D34C6F" w:rsidP="00C05C97">
            <w:pPr>
              <w:spacing w:before="120" w:after="120"/>
              <w:jc w:val="center"/>
              <w:rPr>
                <w:color w:val="auto"/>
                <w:sz w:val="10"/>
                <w:szCs w:val="10"/>
              </w:rPr>
            </w:pPr>
            <w:r w:rsidRPr="00F9037E">
              <w:rPr>
                <w:color w:val="auto"/>
                <w:sz w:val="10"/>
                <w:szCs w:val="10"/>
              </w:rPr>
              <w:t>7.995</w:t>
            </w:r>
          </w:p>
        </w:tc>
        <w:tc>
          <w:tcPr>
            <w:tcW w:w="567" w:type="dxa"/>
            <w:shd w:val="clear" w:color="auto" w:fill="auto"/>
            <w:vAlign w:val="center"/>
          </w:tcPr>
          <w:p w14:paraId="5BAEC122" w14:textId="77777777" w:rsidR="00D34C6F" w:rsidRPr="00F9037E" w:rsidRDefault="00D34C6F" w:rsidP="00C05C97">
            <w:pPr>
              <w:spacing w:before="120" w:after="120"/>
              <w:jc w:val="center"/>
              <w:rPr>
                <w:color w:val="auto"/>
                <w:sz w:val="10"/>
                <w:szCs w:val="10"/>
              </w:rPr>
            </w:pPr>
            <w:r w:rsidRPr="00F9037E">
              <w:rPr>
                <w:color w:val="auto"/>
                <w:sz w:val="10"/>
                <w:szCs w:val="10"/>
              </w:rPr>
              <w:t>7.462</w:t>
            </w:r>
          </w:p>
        </w:tc>
        <w:tc>
          <w:tcPr>
            <w:tcW w:w="709" w:type="dxa"/>
            <w:shd w:val="clear" w:color="auto" w:fill="auto"/>
            <w:vAlign w:val="center"/>
          </w:tcPr>
          <w:p w14:paraId="5A340DFE" w14:textId="77777777" w:rsidR="00D34C6F" w:rsidRPr="00F9037E" w:rsidRDefault="00D34C6F" w:rsidP="00C05C97">
            <w:pPr>
              <w:spacing w:before="120" w:after="120"/>
              <w:jc w:val="center"/>
              <w:rPr>
                <w:color w:val="auto"/>
                <w:sz w:val="10"/>
                <w:szCs w:val="10"/>
              </w:rPr>
            </w:pPr>
            <w:r w:rsidRPr="00F9037E">
              <w:rPr>
                <w:color w:val="auto"/>
                <w:sz w:val="10"/>
                <w:szCs w:val="10"/>
              </w:rPr>
              <w:t>7.462</w:t>
            </w:r>
          </w:p>
        </w:tc>
        <w:tc>
          <w:tcPr>
            <w:tcW w:w="567" w:type="dxa"/>
            <w:shd w:val="clear" w:color="auto" w:fill="auto"/>
            <w:vAlign w:val="center"/>
          </w:tcPr>
          <w:p w14:paraId="1A099E8B" w14:textId="77777777" w:rsidR="00D34C6F" w:rsidRPr="00F9037E" w:rsidRDefault="00D34C6F" w:rsidP="00C05C97">
            <w:pPr>
              <w:spacing w:before="120" w:after="120"/>
              <w:jc w:val="center"/>
              <w:rPr>
                <w:color w:val="auto"/>
                <w:sz w:val="10"/>
                <w:szCs w:val="10"/>
              </w:rPr>
            </w:pPr>
            <w:r w:rsidRPr="00F9037E">
              <w:rPr>
                <w:color w:val="auto"/>
                <w:sz w:val="10"/>
                <w:szCs w:val="10"/>
              </w:rPr>
              <w:t>7.462</w:t>
            </w:r>
          </w:p>
        </w:tc>
        <w:tc>
          <w:tcPr>
            <w:tcW w:w="708" w:type="dxa"/>
            <w:shd w:val="clear" w:color="auto" w:fill="auto"/>
            <w:vAlign w:val="center"/>
          </w:tcPr>
          <w:p w14:paraId="7E140918" w14:textId="77777777" w:rsidR="00D34C6F" w:rsidRPr="00F9037E" w:rsidRDefault="00D34C6F" w:rsidP="00C05C97">
            <w:pPr>
              <w:spacing w:before="120" w:after="120"/>
              <w:jc w:val="center"/>
              <w:rPr>
                <w:color w:val="auto"/>
                <w:sz w:val="10"/>
                <w:szCs w:val="10"/>
              </w:rPr>
            </w:pPr>
            <w:r w:rsidRPr="00F9037E">
              <w:rPr>
                <w:color w:val="auto"/>
                <w:sz w:val="10"/>
                <w:szCs w:val="10"/>
              </w:rPr>
              <w:t>5.261</w:t>
            </w:r>
          </w:p>
        </w:tc>
        <w:tc>
          <w:tcPr>
            <w:tcW w:w="567" w:type="dxa"/>
            <w:shd w:val="clear" w:color="auto" w:fill="auto"/>
            <w:vAlign w:val="center"/>
          </w:tcPr>
          <w:p w14:paraId="61ADCC50" w14:textId="77777777" w:rsidR="00D34C6F" w:rsidRPr="00F9037E" w:rsidRDefault="00D34C6F" w:rsidP="00C05C97">
            <w:pPr>
              <w:spacing w:before="120" w:after="120"/>
              <w:jc w:val="center"/>
              <w:rPr>
                <w:color w:val="auto"/>
                <w:sz w:val="10"/>
                <w:szCs w:val="10"/>
              </w:rPr>
            </w:pPr>
            <w:r w:rsidRPr="00F9037E">
              <w:rPr>
                <w:color w:val="auto"/>
                <w:sz w:val="10"/>
                <w:szCs w:val="10"/>
              </w:rPr>
              <w:t>5.261</w:t>
            </w:r>
          </w:p>
        </w:tc>
        <w:tc>
          <w:tcPr>
            <w:tcW w:w="567" w:type="dxa"/>
            <w:shd w:val="clear" w:color="auto" w:fill="auto"/>
            <w:vAlign w:val="center"/>
          </w:tcPr>
          <w:p w14:paraId="6383F6CC" w14:textId="77777777" w:rsidR="00D34C6F" w:rsidRPr="00F9037E" w:rsidRDefault="00D34C6F" w:rsidP="00C05C97">
            <w:pPr>
              <w:spacing w:before="120" w:after="120"/>
              <w:jc w:val="center"/>
              <w:rPr>
                <w:color w:val="auto"/>
                <w:sz w:val="10"/>
                <w:szCs w:val="10"/>
              </w:rPr>
            </w:pPr>
            <w:r w:rsidRPr="00F9037E">
              <w:rPr>
                <w:color w:val="auto"/>
                <w:sz w:val="10"/>
                <w:szCs w:val="10"/>
              </w:rPr>
              <w:t>5.596</w:t>
            </w:r>
          </w:p>
        </w:tc>
        <w:tc>
          <w:tcPr>
            <w:tcW w:w="629" w:type="dxa"/>
            <w:vAlign w:val="center"/>
          </w:tcPr>
          <w:p w14:paraId="589FD2DD" w14:textId="77777777" w:rsidR="00D34C6F" w:rsidRPr="00F9037E" w:rsidRDefault="00D34C6F" w:rsidP="00C05C97">
            <w:pPr>
              <w:spacing w:before="120" w:after="120"/>
              <w:jc w:val="center"/>
              <w:rPr>
                <w:color w:val="auto"/>
                <w:sz w:val="10"/>
                <w:szCs w:val="10"/>
              </w:rPr>
            </w:pPr>
            <w:r w:rsidRPr="00F9037E">
              <w:rPr>
                <w:color w:val="auto"/>
                <w:sz w:val="10"/>
                <w:szCs w:val="10"/>
              </w:rPr>
              <w:t>5.261</w:t>
            </w:r>
          </w:p>
        </w:tc>
        <w:tc>
          <w:tcPr>
            <w:tcW w:w="567" w:type="dxa"/>
            <w:vAlign w:val="center"/>
          </w:tcPr>
          <w:p w14:paraId="06695190" w14:textId="77777777" w:rsidR="00D34C6F" w:rsidRPr="00F9037E" w:rsidRDefault="00D34C6F" w:rsidP="00C05C97">
            <w:pPr>
              <w:spacing w:before="120" w:after="120"/>
              <w:jc w:val="center"/>
              <w:rPr>
                <w:color w:val="auto"/>
                <w:sz w:val="10"/>
                <w:szCs w:val="10"/>
              </w:rPr>
            </w:pPr>
            <w:r w:rsidRPr="00F9037E">
              <w:rPr>
                <w:color w:val="auto"/>
                <w:sz w:val="10"/>
                <w:szCs w:val="10"/>
              </w:rPr>
              <w:t>5.261</w:t>
            </w:r>
          </w:p>
        </w:tc>
        <w:tc>
          <w:tcPr>
            <w:tcW w:w="567" w:type="dxa"/>
            <w:vAlign w:val="center"/>
          </w:tcPr>
          <w:p w14:paraId="116ABCA9" w14:textId="77777777" w:rsidR="00D34C6F" w:rsidRPr="00F9037E" w:rsidRDefault="00540CAC" w:rsidP="00C05C97">
            <w:pPr>
              <w:spacing w:before="120" w:after="120"/>
              <w:jc w:val="center"/>
              <w:rPr>
                <w:b/>
                <w:color w:val="auto"/>
                <w:sz w:val="10"/>
                <w:szCs w:val="10"/>
              </w:rPr>
            </w:pPr>
            <w:r w:rsidRPr="00F9037E">
              <w:rPr>
                <w:b/>
                <w:color w:val="auto"/>
                <w:sz w:val="10"/>
                <w:szCs w:val="10"/>
              </w:rPr>
              <w:t>5.261</w:t>
            </w:r>
          </w:p>
        </w:tc>
        <w:tc>
          <w:tcPr>
            <w:tcW w:w="709" w:type="dxa"/>
            <w:shd w:val="clear" w:color="auto" w:fill="auto"/>
            <w:vAlign w:val="center"/>
          </w:tcPr>
          <w:p w14:paraId="46D44D7A" w14:textId="77777777" w:rsidR="00D34C6F" w:rsidRPr="00F9037E" w:rsidRDefault="00D34C6F" w:rsidP="00C05C97">
            <w:pPr>
              <w:spacing w:before="120" w:after="120"/>
              <w:jc w:val="center"/>
              <w:rPr>
                <w:color w:val="auto"/>
                <w:sz w:val="10"/>
                <w:szCs w:val="10"/>
              </w:rPr>
            </w:pPr>
            <w:r w:rsidRPr="00F9037E">
              <w:rPr>
                <w:color w:val="auto"/>
                <w:sz w:val="10"/>
                <w:szCs w:val="10"/>
              </w:rPr>
              <w:t>(a)14.792</w:t>
            </w:r>
          </w:p>
        </w:tc>
        <w:tc>
          <w:tcPr>
            <w:tcW w:w="709" w:type="dxa"/>
            <w:shd w:val="clear" w:color="auto" w:fill="auto"/>
            <w:vAlign w:val="center"/>
          </w:tcPr>
          <w:p w14:paraId="59AD0FFE" w14:textId="77777777" w:rsidR="00D34C6F" w:rsidRPr="00F9037E" w:rsidRDefault="00D34C6F" w:rsidP="00C05C97">
            <w:pPr>
              <w:spacing w:before="120" w:after="120"/>
              <w:jc w:val="center"/>
              <w:rPr>
                <w:color w:val="auto"/>
                <w:sz w:val="10"/>
                <w:szCs w:val="10"/>
              </w:rPr>
            </w:pPr>
            <w:r w:rsidRPr="00F9037E">
              <w:rPr>
                <w:color w:val="auto"/>
                <w:sz w:val="10"/>
                <w:szCs w:val="10"/>
              </w:rPr>
              <w:t>6.840</w:t>
            </w:r>
          </w:p>
        </w:tc>
        <w:tc>
          <w:tcPr>
            <w:tcW w:w="708" w:type="dxa"/>
            <w:shd w:val="clear" w:color="auto" w:fill="auto"/>
            <w:vAlign w:val="center"/>
          </w:tcPr>
          <w:p w14:paraId="5F4B78D6" w14:textId="77777777" w:rsidR="00D34C6F" w:rsidRPr="00F9037E" w:rsidRDefault="00D34C6F" w:rsidP="00C05C97">
            <w:pPr>
              <w:spacing w:before="120" w:after="120"/>
              <w:jc w:val="center"/>
              <w:rPr>
                <w:color w:val="auto"/>
                <w:sz w:val="10"/>
                <w:szCs w:val="10"/>
              </w:rPr>
            </w:pPr>
            <w:r w:rsidRPr="00F9037E">
              <w:rPr>
                <w:color w:val="auto"/>
                <w:sz w:val="10"/>
                <w:szCs w:val="10"/>
              </w:rPr>
              <w:t>7.995</w:t>
            </w:r>
          </w:p>
        </w:tc>
        <w:tc>
          <w:tcPr>
            <w:tcW w:w="709" w:type="dxa"/>
            <w:shd w:val="clear" w:color="auto" w:fill="auto"/>
            <w:vAlign w:val="center"/>
          </w:tcPr>
          <w:p w14:paraId="6D67835B" w14:textId="77777777" w:rsidR="00D34C6F" w:rsidRPr="00F9037E" w:rsidRDefault="00D34C6F" w:rsidP="00C05C97">
            <w:pPr>
              <w:spacing w:before="120" w:after="120"/>
              <w:jc w:val="center"/>
              <w:rPr>
                <w:color w:val="auto"/>
                <w:sz w:val="10"/>
                <w:szCs w:val="10"/>
              </w:rPr>
            </w:pPr>
            <w:r w:rsidRPr="00F9037E">
              <w:rPr>
                <w:color w:val="auto"/>
                <w:sz w:val="10"/>
                <w:szCs w:val="10"/>
              </w:rPr>
              <w:t>7.462</w:t>
            </w:r>
          </w:p>
        </w:tc>
        <w:tc>
          <w:tcPr>
            <w:tcW w:w="567" w:type="dxa"/>
            <w:shd w:val="clear" w:color="auto" w:fill="auto"/>
            <w:vAlign w:val="center"/>
          </w:tcPr>
          <w:p w14:paraId="37271D31" w14:textId="77777777" w:rsidR="00D34C6F" w:rsidRPr="00F9037E" w:rsidRDefault="00D34C6F" w:rsidP="00C05C97">
            <w:pPr>
              <w:spacing w:before="120" w:after="120"/>
              <w:jc w:val="center"/>
              <w:rPr>
                <w:color w:val="auto"/>
                <w:sz w:val="10"/>
                <w:szCs w:val="10"/>
              </w:rPr>
            </w:pPr>
            <w:r w:rsidRPr="00F9037E">
              <w:rPr>
                <w:color w:val="auto"/>
                <w:sz w:val="10"/>
                <w:szCs w:val="10"/>
              </w:rPr>
              <w:t>7.462</w:t>
            </w:r>
          </w:p>
        </w:tc>
        <w:tc>
          <w:tcPr>
            <w:tcW w:w="647" w:type="dxa"/>
            <w:shd w:val="clear" w:color="auto" w:fill="auto"/>
            <w:vAlign w:val="center"/>
          </w:tcPr>
          <w:p w14:paraId="7297A043" w14:textId="77777777" w:rsidR="00D34C6F" w:rsidRPr="00F9037E" w:rsidRDefault="00D34C6F" w:rsidP="00C05C97">
            <w:pPr>
              <w:spacing w:before="120" w:after="120"/>
              <w:jc w:val="center"/>
              <w:rPr>
                <w:color w:val="auto"/>
                <w:sz w:val="10"/>
                <w:szCs w:val="10"/>
              </w:rPr>
            </w:pPr>
            <w:r w:rsidRPr="00F9037E">
              <w:rPr>
                <w:color w:val="auto"/>
                <w:sz w:val="10"/>
                <w:szCs w:val="10"/>
              </w:rPr>
              <w:t>7.462</w:t>
            </w:r>
          </w:p>
        </w:tc>
        <w:tc>
          <w:tcPr>
            <w:tcW w:w="567" w:type="dxa"/>
            <w:shd w:val="clear" w:color="auto" w:fill="auto"/>
            <w:vAlign w:val="center"/>
          </w:tcPr>
          <w:p w14:paraId="3DEC24C6" w14:textId="77777777" w:rsidR="00D34C6F" w:rsidRPr="00F9037E" w:rsidRDefault="00D34C6F" w:rsidP="00C05C97">
            <w:pPr>
              <w:spacing w:before="120" w:after="120"/>
              <w:jc w:val="center"/>
              <w:rPr>
                <w:color w:val="auto"/>
                <w:sz w:val="10"/>
                <w:szCs w:val="10"/>
              </w:rPr>
            </w:pPr>
            <w:r w:rsidRPr="00F9037E">
              <w:rPr>
                <w:color w:val="auto"/>
                <w:sz w:val="10"/>
                <w:szCs w:val="10"/>
              </w:rPr>
              <w:t>5.261</w:t>
            </w:r>
          </w:p>
        </w:tc>
        <w:tc>
          <w:tcPr>
            <w:tcW w:w="567" w:type="dxa"/>
            <w:shd w:val="clear" w:color="auto" w:fill="auto"/>
            <w:noWrap/>
            <w:vAlign w:val="center"/>
          </w:tcPr>
          <w:p w14:paraId="274B9247" w14:textId="04FF03C7" w:rsidR="00D34C6F" w:rsidRPr="00F9037E" w:rsidRDefault="00D34C6F" w:rsidP="00C05C97">
            <w:pPr>
              <w:spacing w:before="120" w:after="120"/>
              <w:jc w:val="center"/>
              <w:rPr>
                <w:color w:val="auto"/>
                <w:sz w:val="10"/>
                <w:szCs w:val="10"/>
              </w:rPr>
            </w:pPr>
            <w:r w:rsidRPr="00F9037E">
              <w:rPr>
                <w:color w:val="auto"/>
                <w:sz w:val="10"/>
                <w:szCs w:val="10"/>
              </w:rPr>
              <w:t>5.261</w:t>
            </w:r>
          </w:p>
        </w:tc>
        <w:tc>
          <w:tcPr>
            <w:tcW w:w="567" w:type="dxa"/>
            <w:vAlign w:val="center"/>
          </w:tcPr>
          <w:p w14:paraId="1937792C" w14:textId="77777777" w:rsidR="00D34C6F" w:rsidRPr="00F9037E" w:rsidRDefault="00D34C6F" w:rsidP="00C05C97">
            <w:pPr>
              <w:spacing w:before="120" w:after="120"/>
              <w:jc w:val="center"/>
              <w:rPr>
                <w:color w:val="auto"/>
                <w:sz w:val="10"/>
                <w:szCs w:val="10"/>
              </w:rPr>
            </w:pPr>
            <w:r w:rsidRPr="00F9037E">
              <w:rPr>
                <w:color w:val="auto"/>
                <w:sz w:val="10"/>
                <w:szCs w:val="10"/>
              </w:rPr>
              <w:t>5.261</w:t>
            </w:r>
          </w:p>
        </w:tc>
        <w:tc>
          <w:tcPr>
            <w:tcW w:w="567" w:type="dxa"/>
            <w:vAlign w:val="center"/>
          </w:tcPr>
          <w:p w14:paraId="00305C7D" w14:textId="77777777" w:rsidR="00D34C6F" w:rsidRPr="00F9037E" w:rsidRDefault="00540CAC" w:rsidP="00C05C97">
            <w:pPr>
              <w:spacing w:before="120" w:after="120"/>
              <w:jc w:val="center"/>
              <w:rPr>
                <w:b/>
                <w:color w:val="auto"/>
                <w:sz w:val="10"/>
                <w:szCs w:val="10"/>
              </w:rPr>
            </w:pPr>
            <w:r w:rsidRPr="00F9037E">
              <w:rPr>
                <w:b/>
                <w:color w:val="auto"/>
                <w:sz w:val="10"/>
                <w:szCs w:val="10"/>
              </w:rPr>
              <w:t>5.261</w:t>
            </w:r>
          </w:p>
        </w:tc>
        <w:tc>
          <w:tcPr>
            <w:tcW w:w="567" w:type="dxa"/>
            <w:vAlign w:val="center"/>
          </w:tcPr>
          <w:p w14:paraId="5A58D02B" w14:textId="77777777" w:rsidR="00D34C6F" w:rsidRPr="00F9037E" w:rsidRDefault="00540CAC" w:rsidP="00C05C97">
            <w:pPr>
              <w:spacing w:before="120" w:after="120"/>
              <w:jc w:val="center"/>
              <w:rPr>
                <w:b/>
                <w:color w:val="auto"/>
                <w:sz w:val="10"/>
                <w:szCs w:val="10"/>
              </w:rPr>
            </w:pPr>
            <w:r w:rsidRPr="00F9037E">
              <w:rPr>
                <w:b/>
                <w:color w:val="auto"/>
                <w:sz w:val="10"/>
                <w:szCs w:val="10"/>
              </w:rPr>
              <w:t>5.261</w:t>
            </w:r>
          </w:p>
        </w:tc>
        <w:tc>
          <w:tcPr>
            <w:tcW w:w="567" w:type="dxa"/>
            <w:vAlign w:val="center"/>
          </w:tcPr>
          <w:p w14:paraId="1C36FAA2" w14:textId="77777777" w:rsidR="00D34C6F" w:rsidRPr="00F9037E" w:rsidRDefault="00540CAC" w:rsidP="00C05C97">
            <w:pPr>
              <w:spacing w:before="120" w:after="120"/>
              <w:jc w:val="center"/>
              <w:rPr>
                <w:b/>
                <w:color w:val="auto"/>
                <w:sz w:val="10"/>
                <w:szCs w:val="10"/>
              </w:rPr>
            </w:pPr>
            <w:r w:rsidRPr="00F9037E">
              <w:rPr>
                <w:b/>
                <w:color w:val="auto"/>
                <w:sz w:val="10"/>
                <w:szCs w:val="10"/>
              </w:rPr>
              <w:t>5.261</w:t>
            </w:r>
          </w:p>
        </w:tc>
      </w:tr>
      <w:tr w:rsidR="00D34C6F" w:rsidRPr="00F9037E" w14:paraId="2C1D4A58" w14:textId="77777777" w:rsidTr="00C05C97">
        <w:trPr>
          <w:trHeight w:val="450"/>
          <w:jc w:val="center"/>
        </w:trPr>
        <w:tc>
          <w:tcPr>
            <w:tcW w:w="662" w:type="dxa"/>
            <w:shd w:val="clear" w:color="auto" w:fill="auto"/>
            <w:vAlign w:val="center"/>
          </w:tcPr>
          <w:p w14:paraId="3C8AF435" w14:textId="77777777" w:rsidR="00D34C6F" w:rsidRPr="00F9037E" w:rsidRDefault="00D34C6F" w:rsidP="00C05C97">
            <w:pPr>
              <w:spacing w:before="120" w:after="120"/>
              <w:rPr>
                <w:color w:val="auto"/>
                <w:sz w:val="12"/>
                <w:szCs w:val="12"/>
              </w:rPr>
            </w:pPr>
            <w:r w:rsidRPr="00F9037E">
              <w:rPr>
                <w:color w:val="auto"/>
                <w:sz w:val="12"/>
                <w:szCs w:val="12"/>
              </w:rPr>
              <w:t>Canada</w:t>
            </w:r>
          </w:p>
        </w:tc>
        <w:tc>
          <w:tcPr>
            <w:tcW w:w="1532" w:type="dxa"/>
            <w:gridSpan w:val="2"/>
            <w:shd w:val="clear" w:color="auto" w:fill="auto"/>
            <w:vAlign w:val="center"/>
          </w:tcPr>
          <w:p w14:paraId="39C77444" w14:textId="77777777" w:rsidR="00D34C6F" w:rsidRPr="00F9037E" w:rsidRDefault="00D34C6F" w:rsidP="00C05C97">
            <w:pPr>
              <w:spacing w:before="120" w:after="120"/>
              <w:rPr>
                <w:color w:val="auto"/>
                <w:sz w:val="10"/>
                <w:szCs w:val="10"/>
              </w:rPr>
            </w:pPr>
            <w:r w:rsidRPr="00F9037E">
              <w:rPr>
                <w:color w:val="auto"/>
                <w:sz w:val="10"/>
                <w:szCs w:val="10"/>
              </w:rPr>
              <w:t>Strawberry runners (Quebec)</w:t>
            </w:r>
          </w:p>
        </w:tc>
        <w:tc>
          <w:tcPr>
            <w:tcW w:w="709" w:type="dxa"/>
            <w:shd w:val="clear" w:color="auto" w:fill="auto"/>
            <w:vAlign w:val="center"/>
          </w:tcPr>
          <w:p w14:paraId="33C41478" w14:textId="77777777" w:rsidR="00D34C6F" w:rsidRPr="00F9037E" w:rsidRDefault="00D34C6F" w:rsidP="00C05C97">
            <w:pPr>
              <w:spacing w:before="120" w:after="120"/>
              <w:jc w:val="center"/>
              <w:rPr>
                <w:color w:val="auto"/>
                <w:sz w:val="10"/>
                <w:szCs w:val="10"/>
              </w:rPr>
            </w:pPr>
            <w:r w:rsidRPr="00F9037E">
              <w:rPr>
                <w:color w:val="auto"/>
                <w:sz w:val="10"/>
                <w:szCs w:val="10"/>
              </w:rPr>
              <w:t>1.826</w:t>
            </w:r>
          </w:p>
        </w:tc>
        <w:tc>
          <w:tcPr>
            <w:tcW w:w="709" w:type="dxa"/>
            <w:shd w:val="clear" w:color="auto" w:fill="auto"/>
            <w:vAlign w:val="center"/>
          </w:tcPr>
          <w:p w14:paraId="0452092D" w14:textId="77777777" w:rsidR="00D34C6F" w:rsidRPr="00F9037E" w:rsidRDefault="00D34C6F" w:rsidP="00C05C97">
            <w:pPr>
              <w:spacing w:before="120" w:after="120"/>
              <w:jc w:val="center"/>
              <w:rPr>
                <w:color w:val="auto"/>
                <w:sz w:val="10"/>
                <w:szCs w:val="10"/>
              </w:rPr>
            </w:pPr>
            <w:r w:rsidRPr="00F9037E">
              <w:rPr>
                <w:color w:val="auto"/>
                <w:sz w:val="10"/>
                <w:szCs w:val="10"/>
              </w:rPr>
              <w:t>1.826</w:t>
            </w:r>
          </w:p>
        </w:tc>
        <w:tc>
          <w:tcPr>
            <w:tcW w:w="567" w:type="dxa"/>
            <w:shd w:val="clear" w:color="auto" w:fill="auto"/>
            <w:vAlign w:val="center"/>
          </w:tcPr>
          <w:p w14:paraId="5A36C50F" w14:textId="46409713"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0232B5C2" w14:textId="36F08D11"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E7376C4" w14:textId="4560A4DC"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5EA02C3F" w14:textId="27A1640A"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1CE6526" w14:textId="75879E7C"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260B2ABD" w14:textId="6ED7E67E" w:rsidR="00D34C6F" w:rsidRPr="00F9037E" w:rsidRDefault="00D34C6F" w:rsidP="00C05C97">
            <w:pPr>
              <w:spacing w:before="120" w:after="120"/>
              <w:jc w:val="center"/>
              <w:rPr>
                <w:color w:val="auto"/>
                <w:sz w:val="10"/>
                <w:szCs w:val="10"/>
              </w:rPr>
            </w:pPr>
          </w:p>
        </w:tc>
        <w:tc>
          <w:tcPr>
            <w:tcW w:w="629" w:type="dxa"/>
            <w:vAlign w:val="center"/>
          </w:tcPr>
          <w:p w14:paraId="15735686" w14:textId="77777777" w:rsidR="00D34C6F" w:rsidRPr="00F9037E" w:rsidRDefault="00D34C6F" w:rsidP="00C05C97">
            <w:pPr>
              <w:spacing w:before="120" w:after="120"/>
              <w:jc w:val="center"/>
              <w:rPr>
                <w:color w:val="auto"/>
                <w:sz w:val="10"/>
                <w:szCs w:val="10"/>
              </w:rPr>
            </w:pPr>
          </w:p>
        </w:tc>
        <w:tc>
          <w:tcPr>
            <w:tcW w:w="567" w:type="dxa"/>
            <w:vAlign w:val="center"/>
          </w:tcPr>
          <w:p w14:paraId="04CB1F8F" w14:textId="77777777" w:rsidR="00D34C6F" w:rsidRPr="00F9037E" w:rsidRDefault="00D34C6F" w:rsidP="00C05C97">
            <w:pPr>
              <w:spacing w:before="120" w:after="120"/>
              <w:jc w:val="center"/>
              <w:rPr>
                <w:color w:val="auto"/>
                <w:sz w:val="10"/>
                <w:szCs w:val="10"/>
              </w:rPr>
            </w:pPr>
          </w:p>
        </w:tc>
        <w:tc>
          <w:tcPr>
            <w:tcW w:w="567" w:type="dxa"/>
            <w:vAlign w:val="center"/>
          </w:tcPr>
          <w:p w14:paraId="7F86725C"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63DE2337" w14:textId="77777777" w:rsidR="00D34C6F" w:rsidRPr="00F9037E" w:rsidRDefault="00D34C6F" w:rsidP="00C05C97">
            <w:pPr>
              <w:spacing w:before="120" w:after="120"/>
              <w:jc w:val="center"/>
              <w:rPr>
                <w:color w:val="auto"/>
                <w:sz w:val="10"/>
                <w:szCs w:val="10"/>
              </w:rPr>
            </w:pPr>
            <w:r w:rsidRPr="00F9037E">
              <w:rPr>
                <w:color w:val="auto"/>
                <w:sz w:val="10"/>
                <w:szCs w:val="10"/>
              </w:rPr>
              <w:t>(a)</w:t>
            </w:r>
          </w:p>
        </w:tc>
        <w:tc>
          <w:tcPr>
            <w:tcW w:w="709" w:type="dxa"/>
            <w:shd w:val="clear" w:color="auto" w:fill="auto"/>
            <w:vAlign w:val="center"/>
          </w:tcPr>
          <w:p w14:paraId="5BF9CF1E" w14:textId="77777777" w:rsidR="00D34C6F" w:rsidRPr="00F9037E" w:rsidRDefault="00D34C6F" w:rsidP="00C05C97">
            <w:pPr>
              <w:spacing w:before="120" w:after="120"/>
              <w:jc w:val="center"/>
              <w:rPr>
                <w:color w:val="auto"/>
                <w:sz w:val="10"/>
                <w:szCs w:val="10"/>
              </w:rPr>
            </w:pPr>
            <w:r w:rsidRPr="00F9037E">
              <w:rPr>
                <w:color w:val="auto"/>
                <w:sz w:val="10"/>
                <w:szCs w:val="10"/>
              </w:rPr>
              <w:t>1.826</w:t>
            </w:r>
          </w:p>
        </w:tc>
        <w:tc>
          <w:tcPr>
            <w:tcW w:w="708" w:type="dxa"/>
            <w:shd w:val="clear" w:color="auto" w:fill="auto"/>
            <w:vAlign w:val="center"/>
          </w:tcPr>
          <w:p w14:paraId="198B9F72" w14:textId="77777777" w:rsidR="00D34C6F" w:rsidRPr="00F9037E" w:rsidRDefault="00D34C6F" w:rsidP="00C05C97">
            <w:pPr>
              <w:spacing w:before="120" w:after="120"/>
              <w:jc w:val="center"/>
              <w:rPr>
                <w:color w:val="auto"/>
                <w:sz w:val="10"/>
                <w:szCs w:val="10"/>
              </w:rPr>
            </w:pPr>
            <w:r w:rsidRPr="00F9037E">
              <w:rPr>
                <w:color w:val="auto"/>
                <w:sz w:val="10"/>
                <w:szCs w:val="10"/>
              </w:rPr>
              <w:t>1.826</w:t>
            </w:r>
          </w:p>
        </w:tc>
        <w:tc>
          <w:tcPr>
            <w:tcW w:w="709" w:type="dxa"/>
            <w:shd w:val="clear" w:color="auto" w:fill="auto"/>
            <w:vAlign w:val="center"/>
          </w:tcPr>
          <w:p w14:paraId="1C70A152" w14:textId="6BB25BBE"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27E99684" w14:textId="34767E7C"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4740039E" w14:textId="40DF3BA1"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7DD7B10A" w14:textId="4EFF6E7F"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56AFDB5F" w14:textId="383EE444" w:rsidR="00D34C6F" w:rsidRPr="00F9037E" w:rsidRDefault="00D34C6F" w:rsidP="00C05C97">
            <w:pPr>
              <w:spacing w:before="120" w:after="120"/>
              <w:jc w:val="center"/>
              <w:rPr>
                <w:b/>
                <w:color w:val="auto"/>
                <w:sz w:val="10"/>
                <w:szCs w:val="10"/>
              </w:rPr>
            </w:pPr>
          </w:p>
        </w:tc>
        <w:tc>
          <w:tcPr>
            <w:tcW w:w="567" w:type="dxa"/>
            <w:vAlign w:val="center"/>
          </w:tcPr>
          <w:p w14:paraId="337FA667" w14:textId="77777777" w:rsidR="00D34C6F" w:rsidRPr="00F9037E" w:rsidRDefault="00D34C6F" w:rsidP="00C05C97">
            <w:pPr>
              <w:spacing w:before="120" w:after="120"/>
              <w:jc w:val="center"/>
              <w:rPr>
                <w:b/>
                <w:color w:val="auto"/>
                <w:sz w:val="10"/>
                <w:szCs w:val="10"/>
              </w:rPr>
            </w:pPr>
          </w:p>
        </w:tc>
        <w:tc>
          <w:tcPr>
            <w:tcW w:w="567" w:type="dxa"/>
            <w:vAlign w:val="center"/>
          </w:tcPr>
          <w:p w14:paraId="431F7D8F" w14:textId="77777777" w:rsidR="00D34C6F" w:rsidRPr="00F9037E" w:rsidRDefault="00D34C6F" w:rsidP="00C05C97">
            <w:pPr>
              <w:spacing w:before="120" w:after="120"/>
              <w:jc w:val="center"/>
              <w:rPr>
                <w:b/>
                <w:color w:val="auto"/>
                <w:sz w:val="10"/>
                <w:szCs w:val="10"/>
              </w:rPr>
            </w:pPr>
          </w:p>
        </w:tc>
        <w:tc>
          <w:tcPr>
            <w:tcW w:w="567" w:type="dxa"/>
            <w:vAlign w:val="center"/>
          </w:tcPr>
          <w:p w14:paraId="2A209D02" w14:textId="77777777" w:rsidR="00D34C6F" w:rsidRPr="00F9037E" w:rsidRDefault="00D34C6F" w:rsidP="00C05C97">
            <w:pPr>
              <w:spacing w:before="120" w:after="120"/>
              <w:jc w:val="center"/>
              <w:rPr>
                <w:b/>
                <w:color w:val="auto"/>
                <w:sz w:val="10"/>
                <w:szCs w:val="10"/>
              </w:rPr>
            </w:pPr>
          </w:p>
        </w:tc>
        <w:tc>
          <w:tcPr>
            <w:tcW w:w="567" w:type="dxa"/>
            <w:vAlign w:val="center"/>
          </w:tcPr>
          <w:p w14:paraId="40342932" w14:textId="77777777" w:rsidR="00D34C6F" w:rsidRPr="00F9037E" w:rsidRDefault="00D34C6F" w:rsidP="00C05C97">
            <w:pPr>
              <w:spacing w:before="120" w:after="120"/>
              <w:jc w:val="center"/>
              <w:rPr>
                <w:b/>
                <w:color w:val="auto"/>
                <w:sz w:val="10"/>
                <w:szCs w:val="10"/>
              </w:rPr>
            </w:pPr>
          </w:p>
        </w:tc>
      </w:tr>
      <w:tr w:rsidR="00D34C6F" w:rsidRPr="00F9037E" w14:paraId="2FA7F06C" w14:textId="77777777" w:rsidTr="00C05C97">
        <w:trPr>
          <w:trHeight w:val="270"/>
          <w:jc w:val="center"/>
        </w:trPr>
        <w:tc>
          <w:tcPr>
            <w:tcW w:w="662" w:type="dxa"/>
            <w:shd w:val="clear" w:color="auto" w:fill="auto"/>
            <w:vAlign w:val="center"/>
          </w:tcPr>
          <w:p w14:paraId="7AB9CA03" w14:textId="77777777" w:rsidR="00D34C6F" w:rsidRPr="00F9037E" w:rsidRDefault="00D34C6F" w:rsidP="00C05C97">
            <w:pPr>
              <w:spacing w:before="120" w:after="120"/>
              <w:rPr>
                <w:color w:val="auto"/>
                <w:sz w:val="12"/>
                <w:szCs w:val="12"/>
              </w:rPr>
            </w:pPr>
            <w:r w:rsidRPr="00F9037E">
              <w:rPr>
                <w:color w:val="auto"/>
                <w:sz w:val="12"/>
                <w:szCs w:val="12"/>
              </w:rPr>
              <w:t>Canada</w:t>
            </w:r>
          </w:p>
        </w:tc>
        <w:tc>
          <w:tcPr>
            <w:tcW w:w="2241" w:type="dxa"/>
            <w:gridSpan w:val="3"/>
            <w:shd w:val="clear" w:color="auto" w:fill="auto"/>
            <w:vAlign w:val="center"/>
          </w:tcPr>
          <w:p w14:paraId="4487D032" w14:textId="77777777" w:rsidR="00D34C6F" w:rsidRPr="00F9037E" w:rsidRDefault="00D34C6F" w:rsidP="00C05C97">
            <w:pPr>
              <w:spacing w:before="120" w:after="120"/>
              <w:rPr>
                <w:color w:val="auto"/>
                <w:sz w:val="10"/>
                <w:szCs w:val="10"/>
              </w:rPr>
            </w:pPr>
            <w:r w:rsidRPr="00F9037E">
              <w:rPr>
                <w:color w:val="auto"/>
                <w:sz w:val="10"/>
                <w:szCs w:val="10"/>
              </w:rPr>
              <w:t>Strawberry runners (Ontario)</w:t>
            </w:r>
          </w:p>
        </w:tc>
        <w:tc>
          <w:tcPr>
            <w:tcW w:w="709" w:type="dxa"/>
            <w:shd w:val="clear" w:color="auto" w:fill="auto"/>
            <w:vAlign w:val="center"/>
          </w:tcPr>
          <w:p w14:paraId="294AF8CA" w14:textId="77777777" w:rsidR="00D34C6F" w:rsidRPr="00F9037E" w:rsidRDefault="00D34C6F" w:rsidP="00C05C97">
            <w:pPr>
              <w:spacing w:before="120" w:after="120"/>
              <w:jc w:val="center"/>
              <w:rPr>
                <w:color w:val="auto"/>
                <w:sz w:val="10"/>
                <w:szCs w:val="10"/>
              </w:rPr>
            </w:pPr>
            <w:r w:rsidRPr="00F9037E">
              <w:rPr>
                <w:color w:val="auto"/>
                <w:sz w:val="10"/>
                <w:szCs w:val="10"/>
              </w:rPr>
              <w:t>6.129</w:t>
            </w:r>
          </w:p>
        </w:tc>
        <w:tc>
          <w:tcPr>
            <w:tcW w:w="567" w:type="dxa"/>
            <w:shd w:val="clear" w:color="auto" w:fill="auto"/>
            <w:vAlign w:val="center"/>
          </w:tcPr>
          <w:p w14:paraId="3C372311" w14:textId="5FC7CE48"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2A491A2B" w14:textId="0F41883C"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17DB90A" w14:textId="601424BC"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5F30912B" w14:textId="7FD23050"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53E04F9" w14:textId="3D945C1B"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751A2F2" w14:textId="7F9E58FD" w:rsidR="00D34C6F" w:rsidRPr="00F9037E" w:rsidRDefault="00D34C6F" w:rsidP="00C05C97">
            <w:pPr>
              <w:spacing w:before="120" w:after="120"/>
              <w:jc w:val="center"/>
              <w:rPr>
                <w:color w:val="auto"/>
                <w:sz w:val="10"/>
                <w:szCs w:val="10"/>
              </w:rPr>
            </w:pPr>
          </w:p>
        </w:tc>
        <w:tc>
          <w:tcPr>
            <w:tcW w:w="629" w:type="dxa"/>
            <w:vAlign w:val="center"/>
          </w:tcPr>
          <w:p w14:paraId="31E4D344" w14:textId="77777777" w:rsidR="00D34C6F" w:rsidRPr="00F9037E" w:rsidRDefault="00D34C6F" w:rsidP="00C05C97">
            <w:pPr>
              <w:spacing w:before="120" w:after="120"/>
              <w:jc w:val="center"/>
              <w:rPr>
                <w:color w:val="auto"/>
                <w:sz w:val="10"/>
                <w:szCs w:val="10"/>
              </w:rPr>
            </w:pPr>
          </w:p>
        </w:tc>
        <w:tc>
          <w:tcPr>
            <w:tcW w:w="567" w:type="dxa"/>
            <w:vAlign w:val="center"/>
          </w:tcPr>
          <w:p w14:paraId="328997C5" w14:textId="77777777" w:rsidR="00D34C6F" w:rsidRPr="00F9037E" w:rsidRDefault="00D34C6F" w:rsidP="00C05C97">
            <w:pPr>
              <w:spacing w:before="120" w:after="120"/>
              <w:jc w:val="center"/>
              <w:rPr>
                <w:color w:val="auto"/>
                <w:sz w:val="10"/>
                <w:szCs w:val="10"/>
              </w:rPr>
            </w:pPr>
          </w:p>
        </w:tc>
        <w:tc>
          <w:tcPr>
            <w:tcW w:w="567" w:type="dxa"/>
            <w:vAlign w:val="center"/>
          </w:tcPr>
          <w:p w14:paraId="63901FA7"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2B1B47A0" w14:textId="78C8D24D"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50978590" w14:textId="4B38BF7F"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5FEBC73E" w14:textId="77777777" w:rsidR="00D34C6F" w:rsidRPr="00F9037E" w:rsidRDefault="00D34C6F" w:rsidP="00C05C97">
            <w:pPr>
              <w:spacing w:before="120" w:after="120"/>
              <w:jc w:val="center"/>
              <w:rPr>
                <w:color w:val="auto"/>
                <w:sz w:val="10"/>
                <w:szCs w:val="10"/>
              </w:rPr>
            </w:pPr>
            <w:r w:rsidRPr="00F9037E">
              <w:rPr>
                <w:color w:val="auto"/>
                <w:sz w:val="10"/>
                <w:szCs w:val="10"/>
              </w:rPr>
              <w:t>6.129</w:t>
            </w:r>
          </w:p>
        </w:tc>
        <w:tc>
          <w:tcPr>
            <w:tcW w:w="709" w:type="dxa"/>
            <w:shd w:val="clear" w:color="auto" w:fill="auto"/>
            <w:vAlign w:val="center"/>
          </w:tcPr>
          <w:p w14:paraId="73477EDF" w14:textId="5B1737C9"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8DB19B0" w14:textId="24C41341"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28754556" w14:textId="11237A69"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35F1CA43" w14:textId="191BC0CC"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17E933E6" w14:textId="58C023DB" w:rsidR="00D34C6F" w:rsidRPr="00F9037E" w:rsidRDefault="00D34C6F" w:rsidP="00C05C97">
            <w:pPr>
              <w:spacing w:before="120" w:after="120"/>
              <w:jc w:val="center"/>
              <w:rPr>
                <w:b/>
                <w:color w:val="auto"/>
                <w:sz w:val="10"/>
                <w:szCs w:val="10"/>
              </w:rPr>
            </w:pPr>
          </w:p>
        </w:tc>
        <w:tc>
          <w:tcPr>
            <w:tcW w:w="567" w:type="dxa"/>
            <w:vAlign w:val="center"/>
          </w:tcPr>
          <w:p w14:paraId="6878C3F0" w14:textId="77777777" w:rsidR="00D34C6F" w:rsidRPr="00F9037E" w:rsidRDefault="00D34C6F" w:rsidP="00C05C97">
            <w:pPr>
              <w:spacing w:before="120" w:after="120"/>
              <w:jc w:val="center"/>
              <w:rPr>
                <w:b/>
                <w:color w:val="auto"/>
                <w:sz w:val="10"/>
                <w:szCs w:val="10"/>
              </w:rPr>
            </w:pPr>
          </w:p>
        </w:tc>
        <w:tc>
          <w:tcPr>
            <w:tcW w:w="567" w:type="dxa"/>
            <w:vAlign w:val="center"/>
          </w:tcPr>
          <w:p w14:paraId="7C01AFAA" w14:textId="77777777" w:rsidR="00D34C6F" w:rsidRPr="00F9037E" w:rsidRDefault="00D34C6F" w:rsidP="00C05C97">
            <w:pPr>
              <w:spacing w:before="120" w:after="120"/>
              <w:jc w:val="center"/>
              <w:rPr>
                <w:b/>
                <w:color w:val="auto"/>
                <w:sz w:val="10"/>
                <w:szCs w:val="10"/>
              </w:rPr>
            </w:pPr>
          </w:p>
        </w:tc>
        <w:tc>
          <w:tcPr>
            <w:tcW w:w="567" w:type="dxa"/>
            <w:vAlign w:val="center"/>
          </w:tcPr>
          <w:p w14:paraId="67BD1905" w14:textId="77777777" w:rsidR="00D34C6F" w:rsidRPr="00F9037E" w:rsidRDefault="00D34C6F" w:rsidP="00C05C97">
            <w:pPr>
              <w:spacing w:before="120" w:after="120"/>
              <w:jc w:val="center"/>
              <w:rPr>
                <w:b/>
                <w:color w:val="auto"/>
                <w:sz w:val="10"/>
                <w:szCs w:val="10"/>
              </w:rPr>
            </w:pPr>
          </w:p>
        </w:tc>
        <w:tc>
          <w:tcPr>
            <w:tcW w:w="567" w:type="dxa"/>
            <w:vAlign w:val="center"/>
          </w:tcPr>
          <w:p w14:paraId="5C75D637" w14:textId="77777777" w:rsidR="00D34C6F" w:rsidRPr="00F9037E" w:rsidRDefault="00D34C6F" w:rsidP="00C05C97">
            <w:pPr>
              <w:spacing w:before="120" w:after="120"/>
              <w:jc w:val="center"/>
              <w:rPr>
                <w:b/>
                <w:color w:val="auto"/>
                <w:sz w:val="10"/>
                <w:szCs w:val="10"/>
              </w:rPr>
            </w:pPr>
          </w:p>
        </w:tc>
      </w:tr>
      <w:tr w:rsidR="00D34C6F" w:rsidRPr="00F9037E" w14:paraId="06C48612" w14:textId="77777777" w:rsidTr="00C05C97">
        <w:trPr>
          <w:trHeight w:val="270"/>
          <w:jc w:val="center"/>
        </w:trPr>
        <w:tc>
          <w:tcPr>
            <w:tcW w:w="662" w:type="dxa"/>
            <w:shd w:val="clear" w:color="auto" w:fill="auto"/>
            <w:vAlign w:val="center"/>
          </w:tcPr>
          <w:p w14:paraId="58BF1D0D" w14:textId="77777777" w:rsidR="00D34C6F" w:rsidRPr="00F9037E" w:rsidRDefault="00D34C6F" w:rsidP="00C05C97">
            <w:pPr>
              <w:spacing w:before="120" w:after="120"/>
              <w:rPr>
                <w:color w:val="auto"/>
                <w:sz w:val="12"/>
                <w:szCs w:val="12"/>
              </w:rPr>
            </w:pPr>
            <w:r w:rsidRPr="00F9037E">
              <w:rPr>
                <w:color w:val="auto"/>
                <w:sz w:val="12"/>
                <w:szCs w:val="12"/>
              </w:rPr>
              <w:t>France</w:t>
            </w:r>
          </w:p>
        </w:tc>
        <w:tc>
          <w:tcPr>
            <w:tcW w:w="824" w:type="dxa"/>
            <w:shd w:val="clear" w:color="auto" w:fill="auto"/>
            <w:vAlign w:val="center"/>
          </w:tcPr>
          <w:p w14:paraId="36CA4FF1" w14:textId="77777777" w:rsidR="00D34C6F" w:rsidRPr="00F9037E" w:rsidRDefault="00D34C6F" w:rsidP="00C05C97">
            <w:pPr>
              <w:spacing w:before="120" w:after="120"/>
              <w:rPr>
                <w:color w:val="auto"/>
                <w:sz w:val="12"/>
                <w:szCs w:val="12"/>
              </w:rPr>
            </w:pPr>
            <w:r w:rsidRPr="00F9037E">
              <w:rPr>
                <w:color w:val="auto"/>
                <w:sz w:val="12"/>
                <w:szCs w:val="12"/>
              </w:rPr>
              <w:t>Carrots</w:t>
            </w:r>
          </w:p>
        </w:tc>
        <w:tc>
          <w:tcPr>
            <w:tcW w:w="708" w:type="dxa"/>
            <w:shd w:val="clear" w:color="auto" w:fill="auto"/>
            <w:vAlign w:val="center"/>
          </w:tcPr>
          <w:p w14:paraId="0A69B0B0" w14:textId="77777777" w:rsidR="00D34C6F" w:rsidRPr="00F9037E" w:rsidRDefault="00D34C6F" w:rsidP="00C05C97">
            <w:pPr>
              <w:spacing w:before="120" w:after="120"/>
              <w:jc w:val="center"/>
              <w:rPr>
                <w:color w:val="auto"/>
                <w:sz w:val="10"/>
                <w:szCs w:val="10"/>
              </w:rPr>
            </w:pPr>
            <w:r w:rsidRPr="00F9037E">
              <w:rPr>
                <w:color w:val="auto"/>
                <w:sz w:val="10"/>
                <w:szCs w:val="10"/>
              </w:rPr>
              <w:t>10.000</w:t>
            </w:r>
          </w:p>
        </w:tc>
        <w:tc>
          <w:tcPr>
            <w:tcW w:w="709" w:type="dxa"/>
            <w:shd w:val="clear" w:color="auto" w:fill="auto"/>
            <w:vAlign w:val="center"/>
          </w:tcPr>
          <w:p w14:paraId="13AC0524" w14:textId="77777777" w:rsidR="00D34C6F" w:rsidRPr="00F9037E" w:rsidRDefault="00D34C6F" w:rsidP="00C05C97">
            <w:pPr>
              <w:spacing w:before="120" w:after="120"/>
              <w:jc w:val="center"/>
              <w:rPr>
                <w:color w:val="auto"/>
                <w:sz w:val="10"/>
                <w:szCs w:val="10"/>
              </w:rPr>
            </w:pPr>
            <w:r w:rsidRPr="00F9037E">
              <w:rPr>
                <w:color w:val="auto"/>
                <w:sz w:val="10"/>
                <w:szCs w:val="10"/>
              </w:rPr>
              <w:t>8.000</w:t>
            </w:r>
          </w:p>
        </w:tc>
        <w:tc>
          <w:tcPr>
            <w:tcW w:w="709" w:type="dxa"/>
            <w:shd w:val="clear" w:color="auto" w:fill="auto"/>
            <w:vAlign w:val="center"/>
          </w:tcPr>
          <w:p w14:paraId="494DE834" w14:textId="77777777" w:rsidR="00D34C6F" w:rsidRPr="00F9037E" w:rsidRDefault="00D34C6F" w:rsidP="00C05C97">
            <w:pPr>
              <w:spacing w:before="120" w:after="120"/>
              <w:jc w:val="center"/>
              <w:rPr>
                <w:color w:val="auto"/>
                <w:sz w:val="10"/>
                <w:szCs w:val="10"/>
              </w:rPr>
            </w:pPr>
            <w:r w:rsidRPr="00F9037E">
              <w:rPr>
                <w:color w:val="auto"/>
                <w:sz w:val="10"/>
                <w:szCs w:val="10"/>
              </w:rPr>
              <w:t>5.000</w:t>
            </w:r>
          </w:p>
        </w:tc>
        <w:tc>
          <w:tcPr>
            <w:tcW w:w="567" w:type="dxa"/>
            <w:shd w:val="clear" w:color="auto" w:fill="auto"/>
            <w:vAlign w:val="center"/>
          </w:tcPr>
          <w:p w14:paraId="4CD20096" w14:textId="5E2C68EA"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2F6D5156" w14:textId="68C1C979"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FD617BA" w14:textId="6D5B1972"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2358F8FD" w14:textId="5AEC193B"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2754C127" w14:textId="2E90DF26"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7982B454" w14:textId="06CD922B" w:rsidR="00D34C6F" w:rsidRPr="00F9037E" w:rsidRDefault="00D34C6F" w:rsidP="00C05C97">
            <w:pPr>
              <w:spacing w:before="120" w:after="120"/>
              <w:jc w:val="center"/>
              <w:rPr>
                <w:color w:val="auto"/>
                <w:sz w:val="10"/>
                <w:szCs w:val="10"/>
              </w:rPr>
            </w:pPr>
          </w:p>
        </w:tc>
        <w:tc>
          <w:tcPr>
            <w:tcW w:w="629" w:type="dxa"/>
            <w:vAlign w:val="center"/>
          </w:tcPr>
          <w:p w14:paraId="264CFF71" w14:textId="77777777" w:rsidR="00D34C6F" w:rsidRPr="00F9037E" w:rsidRDefault="00D34C6F" w:rsidP="00C05C97">
            <w:pPr>
              <w:spacing w:before="120" w:after="120"/>
              <w:jc w:val="center"/>
              <w:rPr>
                <w:color w:val="auto"/>
                <w:sz w:val="10"/>
                <w:szCs w:val="10"/>
              </w:rPr>
            </w:pPr>
          </w:p>
        </w:tc>
        <w:tc>
          <w:tcPr>
            <w:tcW w:w="567" w:type="dxa"/>
            <w:vAlign w:val="center"/>
          </w:tcPr>
          <w:p w14:paraId="72F04E84" w14:textId="77777777" w:rsidR="00D34C6F" w:rsidRPr="00F9037E" w:rsidRDefault="00D34C6F" w:rsidP="00C05C97">
            <w:pPr>
              <w:spacing w:before="120" w:after="120"/>
              <w:jc w:val="center"/>
              <w:rPr>
                <w:color w:val="auto"/>
                <w:sz w:val="10"/>
                <w:szCs w:val="10"/>
              </w:rPr>
            </w:pPr>
          </w:p>
        </w:tc>
        <w:tc>
          <w:tcPr>
            <w:tcW w:w="567" w:type="dxa"/>
            <w:vAlign w:val="center"/>
          </w:tcPr>
          <w:p w14:paraId="08010E33"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2B8A71E7" w14:textId="77777777" w:rsidR="00D34C6F" w:rsidRPr="00F9037E" w:rsidRDefault="00D34C6F" w:rsidP="00C05C97">
            <w:pPr>
              <w:spacing w:before="120" w:after="120"/>
              <w:jc w:val="center"/>
              <w:rPr>
                <w:color w:val="auto"/>
                <w:sz w:val="10"/>
                <w:szCs w:val="10"/>
              </w:rPr>
            </w:pPr>
            <w:r w:rsidRPr="00F9037E">
              <w:rPr>
                <w:color w:val="auto"/>
                <w:sz w:val="10"/>
                <w:szCs w:val="10"/>
              </w:rPr>
              <w:t>8.000</w:t>
            </w:r>
          </w:p>
        </w:tc>
        <w:tc>
          <w:tcPr>
            <w:tcW w:w="709" w:type="dxa"/>
            <w:shd w:val="clear" w:color="auto" w:fill="auto"/>
            <w:vAlign w:val="center"/>
          </w:tcPr>
          <w:p w14:paraId="7940674F" w14:textId="77777777" w:rsidR="00D34C6F" w:rsidRPr="00F9037E" w:rsidRDefault="00D34C6F" w:rsidP="00C05C97">
            <w:pPr>
              <w:spacing w:before="120" w:after="120"/>
              <w:jc w:val="center"/>
              <w:rPr>
                <w:color w:val="auto"/>
                <w:sz w:val="10"/>
                <w:szCs w:val="10"/>
              </w:rPr>
            </w:pPr>
            <w:r w:rsidRPr="00F9037E">
              <w:rPr>
                <w:color w:val="auto"/>
                <w:sz w:val="10"/>
                <w:szCs w:val="10"/>
              </w:rPr>
              <w:t>8.000</w:t>
            </w:r>
          </w:p>
        </w:tc>
        <w:tc>
          <w:tcPr>
            <w:tcW w:w="708" w:type="dxa"/>
            <w:shd w:val="clear" w:color="auto" w:fill="auto"/>
            <w:vAlign w:val="center"/>
          </w:tcPr>
          <w:p w14:paraId="36C82AF9" w14:textId="77777777" w:rsidR="00D34C6F" w:rsidRPr="00F9037E" w:rsidRDefault="00D34C6F" w:rsidP="00C05C97">
            <w:pPr>
              <w:spacing w:before="120" w:after="120"/>
              <w:jc w:val="center"/>
              <w:rPr>
                <w:color w:val="auto"/>
                <w:sz w:val="10"/>
                <w:szCs w:val="10"/>
              </w:rPr>
            </w:pPr>
            <w:r w:rsidRPr="00F9037E">
              <w:rPr>
                <w:color w:val="auto"/>
                <w:sz w:val="10"/>
                <w:szCs w:val="10"/>
              </w:rPr>
              <w:t>1.400</w:t>
            </w:r>
          </w:p>
        </w:tc>
        <w:tc>
          <w:tcPr>
            <w:tcW w:w="709" w:type="dxa"/>
            <w:shd w:val="clear" w:color="auto" w:fill="auto"/>
            <w:vAlign w:val="center"/>
          </w:tcPr>
          <w:p w14:paraId="3825743D" w14:textId="176D3B8A"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FE92393" w14:textId="5491CE49"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7E0688F4" w14:textId="78A3A65A"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BC0EE94" w14:textId="3931B0C0"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138D7A03" w14:textId="4256785D" w:rsidR="00D34C6F" w:rsidRPr="00F9037E" w:rsidRDefault="00D34C6F" w:rsidP="00C05C97">
            <w:pPr>
              <w:spacing w:before="120" w:after="120"/>
              <w:jc w:val="center"/>
              <w:rPr>
                <w:b/>
                <w:color w:val="auto"/>
                <w:sz w:val="10"/>
                <w:szCs w:val="10"/>
              </w:rPr>
            </w:pPr>
          </w:p>
        </w:tc>
        <w:tc>
          <w:tcPr>
            <w:tcW w:w="567" w:type="dxa"/>
            <w:vAlign w:val="center"/>
          </w:tcPr>
          <w:p w14:paraId="358E7B30" w14:textId="77777777" w:rsidR="00D34C6F" w:rsidRPr="00F9037E" w:rsidRDefault="00D34C6F" w:rsidP="00C05C97">
            <w:pPr>
              <w:spacing w:before="120" w:after="120"/>
              <w:jc w:val="center"/>
              <w:rPr>
                <w:b/>
                <w:color w:val="auto"/>
                <w:sz w:val="10"/>
                <w:szCs w:val="10"/>
              </w:rPr>
            </w:pPr>
          </w:p>
        </w:tc>
        <w:tc>
          <w:tcPr>
            <w:tcW w:w="567" w:type="dxa"/>
            <w:vAlign w:val="center"/>
          </w:tcPr>
          <w:p w14:paraId="3618BFD2" w14:textId="77777777" w:rsidR="00D34C6F" w:rsidRPr="00F9037E" w:rsidRDefault="00D34C6F" w:rsidP="00C05C97">
            <w:pPr>
              <w:spacing w:before="120" w:after="120"/>
              <w:jc w:val="center"/>
              <w:rPr>
                <w:b/>
                <w:color w:val="auto"/>
                <w:sz w:val="10"/>
                <w:szCs w:val="10"/>
              </w:rPr>
            </w:pPr>
          </w:p>
        </w:tc>
        <w:tc>
          <w:tcPr>
            <w:tcW w:w="567" w:type="dxa"/>
            <w:vAlign w:val="center"/>
          </w:tcPr>
          <w:p w14:paraId="6E83BDE4" w14:textId="77777777" w:rsidR="00D34C6F" w:rsidRPr="00F9037E" w:rsidRDefault="00D34C6F" w:rsidP="00C05C97">
            <w:pPr>
              <w:spacing w:before="120" w:after="120"/>
              <w:jc w:val="center"/>
              <w:rPr>
                <w:b/>
                <w:color w:val="auto"/>
                <w:sz w:val="10"/>
                <w:szCs w:val="10"/>
              </w:rPr>
            </w:pPr>
          </w:p>
        </w:tc>
        <w:tc>
          <w:tcPr>
            <w:tcW w:w="567" w:type="dxa"/>
            <w:vAlign w:val="center"/>
          </w:tcPr>
          <w:p w14:paraId="4F18D587" w14:textId="77777777" w:rsidR="00D34C6F" w:rsidRPr="00F9037E" w:rsidRDefault="00D34C6F" w:rsidP="00C05C97">
            <w:pPr>
              <w:spacing w:before="120" w:after="120"/>
              <w:jc w:val="center"/>
              <w:rPr>
                <w:b/>
                <w:color w:val="auto"/>
                <w:sz w:val="10"/>
                <w:szCs w:val="10"/>
              </w:rPr>
            </w:pPr>
          </w:p>
        </w:tc>
      </w:tr>
      <w:tr w:rsidR="00D34C6F" w:rsidRPr="00F9037E" w14:paraId="2988D579" w14:textId="77777777" w:rsidTr="00C05C97">
        <w:trPr>
          <w:trHeight w:val="465"/>
          <w:jc w:val="center"/>
        </w:trPr>
        <w:tc>
          <w:tcPr>
            <w:tcW w:w="662" w:type="dxa"/>
            <w:shd w:val="clear" w:color="auto" w:fill="auto"/>
            <w:vAlign w:val="center"/>
          </w:tcPr>
          <w:p w14:paraId="3C5814D7" w14:textId="77777777" w:rsidR="00D34C6F" w:rsidRPr="00F9037E" w:rsidRDefault="00D34C6F" w:rsidP="00C05C97">
            <w:pPr>
              <w:spacing w:before="120" w:after="120"/>
              <w:rPr>
                <w:color w:val="auto"/>
                <w:sz w:val="12"/>
                <w:szCs w:val="12"/>
              </w:rPr>
            </w:pPr>
            <w:r w:rsidRPr="00F9037E">
              <w:rPr>
                <w:color w:val="auto"/>
                <w:sz w:val="12"/>
                <w:szCs w:val="12"/>
              </w:rPr>
              <w:t>France</w:t>
            </w:r>
          </w:p>
        </w:tc>
        <w:tc>
          <w:tcPr>
            <w:tcW w:w="824" w:type="dxa"/>
            <w:shd w:val="clear" w:color="auto" w:fill="auto"/>
            <w:vAlign w:val="center"/>
          </w:tcPr>
          <w:p w14:paraId="1A244DB4" w14:textId="77777777" w:rsidR="00D34C6F" w:rsidRPr="00F9037E" w:rsidRDefault="00D34C6F" w:rsidP="00C05C97">
            <w:pPr>
              <w:spacing w:before="120" w:after="120"/>
              <w:rPr>
                <w:color w:val="auto"/>
                <w:sz w:val="12"/>
                <w:szCs w:val="12"/>
              </w:rPr>
            </w:pPr>
            <w:r w:rsidRPr="00F9037E">
              <w:rPr>
                <w:color w:val="auto"/>
                <w:sz w:val="12"/>
                <w:szCs w:val="12"/>
              </w:rPr>
              <w:t>Cucumber</w:t>
            </w:r>
          </w:p>
        </w:tc>
        <w:tc>
          <w:tcPr>
            <w:tcW w:w="708" w:type="dxa"/>
            <w:shd w:val="clear" w:color="auto" w:fill="auto"/>
            <w:vAlign w:val="center"/>
          </w:tcPr>
          <w:p w14:paraId="7DC5C4CF" w14:textId="77777777" w:rsidR="00D34C6F" w:rsidRPr="00F9037E" w:rsidRDefault="00D34C6F" w:rsidP="00C05C97">
            <w:pPr>
              <w:spacing w:before="120" w:after="120"/>
              <w:jc w:val="center"/>
              <w:rPr>
                <w:color w:val="auto"/>
                <w:sz w:val="10"/>
                <w:szCs w:val="10"/>
              </w:rPr>
            </w:pPr>
            <w:r w:rsidRPr="00F9037E">
              <w:rPr>
                <w:color w:val="auto"/>
                <w:sz w:val="10"/>
                <w:szCs w:val="10"/>
              </w:rPr>
              <w:t>85 revised to 60</w:t>
            </w:r>
          </w:p>
        </w:tc>
        <w:tc>
          <w:tcPr>
            <w:tcW w:w="709" w:type="dxa"/>
            <w:shd w:val="clear" w:color="auto" w:fill="auto"/>
            <w:vAlign w:val="center"/>
          </w:tcPr>
          <w:p w14:paraId="271C31E9" w14:textId="77777777" w:rsidR="00D34C6F" w:rsidRPr="00F9037E" w:rsidRDefault="00D34C6F" w:rsidP="00C05C97">
            <w:pPr>
              <w:spacing w:before="120" w:after="120"/>
              <w:jc w:val="center"/>
              <w:rPr>
                <w:color w:val="auto"/>
                <w:sz w:val="10"/>
                <w:szCs w:val="10"/>
              </w:rPr>
            </w:pPr>
            <w:r w:rsidRPr="00F9037E">
              <w:rPr>
                <w:color w:val="auto"/>
                <w:sz w:val="10"/>
                <w:szCs w:val="10"/>
              </w:rPr>
              <w:t>60.000</w:t>
            </w:r>
          </w:p>
        </w:tc>
        <w:tc>
          <w:tcPr>
            <w:tcW w:w="709" w:type="dxa"/>
            <w:shd w:val="clear" w:color="auto" w:fill="auto"/>
            <w:vAlign w:val="center"/>
          </w:tcPr>
          <w:p w14:paraId="7FB38318" w14:textId="77777777" w:rsidR="00D34C6F" w:rsidRPr="00F9037E" w:rsidRDefault="00D34C6F" w:rsidP="00C05C97">
            <w:pPr>
              <w:spacing w:before="120" w:after="120"/>
              <w:jc w:val="center"/>
              <w:rPr>
                <w:color w:val="auto"/>
                <w:sz w:val="10"/>
                <w:szCs w:val="10"/>
              </w:rPr>
            </w:pPr>
            <w:r w:rsidRPr="00F9037E">
              <w:rPr>
                <w:color w:val="auto"/>
                <w:sz w:val="10"/>
                <w:szCs w:val="10"/>
              </w:rPr>
              <w:t>15.000</w:t>
            </w:r>
          </w:p>
        </w:tc>
        <w:tc>
          <w:tcPr>
            <w:tcW w:w="567" w:type="dxa"/>
            <w:shd w:val="clear" w:color="auto" w:fill="auto"/>
            <w:vAlign w:val="center"/>
          </w:tcPr>
          <w:p w14:paraId="24B92C8D" w14:textId="0A544D9F"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6EEEE860" w14:textId="5F328B53"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E558BD5" w14:textId="3117E2B1"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12E24605" w14:textId="7C607D95"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DA4E6EA" w14:textId="1CBEC2CE"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A3B6239" w14:textId="5D440E1C" w:rsidR="00D34C6F" w:rsidRPr="00F9037E" w:rsidRDefault="00D34C6F" w:rsidP="00C05C97">
            <w:pPr>
              <w:spacing w:before="120" w:after="120"/>
              <w:jc w:val="center"/>
              <w:rPr>
                <w:color w:val="auto"/>
                <w:sz w:val="10"/>
                <w:szCs w:val="10"/>
              </w:rPr>
            </w:pPr>
          </w:p>
        </w:tc>
        <w:tc>
          <w:tcPr>
            <w:tcW w:w="629" w:type="dxa"/>
            <w:vAlign w:val="center"/>
          </w:tcPr>
          <w:p w14:paraId="2333D590" w14:textId="77777777" w:rsidR="00D34C6F" w:rsidRPr="00F9037E" w:rsidRDefault="00D34C6F" w:rsidP="00C05C97">
            <w:pPr>
              <w:spacing w:before="120" w:after="120"/>
              <w:jc w:val="center"/>
              <w:rPr>
                <w:color w:val="auto"/>
                <w:sz w:val="10"/>
                <w:szCs w:val="10"/>
              </w:rPr>
            </w:pPr>
          </w:p>
        </w:tc>
        <w:tc>
          <w:tcPr>
            <w:tcW w:w="567" w:type="dxa"/>
            <w:vAlign w:val="center"/>
          </w:tcPr>
          <w:p w14:paraId="1694B946" w14:textId="77777777" w:rsidR="00D34C6F" w:rsidRPr="00F9037E" w:rsidRDefault="00D34C6F" w:rsidP="00C05C97">
            <w:pPr>
              <w:spacing w:before="120" w:after="120"/>
              <w:jc w:val="center"/>
              <w:rPr>
                <w:color w:val="auto"/>
                <w:sz w:val="10"/>
                <w:szCs w:val="10"/>
              </w:rPr>
            </w:pPr>
          </w:p>
        </w:tc>
        <w:tc>
          <w:tcPr>
            <w:tcW w:w="567" w:type="dxa"/>
            <w:vAlign w:val="center"/>
          </w:tcPr>
          <w:p w14:paraId="6294829A"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7663356B" w14:textId="77777777" w:rsidR="00D34C6F" w:rsidRPr="00F9037E" w:rsidRDefault="00D34C6F" w:rsidP="00C05C97">
            <w:pPr>
              <w:spacing w:before="120" w:after="120"/>
              <w:jc w:val="center"/>
              <w:rPr>
                <w:color w:val="auto"/>
                <w:sz w:val="10"/>
                <w:szCs w:val="10"/>
              </w:rPr>
            </w:pPr>
            <w:r w:rsidRPr="00F9037E">
              <w:rPr>
                <w:color w:val="auto"/>
                <w:sz w:val="10"/>
                <w:szCs w:val="10"/>
              </w:rPr>
              <w:t>60.000</w:t>
            </w:r>
          </w:p>
        </w:tc>
        <w:tc>
          <w:tcPr>
            <w:tcW w:w="709" w:type="dxa"/>
            <w:shd w:val="clear" w:color="auto" w:fill="auto"/>
            <w:vAlign w:val="center"/>
          </w:tcPr>
          <w:p w14:paraId="57054427" w14:textId="77777777" w:rsidR="00D34C6F" w:rsidRPr="00F9037E" w:rsidRDefault="00D34C6F" w:rsidP="00C05C97">
            <w:pPr>
              <w:spacing w:before="120" w:after="120"/>
              <w:jc w:val="center"/>
              <w:rPr>
                <w:color w:val="auto"/>
                <w:sz w:val="10"/>
                <w:szCs w:val="10"/>
              </w:rPr>
            </w:pPr>
            <w:r w:rsidRPr="00F9037E">
              <w:rPr>
                <w:color w:val="auto"/>
                <w:sz w:val="10"/>
                <w:szCs w:val="10"/>
              </w:rPr>
              <w:t>60.000</w:t>
            </w:r>
          </w:p>
        </w:tc>
        <w:tc>
          <w:tcPr>
            <w:tcW w:w="708" w:type="dxa"/>
            <w:shd w:val="clear" w:color="auto" w:fill="auto"/>
            <w:vAlign w:val="center"/>
          </w:tcPr>
          <w:p w14:paraId="001476CC" w14:textId="77777777" w:rsidR="00D34C6F" w:rsidRPr="00F9037E" w:rsidRDefault="00D34C6F" w:rsidP="00C05C97">
            <w:pPr>
              <w:spacing w:before="120" w:after="120"/>
              <w:jc w:val="center"/>
              <w:rPr>
                <w:color w:val="auto"/>
                <w:sz w:val="10"/>
                <w:szCs w:val="10"/>
              </w:rPr>
            </w:pPr>
            <w:r w:rsidRPr="00F9037E">
              <w:rPr>
                <w:color w:val="auto"/>
                <w:sz w:val="10"/>
                <w:szCs w:val="10"/>
              </w:rPr>
              <w:t>12.500</w:t>
            </w:r>
          </w:p>
        </w:tc>
        <w:tc>
          <w:tcPr>
            <w:tcW w:w="709" w:type="dxa"/>
            <w:shd w:val="clear" w:color="auto" w:fill="auto"/>
            <w:vAlign w:val="center"/>
          </w:tcPr>
          <w:p w14:paraId="2C1E0F6E" w14:textId="16DE27A2"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842C5F5" w14:textId="63A3350F"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54B104B2" w14:textId="07377E08"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260DFF73" w14:textId="76EABCDD"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020DB001" w14:textId="265C60D3" w:rsidR="00D34C6F" w:rsidRPr="00F9037E" w:rsidRDefault="00D34C6F" w:rsidP="00C05C97">
            <w:pPr>
              <w:spacing w:before="120" w:after="120"/>
              <w:jc w:val="center"/>
              <w:rPr>
                <w:b/>
                <w:color w:val="auto"/>
                <w:sz w:val="10"/>
                <w:szCs w:val="10"/>
              </w:rPr>
            </w:pPr>
          </w:p>
        </w:tc>
        <w:tc>
          <w:tcPr>
            <w:tcW w:w="567" w:type="dxa"/>
            <w:vAlign w:val="center"/>
          </w:tcPr>
          <w:p w14:paraId="6225C5F1" w14:textId="77777777" w:rsidR="00D34C6F" w:rsidRPr="00F9037E" w:rsidRDefault="00D34C6F" w:rsidP="00C05C97">
            <w:pPr>
              <w:spacing w:before="120" w:after="120"/>
              <w:jc w:val="center"/>
              <w:rPr>
                <w:b/>
                <w:color w:val="auto"/>
                <w:sz w:val="10"/>
                <w:szCs w:val="10"/>
              </w:rPr>
            </w:pPr>
          </w:p>
        </w:tc>
        <w:tc>
          <w:tcPr>
            <w:tcW w:w="567" w:type="dxa"/>
            <w:vAlign w:val="center"/>
          </w:tcPr>
          <w:p w14:paraId="5E279581" w14:textId="77777777" w:rsidR="00D34C6F" w:rsidRPr="00F9037E" w:rsidRDefault="00D34C6F" w:rsidP="00C05C97">
            <w:pPr>
              <w:spacing w:before="120" w:after="120"/>
              <w:jc w:val="center"/>
              <w:rPr>
                <w:b/>
                <w:color w:val="auto"/>
                <w:sz w:val="10"/>
                <w:szCs w:val="10"/>
              </w:rPr>
            </w:pPr>
          </w:p>
        </w:tc>
        <w:tc>
          <w:tcPr>
            <w:tcW w:w="567" w:type="dxa"/>
            <w:vAlign w:val="center"/>
          </w:tcPr>
          <w:p w14:paraId="2F9F565F" w14:textId="77777777" w:rsidR="00D34C6F" w:rsidRPr="00F9037E" w:rsidRDefault="00D34C6F" w:rsidP="00C05C97">
            <w:pPr>
              <w:spacing w:before="120" w:after="120"/>
              <w:jc w:val="center"/>
              <w:rPr>
                <w:b/>
                <w:color w:val="auto"/>
                <w:sz w:val="10"/>
                <w:szCs w:val="10"/>
              </w:rPr>
            </w:pPr>
          </w:p>
        </w:tc>
        <w:tc>
          <w:tcPr>
            <w:tcW w:w="567" w:type="dxa"/>
            <w:vAlign w:val="center"/>
          </w:tcPr>
          <w:p w14:paraId="0EC1528E" w14:textId="77777777" w:rsidR="00D34C6F" w:rsidRPr="00F9037E" w:rsidRDefault="00D34C6F" w:rsidP="00C05C97">
            <w:pPr>
              <w:spacing w:before="120" w:after="120"/>
              <w:jc w:val="center"/>
              <w:rPr>
                <w:b/>
                <w:color w:val="auto"/>
                <w:sz w:val="10"/>
                <w:szCs w:val="10"/>
              </w:rPr>
            </w:pPr>
          </w:p>
        </w:tc>
      </w:tr>
      <w:tr w:rsidR="00D34C6F" w:rsidRPr="00F9037E" w14:paraId="10BBE20E" w14:textId="77777777" w:rsidTr="00C05C97">
        <w:trPr>
          <w:trHeight w:val="270"/>
          <w:jc w:val="center"/>
        </w:trPr>
        <w:tc>
          <w:tcPr>
            <w:tcW w:w="662" w:type="dxa"/>
            <w:shd w:val="clear" w:color="auto" w:fill="auto"/>
            <w:vAlign w:val="center"/>
          </w:tcPr>
          <w:p w14:paraId="01724C2B" w14:textId="77777777" w:rsidR="00D34C6F" w:rsidRPr="00F9037E" w:rsidRDefault="00D34C6F" w:rsidP="00C05C97">
            <w:pPr>
              <w:spacing w:before="120" w:after="120"/>
              <w:rPr>
                <w:color w:val="auto"/>
                <w:sz w:val="12"/>
                <w:szCs w:val="12"/>
              </w:rPr>
            </w:pPr>
            <w:r w:rsidRPr="00F9037E">
              <w:rPr>
                <w:color w:val="auto"/>
                <w:sz w:val="12"/>
                <w:szCs w:val="12"/>
              </w:rPr>
              <w:t>France</w:t>
            </w:r>
          </w:p>
        </w:tc>
        <w:tc>
          <w:tcPr>
            <w:tcW w:w="824" w:type="dxa"/>
            <w:shd w:val="clear" w:color="auto" w:fill="auto"/>
            <w:vAlign w:val="center"/>
          </w:tcPr>
          <w:p w14:paraId="18E0AC7F" w14:textId="77777777" w:rsidR="00D34C6F" w:rsidRPr="00F9037E" w:rsidRDefault="00D34C6F" w:rsidP="00C05C97">
            <w:pPr>
              <w:spacing w:before="120" w:after="120"/>
              <w:rPr>
                <w:color w:val="auto"/>
                <w:sz w:val="12"/>
                <w:szCs w:val="12"/>
              </w:rPr>
            </w:pPr>
            <w:r w:rsidRPr="00F9037E">
              <w:rPr>
                <w:color w:val="auto"/>
                <w:sz w:val="12"/>
                <w:szCs w:val="12"/>
              </w:rPr>
              <w:t>Cut-flowers</w:t>
            </w:r>
          </w:p>
        </w:tc>
        <w:tc>
          <w:tcPr>
            <w:tcW w:w="708" w:type="dxa"/>
            <w:shd w:val="clear" w:color="auto" w:fill="auto"/>
            <w:vAlign w:val="center"/>
          </w:tcPr>
          <w:p w14:paraId="7E463151" w14:textId="77777777" w:rsidR="00D34C6F" w:rsidRPr="00F9037E" w:rsidRDefault="00D34C6F" w:rsidP="00C05C97">
            <w:pPr>
              <w:spacing w:before="120" w:after="120"/>
              <w:jc w:val="center"/>
              <w:rPr>
                <w:color w:val="auto"/>
                <w:sz w:val="10"/>
                <w:szCs w:val="10"/>
              </w:rPr>
            </w:pPr>
            <w:r w:rsidRPr="00F9037E">
              <w:rPr>
                <w:color w:val="auto"/>
                <w:sz w:val="10"/>
                <w:szCs w:val="10"/>
              </w:rPr>
              <w:t>75.000</w:t>
            </w:r>
          </w:p>
        </w:tc>
        <w:tc>
          <w:tcPr>
            <w:tcW w:w="709" w:type="dxa"/>
            <w:shd w:val="clear" w:color="auto" w:fill="auto"/>
            <w:vAlign w:val="center"/>
          </w:tcPr>
          <w:p w14:paraId="65DEEA12" w14:textId="77777777" w:rsidR="00D34C6F" w:rsidRPr="00F9037E" w:rsidRDefault="00D34C6F" w:rsidP="00C05C97">
            <w:pPr>
              <w:spacing w:before="120" w:after="120"/>
              <w:jc w:val="center"/>
              <w:rPr>
                <w:color w:val="auto"/>
                <w:sz w:val="10"/>
                <w:szCs w:val="10"/>
              </w:rPr>
            </w:pPr>
            <w:r w:rsidRPr="00F9037E">
              <w:rPr>
                <w:color w:val="auto"/>
                <w:sz w:val="10"/>
                <w:szCs w:val="10"/>
              </w:rPr>
              <w:t>60.250</w:t>
            </w:r>
          </w:p>
        </w:tc>
        <w:tc>
          <w:tcPr>
            <w:tcW w:w="709" w:type="dxa"/>
            <w:shd w:val="clear" w:color="auto" w:fill="auto"/>
            <w:vAlign w:val="center"/>
          </w:tcPr>
          <w:p w14:paraId="33C69D84" w14:textId="77777777" w:rsidR="00D34C6F" w:rsidRPr="00F9037E" w:rsidRDefault="00D34C6F" w:rsidP="00C05C97">
            <w:pPr>
              <w:spacing w:before="120" w:after="120"/>
              <w:jc w:val="center"/>
              <w:rPr>
                <w:color w:val="auto"/>
                <w:sz w:val="10"/>
                <w:szCs w:val="10"/>
              </w:rPr>
            </w:pPr>
            <w:r w:rsidRPr="00F9037E">
              <w:rPr>
                <w:color w:val="auto"/>
                <w:sz w:val="10"/>
                <w:szCs w:val="10"/>
              </w:rPr>
              <w:t>12.000</w:t>
            </w:r>
          </w:p>
        </w:tc>
        <w:tc>
          <w:tcPr>
            <w:tcW w:w="567" w:type="dxa"/>
            <w:shd w:val="clear" w:color="auto" w:fill="auto"/>
            <w:vAlign w:val="center"/>
          </w:tcPr>
          <w:p w14:paraId="659596C9" w14:textId="40FB3FC4"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36C681F3" w14:textId="01CA1620"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78741473" w14:textId="40BF8DE3"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1841836E" w14:textId="0FB30327"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245BCBFC" w14:textId="618CB6CC"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70AD3EC9" w14:textId="6E4DA2D2" w:rsidR="00D34C6F" w:rsidRPr="00F9037E" w:rsidRDefault="00D34C6F" w:rsidP="00C05C97">
            <w:pPr>
              <w:spacing w:before="120" w:after="120"/>
              <w:jc w:val="center"/>
              <w:rPr>
                <w:color w:val="auto"/>
                <w:sz w:val="10"/>
                <w:szCs w:val="10"/>
              </w:rPr>
            </w:pPr>
          </w:p>
        </w:tc>
        <w:tc>
          <w:tcPr>
            <w:tcW w:w="629" w:type="dxa"/>
            <w:vAlign w:val="center"/>
          </w:tcPr>
          <w:p w14:paraId="414EA6B8" w14:textId="77777777" w:rsidR="00D34C6F" w:rsidRPr="00F9037E" w:rsidRDefault="00D34C6F" w:rsidP="00C05C97">
            <w:pPr>
              <w:spacing w:before="120" w:after="120"/>
              <w:jc w:val="center"/>
              <w:rPr>
                <w:color w:val="auto"/>
                <w:sz w:val="10"/>
                <w:szCs w:val="10"/>
              </w:rPr>
            </w:pPr>
          </w:p>
        </w:tc>
        <w:tc>
          <w:tcPr>
            <w:tcW w:w="567" w:type="dxa"/>
            <w:vAlign w:val="center"/>
          </w:tcPr>
          <w:p w14:paraId="015ECADF" w14:textId="77777777" w:rsidR="00D34C6F" w:rsidRPr="00F9037E" w:rsidRDefault="00D34C6F" w:rsidP="00C05C97">
            <w:pPr>
              <w:spacing w:before="120" w:after="120"/>
              <w:jc w:val="center"/>
              <w:rPr>
                <w:color w:val="auto"/>
                <w:sz w:val="10"/>
                <w:szCs w:val="10"/>
              </w:rPr>
            </w:pPr>
          </w:p>
        </w:tc>
        <w:tc>
          <w:tcPr>
            <w:tcW w:w="567" w:type="dxa"/>
            <w:vAlign w:val="center"/>
          </w:tcPr>
          <w:p w14:paraId="2C998150"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1802ABAA" w14:textId="77777777" w:rsidR="00D34C6F" w:rsidRPr="00F9037E" w:rsidRDefault="00D34C6F" w:rsidP="00C05C97">
            <w:pPr>
              <w:spacing w:before="120" w:after="120"/>
              <w:jc w:val="center"/>
              <w:rPr>
                <w:color w:val="auto"/>
                <w:sz w:val="10"/>
                <w:szCs w:val="10"/>
              </w:rPr>
            </w:pPr>
            <w:r w:rsidRPr="00F9037E">
              <w:rPr>
                <w:color w:val="auto"/>
                <w:sz w:val="10"/>
                <w:szCs w:val="10"/>
              </w:rPr>
              <w:t>60.000</w:t>
            </w:r>
          </w:p>
        </w:tc>
        <w:tc>
          <w:tcPr>
            <w:tcW w:w="709" w:type="dxa"/>
            <w:shd w:val="clear" w:color="auto" w:fill="auto"/>
            <w:vAlign w:val="center"/>
          </w:tcPr>
          <w:p w14:paraId="39805051" w14:textId="77777777" w:rsidR="00D34C6F" w:rsidRPr="00F9037E" w:rsidRDefault="00D34C6F" w:rsidP="00C05C97">
            <w:pPr>
              <w:spacing w:before="120" w:after="120"/>
              <w:jc w:val="center"/>
              <w:rPr>
                <w:color w:val="auto"/>
                <w:sz w:val="10"/>
                <w:szCs w:val="10"/>
              </w:rPr>
            </w:pPr>
            <w:r w:rsidRPr="00F9037E">
              <w:rPr>
                <w:color w:val="auto"/>
                <w:sz w:val="10"/>
                <w:szCs w:val="10"/>
              </w:rPr>
              <w:t>52.000</w:t>
            </w:r>
          </w:p>
        </w:tc>
        <w:tc>
          <w:tcPr>
            <w:tcW w:w="708" w:type="dxa"/>
            <w:shd w:val="clear" w:color="auto" w:fill="auto"/>
            <w:vAlign w:val="center"/>
          </w:tcPr>
          <w:p w14:paraId="0A96146D" w14:textId="77777777" w:rsidR="00D34C6F" w:rsidRPr="00F9037E" w:rsidRDefault="00D34C6F" w:rsidP="00C05C97">
            <w:pPr>
              <w:spacing w:before="120" w:after="120"/>
              <w:jc w:val="center"/>
              <w:rPr>
                <w:color w:val="auto"/>
                <w:sz w:val="10"/>
                <w:szCs w:val="10"/>
              </w:rPr>
            </w:pPr>
            <w:r w:rsidRPr="00F9037E">
              <w:rPr>
                <w:color w:val="auto"/>
                <w:sz w:val="10"/>
                <w:szCs w:val="10"/>
              </w:rPr>
              <w:t>9.600</w:t>
            </w:r>
          </w:p>
        </w:tc>
        <w:tc>
          <w:tcPr>
            <w:tcW w:w="709" w:type="dxa"/>
            <w:shd w:val="clear" w:color="auto" w:fill="auto"/>
            <w:vAlign w:val="center"/>
          </w:tcPr>
          <w:p w14:paraId="3A9A3F10" w14:textId="336C5604"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A721BC2" w14:textId="5E2C975E"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169FBE3E" w14:textId="6FB7C8A9"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951FF0F" w14:textId="789A0197"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29B28E36" w14:textId="473BE3FC" w:rsidR="00D34C6F" w:rsidRPr="00F9037E" w:rsidRDefault="00D34C6F" w:rsidP="00C05C97">
            <w:pPr>
              <w:spacing w:before="120" w:after="120"/>
              <w:jc w:val="center"/>
              <w:rPr>
                <w:b/>
                <w:color w:val="auto"/>
                <w:sz w:val="10"/>
                <w:szCs w:val="10"/>
              </w:rPr>
            </w:pPr>
          </w:p>
        </w:tc>
        <w:tc>
          <w:tcPr>
            <w:tcW w:w="567" w:type="dxa"/>
            <w:vAlign w:val="center"/>
          </w:tcPr>
          <w:p w14:paraId="42066417" w14:textId="77777777" w:rsidR="00D34C6F" w:rsidRPr="00F9037E" w:rsidRDefault="00D34C6F" w:rsidP="00C05C97">
            <w:pPr>
              <w:spacing w:before="120" w:after="120"/>
              <w:jc w:val="center"/>
              <w:rPr>
                <w:b/>
                <w:color w:val="auto"/>
                <w:sz w:val="10"/>
                <w:szCs w:val="10"/>
              </w:rPr>
            </w:pPr>
          </w:p>
        </w:tc>
        <w:tc>
          <w:tcPr>
            <w:tcW w:w="567" w:type="dxa"/>
            <w:vAlign w:val="center"/>
          </w:tcPr>
          <w:p w14:paraId="0A3AA239" w14:textId="77777777" w:rsidR="00D34C6F" w:rsidRPr="00F9037E" w:rsidRDefault="00D34C6F" w:rsidP="00C05C97">
            <w:pPr>
              <w:spacing w:before="120" w:after="120"/>
              <w:jc w:val="center"/>
              <w:rPr>
                <w:b/>
                <w:color w:val="auto"/>
                <w:sz w:val="10"/>
                <w:szCs w:val="10"/>
              </w:rPr>
            </w:pPr>
          </w:p>
        </w:tc>
        <w:tc>
          <w:tcPr>
            <w:tcW w:w="567" w:type="dxa"/>
            <w:vAlign w:val="center"/>
          </w:tcPr>
          <w:p w14:paraId="066E0C59" w14:textId="77777777" w:rsidR="00D34C6F" w:rsidRPr="00F9037E" w:rsidRDefault="00D34C6F" w:rsidP="00C05C97">
            <w:pPr>
              <w:spacing w:before="120" w:after="120"/>
              <w:jc w:val="center"/>
              <w:rPr>
                <w:b/>
                <w:color w:val="auto"/>
                <w:sz w:val="10"/>
                <w:szCs w:val="10"/>
              </w:rPr>
            </w:pPr>
          </w:p>
        </w:tc>
        <w:tc>
          <w:tcPr>
            <w:tcW w:w="567" w:type="dxa"/>
            <w:vAlign w:val="center"/>
          </w:tcPr>
          <w:p w14:paraId="46DC692E" w14:textId="77777777" w:rsidR="00D34C6F" w:rsidRPr="00F9037E" w:rsidRDefault="00D34C6F" w:rsidP="00C05C97">
            <w:pPr>
              <w:spacing w:before="120" w:after="120"/>
              <w:jc w:val="center"/>
              <w:rPr>
                <w:b/>
                <w:color w:val="auto"/>
                <w:sz w:val="10"/>
                <w:szCs w:val="10"/>
              </w:rPr>
            </w:pPr>
          </w:p>
        </w:tc>
      </w:tr>
      <w:tr w:rsidR="00D34C6F" w:rsidRPr="00F9037E" w14:paraId="31D63B46" w14:textId="77777777" w:rsidTr="00C05C97">
        <w:trPr>
          <w:trHeight w:val="465"/>
          <w:jc w:val="center"/>
        </w:trPr>
        <w:tc>
          <w:tcPr>
            <w:tcW w:w="662" w:type="dxa"/>
            <w:shd w:val="clear" w:color="auto" w:fill="auto"/>
            <w:vAlign w:val="center"/>
          </w:tcPr>
          <w:p w14:paraId="12DBEC7C" w14:textId="77777777" w:rsidR="00D34C6F" w:rsidRPr="00F9037E" w:rsidRDefault="00D34C6F" w:rsidP="00C05C97">
            <w:pPr>
              <w:spacing w:before="120" w:after="120"/>
              <w:rPr>
                <w:color w:val="auto"/>
                <w:sz w:val="12"/>
                <w:szCs w:val="12"/>
              </w:rPr>
            </w:pPr>
            <w:r w:rsidRPr="00F9037E">
              <w:rPr>
                <w:color w:val="auto"/>
                <w:sz w:val="12"/>
                <w:szCs w:val="12"/>
              </w:rPr>
              <w:t>France</w:t>
            </w:r>
          </w:p>
        </w:tc>
        <w:tc>
          <w:tcPr>
            <w:tcW w:w="824" w:type="dxa"/>
            <w:shd w:val="clear" w:color="auto" w:fill="auto"/>
            <w:vAlign w:val="center"/>
          </w:tcPr>
          <w:p w14:paraId="1A0C09C5" w14:textId="77777777" w:rsidR="00D34C6F" w:rsidRPr="00F9037E" w:rsidRDefault="00D34C6F" w:rsidP="00C05C97">
            <w:pPr>
              <w:spacing w:before="120" w:after="120"/>
              <w:rPr>
                <w:color w:val="auto"/>
                <w:sz w:val="12"/>
                <w:szCs w:val="12"/>
              </w:rPr>
            </w:pPr>
            <w:r w:rsidRPr="00F9037E">
              <w:rPr>
                <w:color w:val="auto"/>
                <w:sz w:val="12"/>
                <w:szCs w:val="12"/>
              </w:rPr>
              <w:t>Forest tree nursery</w:t>
            </w:r>
          </w:p>
        </w:tc>
        <w:tc>
          <w:tcPr>
            <w:tcW w:w="708" w:type="dxa"/>
            <w:shd w:val="clear" w:color="auto" w:fill="auto"/>
            <w:vAlign w:val="center"/>
          </w:tcPr>
          <w:p w14:paraId="5ADF914C" w14:textId="77777777" w:rsidR="00D34C6F" w:rsidRPr="00F9037E" w:rsidRDefault="00D34C6F" w:rsidP="00C05C97">
            <w:pPr>
              <w:spacing w:before="120" w:after="120"/>
              <w:jc w:val="center"/>
              <w:rPr>
                <w:color w:val="auto"/>
                <w:sz w:val="10"/>
                <w:szCs w:val="10"/>
              </w:rPr>
            </w:pPr>
            <w:r w:rsidRPr="00F9037E">
              <w:rPr>
                <w:color w:val="auto"/>
                <w:sz w:val="10"/>
                <w:szCs w:val="10"/>
              </w:rPr>
              <w:t>10.000</w:t>
            </w:r>
          </w:p>
        </w:tc>
        <w:tc>
          <w:tcPr>
            <w:tcW w:w="709" w:type="dxa"/>
            <w:shd w:val="clear" w:color="auto" w:fill="auto"/>
            <w:vAlign w:val="center"/>
          </w:tcPr>
          <w:p w14:paraId="4DD5FC6E" w14:textId="77777777" w:rsidR="00D34C6F" w:rsidRPr="00F9037E" w:rsidRDefault="00D34C6F" w:rsidP="00C05C97">
            <w:pPr>
              <w:spacing w:before="120" w:after="120"/>
              <w:jc w:val="center"/>
              <w:rPr>
                <w:color w:val="auto"/>
                <w:sz w:val="10"/>
                <w:szCs w:val="10"/>
              </w:rPr>
            </w:pPr>
            <w:r w:rsidRPr="00F9037E">
              <w:rPr>
                <w:color w:val="auto"/>
                <w:sz w:val="10"/>
                <w:szCs w:val="10"/>
              </w:rPr>
              <w:t>10.000</w:t>
            </w:r>
          </w:p>
        </w:tc>
        <w:tc>
          <w:tcPr>
            <w:tcW w:w="709" w:type="dxa"/>
            <w:shd w:val="clear" w:color="auto" w:fill="auto"/>
            <w:vAlign w:val="center"/>
          </w:tcPr>
          <w:p w14:paraId="2541F06A" w14:textId="77777777" w:rsidR="00D34C6F" w:rsidRPr="00F9037E" w:rsidRDefault="00D34C6F" w:rsidP="00C05C97">
            <w:pPr>
              <w:spacing w:before="120" w:after="120"/>
              <w:jc w:val="center"/>
              <w:rPr>
                <w:color w:val="auto"/>
                <w:sz w:val="10"/>
                <w:szCs w:val="10"/>
              </w:rPr>
            </w:pPr>
            <w:r w:rsidRPr="00F9037E">
              <w:rPr>
                <w:color w:val="auto"/>
                <w:sz w:val="10"/>
                <w:szCs w:val="10"/>
              </w:rPr>
              <w:t>1.500</w:t>
            </w:r>
          </w:p>
        </w:tc>
        <w:tc>
          <w:tcPr>
            <w:tcW w:w="567" w:type="dxa"/>
            <w:shd w:val="clear" w:color="auto" w:fill="auto"/>
            <w:vAlign w:val="center"/>
          </w:tcPr>
          <w:p w14:paraId="6DB0CDEC" w14:textId="5FA60433"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32D8D883" w14:textId="7EFC0791"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3F6E425" w14:textId="25BB4D39"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719B2F03" w14:textId="1D8E4DD0"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967828B" w14:textId="774BF0B0"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3080376" w14:textId="375D7EC2" w:rsidR="00D34C6F" w:rsidRPr="00F9037E" w:rsidRDefault="00D34C6F" w:rsidP="00C05C97">
            <w:pPr>
              <w:spacing w:before="120" w:after="120"/>
              <w:jc w:val="center"/>
              <w:rPr>
                <w:color w:val="auto"/>
                <w:sz w:val="10"/>
                <w:szCs w:val="10"/>
              </w:rPr>
            </w:pPr>
          </w:p>
        </w:tc>
        <w:tc>
          <w:tcPr>
            <w:tcW w:w="629" w:type="dxa"/>
            <w:vAlign w:val="center"/>
          </w:tcPr>
          <w:p w14:paraId="25798E1A" w14:textId="77777777" w:rsidR="00D34C6F" w:rsidRPr="00F9037E" w:rsidRDefault="00D34C6F" w:rsidP="00C05C97">
            <w:pPr>
              <w:spacing w:before="120" w:after="120"/>
              <w:jc w:val="center"/>
              <w:rPr>
                <w:color w:val="auto"/>
                <w:sz w:val="10"/>
                <w:szCs w:val="10"/>
              </w:rPr>
            </w:pPr>
          </w:p>
        </w:tc>
        <w:tc>
          <w:tcPr>
            <w:tcW w:w="567" w:type="dxa"/>
            <w:vAlign w:val="center"/>
          </w:tcPr>
          <w:p w14:paraId="434D32D1" w14:textId="77777777" w:rsidR="00D34C6F" w:rsidRPr="00F9037E" w:rsidRDefault="00D34C6F" w:rsidP="00C05C97">
            <w:pPr>
              <w:spacing w:before="120" w:after="120"/>
              <w:jc w:val="center"/>
              <w:rPr>
                <w:color w:val="auto"/>
                <w:sz w:val="10"/>
                <w:szCs w:val="10"/>
              </w:rPr>
            </w:pPr>
          </w:p>
        </w:tc>
        <w:tc>
          <w:tcPr>
            <w:tcW w:w="567" w:type="dxa"/>
            <w:vAlign w:val="center"/>
          </w:tcPr>
          <w:p w14:paraId="03A35EAF"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2D74227D" w14:textId="77777777" w:rsidR="00D34C6F" w:rsidRPr="00F9037E" w:rsidRDefault="00D34C6F" w:rsidP="00C05C97">
            <w:pPr>
              <w:spacing w:before="120" w:after="120"/>
              <w:jc w:val="center"/>
              <w:rPr>
                <w:color w:val="auto"/>
                <w:sz w:val="10"/>
                <w:szCs w:val="10"/>
              </w:rPr>
            </w:pPr>
            <w:r w:rsidRPr="00F9037E">
              <w:rPr>
                <w:color w:val="auto"/>
                <w:sz w:val="10"/>
                <w:szCs w:val="10"/>
              </w:rPr>
              <w:t>10.000</w:t>
            </w:r>
          </w:p>
        </w:tc>
        <w:tc>
          <w:tcPr>
            <w:tcW w:w="709" w:type="dxa"/>
            <w:shd w:val="clear" w:color="auto" w:fill="auto"/>
            <w:vAlign w:val="center"/>
          </w:tcPr>
          <w:p w14:paraId="5B5BD0C1" w14:textId="77777777" w:rsidR="00D34C6F" w:rsidRPr="00F9037E" w:rsidRDefault="00D34C6F" w:rsidP="00C05C97">
            <w:pPr>
              <w:spacing w:before="120" w:after="120"/>
              <w:jc w:val="center"/>
              <w:rPr>
                <w:color w:val="auto"/>
                <w:sz w:val="10"/>
                <w:szCs w:val="10"/>
              </w:rPr>
            </w:pPr>
            <w:r w:rsidRPr="00F9037E">
              <w:rPr>
                <w:color w:val="auto"/>
                <w:sz w:val="10"/>
                <w:szCs w:val="10"/>
              </w:rPr>
              <w:t>10.000</w:t>
            </w:r>
          </w:p>
        </w:tc>
        <w:tc>
          <w:tcPr>
            <w:tcW w:w="708" w:type="dxa"/>
            <w:shd w:val="clear" w:color="auto" w:fill="auto"/>
            <w:vAlign w:val="center"/>
          </w:tcPr>
          <w:p w14:paraId="6C64508E" w14:textId="77777777" w:rsidR="00D34C6F" w:rsidRPr="00F9037E" w:rsidRDefault="00D34C6F" w:rsidP="00C05C97">
            <w:pPr>
              <w:spacing w:before="120" w:after="120"/>
              <w:jc w:val="center"/>
              <w:rPr>
                <w:color w:val="auto"/>
                <w:sz w:val="10"/>
                <w:szCs w:val="10"/>
              </w:rPr>
            </w:pPr>
            <w:r w:rsidRPr="00F9037E">
              <w:rPr>
                <w:color w:val="auto"/>
                <w:sz w:val="10"/>
                <w:szCs w:val="10"/>
              </w:rPr>
              <w:t>1.500</w:t>
            </w:r>
          </w:p>
        </w:tc>
        <w:tc>
          <w:tcPr>
            <w:tcW w:w="709" w:type="dxa"/>
            <w:shd w:val="clear" w:color="auto" w:fill="auto"/>
            <w:vAlign w:val="center"/>
          </w:tcPr>
          <w:p w14:paraId="5F734C9F" w14:textId="18D4A4D5"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54F6579" w14:textId="30C43661"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31F4BA82" w14:textId="7266E726"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4A3E81E" w14:textId="70BE9AAE"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6F0C8709" w14:textId="5B410B68" w:rsidR="00D34C6F" w:rsidRPr="00F9037E" w:rsidRDefault="00D34C6F" w:rsidP="00C05C97">
            <w:pPr>
              <w:spacing w:before="120" w:after="120"/>
              <w:jc w:val="center"/>
              <w:rPr>
                <w:b/>
                <w:color w:val="auto"/>
                <w:sz w:val="10"/>
                <w:szCs w:val="10"/>
              </w:rPr>
            </w:pPr>
          </w:p>
        </w:tc>
        <w:tc>
          <w:tcPr>
            <w:tcW w:w="567" w:type="dxa"/>
            <w:vAlign w:val="center"/>
          </w:tcPr>
          <w:p w14:paraId="4EA550B1" w14:textId="77777777" w:rsidR="00D34C6F" w:rsidRPr="00F9037E" w:rsidRDefault="00D34C6F" w:rsidP="00C05C97">
            <w:pPr>
              <w:spacing w:before="120" w:after="120"/>
              <w:jc w:val="center"/>
              <w:rPr>
                <w:b/>
                <w:color w:val="auto"/>
                <w:sz w:val="10"/>
                <w:szCs w:val="10"/>
              </w:rPr>
            </w:pPr>
          </w:p>
        </w:tc>
        <w:tc>
          <w:tcPr>
            <w:tcW w:w="567" w:type="dxa"/>
            <w:vAlign w:val="center"/>
          </w:tcPr>
          <w:p w14:paraId="371569D9" w14:textId="77777777" w:rsidR="00D34C6F" w:rsidRPr="00F9037E" w:rsidRDefault="00D34C6F" w:rsidP="00C05C97">
            <w:pPr>
              <w:spacing w:before="120" w:after="120"/>
              <w:jc w:val="center"/>
              <w:rPr>
                <w:b/>
                <w:color w:val="auto"/>
                <w:sz w:val="10"/>
                <w:szCs w:val="10"/>
              </w:rPr>
            </w:pPr>
          </w:p>
        </w:tc>
        <w:tc>
          <w:tcPr>
            <w:tcW w:w="567" w:type="dxa"/>
            <w:vAlign w:val="center"/>
          </w:tcPr>
          <w:p w14:paraId="4B8A719D" w14:textId="77777777" w:rsidR="00D34C6F" w:rsidRPr="00F9037E" w:rsidRDefault="00D34C6F" w:rsidP="00C05C97">
            <w:pPr>
              <w:spacing w:before="120" w:after="120"/>
              <w:jc w:val="center"/>
              <w:rPr>
                <w:b/>
                <w:color w:val="auto"/>
                <w:sz w:val="10"/>
                <w:szCs w:val="10"/>
              </w:rPr>
            </w:pPr>
          </w:p>
        </w:tc>
        <w:tc>
          <w:tcPr>
            <w:tcW w:w="567" w:type="dxa"/>
            <w:vAlign w:val="center"/>
          </w:tcPr>
          <w:p w14:paraId="19356E54" w14:textId="77777777" w:rsidR="00D34C6F" w:rsidRPr="00F9037E" w:rsidRDefault="00D34C6F" w:rsidP="00C05C97">
            <w:pPr>
              <w:spacing w:before="120" w:after="120"/>
              <w:jc w:val="center"/>
              <w:rPr>
                <w:b/>
                <w:color w:val="auto"/>
                <w:sz w:val="10"/>
                <w:szCs w:val="10"/>
              </w:rPr>
            </w:pPr>
          </w:p>
        </w:tc>
      </w:tr>
      <w:tr w:rsidR="00D34C6F" w:rsidRPr="00F9037E" w14:paraId="60761C30" w14:textId="77777777" w:rsidTr="00C05C97">
        <w:trPr>
          <w:trHeight w:val="270"/>
          <w:jc w:val="center"/>
        </w:trPr>
        <w:tc>
          <w:tcPr>
            <w:tcW w:w="662" w:type="dxa"/>
            <w:shd w:val="clear" w:color="auto" w:fill="auto"/>
            <w:vAlign w:val="center"/>
          </w:tcPr>
          <w:p w14:paraId="02ACAD19" w14:textId="77777777" w:rsidR="00D34C6F" w:rsidRPr="00F9037E" w:rsidRDefault="00D34C6F" w:rsidP="00C05C97">
            <w:pPr>
              <w:spacing w:before="120" w:after="120"/>
              <w:rPr>
                <w:color w:val="auto"/>
                <w:sz w:val="12"/>
                <w:szCs w:val="12"/>
              </w:rPr>
            </w:pPr>
            <w:r w:rsidRPr="00F9037E">
              <w:rPr>
                <w:color w:val="auto"/>
                <w:sz w:val="12"/>
                <w:szCs w:val="12"/>
              </w:rPr>
              <w:t>France</w:t>
            </w:r>
          </w:p>
        </w:tc>
        <w:tc>
          <w:tcPr>
            <w:tcW w:w="824" w:type="dxa"/>
            <w:shd w:val="clear" w:color="auto" w:fill="auto"/>
            <w:vAlign w:val="center"/>
          </w:tcPr>
          <w:p w14:paraId="35794231" w14:textId="77777777" w:rsidR="00D34C6F" w:rsidRPr="00F9037E" w:rsidRDefault="00D34C6F" w:rsidP="00C05C97">
            <w:pPr>
              <w:spacing w:before="120" w:after="120"/>
              <w:rPr>
                <w:color w:val="auto"/>
                <w:sz w:val="12"/>
                <w:szCs w:val="12"/>
              </w:rPr>
            </w:pPr>
            <w:r w:rsidRPr="00F9037E">
              <w:rPr>
                <w:color w:val="auto"/>
                <w:sz w:val="12"/>
                <w:szCs w:val="12"/>
              </w:rPr>
              <w:t>Melon</w:t>
            </w:r>
          </w:p>
        </w:tc>
        <w:tc>
          <w:tcPr>
            <w:tcW w:w="708" w:type="dxa"/>
            <w:shd w:val="clear" w:color="auto" w:fill="auto"/>
            <w:vAlign w:val="center"/>
          </w:tcPr>
          <w:p w14:paraId="07ED2ECB" w14:textId="77777777" w:rsidR="00D34C6F" w:rsidRPr="00F9037E" w:rsidRDefault="00D34C6F" w:rsidP="00C05C97">
            <w:pPr>
              <w:spacing w:before="120" w:after="120"/>
              <w:jc w:val="center"/>
              <w:rPr>
                <w:color w:val="auto"/>
                <w:sz w:val="10"/>
                <w:szCs w:val="10"/>
              </w:rPr>
            </w:pPr>
            <w:r w:rsidRPr="00F9037E">
              <w:rPr>
                <w:color w:val="auto"/>
                <w:sz w:val="10"/>
                <w:szCs w:val="10"/>
              </w:rPr>
              <w:t>10.000</w:t>
            </w:r>
          </w:p>
        </w:tc>
        <w:tc>
          <w:tcPr>
            <w:tcW w:w="709" w:type="dxa"/>
            <w:shd w:val="clear" w:color="auto" w:fill="auto"/>
            <w:vAlign w:val="center"/>
          </w:tcPr>
          <w:p w14:paraId="3128D5D3" w14:textId="77777777" w:rsidR="00D34C6F" w:rsidRPr="00F9037E" w:rsidRDefault="00D34C6F" w:rsidP="00C05C97">
            <w:pPr>
              <w:spacing w:before="120" w:after="120"/>
              <w:jc w:val="center"/>
              <w:rPr>
                <w:color w:val="auto"/>
                <w:sz w:val="10"/>
                <w:szCs w:val="10"/>
              </w:rPr>
            </w:pPr>
            <w:r w:rsidRPr="00F9037E">
              <w:rPr>
                <w:color w:val="auto"/>
                <w:sz w:val="10"/>
                <w:szCs w:val="10"/>
              </w:rPr>
              <w:t>10.000</w:t>
            </w:r>
          </w:p>
        </w:tc>
        <w:tc>
          <w:tcPr>
            <w:tcW w:w="709" w:type="dxa"/>
            <w:shd w:val="clear" w:color="auto" w:fill="auto"/>
            <w:vAlign w:val="center"/>
          </w:tcPr>
          <w:p w14:paraId="069FBC59" w14:textId="695F7AE8"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39095AC1" w14:textId="0EFB063A"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36EB6F56" w14:textId="4F2AA0C8"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11B0C30" w14:textId="3166FDF6"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05AF4E08" w14:textId="57299005"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31512C0D" w14:textId="7086FEDC"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213B4F7" w14:textId="05EC1F1C" w:rsidR="00D34C6F" w:rsidRPr="00F9037E" w:rsidRDefault="00D34C6F" w:rsidP="00C05C97">
            <w:pPr>
              <w:spacing w:before="120" w:after="120"/>
              <w:jc w:val="center"/>
              <w:rPr>
                <w:color w:val="auto"/>
                <w:sz w:val="10"/>
                <w:szCs w:val="10"/>
              </w:rPr>
            </w:pPr>
          </w:p>
        </w:tc>
        <w:tc>
          <w:tcPr>
            <w:tcW w:w="629" w:type="dxa"/>
            <w:vAlign w:val="center"/>
          </w:tcPr>
          <w:p w14:paraId="191231CD" w14:textId="77777777" w:rsidR="00D34C6F" w:rsidRPr="00F9037E" w:rsidRDefault="00D34C6F" w:rsidP="00C05C97">
            <w:pPr>
              <w:spacing w:before="120" w:after="120"/>
              <w:jc w:val="center"/>
              <w:rPr>
                <w:color w:val="auto"/>
                <w:sz w:val="10"/>
                <w:szCs w:val="10"/>
              </w:rPr>
            </w:pPr>
          </w:p>
        </w:tc>
        <w:tc>
          <w:tcPr>
            <w:tcW w:w="567" w:type="dxa"/>
            <w:vAlign w:val="center"/>
          </w:tcPr>
          <w:p w14:paraId="6A0D3AEF" w14:textId="77777777" w:rsidR="00D34C6F" w:rsidRPr="00F9037E" w:rsidRDefault="00D34C6F" w:rsidP="00C05C97">
            <w:pPr>
              <w:spacing w:before="120" w:after="120"/>
              <w:jc w:val="center"/>
              <w:rPr>
                <w:color w:val="auto"/>
                <w:sz w:val="10"/>
                <w:szCs w:val="10"/>
              </w:rPr>
            </w:pPr>
          </w:p>
        </w:tc>
        <w:tc>
          <w:tcPr>
            <w:tcW w:w="567" w:type="dxa"/>
            <w:vAlign w:val="center"/>
          </w:tcPr>
          <w:p w14:paraId="189AC086"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03D8A0D0" w14:textId="77777777" w:rsidR="00D34C6F" w:rsidRPr="00F9037E" w:rsidRDefault="00D34C6F" w:rsidP="00C05C97">
            <w:pPr>
              <w:spacing w:before="120" w:after="120"/>
              <w:jc w:val="center"/>
              <w:rPr>
                <w:color w:val="auto"/>
                <w:sz w:val="10"/>
                <w:szCs w:val="10"/>
              </w:rPr>
            </w:pPr>
            <w:r w:rsidRPr="00F9037E">
              <w:rPr>
                <w:color w:val="auto"/>
                <w:sz w:val="10"/>
                <w:szCs w:val="10"/>
              </w:rPr>
              <w:t>7.500</w:t>
            </w:r>
          </w:p>
        </w:tc>
        <w:tc>
          <w:tcPr>
            <w:tcW w:w="709" w:type="dxa"/>
            <w:shd w:val="clear" w:color="auto" w:fill="auto"/>
            <w:vAlign w:val="center"/>
          </w:tcPr>
          <w:p w14:paraId="289DEDA8" w14:textId="77777777" w:rsidR="00D34C6F" w:rsidRPr="00F9037E" w:rsidRDefault="00D34C6F" w:rsidP="00C05C97">
            <w:pPr>
              <w:spacing w:before="120" w:after="120"/>
              <w:jc w:val="center"/>
              <w:rPr>
                <w:color w:val="auto"/>
                <w:sz w:val="10"/>
                <w:szCs w:val="10"/>
              </w:rPr>
            </w:pPr>
            <w:r w:rsidRPr="00F9037E">
              <w:rPr>
                <w:color w:val="auto"/>
                <w:sz w:val="10"/>
                <w:szCs w:val="10"/>
              </w:rPr>
              <w:t>6.000</w:t>
            </w:r>
          </w:p>
        </w:tc>
        <w:tc>
          <w:tcPr>
            <w:tcW w:w="708" w:type="dxa"/>
            <w:shd w:val="clear" w:color="auto" w:fill="auto"/>
            <w:vAlign w:val="center"/>
          </w:tcPr>
          <w:p w14:paraId="4DB3124F" w14:textId="4E7218EA"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69D23717" w14:textId="0A329523"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09857C1" w14:textId="5190282B"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2F6B5E42" w14:textId="2261EC43"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50BC6F8" w14:textId="21B19CBC"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6FDCEC63" w14:textId="35D69C55" w:rsidR="00D34C6F" w:rsidRPr="00F9037E" w:rsidRDefault="00D34C6F" w:rsidP="00C05C97">
            <w:pPr>
              <w:spacing w:before="120" w:after="120"/>
              <w:jc w:val="center"/>
              <w:rPr>
                <w:b/>
                <w:color w:val="auto"/>
                <w:sz w:val="10"/>
                <w:szCs w:val="10"/>
              </w:rPr>
            </w:pPr>
          </w:p>
        </w:tc>
        <w:tc>
          <w:tcPr>
            <w:tcW w:w="567" w:type="dxa"/>
            <w:vAlign w:val="center"/>
          </w:tcPr>
          <w:p w14:paraId="09657912" w14:textId="77777777" w:rsidR="00D34C6F" w:rsidRPr="00F9037E" w:rsidRDefault="00D34C6F" w:rsidP="00C05C97">
            <w:pPr>
              <w:spacing w:before="120" w:after="120"/>
              <w:jc w:val="center"/>
              <w:rPr>
                <w:b/>
                <w:color w:val="auto"/>
                <w:sz w:val="10"/>
                <w:szCs w:val="10"/>
              </w:rPr>
            </w:pPr>
          </w:p>
        </w:tc>
        <w:tc>
          <w:tcPr>
            <w:tcW w:w="567" w:type="dxa"/>
            <w:vAlign w:val="center"/>
          </w:tcPr>
          <w:p w14:paraId="14E2589F" w14:textId="77777777" w:rsidR="00D34C6F" w:rsidRPr="00F9037E" w:rsidRDefault="00D34C6F" w:rsidP="00C05C97">
            <w:pPr>
              <w:spacing w:before="120" w:after="120"/>
              <w:jc w:val="center"/>
              <w:rPr>
                <w:b/>
                <w:color w:val="auto"/>
                <w:sz w:val="10"/>
                <w:szCs w:val="10"/>
              </w:rPr>
            </w:pPr>
          </w:p>
        </w:tc>
        <w:tc>
          <w:tcPr>
            <w:tcW w:w="567" w:type="dxa"/>
            <w:vAlign w:val="center"/>
          </w:tcPr>
          <w:p w14:paraId="4A6E7E43" w14:textId="77777777" w:rsidR="00D34C6F" w:rsidRPr="00F9037E" w:rsidRDefault="00D34C6F" w:rsidP="00C05C97">
            <w:pPr>
              <w:spacing w:before="120" w:after="120"/>
              <w:jc w:val="center"/>
              <w:rPr>
                <w:b/>
                <w:color w:val="auto"/>
                <w:sz w:val="10"/>
                <w:szCs w:val="10"/>
              </w:rPr>
            </w:pPr>
          </w:p>
        </w:tc>
        <w:tc>
          <w:tcPr>
            <w:tcW w:w="567" w:type="dxa"/>
            <w:vAlign w:val="center"/>
          </w:tcPr>
          <w:p w14:paraId="0BEEBA84" w14:textId="77777777" w:rsidR="00D34C6F" w:rsidRPr="00F9037E" w:rsidRDefault="00D34C6F" w:rsidP="00C05C97">
            <w:pPr>
              <w:spacing w:before="120" w:after="120"/>
              <w:jc w:val="center"/>
              <w:rPr>
                <w:b/>
                <w:color w:val="auto"/>
                <w:sz w:val="10"/>
                <w:szCs w:val="10"/>
              </w:rPr>
            </w:pPr>
          </w:p>
        </w:tc>
      </w:tr>
      <w:tr w:rsidR="00D34C6F" w:rsidRPr="00F9037E" w14:paraId="31D8CF6A" w14:textId="77777777" w:rsidTr="00C05C97">
        <w:trPr>
          <w:trHeight w:val="690"/>
          <w:jc w:val="center"/>
        </w:trPr>
        <w:tc>
          <w:tcPr>
            <w:tcW w:w="662" w:type="dxa"/>
            <w:shd w:val="clear" w:color="auto" w:fill="auto"/>
            <w:vAlign w:val="center"/>
          </w:tcPr>
          <w:p w14:paraId="2E244D28" w14:textId="77777777" w:rsidR="00D34C6F" w:rsidRPr="00F9037E" w:rsidRDefault="00D34C6F" w:rsidP="00C05C97">
            <w:pPr>
              <w:spacing w:before="120" w:after="120"/>
              <w:rPr>
                <w:color w:val="auto"/>
                <w:sz w:val="12"/>
                <w:szCs w:val="12"/>
              </w:rPr>
            </w:pPr>
            <w:r w:rsidRPr="00F9037E">
              <w:rPr>
                <w:color w:val="auto"/>
                <w:sz w:val="12"/>
                <w:szCs w:val="12"/>
              </w:rPr>
              <w:lastRenderedPageBreak/>
              <w:t>France</w:t>
            </w:r>
          </w:p>
        </w:tc>
        <w:tc>
          <w:tcPr>
            <w:tcW w:w="824" w:type="dxa"/>
            <w:shd w:val="clear" w:color="auto" w:fill="auto"/>
            <w:vAlign w:val="center"/>
          </w:tcPr>
          <w:p w14:paraId="41B0CAB4" w14:textId="77777777" w:rsidR="00D34C6F" w:rsidRPr="00F9037E" w:rsidRDefault="00D34C6F" w:rsidP="00C05C97">
            <w:pPr>
              <w:spacing w:before="120" w:after="120"/>
              <w:rPr>
                <w:color w:val="auto"/>
                <w:sz w:val="12"/>
                <w:szCs w:val="12"/>
              </w:rPr>
            </w:pPr>
            <w:r w:rsidRPr="00F9037E">
              <w:rPr>
                <w:color w:val="auto"/>
                <w:sz w:val="12"/>
                <w:szCs w:val="12"/>
              </w:rPr>
              <w:t>Nursery: orchard, raspberry</w:t>
            </w:r>
          </w:p>
        </w:tc>
        <w:tc>
          <w:tcPr>
            <w:tcW w:w="708" w:type="dxa"/>
            <w:shd w:val="clear" w:color="auto" w:fill="auto"/>
            <w:vAlign w:val="center"/>
          </w:tcPr>
          <w:p w14:paraId="365D26B2" w14:textId="77777777" w:rsidR="00D34C6F" w:rsidRPr="00F9037E" w:rsidRDefault="00D34C6F" w:rsidP="00C05C97">
            <w:pPr>
              <w:spacing w:before="120" w:after="120"/>
              <w:jc w:val="center"/>
              <w:rPr>
                <w:color w:val="auto"/>
                <w:sz w:val="10"/>
                <w:szCs w:val="10"/>
              </w:rPr>
            </w:pPr>
            <w:r w:rsidRPr="00F9037E">
              <w:rPr>
                <w:color w:val="auto"/>
                <w:sz w:val="10"/>
                <w:szCs w:val="10"/>
              </w:rPr>
              <w:t>5.000</w:t>
            </w:r>
          </w:p>
        </w:tc>
        <w:tc>
          <w:tcPr>
            <w:tcW w:w="709" w:type="dxa"/>
            <w:shd w:val="clear" w:color="auto" w:fill="auto"/>
            <w:vAlign w:val="center"/>
          </w:tcPr>
          <w:p w14:paraId="2EA24332" w14:textId="77777777" w:rsidR="00D34C6F" w:rsidRPr="00F9037E" w:rsidRDefault="00D34C6F" w:rsidP="00C05C97">
            <w:pPr>
              <w:spacing w:before="120" w:after="120"/>
              <w:jc w:val="center"/>
              <w:rPr>
                <w:color w:val="auto"/>
                <w:sz w:val="10"/>
                <w:szCs w:val="10"/>
              </w:rPr>
            </w:pPr>
            <w:r w:rsidRPr="00F9037E">
              <w:rPr>
                <w:color w:val="auto"/>
                <w:sz w:val="10"/>
                <w:szCs w:val="10"/>
              </w:rPr>
              <w:t>5.000</w:t>
            </w:r>
          </w:p>
        </w:tc>
        <w:tc>
          <w:tcPr>
            <w:tcW w:w="709" w:type="dxa"/>
            <w:shd w:val="clear" w:color="auto" w:fill="auto"/>
            <w:vAlign w:val="center"/>
          </w:tcPr>
          <w:p w14:paraId="21F8A869" w14:textId="77777777" w:rsidR="00D34C6F" w:rsidRPr="00F9037E" w:rsidRDefault="00D34C6F" w:rsidP="00C05C97">
            <w:pPr>
              <w:spacing w:before="120" w:after="120"/>
              <w:jc w:val="center"/>
              <w:rPr>
                <w:color w:val="auto"/>
                <w:sz w:val="10"/>
                <w:szCs w:val="10"/>
              </w:rPr>
            </w:pPr>
            <w:r w:rsidRPr="00F9037E">
              <w:rPr>
                <w:color w:val="auto"/>
                <w:sz w:val="10"/>
                <w:szCs w:val="10"/>
              </w:rPr>
              <w:t>2.000</w:t>
            </w:r>
          </w:p>
        </w:tc>
        <w:tc>
          <w:tcPr>
            <w:tcW w:w="567" w:type="dxa"/>
            <w:shd w:val="clear" w:color="auto" w:fill="auto"/>
            <w:vAlign w:val="center"/>
          </w:tcPr>
          <w:p w14:paraId="5B61966A" w14:textId="05384006"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49D44B48" w14:textId="59FCE32C"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7058DCC6" w14:textId="55A3E347"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1C1A8D0C" w14:textId="0B5301E6"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1A1B53D" w14:textId="0A7C85A3"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73B2C19E" w14:textId="661F70B7" w:rsidR="00D34C6F" w:rsidRPr="00F9037E" w:rsidRDefault="00D34C6F" w:rsidP="00C05C97">
            <w:pPr>
              <w:spacing w:before="120" w:after="120"/>
              <w:jc w:val="center"/>
              <w:rPr>
                <w:color w:val="auto"/>
                <w:sz w:val="10"/>
                <w:szCs w:val="10"/>
              </w:rPr>
            </w:pPr>
          </w:p>
        </w:tc>
        <w:tc>
          <w:tcPr>
            <w:tcW w:w="629" w:type="dxa"/>
            <w:vAlign w:val="center"/>
          </w:tcPr>
          <w:p w14:paraId="2BBAD026" w14:textId="77777777" w:rsidR="00D34C6F" w:rsidRPr="00F9037E" w:rsidRDefault="00D34C6F" w:rsidP="00C05C97">
            <w:pPr>
              <w:spacing w:before="120" w:after="120"/>
              <w:jc w:val="center"/>
              <w:rPr>
                <w:color w:val="auto"/>
                <w:sz w:val="10"/>
                <w:szCs w:val="10"/>
              </w:rPr>
            </w:pPr>
          </w:p>
        </w:tc>
        <w:tc>
          <w:tcPr>
            <w:tcW w:w="567" w:type="dxa"/>
            <w:vAlign w:val="center"/>
          </w:tcPr>
          <w:p w14:paraId="38CFFE1F" w14:textId="77777777" w:rsidR="00D34C6F" w:rsidRPr="00F9037E" w:rsidRDefault="00D34C6F" w:rsidP="00C05C97">
            <w:pPr>
              <w:spacing w:before="120" w:after="120"/>
              <w:jc w:val="center"/>
              <w:rPr>
                <w:color w:val="auto"/>
                <w:sz w:val="10"/>
                <w:szCs w:val="10"/>
              </w:rPr>
            </w:pPr>
          </w:p>
        </w:tc>
        <w:tc>
          <w:tcPr>
            <w:tcW w:w="567" w:type="dxa"/>
            <w:vAlign w:val="center"/>
          </w:tcPr>
          <w:p w14:paraId="1E54CD92"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365F1981" w14:textId="77777777" w:rsidR="00D34C6F" w:rsidRPr="00F9037E" w:rsidRDefault="00D34C6F" w:rsidP="00C05C97">
            <w:pPr>
              <w:spacing w:before="120" w:after="120"/>
              <w:jc w:val="center"/>
              <w:rPr>
                <w:color w:val="auto"/>
                <w:sz w:val="10"/>
                <w:szCs w:val="10"/>
              </w:rPr>
            </w:pPr>
            <w:r w:rsidRPr="00F9037E">
              <w:rPr>
                <w:color w:val="auto"/>
                <w:sz w:val="10"/>
                <w:szCs w:val="10"/>
              </w:rPr>
              <w:t>5.000</w:t>
            </w:r>
          </w:p>
        </w:tc>
        <w:tc>
          <w:tcPr>
            <w:tcW w:w="709" w:type="dxa"/>
            <w:shd w:val="clear" w:color="auto" w:fill="auto"/>
            <w:vAlign w:val="center"/>
          </w:tcPr>
          <w:p w14:paraId="79623DEE" w14:textId="77777777" w:rsidR="00D34C6F" w:rsidRPr="00F9037E" w:rsidRDefault="00D34C6F" w:rsidP="00C05C97">
            <w:pPr>
              <w:spacing w:before="120" w:after="120"/>
              <w:jc w:val="center"/>
              <w:rPr>
                <w:color w:val="auto"/>
                <w:sz w:val="10"/>
                <w:szCs w:val="10"/>
              </w:rPr>
            </w:pPr>
            <w:r w:rsidRPr="00F9037E">
              <w:rPr>
                <w:color w:val="auto"/>
                <w:sz w:val="10"/>
                <w:szCs w:val="10"/>
              </w:rPr>
              <w:t>5.000</w:t>
            </w:r>
          </w:p>
        </w:tc>
        <w:tc>
          <w:tcPr>
            <w:tcW w:w="708" w:type="dxa"/>
            <w:shd w:val="clear" w:color="auto" w:fill="auto"/>
            <w:vAlign w:val="center"/>
          </w:tcPr>
          <w:p w14:paraId="48EECC05" w14:textId="77777777" w:rsidR="00D34C6F" w:rsidRPr="00F9037E" w:rsidRDefault="00D34C6F" w:rsidP="00C05C97">
            <w:pPr>
              <w:spacing w:before="120" w:after="120"/>
              <w:jc w:val="center"/>
              <w:rPr>
                <w:color w:val="auto"/>
                <w:sz w:val="10"/>
                <w:szCs w:val="10"/>
              </w:rPr>
            </w:pPr>
            <w:r w:rsidRPr="00F9037E">
              <w:rPr>
                <w:color w:val="auto"/>
                <w:sz w:val="10"/>
                <w:szCs w:val="10"/>
              </w:rPr>
              <w:t>2.000</w:t>
            </w:r>
          </w:p>
        </w:tc>
        <w:tc>
          <w:tcPr>
            <w:tcW w:w="709" w:type="dxa"/>
            <w:shd w:val="clear" w:color="auto" w:fill="auto"/>
            <w:vAlign w:val="center"/>
          </w:tcPr>
          <w:p w14:paraId="0C15BFB3" w14:textId="5F3406A7"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3967EE60" w14:textId="69F01D44"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6330A321" w14:textId="3B9FA96C"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BEF030D" w14:textId="77336767"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7B54F04C" w14:textId="0A12CC16" w:rsidR="00D34C6F" w:rsidRPr="00F9037E" w:rsidRDefault="00D34C6F" w:rsidP="00C05C97">
            <w:pPr>
              <w:spacing w:before="120" w:after="120"/>
              <w:jc w:val="center"/>
              <w:rPr>
                <w:b/>
                <w:color w:val="auto"/>
                <w:sz w:val="10"/>
                <w:szCs w:val="10"/>
              </w:rPr>
            </w:pPr>
          </w:p>
        </w:tc>
        <w:tc>
          <w:tcPr>
            <w:tcW w:w="567" w:type="dxa"/>
            <w:vAlign w:val="center"/>
          </w:tcPr>
          <w:p w14:paraId="04938701" w14:textId="77777777" w:rsidR="00D34C6F" w:rsidRPr="00F9037E" w:rsidRDefault="00D34C6F" w:rsidP="00C05C97">
            <w:pPr>
              <w:spacing w:before="120" w:after="120"/>
              <w:jc w:val="center"/>
              <w:rPr>
                <w:b/>
                <w:color w:val="auto"/>
                <w:sz w:val="10"/>
                <w:szCs w:val="10"/>
              </w:rPr>
            </w:pPr>
          </w:p>
        </w:tc>
        <w:tc>
          <w:tcPr>
            <w:tcW w:w="567" w:type="dxa"/>
            <w:vAlign w:val="center"/>
          </w:tcPr>
          <w:p w14:paraId="2AAEDA5A" w14:textId="77777777" w:rsidR="00D34C6F" w:rsidRPr="00F9037E" w:rsidRDefault="00D34C6F" w:rsidP="00C05C97">
            <w:pPr>
              <w:spacing w:before="120" w:after="120"/>
              <w:jc w:val="center"/>
              <w:rPr>
                <w:b/>
                <w:color w:val="auto"/>
                <w:sz w:val="10"/>
                <w:szCs w:val="10"/>
              </w:rPr>
            </w:pPr>
          </w:p>
        </w:tc>
        <w:tc>
          <w:tcPr>
            <w:tcW w:w="567" w:type="dxa"/>
            <w:vAlign w:val="center"/>
          </w:tcPr>
          <w:p w14:paraId="10FB6FE3" w14:textId="77777777" w:rsidR="00D34C6F" w:rsidRPr="00F9037E" w:rsidRDefault="00D34C6F" w:rsidP="00C05C97">
            <w:pPr>
              <w:spacing w:before="120" w:after="120"/>
              <w:jc w:val="center"/>
              <w:rPr>
                <w:b/>
                <w:color w:val="auto"/>
                <w:sz w:val="10"/>
                <w:szCs w:val="10"/>
              </w:rPr>
            </w:pPr>
          </w:p>
        </w:tc>
        <w:tc>
          <w:tcPr>
            <w:tcW w:w="567" w:type="dxa"/>
            <w:vAlign w:val="center"/>
          </w:tcPr>
          <w:p w14:paraId="19000BFE" w14:textId="77777777" w:rsidR="00D34C6F" w:rsidRPr="00F9037E" w:rsidRDefault="00D34C6F" w:rsidP="00C05C97">
            <w:pPr>
              <w:spacing w:before="120" w:after="120"/>
              <w:jc w:val="center"/>
              <w:rPr>
                <w:b/>
                <w:color w:val="auto"/>
                <w:sz w:val="10"/>
                <w:szCs w:val="10"/>
              </w:rPr>
            </w:pPr>
          </w:p>
        </w:tc>
      </w:tr>
      <w:tr w:rsidR="00D34C6F" w:rsidRPr="00F9037E" w14:paraId="412CB5D5" w14:textId="77777777" w:rsidTr="00C05C97">
        <w:trPr>
          <w:trHeight w:val="465"/>
          <w:jc w:val="center"/>
        </w:trPr>
        <w:tc>
          <w:tcPr>
            <w:tcW w:w="662" w:type="dxa"/>
            <w:shd w:val="clear" w:color="auto" w:fill="auto"/>
            <w:vAlign w:val="center"/>
          </w:tcPr>
          <w:p w14:paraId="6599DB90" w14:textId="77777777" w:rsidR="00D34C6F" w:rsidRPr="00F9037E" w:rsidRDefault="00D34C6F" w:rsidP="00C05C97">
            <w:pPr>
              <w:spacing w:before="120" w:after="120"/>
              <w:rPr>
                <w:color w:val="auto"/>
                <w:sz w:val="12"/>
                <w:szCs w:val="12"/>
              </w:rPr>
            </w:pPr>
            <w:r w:rsidRPr="00F9037E">
              <w:rPr>
                <w:color w:val="auto"/>
                <w:sz w:val="12"/>
                <w:szCs w:val="12"/>
              </w:rPr>
              <w:t>France</w:t>
            </w:r>
          </w:p>
        </w:tc>
        <w:tc>
          <w:tcPr>
            <w:tcW w:w="824" w:type="dxa"/>
            <w:shd w:val="clear" w:color="auto" w:fill="auto"/>
            <w:vAlign w:val="center"/>
          </w:tcPr>
          <w:p w14:paraId="5A891D25" w14:textId="77777777" w:rsidR="00D34C6F" w:rsidRPr="00F9037E" w:rsidRDefault="00D34C6F" w:rsidP="00C05C97">
            <w:pPr>
              <w:spacing w:before="120" w:after="120"/>
              <w:rPr>
                <w:color w:val="auto"/>
                <w:sz w:val="12"/>
                <w:szCs w:val="12"/>
              </w:rPr>
            </w:pPr>
            <w:r w:rsidRPr="00F9037E">
              <w:rPr>
                <w:color w:val="auto"/>
                <w:sz w:val="12"/>
                <w:szCs w:val="12"/>
              </w:rPr>
              <w:t>Orchard replant</w:t>
            </w:r>
          </w:p>
        </w:tc>
        <w:tc>
          <w:tcPr>
            <w:tcW w:w="708" w:type="dxa"/>
            <w:shd w:val="clear" w:color="auto" w:fill="auto"/>
            <w:vAlign w:val="center"/>
          </w:tcPr>
          <w:p w14:paraId="592FFB9E" w14:textId="77777777" w:rsidR="00D34C6F" w:rsidRPr="00F9037E" w:rsidRDefault="00D34C6F" w:rsidP="00C05C97">
            <w:pPr>
              <w:spacing w:before="120" w:after="120"/>
              <w:jc w:val="center"/>
              <w:rPr>
                <w:color w:val="auto"/>
                <w:sz w:val="10"/>
                <w:szCs w:val="10"/>
              </w:rPr>
            </w:pPr>
            <w:r w:rsidRPr="00F9037E">
              <w:rPr>
                <w:color w:val="auto"/>
                <w:sz w:val="10"/>
                <w:szCs w:val="10"/>
              </w:rPr>
              <w:t>25.000</w:t>
            </w:r>
          </w:p>
        </w:tc>
        <w:tc>
          <w:tcPr>
            <w:tcW w:w="709" w:type="dxa"/>
            <w:shd w:val="clear" w:color="auto" w:fill="auto"/>
            <w:vAlign w:val="center"/>
          </w:tcPr>
          <w:p w14:paraId="20D4BACF" w14:textId="77777777" w:rsidR="00D34C6F" w:rsidRPr="00F9037E" w:rsidRDefault="00D34C6F" w:rsidP="00C05C97">
            <w:pPr>
              <w:spacing w:before="120" w:after="120"/>
              <w:jc w:val="center"/>
              <w:rPr>
                <w:color w:val="auto"/>
                <w:sz w:val="10"/>
                <w:szCs w:val="10"/>
              </w:rPr>
            </w:pPr>
            <w:r w:rsidRPr="00F9037E">
              <w:rPr>
                <w:color w:val="auto"/>
                <w:sz w:val="10"/>
                <w:szCs w:val="10"/>
              </w:rPr>
              <w:t>25.000</w:t>
            </w:r>
          </w:p>
        </w:tc>
        <w:tc>
          <w:tcPr>
            <w:tcW w:w="709" w:type="dxa"/>
            <w:shd w:val="clear" w:color="auto" w:fill="auto"/>
            <w:vAlign w:val="center"/>
          </w:tcPr>
          <w:p w14:paraId="1C0F6BF2" w14:textId="77777777" w:rsidR="00D34C6F" w:rsidRPr="00F9037E" w:rsidRDefault="00D34C6F" w:rsidP="00C05C97">
            <w:pPr>
              <w:spacing w:before="120" w:after="120"/>
              <w:jc w:val="center"/>
              <w:rPr>
                <w:color w:val="auto"/>
                <w:sz w:val="10"/>
                <w:szCs w:val="10"/>
              </w:rPr>
            </w:pPr>
            <w:r w:rsidRPr="00F9037E">
              <w:rPr>
                <w:color w:val="auto"/>
                <w:sz w:val="10"/>
                <w:szCs w:val="10"/>
              </w:rPr>
              <w:t>7.500</w:t>
            </w:r>
          </w:p>
        </w:tc>
        <w:tc>
          <w:tcPr>
            <w:tcW w:w="567" w:type="dxa"/>
            <w:shd w:val="clear" w:color="auto" w:fill="auto"/>
            <w:vAlign w:val="center"/>
          </w:tcPr>
          <w:p w14:paraId="16ACE71A" w14:textId="0E2C309A"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022A8F2A" w14:textId="505137CC"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35C2F302" w14:textId="56D65B42"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12F168C7" w14:textId="7877DE1F"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24D44A0" w14:textId="299141BA"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794EA003" w14:textId="449336CA" w:rsidR="00D34C6F" w:rsidRPr="00F9037E" w:rsidRDefault="00D34C6F" w:rsidP="00C05C97">
            <w:pPr>
              <w:spacing w:before="120" w:after="120"/>
              <w:jc w:val="center"/>
              <w:rPr>
                <w:color w:val="auto"/>
                <w:sz w:val="10"/>
                <w:szCs w:val="10"/>
              </w:rPr>
            </w:pPr>
          </w:p>
        </w:tc>
        <w:tc>
          <w:tcPr>
            <w:tcW w:w="629" w:type="dxa"/>
            <w:vAlign w:val="center"/>
          </w:tcPr>
          <w:p w14:paraId="585D96E3" w14:textId="77777777" w:rsidR="00D34C6F" w:rsidRPr="00F9037E" w:rsidRDefault="00D34C6F" w:rsidP="00C05C97">
            <w:pPr>
              <w:spacing w:before="120" w:after="120"/>
              <w:jc w:val="center"/>
              <w:rPr>
                <w:color w:val="auto"/>
                <w:sz w:val="10"/>
                <w:szCs w:val="10"/>
              </w:rPr>
            </w:pPr>
          </w:p>
        </w:tc>
        <w:tc>
          <w:tcPr>
            <w:tcW w:w="567" w:type="dxa"/>
            <w:vAlign w:val="center"/>
          </w:tcPr>
          <w:p w14:paraId="19726FCA" w14:textId="77777777" w:rsidR="00D34C6F" w:rsidRPr="00F9037E" w:rsidRDefault="00D34C6F" w:rsidP="00C05C97">
            <w:pPr>
              <w:spacing w:before="120" w:after="120"/>
              <w:jc w:val="center"/>
              <w:rPr>
                <w:color w:val="auto"/>
                <w:sz w:val="10"/>
                <w:szCs w:val="10"/>
              </w:rPr>
            </w:pPr>
          </w:p>
        </w:tc>
        <w:tc>
          <w:tcPr>
            <w:tcW w:w="567" w:type="dxa"/>
            <w:vAlign w:val="center"/>
          </w:tcPr>
          <w:p w14:paraId="56374C62"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227A27B1" w14:textId="77777777" w:rsidR="00D34C6F" w:rsidRPr="00F9037E" w:rsidRDefault="00D34C6F" w:rsidP="00C05C97">
            <w:pPr>
              <w:spacing w:before="120" w:after="120"/>
              <w:jc w:val="center"/>
              <w:rPr>
                <w:color w:val="auto"/>
                <w:sz w:val="10"/>
                <w:szCs w:val="10"/>
              </w:rPr>
            </w:pPr>
            <w:r w:rsidRPr="00F9037E">
              <w:rPr>
                <w:color w:val="auto"/>
                <w:sz w:val="10"/>
                <w:szCs w:val="10"/>
              </w:rPr>
              <w:t>25.000</w:t>
            </w:r>
          </w:p>
        </w:tc>
        <w:tc>
          <w:tcPr>
            <w:tcW w:w="709" w:type="dxa"/>
            <w:shd w:val="clear" w:color="auto" w:fill="auto"/>
            <w:vAlign w:val="center"/>
          </w:tcPr>
          <w:p w14:paraId="43516DD8" w14:textId="77777777" w:rsidR="00D34C6F" w:rsidRPr="00F9037E" w:rsidRDefault="00D34C6F" w:rsidP="00C05C97">
            <w:pPr>
              <w:spacing w:before="120" w:after="120"/>
              <w:jc w:val="center"/>
              <w:rPr>
                <w:color w:val="auto"/>
                <w:sz w:val="10"/>
                <w:szCs w:val="10"/>
              </w:rPr>
            </w:pPr>
            <w:r w:rsidRPr="00F9037E">
              <w:rPr>
                <w:color w:val="auto"/>
                <w:sz w:val="10"/>
                <w:szCs w:val="10"/>
              </w:rPr>
              <w:t>25.000</w:t>
            </w:r>
          </w:p>
        </w:tc>
        <w:tc>
          <w:tcPr>
            <w:tcW w:w="708" w:type="dxa"/>
            <w:shd w:val="clear" w:color="auto" w:fill="auto"/>
            <w:vAlign w:val="center"/>
          </w:tcPr>
          <w:p w14:paraId="25EFC851" w14:textId="77777777" w:rsidR="00D34C6F" w:rsidRPr="00F9037E" w:rsidRDefault="00D34C6F" w:rsidP="00C05C97">
            <w:pPr>
              <w:spacing w:before="120" w:after="120"/>
              <w:jc w:val="center"/>
              <w:rPr>
                <w:color w:val="auto"/>
                <w:sz w:val="10"/>
                <w:szCs w:val="10"/>
              </w:rPr>
            </w:pPr>
            <w:r w:rsidRPr="00F9037E">
              <w:rPr>
                <w:color w:val="auto"/>
                <w:sz w:val="10"/>
                <w:szCs w:val="10"/>
              </w:rPr>
              <w:t>7.000</w:t>
            </w:r>
          </w:p>
        </w:tc>
        <w:tc>
          <w:tcPr>
            <w:tcW w:w="709" w:type="dxa"/>
            <w:shd w:val="clear" w:color="auto" w:fill="auto"/>
            <w:vAlign w:val="center"/>
          </w:tcPr>
          <w:p w14:paraId="7AE4A4E3" w14:textId="5EA9C264"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30969406" w14:textId="31935C75"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1BB971E3" w14:textId="7D4EBE14"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3452E4C9" w14:textId="50DF13B4"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6B1FCC42" w14:textId="1903C5C5" w:rsidR="00D34C6F" w:rsidRPr="00F9037E" w:rsidRDefault="00D34C6F" w:rsidP="00C05C97">
            <w:pPr>
              <w:spacing w:before="120" w:after="120"/>
              <w:jc w:val="center"/>
              <w:rPr>
                <w:b/>
                <w:color w:val="auto"/>
                <w:sz w:val="10"/>
                <w:szCs w:val="10"/>
              </w:rPr>
            </w:pPr>
          </w:p>
        </w:tc>
        <w:tc>
          <w:tcPr>
            <w:tcW w:w="567" w:type="dxa"/>
            <w:vAlign w:val="center"/>
          </w:tcPr>
          <w:p w14:paraId="3DEBE6A1" w14:textId="77777777" w:rsidR="00D34C6F" w:rsidRPr="00F9037E" w:rsidRDefault="00D34C6F" w:rsidP="00C05C97">
            <w:pPr>
              <w:spacing w:before="120" w:after="120"/>
              <w:jc w:val="center"/>
              <w:rPr>
                <w:b/>
                <w:color w:val="auto"/>
                <w:sz w:val="10"/>
                <w:szCs w:val="10"/>
              </w:rPr>
            </w:pPr>
          </w:p>
        </w:tc>
        <w:tc>
          <w:tcPr>
            <w:tcW w:w="567" w:type="dxa"/>
            <w:vAlign w:val="center"/>
          </w:tcPr>
          <w:p w14:paraId="1DFB82A3" w14:textId="77777777" w:rsidR="00D34C6F" w:rsidRPr="00F9037E" w:rsidRDefault="00D34C6F" w:rsidP="00C05C97">
            <w:pPr>
              <w:spacing w:before="120" w:after="120"/>
              <w:jc w:val="center"/>
              <w:rPr>
                <w:b/>
                <w:color w:val="auto"/>
                <w:sz w:val="10"/>
                <w:szCs w:val="10"/>
              </w:rPr>
            </w:pPr>
          </w:p>
        </w:tc>
        <w:tc>
          <w:tcPr>
            <w:tcW w:w="567" w:type="dxa"/>
            <w:vAlign w:val="center"/>
          </w:tcPr>
          <w:p w14:paraId="54CF5A04" w14:textId="77777777" w:rsidR="00D34C6F" w:rsidRPr="00F9037E" w:rsidRDefault="00D34C6F" w:rsidP="00C05C97">
            <w:pPr>
              <w:spacing w:before="120" w:after="120"/>
              <w:jc w:val="center"/>
              <w:rPr>
                <w:b/>
                <w:color w:val="auto"/>
                <w:sz w:val="10"/>
                <w:szCs w:val="10"/>
              </w:rPr>
            </w:pPr>
          </w:p>
        </w:tc>
        <w:tc>
          <w:tcPr>
            <w:tcW w:w="567" w:type="dxa"/>
            <w:vAlign w:val="center"/>
          </w:tcPr>
          <w:p w14:paraId="31BD2B23" w14:textId="77777777" w:rsidR="00D34C6F" w:rsidRPr="00F9037E" w:rsidRDefault="00D34C6F" w:rsidP="00C05C97">
            <w:pPr>
              <w:spacing w:before="120" w:after="120"/>
              <w:jc w:val="center"/>
              <w:rPr>
                <w:b/>
                <w:color w:val="auto"/>
                <w:sz w:val="10"/>
                <w:szCs w:val="10"/>
              </w:rPr>
            </w:pPr>
          </w:p>
        </w:tc>
      </w:tr>
      <w:tr w:rsidR="00D34C6F" w:rsidRPr="00F9037E" w14:paraId="69CAA9B4" w14:textId="77777777" w:rsidTr="00C05C97">
        <w:trPr>
          <w:trHeight w:val="690"/>
          <w:jc w:val="center"/>
        </w:trPr>
        <w:tc>
          <w:tcPr>
            <w:tcW w:w="662" w:type="dxa"/>
            <w:shd w:val="clear" w:color="auto" w:fill="auto"/>
            <w:vAlign w:val="center"/>
          </w:tcPr>
          <w:p w14:paraId="6B48773B" w14:textId="77777777" w:rsidR="00D34C6F" w:rsidRPr="00F9037E" w:rsidRDefault="00D34C6F" w:rsidP="00C05C97">
            <w:pPr>
              <w:spacing w:before="120" w:after="120"/>
              <w:rPr>
                <w:color w:val="auto"/>
                <w:sz w:val="12"/>
                <w:szCs w:val="12"/>
              </w:rPr>
            </w:pPr>
            <w:r w:rsidRPr="00F9037E">
              <w:rPr>
                <w:color w:val="auto"/>
                <w:sz w:val="12"/>
                <w:szCs w:val="12"/>
              </w:rPr>
              <w:t>France</w:t>
            </w:r>
          </w:p>
        </w:tc>
        <w:tc>
          <w:tcPr>
            <w:tcW w:w="824" w:type="dxa"/>
            <w:shd w:val="clear" w:color="auto" w:fill="auto"/>
            <w:vAlign w:val="center"/>
          </w:tcPr>
          <w:p w14:paraId="5612FDE1" w14:textId="77777777" w:rsidR="00D34C6F" w:rsidRPr="00F9037E" w:rsidRDefault="00D34C6F" w:rsidP="00C05C97">
            <w:pPr>
              <w:spacing w:before="120" w:after="120"/>
              <w:rPr>
                <w:color w:val="auto"/>
                <w:sz w:val="12"/>
                <w:szCs w:val="12"/>
              </w:rPr>
            </w:pPr>
            <w:r w:rsidRPr="00F9037E">
              <w:rPr>
                <w:color w:val="auto"/>
                <w:sz w:val="12"/>
                <w:szCs w:val="12"/>
              </w:rPr>
              <w:t>Pepper</w:t>
            </w:r>
          </w:p>
        </w:tc>
        <w:tc>
          <w:tcPr>
            <w:tcW w:w="708" w:type="dxa"/>
            <w:shd w:val="clear" w:color="auto" w:fill="auto"/>
            <w:vAlign w:val="center"/>
          </w:tcPr>
          <w:p w14:paraId="31A28CDC" w14:textId="77777777" w:rsidR="00D34C6F" w:rsidRPr="00F9037E" w:rsidRDefault="00D34C6F" w:rsidP="00C05C97">
            <w:pPr>
              <w:spacing w:before="120" w:after="120"/>
              <w:jc w:val="center"/>
              <w:rPr>
                <w:color w:val="auto"/>
                <w:sz w:val="10"/>
                <w:szCs w:val="10"/>
              </w:rPr>
            </w:pPr>
            <w:proofErr w:type="spellStart"/>
            <w:r w:rsidRPr="00F9037E">
              <w:rPr>
                <w:color w:val="auto"/>
                <w:sz w:val="10"/>
                <w:szCs w:val="10"/>
              </w:rPr>
              <w:t>Inclin.tomatocun</w:t>
            </w:r>
            <w:proofErr w:type="spellEnd"/>
          </w:p>
        </w:tc>
        <w:tc>
          <w:tcPr>
            <w:tcW w:w="709" w:type="dxa"/>
            <w:shd w:val="clear" w:color="auto" w:fill="auto"/>
            <w:vAlign w:val="center"/>
          </w:tcPr>
          <w:p w14:paraId="4402B1E2" w14:textId="77777777" w:rsidR="00D34C6F" w:rsidRPr="00F9037E" w:rsidRDefault="00D34C6F" w:rsidP="00C05C97">
            <w:pPr>
              <w:spacing w:before="120" w:after="120"/>
              <w:jc w:val="center"/>
              <w:rPr>
                <w:color w:val="auto"/>
                <w:sz w:val="10"/>
                <w:szCs w:val="10"/>
              </w:rPr>
            </w:pPr>
            <w:r w:rsidRPr="00F9037E">
              <w:rPr>
                <w:color w:val="auto"/>
                <w:sz w:val="10"/>
                <w:szCs w:val="10"/>
              </w:rPr>
              <w:t>27.500</w:t>
            </w:r>
          </w:p>
        </w:tc>
        <w:tc>
          <w:tcPr>
            <w:tcW w:w="709" w:type="dxa"/>
            <w:shd w:val="clear" w:color="auto" w:fill="auto"/>
            <w:vAlign w:val="center"/>
          </w:tcPr>
          <w:p w14:paraId="366EFC66" w14:textId="77777777" w:rsidR="00D34C6F" w:rsidRPr="00F9037E" w:rsidRDefault="00D34C6F" w:rsidP="00C05C97">
            <w:pPr>
              <w:spacing w:before="120" w:after="120"/>
              <w:jc w:val="center"/>
              <w:rPr>
                <w:color w:val="auto"/>
                <w:sz w:val="10"/>
                <w:szCs w:val="10"/>
              </w:rPr>
            </w:pPr>
            <w:r w:rsidRPr="00F9037E">
              <w:rPr>
                <w:color w:val="auto"/>
                <w:sz w:val="10"/>
                <w:szCs w:val="10"/>
              </w:rPr>
              <w:t>6.000</w:t>
            </w:r>
          </w:p>
        </w:tc>
        <w:tc>
          <w:tcPr>
            <w:tcW w:w="567" w:type="dxa"/>
            <w:shd w:val="clear" w:color="auto" w:fill="auto"/>
            <w:vAlign w:val="center"/>
          </w:tcPr>
          <w:p w14:paraId="5AD5B1F7" w14:textId="40C6E731"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5319338F" w14:textId="29A0075D"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8DBE532" w14:textId="7B4735FA"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76F46662" w14:textId="75EEA4B0"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908B8C9" w14:textId="5F30F14A"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7EA5C22B" w14:textId="73A59FBD" w:rsidR="00D34C6F" w:rsidRPr="00F9037E" w:rsidRDefault="00D34C6F" w:rsidP="00C05C97">
            <w:pPr>
              <w:spacing w:before="120" w:after="120"/>
              <w:jc w:val="center"/>
              <w:rPr>
                <w:color w:val="auto"/>
                <w:sz w:val="10"/>
                <w:szCs w:val="10"/>
              </w:rPr>
            </w:pPr>
          </w:p>
        </w:tc>
        <w:tc>
          <w:tcPr>
            <w:tcW w:w="629" w:type="dxa"/>
            <w:vAlign w:val="center"/>
          </w:tcPr>
          <w:p w14:paraId="3816F2F1" w14:textId="77777777" w:rsidR="00D34C6F" w:rsidRPr="00F9037E" w:rsidRDefault="00D34C6F" w:rsidP="00C05C97">
            <w:pPr>
              <w:spacing w:before="120" w:after="120"/>
              <w:jc w:val="center"/>
              <w:rPr>
                <w:color w:val="auto"/>
                <w:sz w:val="10"/>
                <w:szCs w:val="10"/>
              </w:rPr>
            </w:pPr>
          </w:p>
        </w:tc>
        <w:tc>
          <w:tcPr>
            <w:tcW w:w="567" w:type="dxa"/>
            <w:vAlign w:val="center"/>
          </w:tcPr>
          <w:p w14:paraId="6372E330" w14:textId="77777777" w:rsidR="00D34C6F" w:rsidRPr="00F9037E" w:rsidRDefault="00D34C6F" w:rsidP="00C05C97">
            <w:pPr>
              <w:spacing w:before="120" w:after="120"/>
              <w:jc w:val="center"/>
              <w:rPr>
                <w:color w:val="auto"/>
                <w:sz w:val="10"/>
                <w:szCs w:val="10"/>
              </w:rPr>
            </w:pPr>
          </w:p>
        </w:tc>
        <w:tc>
          <w:tcPr>
            <w:tcW w:w="567" w:type="dxa"/>
            <w:vAlign w:val="center"/>
          </w:tcPr>
          <w:p w14:paraId="498287E5"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2FA445C4" w14:textId="33EDF92A"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4C15476B" w14:textId="77777777" w:rsidR="00D34C6F" w:rsidRPr="00F9037E" w:rsidRDefault="00D34C6F" w:rsidP="00C05C97">
            <w:pPr>
              <w:spacing w:before="120" w:after="120"/>
              <w:jc w:val="center"/>
              <w:rPr>
                <w:color w:val="auto"/>
                <w:sz w:val="10"/>
                <w:szCs w:val="10"/>
              </w:rPr>
            </w:pPr>
            <w:r w:rsidRPr="00F9037E">
              <w:rPr>
                <w:color w:val="auto"/>
                <w:sz w:val="10"/>
                <w:szCs w:val="10"/>
              </w:rPr>
              <w:t>27.500</w:t>
            </w:r>
          </w:p>
        </w:tc>
        <w:tc>
          <w:tcPr>
            <w:tcW w:w="708" w:type="dxa"/>
            <w:shd w:val="clear" w:color="auto" w:fill="auto"/>
            <w:vAlign w:val="center"/>
          </w:tcPr>
          <w:p w14:paraId="6761BE31" w14:textId="77777777" w:rsidR="00D34C6F" w:rsidRPr="00F9037E" w:rsidRDefault="00D34C6F" w:rsidP="00C05C97">
            <w:pPr>
              <w:spacing w:before="120" w:after="120"/>
              <w:jc w:val="center"/>
              <w:rPr>
                <w:color w:val="auto"/>
                <w:sz w:val="10"/>
                <w:szCs w:val="10"/>
              </w:rPr>
            </w:pPr>
            <w:r w:rsidRPr="00F9037E">
              <w:rPr>
                <w:color w:val="auto"/>
                <w:sz w:val="10"/>
                <w:szCs w:val="10"/>
              </w:rPr>
              <w:t>6.000</w:t>
            </w:r>
          </w:p>
        </w:tc>
        <w:tc>
          <w:tcPr>
            <w:tcW w:w="709" w:type="dxa"/>
            <w:shd w:val="clear" w:color="auto" w:fill="auto"/>
            <w:vAlign w:val="center"/>
          </w:tcPr>
          <w:p w14:paraId="2BCA5457" w14:textId="4B7CA27D"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C124EB9" w14:textId="07727446"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3562BCC4" w14:textId="4CE35342"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27F06F77" w14:textId="47FDDCCC"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4DF0EDEA" w14:textId="710C656F" w:rsidR="00D34C6F" w:rsidRPr="00F9037E" w:rsidRDefault="00D34C6F" w:rsidP="00C05C97">
            <w:pPr>
              <w:spacing w:before="120" w:after="120"/>
              <w:jc w:val="center"/>
              <w:rPr>
                <w:b/>
                <w:color w:val="auto"/>
                <w:sz w:val="10"/>
                <w:szCs w:val="10"/>
              </w:rPr>
            </w:pPr>
          </w:p>
        </w:tc>
        <w:tc>
          <w:tcPr>
            <w:tcW w:w="567" w:type="dxa"/>
            <w:vAlign w:val="center"/>
          </w:tcPr>
          <w:p w14:paraId="2EE40100" w14:textId="77777777" w:rsidR="00D34C6F" w:rsidRPr="00F9037E" w:rsidRDefault="00D34C6F" w:rsidP="00C05C97">
            <w:pPr>
              <w:spacing w:before="120" w:after="120"/>
              <w:jc w:val="center"/>
              <w:rPr>
                <w:b/>
                <w:color w:val="auto"/>
                <w:sz w:val="10"/>
                <w:szCs w:val="10"/>
              </w:rPr>
            </w:pPr>
          </w:p>
        </w:tc>
        <w:tc>
          <w:tcPr>
            <w:tcW w:w="567" w:type="dxa"/>
            <w:vAlign w:val="center"/>
          </w:tcPr>
          <w:p w14:paraId="7C07326A" w14:textId="77777777" w:rsidR="00D34C6F" w:rsidRPr="00F9037E" w:rsidRDefault="00D34C6F" w:rsidP="00C05C97">
            <w:pPr>
              <w:spacing w:before="120" w:after="120"/>
              <w:jc w:val="center"/>
              <w:rPr>
                <w:b/>
                <w:color w:val="auto"/>
                <w:sz w:val="10"/>
                <w:szCs w:val="10"/>
              </w:rPr>
            </w:pPr>
          </w:p>
        </w:tc>
        <w:tc>
          <w:tcPr>
            <w:tcW w:w="567" w:type="dxa"/>
            <w:vAlign w:val="center"/>
          </w:tcPr>
          <w:p w14:paraId="3B260F68" w14:textId="77777777" w:rsidR="00D34C6F" w:rsidRPr="00F9037E" w:rsidRDefault="00D34C6F" w:rsidP="00C05C97">
            <w:pPr>
              <w:spacing w:before="120" w:after="120"/>
              <w:jc w:val="center"/>
              <w:rPr>
                <w:b/>
                <w:color w:val="auto"/>
                <w:sz w:val="10"/>
                <w:szCs w:val="10"/>
              </w:rPr>
            </w:pPr>
          </w:p>
        </w:tc>
        <w:tc>
          <w:tcPr>
            <w:tcW w:w="567" w:type="dxa"/>
            <w:vAlign w:val="center"/>
          </w:tcPr>
          <w:p w14:paraId="3E29EF35" w14:textId="77777777" w:rsidR="00D34C6F" w:rsidRPr="00F9037E" w:rsidRDefault="00D34C6F" w:rsidP="00C05C97">
            <w:pPr>
              <w:spacing w:before="120" w:after="120"/>
              <w:jc w:val="center"/>
              <w:rPr>
                <w:b/>
                <w:color w:val="auto"/>
                <w:sz w:val="10"/>
                <w:szCs w:val="10"/>
              </w:rPr>
            </w:pPr>
          </w:p>
        </w:tc>
      </w:tr>
      <w:tr w:rsidR="00D34C6F" w:rsidRPr="00F9037E" w14:paraId="5F01ADA2" w14:textId="77777777" w:rsidTr="00C05C97">
        <w:trPr>
          <w:trHeight w:val="465"/>
          <w:jc w:val="center"/>
        </w:trPr>
        <w:tc>
          <w:tcPr>
            <w:tcW w:w="662" w:type="dxa"/>
            <w:shd w:val="clear" w:color="auto" w:fill="auto"/>
            <w:vAlign w:val="center"/>
          </w:tcPr>
          <w:p w14:paraId="1EDD5C59" w14:textId="77777777" w:rsidR="00D34C6F" w:rsidRPr="00F9037E" w:rsidRDefault="00D34C6F" w:rsidP="00C05C97">
            <w:pPr>
              <w:spacing w:before="120" w:after="120"/>
              <w:rPr>
                <w:color w:val="auto"/>
                <w:sz w:val="12"/>
                <w:szCs w:val="12"/>
              </w:rPr>
            </w:pPr>
            <w:r w:rsidRPr="00F9037E">
              <w:rPr>
                <w:color w:val="auto"/>
                <w:sz w:val="12"/>
                <w:szCs w:val="12"/>
              </w:rPr>
              <w:t>France</w:t>
            </w:r>
          </w:p>
        </w:tc>
        <w:tc>
          <w:tcPr>
            <w:tcW w:w="824" w:type="dxa"/>
            <w:shd w:val="clear" w:color="auto" w:fill="auto"/>
            <w:vAlign w:val="center"/>
          </w:tcPr>
          <w:p w14:paraId="2D2C82C6" w14:textId="77777777" w:rsidR="00D34C6F" w:rsidRPr="00F9037E" w:rsidRDefault="00D34C6F" w:rsidP="00C05C97">
            <w:pPr>
              <w:spacing w:before="120" w:after="120"/>
              <w:rPr>
                <w:color w:val="auto"/>
                <w:sz w:val="12"/>
                <w:szCs w:val="12"/>
              </w:rPr>
            </w:pPr>
            <w:r w:rsidRPr="00F9037E">
              <w:rPr>
                <w:color w:val="auto"/>
                <w:sz w:val="12"/>
                <w:szCs w:val="12"/>
              </w:rPr>
              <w:t>Strawberry fruit</w:t>
            </w:r>
          </w:p>
        </w:tc>
        <w:tc>
          <w:tcPr>
            <w:tcW w:w="708" w:type="dxa"/>
            <w:shd w:val="clear" w:color="auto" w:fill="auto"/>
            <w:vAlign w:val="center"/>
          </w:tcPr>
          <w:p w14:paraId="1FA1A180" w14:textId="77777777" w:rsidR="00D34C6F" w:rsidRPr="00F9037E" w:rsidRDefault="00D34C6F" w:rsidP="00C05C97">
            <w:pPr>
              <w:spacing w:before="120" w:after="120"/>
              <w:jc w:val="center"/>
              <w:rPr>
                <w:color w:val="auto"/>
                <w:sz w:val="10"/>
                <w:szCs w:val="10"/>
              </w:rPr>
            </w:pPr>
            <w:r w:rsidRPr="00F9037E">
              <w:rPr>
                <w:color w:val="auto"/>
                <w:sz w:val="10"/>
                <w:szCs w:val="10"/>
              </w:rPr>
              <w:t>90.000</w:t>
            </w:r>
          </w:p>
        </w:tc>
        <w:tc>
          <w:tcPr>
            <w:tcW w:w="709" w:type="dxa"/>
            <w:shd w:val="clear" w:color="auto" w:fill="auto"/>
            <w:vAlign w:val="center"/>
          </w:tcPr>
          <w:p w14:paraId="16BD6E7D" w14:textId="77777777" w:rsidR="00D34C6F" w:rsidRPr="00F9037E" w:rsidRDefault="00D34C6F" w:rsidP="00C05C97">
            <w:pPr>
              <w:spacing w:before="120" w:after="120"/>
              <w:jc w:val="center"/>
              <w:rPr>
                <w:color w:val="auto"/>
                <w:sz w:val="10"/>
                <w:szCs w:val="10"/>
              </w:rPr>
            </w:pPr>
            <w:r w:rsidRPr="00F9037E">
              <w:rPr>
                <w:color w:val="auto"/>
                <w:sz w:val="10"/>
                <w:szCs w:val="10"/>
              </w:rPr>
              <w:t>86.000</w:t>
            </w:r>
          </w:p>
        </w:tc>
        <w:tc>
          <w:tcPr>
            <w:tcW w:w="709" w:type="dxa"/>
            <w:shd w:val="clear" w:color="auto" w:fill="auto"/>
            <w:vAlign w:val="center"/>
          </w:tcPr>
          <w:p w14:paraId="7C4473B8" w14:textId="77777777" w:rsidR="00D34C6F" w:rsidRPr="00F9037E" w:rsidRDefault="00D34C6F" w:rsidP="00C05C97">
            <w:pPr>
              <w:spacing w:before="120" w:after="120"/>
              <w:jc w:val="center"/>
              <w:rPr>
                <w:color w:val="auto"/>
                <w:sz w:val="10"/>
                <w:szCs w:val="10"/>
              </w:rPr>
            </w:pPr>
            <w:r w:rsidRPr="00F9037E">
              <w:rPr>
                <w:color w:val="auto"/>
                <w:sz w:val="10"/>
                <w:szCs w:val="10"/>
              </w:rPr>
              <w:t>34.000</w:t>
            </w:r>
          </w:p>
        </w:tc>
        <w:tc>
          <w:tcPr>
            <w:tcW w:w="567" w:type="dxa"/>
            <w:shd w:val="clear" w:color="auto" w:fill="auto"/>
            <w:vAlign w:val="center"/>
          </w:tcPr>
          <w:p w14:paraId="69185087" w14:textId="039C3FAD"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64D64074" w14:textId="1C4375FD"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A73942F" w14:textId="63122FD8"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0F089416" w14:textId="4BC24F81"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725CEA2" w14:textId="7870E020"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074F0FF" w14:textId="1D532AC8" w:rsidR="00D34C6F" w:rsidRPr="00F9037E" w:rsidRDefault="00D34C6F" w:rsidP="00C05C97">
            <w:pPr>
              <w:spacing w:before="120" w:after="120"/>
              <w:jc w:val="center"/>
              <w:rPr>
                <w:color w:val="auto"/>
                <w:sz w:val="10"/>
                <w:szCs w:val="10"/>
              </w:rPr>
            </w:pPr>
          </w:p>
        </w:tc>
        <w:tc>
          <w:tcPr>
            <w:tcW w:w="629" w:type="dxa"/>
            <w:vAlign w:val="center"/>
          </w:tcPr>
          <w:p w14:paraId="014E3FCE" w14:textId="77777777" w:rsidR="00D34C6F" w:rsidRPr="00F9037E" w:rsidRDefault="00D34C6F" w:rsidP="00C05C97">
            <w:pPr>
              <w:spacing w:before="120" w:after="120"/>
              <w:jc w:val="center"/>
              <w:rPr>
                <w:color w:val="auto"/>
                <w:sz w:val="10"/>
                <w:szCs w:val="10"/>
              </w:rPr>
            </w:pPr>
          </w:p>
        </w:tc>
        <w:tc>
          <w:tcPr>
            <w:tcW w:w="567" w:type="dxa"/>
            <w:vAlign w:val="center"/>
          </w:tcPr>
          <w:p w14:paraId="31F27B28" w14:textId="77777777" w:rsidR="00D34C6F" w:rsidRPr="00F9037E" w:rsidRDefault="00D34C6F" w:rsidP="00C05C97">
            <w:pPr>
              <w:spacing w:before="120" w:after="120"/>
              <w:jc w:val="center"/>
              <w:rPr>
                <w:color w:val="auto"/>
                <w:sz w:val="10"/>
                <w:szCs w:val="10"/>
              </w:rPr>
            </w:pPr>
          </w:p>
        </w:tc>
        <w:tc>
          <w:tcPr>
            <w:tcW w:w="567" w:type="dxa"/>
            <w:vAlign w:val="center"/>
          </w:tcPr>
          <w:p w14:paraId="3E6B85A6"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3DF307A9" w14:textId="77777777" w:rsidR="00D34C6F" w:rsidRPr="00F9037E" w:rsidRDefault="00D34C6F" w:rsidP="00C05C97">
            <w:pPr>
              <w:spacing w:before="120" w:after="120"/>
              <w:jc w:val="center"/>
              <w:rPr>
                <w:color w:val="auto"/>
                <w:sz w:val="10"/>
                <w:szCs w:val="10"/>
              </w:rPr>
            </w:pPr>
            <w:r w:rsidRPr="00F9037E">
              <w:rPr>
                <w:color w:val="auto"/>
                <w:sz w:val="10"/>
                <w:szCs w:val="10"/>
              </w:rPr>
              <w:t>90.000</w:t>
            </w:r>
          </w:p>
        </w:tc>
        <w:tc>
          <w:tcPr>
            <w:tcW w:w="709" w:type="dxa"/>
            <w:shd w:val="clear" w:color="auto" w:fill="auto"/>
            <w:vAlign w:val="center"/>
          </w:tcPr>
          <w:p w14:paraId="2F79B22A" w14:textId="77777777" w:rsidR="00D34C6F" w:rsidRPr="00F9037E" w:rsidRDefault="00D34C6F" w:rsidP="00C05C97">
            <w:pPr>
              <w:spacing w:before="120" w:after="120"/>
              <w:jc w:val="center"/>
              <w:rPr>
                <w:color w:val="auto"/>
                <w:sz w:val="10"/>
                <w:szCs w:val="10"/>
              </w:rPr>
            </w:pPr>
            <w:r w:rsidRPr="00F9037E">
              <w:rPr>
                <w:color w:val="auto"/>
                <w:sz w:val="10"/>
                <w:szCs w:val="10"/>
              </w:rPr>
              <w:t>86.000</w:t>
            </w:r>
          </w:p>
        </w:tc>
        <w:tc>
          <w:tcPr>
            <w:tcW w:w="708" w:type="dxa"/>
            <w:shd w:val="clear" w:color="auto" w:fill="auto"/>
            <w:vAlign w:val="center"/>
          </w:tcPr>
          <w:p w14:paraId="6AB4D1F1" w14:textId="1A9CF793"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35E6FED7" w14:textId="12D28FBB"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79CB5458" w14:textId="32E0BDCB"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086FB6CC" w14:textId="72DDEBCF"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0C46948" w14:textId="46AC66F3"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4A07B956" w14:textId="5EF650C4" w:rsidR="00D34C6F" w:rsidRPr="00F9037E" w:rsidRDefault="00D34C6F" w:rsidP="00C05C97">
            <w:pPr>
              <w:spacing w:before="120" w:after="120"/>
              <w:jc w:val="center"/>
              <w:rPr>
                <w:b/>
                <w:color w:val="auto"/>
                <w:sz w:val="10"/>
                <w:szCs w:val="10"/>
              </w:rPr>
            </w:pPr>
          </w:p>
        </w:tc>
        <w:tc>
          <w:tcPr>
            <w:tcW w:w="567" w:type="dxa"/>
            <w:vAlign w:val="center"/>
          </w:tcPr>
          <w:p w14:paraId="255DEB57" w14:textId="77777777" w:rsidR="00D34C6F" w:rsidRPr="00F9037E" w:rsidRDefault="00D34C6F" w:rsidP="00C05C97">
            <w:pPr>
              <w:spacing w:before="120" w:after="120"/>
              <w:jc w:val="center"/>
              <w:rPr>
                <w:b/>
                <w:color w:val="auto"/>
                <w:sz w:val="10"/>
                <w:szCs w:val="10"/>
              </w:rPr>
            </w:pPr>
          </w:p>
        </w:tc>
        <w:tc>
          <w:tcPr>
            <w:tcW w:w="567" w:type="dxa"/>
            <w:vAlign w:val="center"/>
          </w:tcPr>
          <w:p w14:paraId="1F1A2CF1" w14:textId="77777777" w:rsidR="00D34C6F" w:rsidRPr="00F9037E" w:rsidRDefault="00D34C6F" w:rsidP="00C05C97">
            <w:pPr>
              <w:spacing w:before="120" w:after="120"/>
              <w:jc w:val="center"/>
              <w:rPr>
                <w:b/>
                <w:color w:val="auto"/>
                <w:sz w:val="10"/>
                <w:szCs w:val="10"/>
              </w:rPr>
            </w:pPr>
          </w:p>
        </w:tc>
        <w:tc>
          <w:tcPr>
            <w:tcW w:w="567" w:type="dxa"/>
            <w:vAlign w:val="center"/>
          </w:tcPr>
          <w:p w14:paraId="4A3AE634" w14:textId="77777777" w:rsidR="00D34C6F" w:rsidRPr="00F9037E" w:rsidRDefault="00D34C6F" w:rsidP="00C05C97">
            <w:pPr>
              <w:spacing w:before="120" w:after="120"/>
              <w:jc w:val="center"/>
              <w:rPr>
                <w:b/>
                <w:color w:val="auto"/>
                <w:sz w:val="10"/>
                <w:szCs w:val="10"/>
              </w:rPr>
            </w:pPr>
          </w:p>
        </w:tc>
        <w:tc>
          <w:tcPr>
            <w:tcW w:w="567" w:type="dxa"/>
            <w:vAlign w:val="center"/>
          </w:tcPr>
          <w:p w14:paraId="509E2BC3" w14:textId="77777777" w:rsidR="00D34C6F" w:rsidRPr="00F9037E" w:rsidRDefault="00D34C6F" w:rsidP="00C05C97">
            <w:pPr>
              <w:spacing w:before="120" w:after="120"/>
              <w:jc w:val="center"/>
              <w:rPr>
                <w:b/>
                <w:color w:val="auto"/>
                <w:sz w:val="10"/>
                <w:szCs w:val="10"/>
              </w:rPr>
            </w:pPr>
          </w:p>
        </w:tc>
      </w:tr>
      <w:tr w:rsidR="00D34C6F" w:rsidRPr="00F9037E" w14:paraId="159D4B67" w14:textId="77777777" w:rsidTr="00C05C97">
        <w:trPr>
          <w:trHeight w:val="465"/>
          <w:jc w:val="center"/>
        </w:trPr>
        <w:tc>
          <w:tcPr>
            <w:tcW w:w="662" w:type="dxa"/>
            <w:shd w:val="clear" w:color="auto" w:fill="auto"/>
            <w:vAlign w:val="center"/>
          </w:tcPr>
          <w:p w14:paraId="5E6EF8DD" w14:textId="77777777" w:rsidR="00D34C6F" w:rsidRPr="00F9037E" w:rsidRDefault="00D34C6F" w:rsidP="00C05C97">
            <w:pPr>
              <w:spacing w:before="120" w:after="120"/>
              <w:rPr>
                <w:color w:val="auto"/>
                <w:sz w:val="12"/>
                <w:szCs w:val="12"/>
              </w:rPr>
            </w:pPr>
            <w:r w:rsidRPr="00F9037E">
              <w:rPr>
                <w:color w:val="auto"/>
                <w:sz w:val="12"/>
                <w:szCs w:val="12"/>
              </w:rPr>
              <w:t>France</w:t>
            </w:r>
          </w:p>
        </w:tc>
        <w:tc>
          <w:tcPr>
            <w:tcW w:w="824" w:type="dxa"/>
            <w:shd w:val="clear" w:color="auto" w:fill="auto"/>
            <w:vAlign w:val="center"/>
          </w:tcPr>
          <w:p w14:paraId="624E2E65" w14:textId="77777777" w:rsidR="00D34C6F" w:rsidRPr="00F9037E" w:rsidRDefault="00D34C6F" w:rsidP="00C05C97">
            <w:pPr>
              <w:spacing w:before="120" w:after="120"/>
              <w:rPr>
                <w:color w:val="auto"/>
                <w:sz w:val="12"/>
                <w:szCs w:val="12"/>
              </w:rPr>
            </w:pPr>
            <w:r w:rsidRPr="00F9037E">
              <w:rPr>
                <w:color w:val="auto"/>
                <w:sz w:val="12"/>
                <w:szCs w:val="12"/>
              </w:rPr>
              <w:t>Strawberry runners</w:t>
            </w:r>
          </w:p>
        </w:tc>
        <w:tc>
          <w:tcPr>
            <w:tcW w:w="708" w:type="dxa"/>
            <w:shd w:val="clear" w:color="auto" w:fill="auto"/>
            <w:vAlign w:val="center"/>
          </w:tcPr>
          <w:p w14:paraId="6C56B90C" w14:textId="77777777" w:rsidR="00D34C6F" w:rsidRPr="00F9037E" w:rsidRDefault="00D34C6F" w:rsidP="00C05C97">
            <w:pPr>
              <w:spacing w:before="120" w:after="120"/>
              <w:jc w:val="center"/>
              <w:rPr>
                <w:color w:val="auto"/>
                <w:sz w:val="10"/>
                <w:szCs w:val="10"/>
              </w:rPr>
            </w:pPr>
            <w:r w:rsidRPr="00F9037E">
              <w:rPr>
                <w:color w:val="auto"/>
                <w:sz w:val="10"/>
                <w:szCs w:val="10"/>
              </w:rPr>
              <w:t>40.000</w:t>
            </w:r>
          </w:p>
        </w:tc>
        <w:tc>
          <w:tcPr>
            <w:tcW w:w="709" w:type="dxa"/>
            <w:shd w:val="clear" w:color="auto" w:fill="auto"/>
            <w:vAlign w:val="center"/>
          </w:tcPr>
          <w:p w14:paraId="5605F1D3" w14:textId="77777777" w:rsidR="00D34C6F" w:rsidRPr="00F9037E" w:rsidRDefault="00D34C6F" w:rsidP="00C05C97">
            <w:pPr>
              <w:spacing w:before="120" w:after="120"/>
              <w:jc w:val="center"/>
              <w:rPr>
                <w:color w:val="auto"/>
                <w:sz w:val="10"/>
                <w:szCs w:val="10"/>
              </w:rPr>
            </w:pPr>
            <w:r w:rsidRPr="00F9037E">
              <w:rPr>
                <w:color w:val="auto"/>
                <w:sz w:val="10"/>
                <w:szCs w:val="10"/>
              </w:rPr>
              <w:t>4.000</w:t>
            </w:r>
          </w:p>
        </w:tc>
        <w:tc>
          <w:tcPr>
            <w:tcW w:w="709" w:type="dxa"/>
            <w:shd w:val="clear" w:color="auto" w:fill="auto"/>
            <w:vAlign w:val="center"/>
          </w:tcPr>
          <w:p w14:paraId="3D1B1E38" w14:textId="77777777" w:rsidR="00D34C6F" w:rsidRPr="00F9037E" w:rsidRDefault="00D34C6F" w:rsidP="00C05C97">
            <w:pPr>
              <w:spacing w:before="120" w:after="120"/>
              <w:jc w:val="center"/>
              <w:rPr>
                <w:color w:val="auto"/>
                <w:sz w:val="10"/>
                <w:szCs w:val="10"/>
              </w:rPr>
            </w:pPr>
            <w:r w:rsidRPr="00F9037E">
              <w:rPr>
                <w:color w:val="auto"/>
                <w:sz w:val="10"/>
                <w:szCs w:val="10"/>
              </w:rPr>
              <w:t>35.000</w:t>
            </w:r>
          </w:p>
        </w:tc>
        <w:tc>
          <w:tcPr>
            <w:tcW w:w="567" w:type="dxa"/>
            <w:shd w:val="clear" w:color="auto" w:fill="auto"/>
            <w:vAlign w:val="center"/>
          </w:tcPr>
          <w:p w14:paraId="546319C4" w14:textId="2A855CE6"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78E062B8" w14:textId="5949BA65"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33829F9" w14:textId="7C80A288"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2CAF1C7C" w14:textId="6DE8468C"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4E49185" w14:textId="02E74E8B"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FAF784D" w14:textId="7EBCCA56" w:rsidR="00D34C6F" w:rsidRPr="00F9037E" w:rsidRDefault="00D34C6F" w:rsidP="00C05C97">
            <w:pPr>
              <w:spacing w:before="120" w:after="120"/>
              <w:jc w:val="center"/>
              <w:rPr>
                <w:color w:val="auto"/>
                <w:sz w:val="10"/>
                <w:szCs w:val="10"/>
              </w:rPr>
            </w:pPr>
          </w:p>
        </w:tc>
        <w:tc>
          <w:tcPr>
            <w:tcW w:w="629" w:type="dxa"/>
            <w:vAlign w:val="center"/>
          </w:tcPr>
          <w:p w14:paraId="69A70BC5" w14:textId="77777777" w:rsidR="00D34C6F" w:rsidRPr="00F9037E" w:rsidRDefault="00D34C6F" w:rsidP="00C05C97">
            <w:pPr>
              <w:spacing w:before="120" w:after="120"/>
              <w:jc w:val="center"/>
              <w:rPr>
                <w:color w:val="auto"/>
                <w:sz w:val="10"/>
                <w:szCs w:val="10"/>
              </w:rPr>
            </w:pPr>
          </w:p>
        </w:tc>
        <w:tc>
          <w:tcPr>
            <w:tcW w:w="567" w:type="dxa"/>
            <w:vAlign w:val="center"/>
          </w:tcPr>
          <w:p w14:paraId="487B70B0" w14:textId="77777777" w:rsidR="00D34C6F" w:rsidRPr="00F9037E" w:rsidRDefault="00D34C6F" w:rsidP="00C05C97">
            <w:pPr>
              <w:spacing w:before="120" w:after="120"/>
              <w:jc w:val="center"/>
              <w:rPr>
                <w:color w:val="auto"/>
                <w:sz w:val="10"/>
                <w:szCs w:val="10"/>
              </w:rPr>
            </w:pPr>
          </w:p>
        </w:tc>
        <w:tc>
          <w:tcPr>
            <w:tcW w:w="567" w:type="dxa"/>
            <w:vAlign w:val="center"/>
          </w:tcPr>
          <w:p w14:paraId="429EEDE6"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661961DA" w14:textId="77777777" w:rsidR="00D34C6F" w:rsidRPr="00F9037E" w:rsidRDefault="00D34C6F" w:rsidP="00C05C97">
            <w:pPr>
              <w:spacing w:before="120" w:after="120"/>
              <w:jc w:val="center"/>
              <w:rPr>
                <w:color w:val="auto"/>
                <w:sz w:val="10"/>
                <w:szCs w:val="10"/>
              </w:rPr>
            </w:pPr>
            <w:r w:rsidRPr="00F9037E">
              <w:rPr>
                <w:color w:val="auto"/>
                <w:sz w:val="10"/>
                <w:szCs w:val="10"/>
              </w:rPr>
              <w:t>40.000</w:t>
            </w:r>
          </w:p>
        </w:tc>
        <w:tc>
          <w:tcPr>
            <w:tcW w:w="709" w:type="dxa"/>
            <w:shd w:val="clear" w:color="auto" w:fill="auto"/>
            <w:vAlign w:val="center"/>
          </w:tcPr>
          <w:p w14:paraId="76CBC51A" w14:textId="77777777" w:rsidR="00D34C6F" w:rsidRPr="00F9037E" w:rsidRDefault="00D34C6F" w:rsidP="00C05C97">
            <w:pPr>
              <w:spacing w:before="120" w:after="120"/>
              <w:jc w:val="center"/>
              <w:rPr>
                <w:color w:val="auto"/>
                <w:sz w:val="10"/>
                <w:szCs w:val="10"/>
              </w:rPr>
            </w:pPr>
            <w:r w:rsidRPr="00F9037E">
              <w:rPr>
                <w:color w:val="auto"/>
                <w:sz w:val="10"/>
                <w:szCs w:val="10"/>
              </w:rPr>
              <w:t>40.000</w:t>
            </w:r>
          </w:p>
        </w:tc>
        <w:tc>
          <w:tcPr>
            <w:tcW w:w="708" w:type="dxa"/>
            <w:shd w:val="clear" w:color="auto" w:fill="auto"/>
            <w:vAlign w:val="center"/>
          </w:tcPr>
          <w:p w14:paraId="02557FA5" w14:textId="77777777" w:rsidR="00D34C6F" w:rsidRPr="00F9037E" w:rsidRDefault="00D34C6F" w:rsidP="00C05C97">
            <w:pPr>
              <w:spacing w:before="120" w:after="120"/>
              <w:jc w:val="center"/>
              <w:rPr>
                <w:color w:val="auto"/>
                <w:sz w:val="10"/>
                <w:szCs w:val="10"/>
              </w:rPr>
            </w:pPr>
            <w:r w:rsidRPr="00F9037E">
              <w:rPr>
                <w:color w:val="auto"/>
                <w:sz w:val="10"/>
                <w:szCs w:val="10"/>
              </w:rPr>
              <w:t>28.000</w:t>
            </w:r>
          </w:p>
        </w:tc>
        <w:tc>
          <w:tcPr>
            <w:tcW w:w="709" w:type="dxa"/>
            <w:shd w:val="clear" w:color="auto" w:fill="auto"/>
            <w:vAlign w:val="center"/>
          </w:tcPr>
          <w:p w14:paraId="250E8089" w14:textId="2BAB4D04"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3865C5F7" w14:textId="65B661F3"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33685612" w14:textId="20D89CC4"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4BAB300" w14:textId="3102DDDA"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4971E542" w14:textId="5605B515" w:rsidR="00D34C6F" w:rsidRPr="00F9037E" w:rsidRDefault="00D34C6F" w:rsidP="00C05C97">
            <w:pPr>
              <w:spacing w:before="120" w:after="120"/>
              <w:jc w:val="center"/>
              <w:rPr>
                <w:b/>
                <w:color w:val="auto"/>
                <w:sz w:val="10"/>
                <w:szCs w:val="10"/>
              </w:rPr>
            </w:pPr>
          </w:p>
        </w:tc>
        <w:tc>
          <w:tcPr>
            <w:tcW w:w="567" w:type="dxa"/>
            <w:vAlign w:val="center"/>
          </w:tcPr>
          <w:p w14:paraId="31750226" w14:textId="77777777" w:rsidR="00D34C6F" w:rsidRPr="00F9037E" w:rsidRDefault="00D34C6F" w:rsidP="00C05C97">
            <w:pPr>
              <w:spacing w:before="120" w:after="120"/>
              <w:jc w:val="center"/>
              <w:rPr>
                <w:b/>
                <w:color w:val="auto"/>
                <w:sz w:val="10"/>
                <w:szCs w:val="10"/>
              </w:rPr>
            </w:pPr>
          </w:p>
        </w:tc>
        <w:tc>
          <w:tcPr>
            <w:tcW w:w="567" w:type="dxa"/>
            <w:vAlign w:val="center"/>
          </w:tcPr>
          <w:p w14:paraId="70E0383B" w14:textId="77777777" w:rsidR="00D34C6F" w:rsidRPr="00F9037E" w:rsidRDefault="00D34C6F" w:rsidP="00C05C97">
            <w:pPr>
              <w:spacing w:before="120" w:after="120"/>
              <w:jc w:val="center"/>
              <w:rPr>
                <w:b/>
                <w:color w:val="auto"/>
                <w:sz w:val="10"/>
                <w:szCs w:val="10"/>
              </w:rPr>
            </w:pPr>
          </w:p>
        </w:tc>
        <w:tc>
          <w:tcPr>
            <w:tcW w:w="567" w:type="dxa"/>
            <w:vAlign w:val="center"/>
          </w:tcPr>
          <w:p w14:paraId="64DA13C3" w14:textId="77777777" w:rsidR="00D34C6F" w:rsidRPr="00F9037E" w:rsidRDefault="00D34C6F" w:rsidP="00C05C97">
            <w:pPr>
              <w:spacing w:before="120" w:after="120"/>
              <w:jc w:val="center"/>
              <w:rPr>
                <w:b/>
                <w:color w:val="auto"/>
                <w:sz w:val="10"/>
                <w:szCs w:val="10"/>
              </w:rPr>
            </w:pPr>
          </w:p>
        </w:tc>
        <w:tc>
          <w:tcPr>
            <w:tcW w:w="567" w:type="dxa"/>
            <w:vAlign w:val="center"/>
          </w:tcPr>
          <w:p w14:paraId="1D350213" w14:textId="77777777" w:rsidR="00D34C6F" w:rsidRPr="00F9037E" w:rsidRDefault="00D34C6F" w:rsidP="00C05C97">
            <w:pPr>
              <w:spacing w:before="120" w:after="120"/>
              <w:jc w:val="center"/>
              <w:rPr>
                <w:b/>
                <w:color w:val="auto"/>
                <w:sz w:val="10"/>
                <w:szCs w:val="10"/>
              </w:rPr>
            </w:pPr>
          </w:p>
        </w:tc>
      </w:tr>
      <w:tr w:rsidR="00D34C6F" w:rsidRPr="00F9037E" w14:paraId="1BB1DF51" w14:textId="77777777" w:rsidTr="00C05C97">
        <w:trPr>
          <w:trHeight w:val="915"/>
          <w:jc w:val="center"/>
        </w:trPr>
        <w:tc>
          <w:tcPr>
            <w:tcW w:w="662" w:type="dxa"/>
            <w:shd w:val="clear" w:color="auto" w:fill="auto"/>
            <w:vAlign w:val="center"/>
          </w:tcPr>
          <w:p w14:paraId="4E62603F" w14:textId="77777777" w:rsidR="00D34C6F" w:rsidRPr="00F9037E" w:rsidRDefault="00D34C6F" w:rsidP="00C05C97">
            <w:pPr>
              <w:spacing w:before="120" w:after="120"/>
              <w:rPr>
                <w:color w:val="auto"/>
                <w:sz w:val="12"/>
                <w:szCs w:val="12"/>
              </w:rPr>
            </w:pPr>
            <w:r w:rsidRPr="00F9037E">
              <w:rPr>
                <w:color w:val="auto"/>
                <w:sz w:val="12"/>
                <w:szCs w:val="12"/>
              </w:rPr>
              <w:t>France</w:t>
            </w:r>
          </w:p>
        </w:tc>
        <w:tc>
          <w:tcPr>
            <w:tcW w:w="824" w:type="dxa"/>
            <w:shd w:val="clear" w:color="auto" w:fill="auto"/>
            <w:vAlign w:val="center"/>
          </w:tcPr>
          <w:p w14:paraId="2F1322B6" w14:textId="77777777" w:rsidR="00D34C6F" w:rsidRPr="00F9037E" w:rsidRDefault="00D34C6F" w:rsidP="00C05C97">
            <w:pPr>
              <w:spacing w:before="120" w:after="120"/>
              <w:rPr>
                <w:color w:val="auto"/>
                <w:sz w:val="12"/>
                <w:szCs w:val="12"/>
              </w:rPr>
            </w:pPr>
            <w:r w:rsidRPr="00F9037E">
              <w:rPr>
                <w:color w:val="auto"/>
                <w:sz w:val="12"/>
                <w:szCs w:val="12"/>
              </w:rPr>
              <w:t>Tomato (and eggplant for 2005 only)</w:t>
            </w:r>
          </w:p>
        </w:tc>
        <w:tc>
          <w:tcPr>
            <w:tcW w:w="708" w:type="dxa"/>
            <w:shd w:val="clear" w:color="auto" w:fill="auto"/>
            <w:vAlign w:val="center"/>
          </w:tcPr>
          <w:p w14:paraId="0C276115" w14:textId="77777777" w:rsidR="00D34C6F" w:rsidRPr="00F9037E" w:rsidRDefault="00D34C6F" w:rsidP="00C05C97">
            <w:pPr>
              <w:spacing w:before="120" w:after="120"/>
              <w:jc w:val="center"/>
              <w:rPr>
                <w:color w:val="auto"/>
                <w:sz w:val="10"/>
                <w:szCs w:val="10"/>
              </w:rPr>
            </w:pPr>
            <w:r w:rsidRPr="00F9037E">
              <w:rPr>
                <w:color w:val="auto"/>
                <w:sz w:val="10"/>
                <w:szCs w:val="10"/>
              </w:rPr>
              <w:t xml:space="preserve">150(all </w:t>
            </w:r>
            <w:proofErr w:type="spellStart"/>
            <w:r w:rsidRPr="00F9037E">
              <w:rPr>
                <w:color w:val="auto"/>
                <w:sz w:val="10"/>
                <w:szCs w:val="10"/>
              </w:rPr>
              <w:t>solanaceous</w:t>
            </w:r>
            <w:proofErr w:type="spellEnd"/>
            <w:r w:rsidRPr="00F9037E">
              <w:rPr>
                <w:color w:val="auto"/>
                <w:sz w:val="10"/>
                <w:szCs w:val="10"/>
              </w:rPr>
              <w:t>)</w:t>
            </w:r>
          </w:p>
        </w:tc>
        <w:tc>
          <w:tcPr>
            <w:tcW w:w="709" w:type="dxa"/>
            <w:shd w:val="clear" w:color="auto" w:fill="auto"/>
            <w:vAlign w:val="center"/>
          </w:tcPr>
          <w:p w14:paraId="5DC4289C" w14:textId="77777777" w:rsidR="00D34C6F" w:rsidRPr="00F9037E" w:rsidRDefault="00D34C6F" w:rsidP="00C05C97">
            <w:pPr>
              <w:spacing w:before="120" w:after="120"/>
              <w:jc w:val="center"/>
              <w:rPr>
                <w:color w:val="auto"/>
                <w:sz w:val="10"/>
                <w:szCs w:val="10"/>
              </w:rPr>
            </w:pPr>
            <w:r w:rsidRPr="00F9037E">
              <w:rPr>
                <w:color w:val="auto"/>
                <w:sz w:val="10"/>
                <w:szCs w:val="10"/>
              </w:rPr>
              <w:t>60.500</w:t>
            </w:r>
          </w:p>
        </w:tc>
        <w:tc>
          <w:tcPr>
            <w:tcW w:w="709" w:type="dxa"/>
            <w:shd w:val="clear" w:color="auto" w:fill="auto"/>
            <w:vAlign w:val="center"/>
          </w:tcPr>
          <w:p w14:paraId="4956DB89" w14:textId="77777777" w:rsidR="00D34C6F" w:rsidRPr="00F9037E" w:rsidRDefault="00D34C6F" w:rsidP="00C05C97">
            <w:pPr>
              <w:spacing w:before="120" w:after="120"/>
              <w:jc w:val="center"/>
              <w:rPr>
                <w:color w:val="auto"/>
                <w:sz w:val="10"/>
                <w:szCs w:val="10"/>
              </w:rPr>
            </w:pPr>
            <w:r w:rsidRPr="00F9037E">
              <w:rPr>
                <w:color w:val="auto"/>
                <w:sz w:val="10"/>
                <w:szCs w:val="10"/>
              </w:rPr>
              <w:t>33.250</w:t>
            </w:r>
          </w:p>
        </w:tc>
        <w:tc>
          <w:tcPr>
            <w:tcW w:w="567" w:type="dxa"/>
            <w:shd w:val="clear" w:color="auto" w:fill="auto"/>
            <w:vAlign w:val="center"/>
          </w:tcPr>
          <w:p w14:paraId="24310212" w14:textId="3400CC02"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07292437" w14:textId="1D9F395A"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05F03E2" w14:textId="0067F642"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6824CDE4" w14:textId="2F5EFD2C"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6FB8708" w14:textId="6A23477E"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A782AA0" w14:textId="667A9213" w:rsidR="00D34C6F" w:rsidRPr="00F9037E" w:rsidRDefault="00D34C6F" w:rsidP="00C05C97">
            <w:pPr>
              <w:spacing w:before="120" w:after="120"/>
              <w:jc w:val="center"/>
              <w:rPr>
                <w:color w:val="auto"/>
                <w:sz w:val="10"/>
                <w:szCs w:val="10"/>
              </w:rPr>
            </w:pPr>
          </w:p>
        </w:tc>
        <w:tc>
          <w:tcPr>
            <w:tcW w:w="629" w:type="dxa"/>
            <w:vAlign w:val="center"/>
          </w:tcPr>
          <w:p w14:paraId="4F082B78" w14:textId="77777777" w:rsidR="00D34C6F" w:rsidRPr="00F9037E" w:rsidRDefault="00D34C6F" w:rsidP="00C05C97">
            <w:pPr>
              <w:spacing w:before="120" w:after="120"/>
              <w:jc w:val="center"/>
              <w:rPr>
                <w:color w:val="auto"/>
                <w:sz w:val="10"/>
                <w:szCs w:val="10"/>
              </w:rPr>
            </w:pPr>
          </w:p>
        </w:tc>
        <w:tc>
          <w:tcPr>
            <w:tcW w:w="567" w:type="dxa"/>
            <w:vAlign w:val="center"/>
          </w:tcPr>
          <w:p w14:paraId="0778714A" w14:textId="77777777" w:rsidR="00D34C6F" w:rsidRPr="00F9037E" w:rsidRDefault="00D34C6F" w:rsidP="00C05C97">
            <w:pPr>
              <w:spacing w:before="120" w:after="120"/>
              <w:jc w:val="center"/>
              <w:rPr>
                <w:color w:val="auto"/>
                <w:sz w:val="10"/>
                <w:szCs w:val="10"/>
              </w:rPr>
            </w:pPr>
          </w:p>
        </w:tc>
        <w:tc>
          <w:tcPr>
            <w:tcW w:w="567" w:type="dxa"/>
            <w:vAlign w:val="center"/>
          </w:tcPr>
          <w:p w14:paraId="329EDD6E"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13A18B9F" w14:textId="77777777" w:rsidR="00D34C6F" w:rsidRPr="00F9037E" w:rsidRDefault="00D34C6F" w:rsidP="00C05C97">
            <w:pPr>
              <w:spacing w:before="120" w:after="120"/>
              <w:jc w:val="center"/>
              <w:rPr>
                <w:color w:val="auto"/>
                <w:sz w:val="10"/>
                <w:szCs w:val="10"/>
              </w:rPr>
            </w:pPr>
            <w:r w:rsidRPr="00F9037E">
              <w:rPr>
                <w:color w:val="auto"/>
                <w:sz w:val="10"/>
                <w:szCs w:val="10"/>
              </w:rPr>
              <w:t>125.000</w:t>
            </w:r>
          </w:p>
        </w:tc>
        <w:tc>
          <w:tcPr>
            <w:tcW w:w="709" w:type="dxa"/>
            <w:shd w:val="clear" w:color="auto" w:fill="auto"/>
            <w:vAlign w:val="center"/>
          </w:tcPr>
          <w:p w14:paraId="37761141" w14:textId="77777777" w:rsidR="00D34C6F" w:rsidRPr="00F9037E" w:rsidRDefault="00D34C6F" w:rsidP="00C05C97">
            <w:pPr>
              <w:spacing w:before="120" w:after="120"/>
              <w:jc w:val="center"/>
              <w:rPr>
                <w:color w:val="auto"/>
                <w:sz w:val="10"/>
                <w:szCs w:val="10"/>
              </w:rPr>
            </w:pPr>
            <w:r w:rsidRPr="00F9037E">
              <w:rPr>
                <w:color w:val="auto"/>
                <w:sz w:val="10"/>
                <w:szCs w:val="10"/>
              </w:rPr>
              <w:t>48.400</w:t>
            </w:r>
          </w:p>
        </w:tc>
        <w:tc>
          <w:tcPr>
            <w:tcW w:w="708" w:type="dxa"/>
            <w:shd w:val="clear" w:color="auto" w:fill="auto"/>
            <w:vAlign w:val="center"/>
          </w:tcPr>
          <w:p w14:paraId="4780B0D2" w14:textId="0742D2ED"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2F0C49B2" w14:textId="29A2706B"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574109A" w14:textId="57BF73B0"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50AD9CBE" w14:textId="66C61754"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2F62F2BA" w14:textId="5879DD09"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02068AE9" w14:textId="56219535" w:rsidR="00D34C6F" w:rsidRPr="00F9037E" w:rsidRDefault="00D34C6F" w:rsidP="00C05C97">
            <w:pPr>
              <w:spacing w:before="120" w:after="120"/>
              <w:jc w:val="center"/>
              <w:rPr>
                <w:b/>
                <w:color w:val="auto"/>
                <w:sz w:val="10"/>
                <w:szCs w:val="10"/>
              </w:rPr>
            </w:pPr>
          </w:p>
        </w:tc>
        <w:tc>
          <w:tcPr>
            <w:tcW w:w="567" w:type="dxa"/>
            <w:vAlign w:val="center"/>
          </w:tcPr>
          <w:p w14:paraId="500BCF1B" w14:textId="77777777" w:rsidR="00D34C6F" w:rsidRPr="00F9037E" w:rsidRDefault="00D34C6F" w:rsidP="00C05C97">
            <w:pPr>
              <w:spacing w:before="120" w:after="120"/>
              <w:jc w:val="center"/>
              <w:rPr>
                <w:b/>
                <w:color w:val="auto"/>
                <w:sz w:val="10"/>
                <w:szCs w:val="10"/>
              </w:rPr>
            </w:pPr>
          </w:p>
        </w:tc>
        <w:tc>
          <w:tcPr>
            <w:tcW w:w="567" w:type="dxa"/>
            <w:vAlign w:val="center"/>
          </w:tcPr>
          <w:p w14:paraId="70151D11" w14:textId="77777777" w:rsidR="00D34C6F" w:rsidRPr="00F9037E" w:rsidRDefault="00D34C6F" w:rsidP="00C05C97">
            <w:pPr>
              <w:spacing w:before="120" w:after="120"/>
              <w:jc w:val="center"/>
              <w:rPr>
                <w:b/>
                <w:color w:val="auto"/>
                <w:sz w:val="10"/>
                <w:szCs w:val="10"/>
              </w:rPr>
            </w:pPr>
          </w:p>
        </w:tc>
        <w:tc>
          <w:tcPr>
            <w:tcW w:w="567" w:type="dxa"/>
            <w:vAlign w:val="center"/>
          </w:tcPr>
          <w:p w14:paraId="75091959" w14:textId="77777777" w:rsidR="00D34C6F" w:rsidRPr="00F9037E" w:rsidRDefault="00D34C6F" w:rsidP="00C05C97">
            <w:pPr>
              <w:spacing w:before="120" w:after="120"/>
              <w:jc w:val="center"/>
              <w:rPr>
                <w:b/>
                <w:color w:val="auto"/>
                <w:sz w:val="10"/>
                <w:szCs w:val="10"/>
              </w:rPr>
            </w:pPr>
          </w:p>
        </w:tc>
        <w:tc>
          <w:tcPr>
            <w:tcW w:w="567" w:type="dxa"/>
            <w:vAlign w:val="center"/>
          </w:tcPr>
          <w:p w14:paraId="791E550D" w14:textId="77777777" w:rsidR="00D34C6F" w:rsidRPr="00F9037E" w:rsidRDefault="00D34C6F" w:rsidP="00C05C97">
            <w:pPr>
              <w:spacing w:before="120" w:after="120"/>
              <w:jc w:val="center"/>
              <w:rPr>
                <w:b/>
                <w:color w:val="auto"/>
                <w:sz w:val="10"/>
                <w:szCs w:val="10"/>
              </w:rPr>
            </w:pPr>
          </w:p>
        </w:tc>
      </w:tr>
      <w:tr w:rsidR="00D34C6F" w:rsidRPr="00F9037E" w14:paraId="4DA5843D" w14:textId="77777777" w:rsidTr="00C05C97">
        <w:trPr>
          <w:trHeight w:val="270"/>
          <w:jc w:val="center"/>
        </w:trPr>
        <w:tc>
          <w:tcPr>
            <w:tcW w:w="662" w:type="dxa"/>
            <w:shd w:val="clear" w:color="auto" w:fill="auto"/>
            <w:vAlign w:val="center"/>
          </w:tcPr>
          <w:p w14:paraId="11D0E931" w14:textId="77777777" w:rsidR="00D34C6F" w:rsidRPr="00F9037E" w:rsidRDefault="00D34C6F" w:rsidP="00C05C97">
            <w:pPr>
              <w:spacing w:before="120" w:after="120"/>
              <w:rPr>
                <w:color w:val="auto"/>
                <w:sz w:val="12"/>
                <w:szCs w:val="12"/>
              </w:rPr>
            </w:pPr>
            <w:r w:rsidRPr="00F9037E">
              <w:rPr>
                <w:color w:val="auto"/>
                <w:sz w:val="12"/>
                <w:szCs w:val="12"/>
              </w:rPr>
              <w:t>France</w:t>
            </w:r>
          </w:p>
        </w:tc>
        <w:tc>
          <w:tcPr>
            <w:tcW w:w="824" w:type="dxa"/>
            <w:shd w:val="clear" w:color="auto" w:fill="auto"/>
            <w:vAlign w:val="center"/>
          </w:tcPr>
          <w:p w14:paraId="168EAA36" w14:textId="77777777" w:rsidR="00D34C6F" w:rsidRPr="00F9037E" w:rsidRDefault="00D34C6F" w:rsidP="00C05C97">
            <w:pPr>
              <w:spacing w:before="120" w:after="120"/>
              <w:rPr>
                <w:color w:val="auto"/>
                <w:sz w:val="12"/>
                <w:szCs w:val="12"/>
              </w:rPr>
            </w:pPr>
            <w:r w:rsidRPr="00F9037E">
              <w:rPr>
                <w:color w:val="auto"/>
                <w:sz w:val="12"/>
                <w:szCs w:val="12"/>
              </w:rPr>
              <w:t>Eggplant</w:t>
            </w:r>
          </w:p>
        </w:tc>
        <w:tc>
          <w:tcPr>
            <w:tcW w:w="708" w:type="dxa"/>
            <w:shd w:val="clear" w:color="auto" w:fill="auto"/>
            <w:vAlign w:val="center"/>
          </w:tcPr>
          <w:p w14:paraId="7A248FF0" w14:textId="61660485"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67B2DE79" w14:textId="77777777" w:rsidR="00D34C6F" w:rsidRPr="00F9037E" w:rsidRDefault="00D34C6F" w:rsidP="00C05C97">
            <w:pPr>
              <w:spacing w:before="120" w:after="120"/>
              <w:jc w:val="center"/>
              <w:rPr>
                <w:color w:val="auto"/>
                <w:sz w:val="10"/>
                <w:szCs w:val="10"/>
              </w:rPr>
            </w:pPr>
            <w:r w:rsidRPr="00F9037E">
              <w:rPr>
                <w:color w:val="auto"/>
                <w:sz w:val="10"/>
                <w:szCs w:val="10"/>
              </w:rPr>
              <w:t>27.500</w:t>
            </w:r>
          </w:p>
        </w:tc>
        <w:tc>
          <w:tcPr>
            <w:tcW w:w="709" w:type="dxa"/>
            <w:shd w:val="clear" w:color="auto" w:fill="auto"/>
            <w:vAlign w:val="center"/>
          </w:tcPr>
          <w:p w14:paraId="540DC490" w14:textId="77777777" w:rsidR="00D34C6F" w:rsidRPr="00F9037E" w:rsidRDefault="00D34C6F" w:rsidP="00C05C97">
            <w:pPr>
              <w:spacing w:before="120" w:after="120"/>
              <w:jc w:val="center"/>
              <w:rPr>
                <w:color w:val="auto"/>
                <w:sz w:val="10"/>
                <w:szCs w:val="10"/>
              </w:rPr>
            </w:pPr>
            <w:r w:rsidRPr="00F9037E">
              <w:rPr>
                <w:color w:val="auto"/>
                <w:sz w:val="10"/>
                <w:szCs w:val="10"/>
              </w:rPr>
              <w:t>33.250</w:t>
            </w:r>
          </w:p>
        </w:tc>
        <w:tc>
          <w:tcPr>
            <w:tcW w:w="567" w:type="dxa"/>
            <w:shd w:val="clear" w:color="auto" w:fill="auto"/>
            <w:vAlign w:val="center"/>
          </w:tcPr>
          <w:p w14:paraId="2F3AA4C6" w14:textId="21C83C3C"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77D01F4F" w14:textId="19BB7C14"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64E22AC" w14:textId="4893BA2C"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7E94D575" w14:textId="6659F895"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2ECDD374" w14:textId="24A25ABA"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2935DCFD" w14:textId="037F48F2" w:rsidR="00D34C6F" w:rsidRPr="00F9037E" w:rsidRDefault="00D34C6F" w:rsidP="00C05C97">
            <w:pPr>
              <w:spacing w:before="120" w:after="120"/>
              <w:jc w:val="center"/>
              <w:rPr>
                <w:color w:val="auto"/>
                <w:sz w:val="10"/>
                <w:szCs w:val="10"/>
              </w:rPr>
            </w:pPr>
          </w:p>
        </w:tc>
        <w:tc>
          <w:tcPr>
            <w:tcW w:w="629" w:type="dxa"/>
            <w:vAlign w:val="center"/>
          </w:tcPr>
          <w:p w14:paraId="126B9334" w14:textId="77777777" w:rsidR="00D34C6F" w:rsidRPr="00F9037E" w:rsidRDefault="00D34C6F" w:rsidP="00C05C97">
            <w:pPr>
              <w:spacing w:before="120" w:after="120"/>
              <w:jc w:val="center"/>
              <w:rPr>
                <w:color w:val="auto"/>
                <w:sz w:val="10"/>
                <w:szCs w:val="10"/>
              </w:rPr>
            </w:pPr>
          </w:p>
        </w:tc>
        <w:tc>
          <w:tcPr>
            <w:tcW w:w="567" w:type="dxa"/>
            <w:vAlign w:val="center"/>
          </w:tcPr>
          <w:p w14:paraId="43FAFBB2" w14:textId="77777777" w:rsidR="00D34C6F" w:rsidRPr="00F9037E" w:rsidRDefault="00D34C6F" w:rsidP="00C05C97">
            <w:pPr>
              <w:spacing w:before="120" w:after="120"/>
              <w:jc w:val="center"/>
              <w:rPr>
                <w:color w:val="auto"/>
                <w:sz w:val="10"/>
                <w:szCs w:val="10"/>
              </w:rPr>
            </w:pPr>
          </w:p>
        </w:tc>
        <w:tc>
          <w:tcPr>
            <w:tcW w:w="567" w:type="dxa"/>
            <w:vAlign w:val="center"/>
          </w:tcPr>
          <w:p w14:paraId="0E96B249"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46424D19" w14:textId="451E284E"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789482DB" w14:textId="77777777" w:rsidR="00D34C6F" w:rsidRPr="00F9037E" w:rsidRDefault="00D34C6F" w:rsidP="00C05C97">
            <w:pPr>
              <w:spacing w:before="120" w:after="120"/>
              <w:jc w:val="center"/>
              <w:rPr>
                <w:color w:val="auto"/>
                <w:sz w:val="10"/>
                <w:szCs w:val="10"/>
              </w:rPr>
            </w:pPr>
            <w:r w:rsidRPr="00F9037E">
              <w:rPr>
                <w:color w:val="auto"/>
                <w:sz w:val="10"/>
                <w:szCs w:val="10"/>
              </w:rPr>
              <w:t>48.400</w:t>
            </w:r>
          </w:p>
        </w:tc>
        <w:tc>
          <w:tcPr>
            <w:tcW w:w="708" w:type="dxa"/>
            <w:shd w:val="clear" w:color="auto" w:fill="auto"/>
            <w:vAlign w:val="center"/>
          </w:tcPr>
          <w:p w14:paraId="746D1666" w14:textId="30FD219D"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1801373A" w14:textId="79FF3F60"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1B05C67" w14:textId="502F40AF"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65D594F6" w14:textId="3FD14853"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DC08E64" w14:textId="5AD06E52"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6F2367D2" w14:textId="09251549" w:rsidR="00D34C6F" w:rsidRPr="00F9037E" w:rsidRDefault="00D34C6F" w:rsidP="00C05C97">
            <w:pPr>
              <w:spacing w:before="120" w:after="120"/>
              <w:jc w:val="center"/>
              <w:rPr>
                <w:b/>
                <w:color w:val="auto"/>
                <w:sz w:val="10"/>
                <w:szCs w:val="10"/>
              </w:rPr>
            </w:pPr>
          </w:p>
        </w:tc>
        <w:tc>
          <w:tcPr>
            <w:tcW w:w="567" w:type="dxa"/>
            <w:vAlign w:val="center"/>
          </w:tcPr>
          <w:p w14:paraId="3C52C6CB" w14:textId="77777777" w:rsidR="00D34C6F" w:rsidRPr="00F9037E" w:rsidRDefault="00D34C6F" w:rsidP="00C05C97">
            <w:pPr>
              <w:spacing w:before="120" w:after="120"/>
              <w:jc w:val="center"/>
              <w:rPr>
                <w:b/>
                <w:color w:val="auto"/>
                <w:sz w:val="10"/>
                <w:szCs w:val="10"/>
              </w:rPr>
            </w:pPr>
          </w:p>
        </w:tc>
        <w:tc>
          <w:tcPr>
            <w:tcW w:w="567" w:type="dxa"/>
            <w:vAlign w:val="center"/>
          </w:tcPr>
          <w:p w14:paraId="4EA13BFA" w14:textId="77777777" w:rsidR="00D34C6F" w:rsidRPr="00F9037E" w:rsidRDefault="00D34C6F" w:rsidP="00C05C97">
            <w:pPr>
              <w:spacing w:before="120" w:after="120"/>
              <w:jc w:val="center"/>
              <w:rPr>
                <w:b/>
                <w:color w:val="auto"/>
                <w:sz w:val="10"/>
                <w:szCs w:val="10"/>
              </w:rPr>
            </w:pPr>
          </w:p>
        </w:tc>
        <w:tc>
          <w:tcPr>
            <w:tcW w:w="567" w:type="dxa"/>
            <w:vAlign w:val="center"/>
          </w:tcPr>
          <w:p w14:paraId="1A86C4AF" w14:textId="77777777" w:rsidR="00D34C6F" w:rsidRPr="00F9037E" w:rsidRDefault="00D34C6F" w:rsidP="00C05C97">
            <w:pPr>
              <w:spacing w:before="120" w:after="120"/>
              <w:jc w:val="center"/>
              <w:rPr>
                <w:b/>
                <w:color w:val="auto"/>
                <w:sz w:val="10"/>
                <w:szCs w:val="10"/>
              </w:rPr>
            </w:pPr>
          </w:p>
        </w:tc>
        <w:tc>
          <w:tcPr>
            <w:tcW w:w="567" w:type="dxa"/>
            <w:vAlign w:val="center"/>
          </w:tcPr>
          <w:p w14:paraId="3F341F67" w14:textId="77777777" w:rsidR="00D34C6F" w:rsidRPr="00F9037E" w:rsidRDefault="00D34C6F" w:rsidP="00C05C97">
            <w:pPr>
              <w:spacing w:before="120" w:after="120"/>
              <w:jc w:val="center"/>
              <w:rPr>
                <w:b/>
                <w:color w:val="auto"/>
                <w:sz w:val="10"/>
                <w:szCs w:val="10"/>
              </w:rPr>
            </w:pPr>
          </w:p>
        </w:tc>
      </w:tr>
      <w:tr w:rsidR="00D34C6F" w:rsidRPr="00F9037E" w14:paraId="7B6180AF" w14:textId="77777777" w:rsidTr="00C05C97">
        <w:trPr>
          <w:trHeight w:val="270"/>
          <w:jc w:val="center"/>
        </w:trPr>
        <w:tc>
          <w:tcPr>
            <w:tcW w:w="662" w:type="dxa"/>
            <w:shd w:val="clear" w:color="auto" w:fill="auto"/>
            <w:vAlign w:val="center"/>
          </w:tcPr>
          <w:p w14:paraId="61CEFF7C" w14:textId="77777777" w:rsidR="00D34C6F" w:rsidRPr="00F9037E" w:rsidRDefault="00D34C6F" w:rsidP="00C05C97">
            <w:pPr>
              <w:spacing w:before="120" w:after="120"/>
              <w:rPr>
                <w:color w:val="auto"/>
                <w:sz w:val="12"/>
                <w:szCs w:val="12"/>
              </w:rPr>
            </w:pPr>
            <w:r w:rsidRPr="00F9037E">
              <w:rPr>
                <w:color w:val="auto"/>
                <w:sz w:val="12"/>
                <w:szCs w:val="12"/>
              </w:rPr>
              <w:t>Greece</w:t>
            </w:r>
          </w:p>
        </w:tc>
        <w:tc>
          <w:tcPr>
            <w:tcW w:w="824" w:type="dxa"/>
            <w:shd w:val="clear" w:color="auto" w:fill="auto"/>
            <w:vAlign w:val="center"/>
          </w:tcPr>
          <w:p w14:paraId="5D2C2464" w14:textId="77777777" w:rsidR="00D34C6F" w:rsidRPr="00F9037E" w:rsidRDefault="00D34C6F" w:rsidP="00C05C97">
            <w:pPr>
              <w:spacing w:before="120" w:after="120"/>
              <w:rPr>
                <w:color w:val="auto"/>
                <w:sz w:val="12"/>
                <w:szCs w:val="12"/>
              </w:rPr>
            </w:pPr>
            <w:r w:rsidRPr="00F9037E">
              <w:rPr>
                <w:color w:val="auto"/>
                <w:sz w:val="12"/>
                <w:szCs w:val="12"/>
              </w:rPr>
              <w:t>Cucurbits</w:t>
            </w:r>
          </w:p>
        </w:tc>
        <w:tc>
          <w:tcPr>
            <w:tcW w:w="708" w:type="dxa"/>
            <w:shd w:val="clear" w:color="auto" w:fill="auto"/>
            <w:vAlign w:val="center"/>
          </w:tcPr>
          <w:p w14:paraId="017D0333" w14:textId="77777777" w:rsidR="00D34C6F" w:rsidRPr="00F9037E" w:rsidRDefault="00D34C6F" w:rsidP="00C05C97">
            <w:pPr>
              <w:spacing w:before="120" w:after="120"/>
              <w:jc w:val="center"/>
              <w:rPr>
                <w:color w:val="auto"/>
                <w:sz w:val="10"/>
                <w:szCs w:val="10"/>
              </w:rPr>
            </w:pPr>
            <w:r w:rsidRPr="00F9037E">
              <w:rPr>
                <w:color w:val="auto"/>
                <w:sz w:val="10"/>
                <w:szCs w:val="10"/>
              </w:rPr>
              <w:t>30.000</w:t>
            </w:r>
          </w:p>
        </w:tc>
        <w:tc>
          <w:tcPr>
            <w:tcW w:w="709" w:type="dxa"/>
            <w:shd w:val="clear" w:color="auto" w:fill="auto"/>
            <w:vAlign w:val="center"/>
          </w:tcPr>
          <w:p w14:paraId="33F05A19" w14:textId="77777777" w:rsidR="00D34C6F" w:rsidRPr="00F9037E" w:rsidRDefault="00D34C6F" w:rsidP="00C05C97">
            <w:pPr>
              <w:spacing w:before="120" w:after="120"/>
              <w:jc w:val="center"/>
              <w:rPr>
                <w:color w:val="auto"/>
                <w:sz w:val="10"/>
                <w:szCs w:val="10"/>
              </w:rPr>
            </w:pPr>
            <w:r w:rsidRPr="00F9037E">
              <w:rPr>
                <w:color w:val="auto"/>
                <w:sz w:val="10"/>
                <w:szCs w:val="10"/>
              </w:rPr>
              <w:t>19.200</w:t>
            </w:r>
          </w:p>
        </w:tc>
        <w:tc>
          <w:tcPr>
            <w:tcW w:w="709" w:type="dxa"/>
            <w:shd w:val="clear" w:color="auto" w:fill="auto"/>
            <w:vAlign w:val="center"/>
          </w:tcPr>
          <w:p w14:paraId="26BD4F1F" w14:textId="6EAE4EA9"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79115AA" w14:textId="300C8BA0"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23F90233" w14:textId="6C55580F"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22D61BD2" w14:textId="2120169C"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0AF61119" w14:textId="67102C5F"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CFA9C57" w14:textId="72832036"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54C682E" w14:textId="2B77A072" w:rsidR="00D34C6F" w:rsidRPr="00F9037E" w:rsidRDefault="00D34C6F" w:rsidP="00C05C97">
            <w:pPr>
              <w:spacing w:before="120" w:after="120"/>
              <w:jc w:val="center"/>
              <w:rPr>
                <w:color w:val="auto"/>
                <w:sz w:val="10"/>
                <w:szCs w:val="10"/>
              </w:rPr>
            </w:pPr>
          </w:p>
        </w:tc>
        <w:tc>
          <w:tcPr>
            <w:tcW w:w="629" w:type="dxa"/>
            <w:vAlign w:val="center"/>
          </w:tcPr>
          <w:p w14:paraId="6F459DDA" w14:textId="77777777" w:rsidR="00D34C6F" w:rsidRPr="00F9037E" w:rsidRDefault="00D34C6F" w:rsidP="00C05C97">
            <w:pPr>
              <w:spacing w:before="120" w:after="120"/>
              <w:jc w:val="center"/>
              <w:rPr>
                <w:color w:val="auto"/>
                <w:sz w:val="10"/>
                <w:szCs w:val="10"/>
              </w:rPr>
            </w:pPr>
          </w:p>
        </w:tc>
        <w:tc>
          <w:tcPr>
            <w:tcW w:w="567" w:type="dxa"/>
            <w:vAlign w:val="center"/>
          </w:tcPr>
          <w:p w14:paraId="5CC598AC" w14:textId="77777777" w:rsidR="00D34C6F" w:rsidRPr="00F9037E" w:rsidRDefault="00D34C6F" w:rsidP="00C05C97">
            <w:pPr>
              <w:spacing w:before="120" w:after="120"/>
              <w:jc w:val="center"/>
              <w:rPr>
                <w:color w:val="auto"/>
                <w:sz w:val="10"/>
                <w:szCs w:val="10"/>
              </w:rPr>
            </w:pPr>
          </w:p>
        </w:tc>
        <w:tc>
          <w:tcPr>
            <w:tcW w:w="567" w:type="dxa"/>
            <w:vAlign w:val="center"/>
          </w:tcPr>
          <w:p w14:paraId="237EEEA7"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57965349" w14:textId="77777777" w:rsidR="00D34C6F" w:rsidRPr="00F9037E" w:rsidRDefault="00D34C6F" w:rsidP="00C05C97">
            <w:pPr>
              <w:spacing w:before="120" w:after="120"/>
              <w:jc w:val="center"/>
              <w:rPr>
                <w:color w:val="auto"/>
                <w:sz w:val="10"/>
                <w:szCs w:val="10"/>
              </w:rPr>
            </w:pPr>
            <w:r w:rsidRPr="00F9037E">
              <w:rPr>
                <w:color w:val="auto"/>
                <w:sz w:val="10"/>
                <w:szCs w:val="10"/>
              </w:rPr>
              <w:t>30.000</w:t>
            </w:r>
          </w:p>
        </w:tc>
        <w:tc>
          <w:tcPr>
            <w:tcW w:w="709" w:type="dxa"/>
            <w:shd w:val="clear" w:color="auto" w:fill="auto"/>
            <w:vAlign w:val="center"/>
          </w:tcPr>
          <w:p w14:paraId="3D05F076" w14:textId="77777777" w:rsidR="00D34C6F" w:rsidRPr="00F9037E" w:rsidRDefault="00D34C6F" w:rsidP="00C05C97">
            <w:pPr>
              <w:spacing w:before="120" w:after="120"/>
              <w:jc w:val="center"/>
              <w:rPr>
                <w:color w:val="auto"/>
                <w:sz w:val="10"/>
                <w:szCs w:val="10"/>
              </w:rPr>
            </w:pPr>
            <w:r w:rsidRPr="00F9037E">
              <w:rPr>
                <w:color w:val="auto"/>
                <w:sz w:val="10"/>
                <w:szCs w:val="10"/>
              </w:rPr>
              <w:t>19.200</w:t>
            </w:r>
          </w:p>
        </w:tc>
        <w:tc>
          <w:tcPr>
            <w:tcW w:w="708" w:type="dxa"/>
            <w:shd w:val="clear" w:color="auto" w:fill="auto"/>
            <w:vAlign w:val="center"/>
          </w:tcPr>
          <w:p w14:paraId="27E6A9A6" w14:textId="2752ED63"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5707036B" w14:textId="3369BCBE"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31B0FF7" w14:textId="7A7A8D53"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00404662" w14:textId="4A8CB438"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3CD8D44D" w14:textId="12EAA6FB"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65555860" w14:textId="4F14AE78" w:rsidR="00D34C6F" w:rsidRPr="00F9037E" w:rsidRDefault="00D34C6F" w:rsidP="00C05C97">
            <w:pPr>
              <w:spacing w:before="120" w:after="120"/>
              <w:jc w:val="center"/>
              <w:rPr>
                <w:b/>
                <w:color w:val="auto"/>
                <w:sz w:val="10"/>
                <w:szCs w:val="10"/>
              </w:rPr>
            </w:pPr>
          </w:p>
        </w:tc>
        <w:tc>
          <w:tcPr>
            <w:tcW w:w="567" w:type="dxa"/>
            <w:vAlign w:val="center"/>
          </w:tcPr>
          <w:p w14:paraId="162C5144" w14:textId="77777777" w:rsidR="00D34C6F" w:rsidRPr="00F9037E" w:rsidRDefault="00D34C6F" w:rsidP="00C05C97">
            <w:pPr>
              <w:spacing w:before="120" w:after="120"/>
              <w:jc w:val="center"/>
              <w:rPr>
                <w:b/>
                <w:color w:val="auto"/>
                <w:sz w:val="10"/>
                <w:szCs w:val="10"/>
              </w:rPr>
            </w:pPr>
          </w:p>
        </w:tc>
        <w:tc>
          <w:tcPr>
            <w:tcW w:w="567" w:type="dxa"/>
            <w:vAlign w:val="center"/>
          </w:tcPr>
          <w:p w14:paraId="3D3650E1" w14:textId="77777777" w:rsidR="00D34C6F" w:rsidRPr="00F9037E" w:rsidRDefault="00D34C6F" w:rsidP="00C05C97">
            <w:pPr>
              <w:spacing w:before="120" w:after="120"/>
              <w:jc w:val="center"/>
              <w:rPr>
                <w:b/>
                <w:color w:val="auto"/>
                <w:sz w:val="10"/>
                <w:szCs w:val="10"/>
              </w:rPr>
            </w:pPr>
          </w:p>
        </w:tc>
        <w:tc>
          <w:tcPr>
            <w:tcW w:w="567" w:type="dxa"/>
            <w:vAlign w:val="center"/>
          </w:tcPr>
          <w:p w14:paraId="67C9A3E6" w14:textId="77777777" w:rsidR="00D34C6F" w:rsidRPr="00F9037E" w:rsidRDefault="00D34C6F" w:rsidP="00C05C97">
            <w:pPr>
              <w:spacing w:before="120" w:after="120"/>
              <w:jc w:val="center"/>
              <w:rPr>
                <w:b/>
                <w:color w:val="auto"/>
                <w:sz w:val="10"/>
                <w:szCs w:val="10"/>
              </w:rPr>
            </w:pPr>
          </w:p>
        </w:tc>
        <w:tc>
          <w:tcPr>
            <w:tcW w:w="567" w:type="dxa"/>
            <w:vAlign w:val="center"/>
          </w:tcPr>
          <w:p w14:paraId="3DA1986E" w14:textId="77777777" w:rsidR="00D34C6F" w:rsidRPr="00F9037E" w:rsidRDefault="00D34C6F" w:rsidP="00C05C97">
            <w:pPr>
              <w:spacing w:before="120" w:after="120"/>
              <w:jc w:val="center"/>
              <w:rPr>
                <w:b/>
                <w:color w:val="auto"/>
                <w:sz w:val="10"/>
                <w:szCs w:val="10"/>
              </w:rPr>
            </w:pPr>
          </w:p>
        </w:tc>
      </w:tr>
      <w:tr w:rsidR="00D34C6F" w:rsidRPr="00F9037E" w14:paraId="3B525DE1" w14:textId="77777777" w:rsidTr="00C05C97">
        <w:trPr>
          <w:trHeight w:val="270"/>
          <w:jc w:val="center"/>
        </w:trPr>
        <w:tc>
          <w:tcPr>
            <w:tcW w:w="662" w:type="dxa"/>
            <w:shd w:val="clear" w:color="auto" w:fill="auto"/>
            <w:vAlign w:val="center"/>
          </w:tcPr>
          <w:p w14:paraId="6692B9C6" w14:textId="77777777" w:rsidR="00D34C6F" w:rsidRPr="00F9037E" w:rsidRDefault="00D34C6F" w:rsidP="00C05C97">
            <w:pPr>
              <w:spacing w:before="120" w:after="120"/>
              <w:rPr>
                <w:color w:val="auto"/>
                <w:sz w:val="12"/>
                <w:szCs w:val="12"/>
              </w:rPr>
            </w:pPr>
            <w:r w:rsidRPr="00F9037E">
              <w:rPr>
                <w:color w:val="auto"/>
                <w:sz w:val="12"/>
                <w:szCs w:val="12"/>
              </w:rPr>
              <w:t>Greece</w:t>
            </w:r>
          </w:p>
        </w:tc>
        <w:tc>
          <w:tcPr>
            <w:tcW w:w="824" w:type="dxa"/>
            <w:shd w:val="clear" w:color="auto" w:fill="auto"/>
            <w:vAlign w:val="center"/>
          </w:tcPr>
          <w:p w14:paraId="25EDD90B" w14:textId="77777777" w:rsidR="00D34C6F" w:rsidRPr="00F9037E" w:rsidRDefault="00D34C6F" w:rsidP="00C05C97">
            <w:pPr>
              <w:spacing w:before="120" w:after="120"/>
              <w:rPr>
                <w:color w:val="auto"/>
                <w:sz w:val="12"/>
                <w:szCs w:val="12"/>
              </w:rPr>
            </w:pPr>
            <w:r w:rsidRPr="00F9037E">
              <w:rPr>
                <w:color w:val="auto"/>
                <w:sz w:val="12"/>
                <w:szCs w:val="12"/>
              </w:rPr>
              <w:t>Cut flowers</w:t>
            </w:r>
          </w:p>
        </w:tc>
        <w:tc>
          <w:tcPr>
            <w:tcW w:w="708" w:type="dxa"/>
            <w:shd w:val="clear" w:color="auto" w:fill="auto"/>
            <w:vAlign w:val="center"/>
          </w:tcPr>
          <w:p w14:paraId="30AC34FE" w14:textId="77777777" w:rsidR="00D34C6F" w:rsidRPr="00F9037E" w:rsidRDefault="00D34C6F" w:rsidP="00C05C97">
            <w:pPr>
              <w:spacing w:before="120" w:after="120"/>
              <w:jc w:val="center"/>
              <w:rPr>
                <w:color w:val="auto"/>
                <w:sz w:val="10"/>
                <w:szCs w:val="10"/>
              </w:rPr>
            </w:pPr>
            <w:r w:rsidRPr="00F9037E">
              <w:rPr>
                <w:color w:val="auto"/>
                <w:sz w:val="10"/>
                <w:szCs w:val="10"/>
              </w:rPr>
              <w:t>14.000</w:t>
            </w:r>
          </w:p>
        </w:tc>
        <w:tc>
          <w:tcPr>
            <w:tcW w:w="709" w:type="dxa"/>
            <w:shd w:val="clear" w:color="auto" w:fill="auto"/>
            <w:vAlign w:val="center"/>
          </w:tcPr>
          <w:p w14:paraId="5979BE60" w14:textId="77777777" w:rsidR="00D34C6F" w:rsidRPr="00F9037E" w:rsidRDefault="00D34C6F" w:rsidP="00C05C97">
            <w:pPr>
              <w:spacing w:before="120" w:after="120"/>
              <w:jc w:val="center"/>
              <w:rPr>
                <w:color w:val="auto"/>
                <w:sz w:val="10"/>
                <w:szCs w:val="10"/>
              </w:rPr>
            </w:pPr>
            <w:r w:rsidRPr="00F9037E">
              <w:rPr>
                <w:color w:val="auto"/>
                <w:sz w:val="10"/>
                <w:szCs w:val="10"/>
              </w:rPr>
              <w:t>6.000</w:t>
            </w:r>
          </w:p>
        </w:tc>
        <w:tc>
          <w:tcPr>
            <w:tcW w:w="709" w:type="dxa"/>
            <w:shd w:val="clear" w:color="auto" w:fill="auto"/>
            <w:vAlign w:val="center"/>
          </w:tcPr>
          <w:p w14:paraId="2E895B5E" w14:textId="67760FC7"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682ED9A" w14:textId="37482B7F"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47E21F96" w14:textId="66B977AF"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8E293E2" w14:textId="74315887"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37502F80" w14:textId="241E18B9"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A3B18A5" w14:textId="31A7376B"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82D2EEE" w14:textId="7705BEE9" w:rsidR="00D34C6F" w:rsidRPr="00F9037E" w:rsidRDefault="00D34C6F" w:rsidP="00C05C97">
            <w:pPr>
              <w:spacing w:before="120" w:after="120"/>
              <w:jc w:val="center"/>
              <w:rPr>
                <w:color w:val="auto"/>
                <w:sz w:val="10"/>
                <w:szCs w:val="10"/>
              </w:rPr>
            </w:pPr>
          </w:p>
        </w:tc>
        <w:tc>
          <w:tcPr>
            <w:tcW w:w="629" w:type="dxa"/>
            <w:vAlign w:val="center"/>
          </w:tcPr>
          <w:p w14:paraId="286E5B1F" w14:textId="77777777" w:rsidR="00D34C6F" w:rsidRPr="00F9037E" w:rsidRDefault="00D34C6F" w:rsidP="00C05C97">
            <w:pPr>
              <w:spacing w:before="120" w:after="120"/>
              <w:jc w:val="center"/>
              <w:rPr>
                <w:color w:val="auto"/>
                <w:sz w:val="10"/>
                <w:szCs w:val="10"/>
              </w:rPr>
            </w:pPr>
          </w:p>
        </w:tc>
        <w:tc>
          <w:tcPr>
            <w:tcW w:w="567" w:type="dxa"/>
            <w:vAlign w:val="center"/>
          </w:tcPr>
          <w:p w14:paraId="2CAA7500" w14:textId="77777777" w:rsidR="00D34C6F" w:rsidRPr="00F9037E" w:rsidRDefault="00D34C6F" w:rsidP="00C05C97">
            <w:pPr>
              <w:spacing w:before="120" w:after="120"/>
              <w:jc w:val="center"/>
              <w:rPr>
                <w:color w:val="auto"/>
                <w:sz w:val="10"/>
                <w:szCs w:val="10"/>
              </w:rPr>
            </w:pPr>
          </w:p>
        </w:tc>
        <w:tc>
          <w:tcPr>
            <w:tcW w:w="567" w:type="dxa"/>
            <w:vAlign w:val="center"/>
          </w:tcPr>
          <w:p w14:paraId="22575872"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0BE8BFEB" w14:textId="77777777" w:rsidR="00D34C6F" w:rsidRPr="00F9037E" w:rsidRDefault="00D34C6F" w:rsidP="00C05C97">
            <w:pPr>
              <w:spacing w:before="120" w:after="120"/>
              <w:jc w:val="center"/>
              <w:rPr>
                <w:color w:val="auto"/>
                <w:sz w:val="10"/>
                <w:szCs w:val="10"/>
              </w:rPr>
            </w:pPr>
            <w:r w:rsidRPr="00F9037E">
              <w:rPr>
                <w:color w:val="auto"/>
                <w:sz w:val="10"/>
                <w:szCs w:val="10"/>
              </w:rPr>
              <w:t>14.000</w:t>
            </w:r>
          </w:p>
        </w:tc>
        <w:tc>
          <w:tcPr>
            <w:tcW w:w="709" w:type="dxa"/>
            <w:shd w:val="clear" w:color="auto" w:fill="auto"/>
            <w:vAlign w:val="center"/>
          </w:tcPr>
          <w:p w14:paraId="7B175E2E" w14:textId="77777777" w:rsidR="00D34C6F" w:rsidRPr="00F9037E" w:rsidRDefault="00D34C6F" w:rsidP="00C05C97">
            <w:pPr>
              <w:spacing w:before="120" w:after="120"/>
              <w:jc w:val="center"/>
              <w:rPr>
                <w:color w:val="auto"/>
                <w:sz w:val="10"/>
                <w:szCs w:val="10"/>
              </w:rPr>
            </w:pPr>
            <w:r w:rsidRPr="00F9037E">
              <w:rPr>
                <w:color w:val="auto"/>
                <w:sz w:val="10"/>
                <w:szCs w:val="10"/>
              </w:rPr>
              <w:t>6.000</w:t>
            </w:r>
          </w:p>
        </w:tc>
        <w:tc>
          <w:tcPr>
            <w:tcW w:w="708" w:type="dxa"/>
            <w:shd w:val="clear" w:color="auto" w:fill="auto"/>
            <w:vAlign w:val="center"/>
          </w:tcPr>
          <w:p w14:paraId="4A84F34F" w14:textId="3279F5F1"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69770D6A" w14:textId="0BDCFDCA"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74A950B" w14:textId="3800DCB0"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2344924D" w14:textId="141F2F85"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8AD5C82" w14:textId="0B6EC428"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4DC2941C" w14:textId="3367E6E8" w:rsidR="00D34C6F" w:rsidRPr="00F9037E" w:rsidRDefault="00D34C6F" w:rsidP="00C05C97">
            <w:pPr>
              <w:spacing w:before="120" w:after="120"/>
              <w:jc w:val="center"/>
              <w:rPr>
                <w:b/>
                <w:color w:val="auto"/>
                <w:sz w:val="10"/>
                <w:szCs w:val="10"/>
              </w:rPr>
            </w:pPr>
          </w:p>
        </w:tc>
        <w:tc>
          <w:tcPr>
            <w:tcW w:w="567" w:type="dxa"/>
            <w:vAlign w:val="center"/>
          </w:tcPr>
          <w:p w14:paraId="3CB8C872" w14:textId="77777777" w:rsidR="00D34C6F" w:rsidRPr="00F9037E" w:rsidRDefault="00D34C6F" w:rsidP="00C05C97">
            <w:pPr>
              <w:spacing w:before="120" w:after="120"/>
              <w:jc w:val="center"/>
              <w:rPr>
                <w:b/>
                <w:color w:val="auto"/>
                <w:sz w:val="10"/>
                <w:szCs w:val="10"/>
              </w:rPr>
            </w:pPr>
          </w:p>
        </w:tc>
        <w:tc>
          <w:tcPr>
            <w:tcW w:w="567" w:type="dxa"/>
            <w:vAlign w:val="center"/>
          </w:tcPr>
          <w:p w14:paraId="17EE81D4" w14:textId="77777777" w:rsidR="00D34C6F" w:rsidRPr="00F9037E" w:rsidRDefault="00D34C6F" w:rsidP="00C05C97">
            <w:pPr>
              <w:spacing w:before="120" w:after="120"/>
              <w:jc w:val="center"/>
              <w:rPr>
                <w:b/>
                <w:color w:val="auto"/>
                <w:sz w:val="10"/>
                <w:szCs w:val="10"/>
              </w:rPr>
            </w:pPr>
          </w:p>
        </w:tc>
        <w:tc>
          <w:tcPr>
            <w:tcW w:w="567" w:type="dxa"/>
            <w:vAlign w:val="center"/>
          </w:tcPr>
          <w:p w14:paraId="33F74F46" w14:textId="77777777" w:rsidR="00D34C6F" w:rsidRPr="00F9037E" w:rsidRDefault="00D34C6F" w:rsidP="00C05C97">
            <w:pPr>
              <w:spacing w:before="120" w:after="120"/>
              <w:jc w:val="center"/>
              <w:rPr>
                <w:b/>
                <w:color w:val="auto"/>
                <w:sz w:val="10"/>
                <w:szCs w:val="10"/>
              </w:rPr>
            </w:pPr>
          </w:p>
        </w:tc>
        <w:tc>
          <w:tcPr>
            <w:tcW w:w="567" w:type="dxa"/>
            <w:vAlign w:val="center"/>
          </w:tcPr>
          <w:p w14:paraId="31A8FF2E" w14:textId="77777777" w:rsidR="00D34C6F" w:rsidRPr="00F9037E" w:rsidRDefault="00D34C6F" w:rsidP="00C05C97">
            <w:pPr>
              <w:spacing w:before="120" w:after="120"/>
              <w:jc w:val="center"/>
              <w:rPr>
                <w:b/>
                <w:color w:val="auto"/>
                <w:sz w:val="10"/>
                <w:szCs w:val="10"/>
              </w:rPr>
            </w:pPr>
          </w:p>
        </w:tc>
      </w:tr>
      <w:tr w:rsidR="00D34C6F" w:rsidRPr="00F9037E" w14:paraId="2F2F9954" w14:textId="77777777" w:rsidTr="00C05C97">
        <w:trPr>
          <w:trHeight w:val="270"/>
          <w:jc w:val="center"/>
        </w:trPr>
        <w:tc>
          <w:tcPr>
            <w:tcW w:w="662" w:type="dxa"/>
            <w:shd w:val="clear" w:color="auto" w:fill="auto"/>
            <w:vAlign w:val="center"/>
          </w:tcPr>
          <w:p w14:paraId="61E8563B" w14:textId="77777777" w:rsidR="00D34C6F" w:rsidRPr="00F9037E" w:rsidRDefault="00D34C6F" w:rsidP="00C05C97">
            <w:pPr>
              <w:spacing w:before="120" w:after="120"/>
              <w:rPr>
                <w:color w:val="auto"/>
                <w:sz w:val="12"/>
                <w:szCs w:val="12"/>
              </w:rPr>
            </w:pPr>
            <w:r w:rsidRPr="00F9037E">
              <w:rPr>
                <w:color w:val="auto"/>
                <w:sz w:val="12"/>
                <w:szCs w:val="12"/>
              </w:rPr>
              <w:t>Greece</w:t>
            </w:r>
          </w:p>
        </w:tc>
        <w:tc>
          <w:tcPr>
            <w:tcW w:w="824" w:type="dxa"/>
            <w:shd w:val="clear" w:color="auto" w:fill="auto"/>
            <w:vAlign w:val="center"/>
          </w:tcPr>
          <w:p w14:paraId="2940F8F1" w14:textId="77777777" w:rsidR="00D34C6F" w:rsidRPr="00F9037E" w:rsidRDefault="00D34C6F" w:rsidP="00C05C97">
            <w:pPr>
              <w:spacing w:before="120" w:after="120"/>
              <w:rPr>
                <w:color w:val="auto"/>
                <w:sz w:val="12"/>
                <w:szCs w:val="12"/>
              </w:rPr>
            </w:pPr>
            <w:r w:rsidRPr="00F9037E">
              <w:rPr>
                <w:color w:val="auto"/>
                <w:sz w:val="12"/>
                <w:szCs w:val="12"/>
              </w:rPr>
              <w:t>Tomatoes</w:t>
            </w:r>
          </w:p>
        </w:tc>
        <w:tc>
          <w:tcPr>
            <w:tcW w:w="708" w:type="dxa"/>
            <w:shd w:val="clear" w:color="auto" w:fill="auto"/>
            <w:vAlign w:val="center"/>
          </w:tcPr>
          <w:p w14:paraId="3C9AF16B" w14:textId="77777777" w:rsidR="00D34C6F" w:rsidRPr="00F9037E" w:rsidRDefault="00D34C6F" w:rsidP="00C05C97">
            <w:pPr>
              <w:spacing w:before="120" w:after="120"/>
              <w:jc w:val="center"/>
              <w:rPr>
                <w:color w:val="auto"/>
                <w:sz w:val="10"/>
                <w:szCs w:val="10"/>
              </w:rPr>
            </w:pPr>
            <w:r w:rsidRPr="00F9037E">
              <w:rPr>
                <w:color w:val="auto"/>
                <w:sz w:val="10"/>
                <w:szCs w:val="10"/>
              </w:rPr>
              <w:t>180.000</w:t>
            </w:r>
          </w:p>
        </w:tc>
        <w:tc>
          <w:tcPr>
            <w:tcW w:w="709" w:type="dxa"/>
            <w:shd w:val="clear" w:color="auto" w:fill="auto"/>
            <w:vAlign w:val="center"/>
          </w:tcPr>
          <w:p w14:paraId="1F2C74BC" w14:textId="77777777" w:rsidR="00D34C6F" w:rsidRPr="00F9037E" w:rsidRDefault="00D34C6F" w:rsidP="00C05C97">
            <w:pPr>
              <w:spacing w:before="120" w:after="120"/>
              <w:jc w:val="center"/>
              <w:rPr>
                <w:color w:val="auto"/>
                <w:sz w:val="10"/>
                <w:szCs w:val="10"/>
              </w:rPr>
            </w:pPr>
            <w:r w:rsidRPr="00F9037E">
              <w:rPr>
                <w:color w:val="auto"/>
                <w:sz w:val="10"/>
                <w:szCs w:val="10"/>
              </w:rPr>
              <w:t>73.600</w:t>
            </w:r>
          </w:p>
        </w:tc>
        <w:tc>
          <w:tcPr>
            <w:tcW w:w="709" w:type="dxa"/>
            <w:shd w:val="clear" w:color="auto" w:fill="auto"/>
            <w:vAlign w:val="center"/>
          </w:tcPr>
          <w:p w14:paraId="07870221" w14:textId="34122AD9"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1695772" w14:textId="38029522"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214C97BE" w14:textId="56200C12"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2661A02" w14:textId="267BFCC3"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72008B3A" w14:textId="7D9C7FBB"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9EA1B5F" w14:textId="77DD204B"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528C32F" w14:textId="792CC4B8" w:rsidR="00D34C6F" w:rsidRPr="00F9037E" w:rsidRDefault="00D34C6F" w:rsidP="00C05C97">
            <w:pPr>
              <w:spacing w:before="120" w:after="120"/>
              <w:jc w:val="center"/>
              <w:rPr>
                <w:color w:val="auto"/>
                <w:sz w:val="10"/>
                <w:szCs w:val="10"/>
              </w:rPr>
            </w:pPr>
          </w:p>
        </w:tc>
        <w:tc>
          <w:tcPr>
            <w:tcW w:w="629" w:type="dxa"/>
            <w:vAlign w:val="center"/>
          </w:tcPr>
          <w:p w14:paraId="47D4BA57" w14:textId="77777777" w:rsidR="00D34C6F" w:rsidRPr="00F9037E" w:rsidRDefault="00D34C6F" w:rsidP="00C05C97">
            <w:pPr>
              <w:spacing w:before="120" w:after="120"/>
              <w:jc w:val="center"/>
              <w:rPr>
                <w:color w:val="auto"/>
                <w:sz w:val="10"/>
                <w:szCs w:val="10"/>
              </w:rPr>
            </w:pPr>
          </w:p>
        </w:tc>
        <w:tc>
          <w:tcPr>
            <w:tcW w:w="567" w:type="dxa"/>
            <w:vAlign w:val="center"/>
          </w:tcPr>
          <w:p w14:paraId="46FD7465" w14:textId="77777777" w:rsidR="00D34C6F" w:rsidRPr="00F9037E" w:rsidRDefault="00D34C6F" w:rsidP="00C05C97">
            <w:pPr>
              <w:spacing w:before="120" w:after="120"/>
              <w:jc w:val="center"/>
              <w:rPr>
                <w:color w:val="auto"/>
                <w:sz w:val="10"/>
                <w:szCs w:val="10"/>
              </w:rPr>
            </w:pPr>
          </w:p>
        </w:tc>
        <w:tc>
          <w:tcPr>
            <w:tcW w:w="567" w:type="dxa"/>
            <w:vAlign w:val="center"/>
          </w:tcPr>
          <w:p w14:paraId="046729E7"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04BF22EB" w14:textId="77777777" w:rsidR="00D34C6F" w:rsidRPr="00F9037E" w:rsidRDefault="00D34C6F" w:rsidP="00C05C97">
            <w:pPr>
              <w:spacing w:before="120" w:after="120"/>
              <w:jc w:val="center"/>
              <w:rPr>
                <w:color w:val="auto"/>
                <w:sz w:val="10"/>
                <w:szCs w:val="10"/>
              </w:rPr>
            </w:pPr>
            <w:r w:rsidRPr="00F9037E">
              <w:rPr>
                <w:color w:val="auto"/>
                <w:sz w:val="10"/>
                <w:szCs w:val="10"/>
              </w:rPr>
              <w:t>156.000</w:t>
            </w:r>
          </w:p>
        </w:tc>
        <w:tc>
          <w:tcPr>
            <w:tcW w:w="709" w:type="dxa"/>
            <w:shd w:val="clear" w:color="auto" w:fill="auto"/>
            <w:vAlign w:val="center"/>
          </w:tcPr>
          <w:p w14:paraId="33AB33FD" w14:textId="77777777" w:rsidR="00D34C6F" w:rsidRPr="00F9037E" w:rsidRDefault="00D34C6F" w:rsidP="00C05C97">
            <w:pPr>
              <w:spacing w:before="120" w:after="120"/>
              <w:jc w:val="center"/>
              <w:rPr>
                <w:color w:val="auto"/>
                <w:sz w:val="10"/>
                <w:szCs w:val="10"/>
              </w:rPr>
            </w:pPr>
            <w:r w:rsidRPr="00F9037E">
              <w:rPr>
                <w:color w:val="auto"/>
                <w:sz w:val="10"/>
                <w:szCs w:val="10"/>
              </w:rPr>
              <w:t>73.600</w:t>
            </w:r>
          </w:p>
        </w:tc>
        <w:tc>
          <w:tcPr>
            <w:tcW w:w="708" w:type="dxa"/>
            <w:shd w:val="clear" w:color="auto" w:fill="auto"/>
            <w:vAlign w:val="center"/>
          </w:tcPr>
          <w:p w14:paraId="49F6479A" w14:textId="4583C134"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0825BEDB" w14:textId="6A97B331"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2B179E38" w14:textId="58C24DB2"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441D88D6" w14:textId="312B78E9"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3C173FF3" w14:textId="6BCA54EA"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62FD2EAF" w14:textId="4C287FC8" w:rsidR="00D34C6F" w:rsidRPr="00F9037E" w:rsidRDefault="00D34C6F" w:rsidP="00C05C97">
            <w:pPr>
              <w:spacing w:before="120" w:after="120"/>
              <w:jc w:val="center"/>
              <w:rPr>
                <w:b/>
                <w:color w:val="auto"/>
                <w:sz w:val="10"/>
                <w:szCs w:val="10"/>
              </w:rPr>
            </w:pPr>
          </w:p>
        </w:tc>
        <w:tc>
          <w:tcPr>
            <w:tcW w:w="567" w:type="dxa"/>
            <w:vAlign w:val="center"/>
          </w:tcPr>
          <w:p w14:paraId="25F4CE83" w14:textId="77777777" w:rsidR="00D34C6F" w:rsidRPr="00F9037E" w:rsidRDefault="00D34C6F" w:rsidP="00C05C97">
            <w:pPr>
              <w:spacing w:before="120" w:after="120"/>
              <w:jc w:val="center"/>
              <w:rPr>
                <w:b/>
                <w:color w:val="auto"/>
                <w:sz w:val="10"/>
                <w:szCs w:val="10"/>
              </w:rPr>
            </w:pPr>
          </w:p>
        </w:tc>
        <w:tc>
          <w:tcPr>
            <w:tcW w:w="567" w:type="dxa"/>
            <w:vAlign w:val="center"/>
          </w:tcPr>
          <w:p w14:paraId="3BA33063" w14:textId="77777777" w:rsidR="00D34C6F" w:rsidRPr="00F9037E" w:rsidRDefault="00D34C6F" w:rsidP="00C05C97">
            <w:pPr>
              <w:spacing w:before="120" w:after="120"/>
              <w:jc w:val="center"/>
              <w:rPr>
                <w:b/>
                <w:color w:val="auto"/>
                <w:sz w:val="10"/>
                <w:szCs w:val="10"/>
              </w:rPr>
            </w:pPr>
          </w:p>
        </w:tc>
        <w:tc>
          <w:tcPr>
            <w:tcW w:w="567" w:type="dxa"/>
            <w:vAlign w:val="center"/>
          </w:tcPr>
          <w:p w14:paraId="7E8413A9" w14:textId="77777777" w:rsidR="00D34C6F" w:rsidRPr="00F9037E" w:rsidRDefault="00D34C6F" w:rsidP="00C05C97">
            <w:pPr>
              <w:spacing w:before="120" w:after="120"/>
              <w:jc w:val="center"/>
              <w:rPr>
                <w:b/>
                <w:color w:val="auto"/>
                <w:sz w:val="10"/>
                <w:szCs w:val="10"/>
              </w:rPr>
            </w:pPr>
          </w:p>
        </w:tc>
        <w:tc>
          <w:tcPr>
            <w:tcW w:w="567" w:type="dxa"/>
            <w:vAlign w:val="center"/>
          </w:tcPr>
          <w:p w14:paraId="2BF34876" w14:textId="77777777" w:rsidR="00D34C6F" w:rsidRPr="00F9037E" w:rsidRDefault="00D34C6F" w:rsidP="00C05C97">
            <w:pPr>
              <w:spacing w:before="120" w:after="120"/>
              <w:jc w:val="center"/>
              <w:rPr>
                <w:b/>
                <w:color w:val="auto"/>
                <w:sz w:val="10"/>
                <w:szCs w:val="10"/>
              </w:rPr>
            </w:pPr>
          </w:p>
        </w:tc>
      </w:tr>
      <w:tr w:rsidR="00D34C6F" w:rsidRPr="00F9037E" w14:paraId="314733F3" w14:textId="77777777" w:rsidTr="00C05C97">
        <w:trPr>
          <w:trHeight w:val="270"/>
          <w:jc w:val="center"/>
        </w:trPr>
        <w:tc>
          <w:tcPr>
            <w:tcW w:w="662" w:type="dxa"/>
            <w:shd w:val="clear" w:color="auto" w:fill="auto"/>
            <w:vAlign w:val="center"/>
          </w:tcPr>
          <w:p w14:paraId="501A09C6" w14:textId="48BAEF5A" w:rsidR="00D34C6F" w:rsidRPr="00F9037E" w:rsidRDefault="00D34C6F" w:rsidP="00C05C97">
            <w:pPr>
              <w:spacing w:before="120" w:after="120"/>
              <w:rPr>
                <w:color w:val="auto"/>
                <w:sz w:val="12"/>
                <w:szCs w:val="12"/>
              </w:rPr>
            </w:pPr>
            <w:r w:rsidRPr="00F9037E">
              <w:rPr>
                <w:color w:val="auto"/>
                <w:sz w:val="12"/>
                <w:szCs w:val="12"/>
              </w:rPr>
              <w:t>Israel</w:t>
            </w:r>
          </w:p>
        </w:tc>
        <w:tc>
          <w:tcPr>
            <w:tcW w:w="824" w:type="dxa"/>
            <w:shd w:val="clear" w:color="auto" w:fill="auto"/>
            <w:vAlign w:val="center"/>
          </w:tcPr>
          <w:p w14:paraId="11F5DE1A" w14:textId="77777777" w:rsidR="00D34C6F" w:rsidRPr="00F9037E" w:rsidRDefault="00D34C6F" w:rsidP="00C05C97">
            <w:pPr>
              <w:spacing w:before="120" w:after="120"/>
              <w:rPr>
                <w:color w:val="auto"/>
                <w:sz w:val="12"/>
                <w:szCs w:val="12"/>
              </w:rPr>
            </w:pPr>
            <w:r w:rsidRPr="00F9037E">
              <w:rPr>
                <w:color w:val="auto"/>
                <w:sz w:val="12"/>
                <w:szCs w:val="12"/>
              </w:rPr>
              <w:t>Broomrape</w:t>
            </w:r>
          </w:p>
        </w:tc>
        <w:tc>
          <w:tcPr>
            <w:tcW w:w="708" w:type="dxa"/>
            <w:shd w:val="clear" w:color="auto" w:fill="auto"/>
            <w:vAlign w:val="center"/>
          </w:tcPr>
          <w:p w14:paraId="205657E0" w14:textId="467D256A"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2B75EA58" w14:textId="4A11258E"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65ABEDC2" w14:textId="77777777" w:rsidR="00D34C6F" w:rsidRPr="00F9037E" w:rsidRDefault="00D34C6F" w:rsidP="00C05C97">
            <w:pPr>
              <w:spacing w:before="120" w:after="120"/>
              <w:jc w:val="center"/>
              <w:rPr>
                <w:color w:val="auto"/>
                <w:sz w:val="10"/>
                <w:szCs w:val="10"/>
              </w:rPr>
            </w:pPr>
            <w:r w:rsidRPr="00F9037E">
              <w:rPr>
                <w:color w:val="auto"/>
                <w:sz w:val="10"/>
                <w:szCs w:val="10"/>
              </w:rPr>
              <w:t>250.000</w:t>
            </w:r>
          </w:p>
        </w:tc>
        <w:tc>
          <w:tcPr>
            <w:tcW w:w="567" w:type="dxa"/>
            <w:shd w:val="clear" w:color="auto" w:fill="auto"/>
            <w:vAlign w:val="center"/>
          </w:tcPr>
          <w:p w14:paraId="0FCD29BC" w14:textId="77777777" w:rsidR="00D34C6F" w:rsidRPr="00F9037E" w:rsidRDefault="00D34C6F" w:rsidP="00C05C97">
            <w:pPr>
              <w:spacing w:before="120" w:after="120"/>
              <w:jc w:val="center"/>
              <w:rPr>
                <w:color w:val="auto"/>
                <w:sz w:val="10"/>
                <w:szCs w:val="10"/>
              </w:rPr>
            </w:pPr>
            <w:r w:rsidRPr="00F9037E">
              <w:rPr>
                <w:color w:val="auto"/>
                <w:sz w:val="10"/>
                <w:szCs w:val="10"/>
              </w:rPr>
              <w:t>250.000</w:t>
            </w:r>
          </w:p>
        </w:tc>
        <w:tc>
          <w:tcPr>
            <w:tcW w:w="709" w:type="dxa"/>
            <w:shd w:val="clear" w:color="auto" w:fill="auto"/>
            <w:vAlign w:val="center"/>
          </w:tcPr>
          <w:p w14:paraId="4CC6C73F" w14:textId="77777777" w:rsidR="00D34C6F" w:rsidRPr="00F9037E" w:rsidRDefault="00D34C6F" w:rsidP="00C05C97">
            <w:pPr>
              <w:spacing w:before="120" w:after="120"/>
              <w:jc w:val="center"/>
              <w:rPr>
                <w:color w:val="auto"/>
                <w:sz w:val="10"/>
                <w:szCs w:val="10"/>
              </w:rPr>
            </w:pPr>
            <w:r w:rsidRPr="00F9037E">
              <w:rPr>
                <w:color w:val="auto"/>
                <w:sz w:val="10"/>
                <w:szCs w:val="10"/>
              </w:rPr>
              <w:t>125.000</w:t>
            </w:r>
          </w:p>
        </w:tc>
        <w:tc>
          <w:tcPr>
            <w:tcW w:w="567" w:type="dxa"/>
            <w:shd w:val="clear" w:color="auto" w:fill="auto"/>
            <w:vAlign w:val="center"/>
          </w:tcPr>
          <w:p w14:paraId="00D68D57" w14:textId="77777777" w:rsidR="00D34C6F" w:rsidRPr="00F9037E" w:rsidRDefault="00D34C6F" w:rsidP="00C05C97">
            <w:pPr>
              <w:spacing w:before="120" w:after="120"/>
              <w:jc w:val="center"/>
              <w:rPr>
                <w:color w:val="auto"/>
                <w:sz w:val="10"/>
                <w:szCs w:val="10"/>
              </w:rPr>
            </w:pPr>
            <w:r w:rsidRPr="00F9037E">
              <w:rPr>
                <w:color w:val="auto"/>
                <w:sz w:val="10"/>
                <w:szCs w:val="10"/>
              </w:rPr>
              <w:t>12.500</w:t>
            </w:r>
          </w:p>
        </w:tc>
        <w:tc>
          <w:tcPr>
            <w:tcW w:w="708" w:type="dxa"/>
            <w:shd w:val="clear" w:color="auto" w:fill="auto"/>
            <w:vAlign w:val="center"/>
          </w:tcPr>
          <w:p w14:paraId="41F8E0BA" w14:textId="77777777" w:rsidR="00D34C6F" w:rsidRPr="00F9037E" w:rsidRDefault="00D34C6F" w:rsidP="00C05C97">
            <w:pPr>
              <w:spacing w:before="120" w:after="120"/>
              <w:jc w:val="center"/>
              <w:rPr>
                <w:color w:val="auto"/>
                <w:sz w:val="10"/>
                <w:szCs w:val="10"/>
              </w:rPr>
            </w:pPr>
            <w:r w:rsidRPr="00F9037E">
              <w:rPr>
                <w:color w:val="auto"/>
                <w:sz w:val="10"/>
                <w:szCs w:val="10"/>
              </w:rPr>
              <w:t>12.500</w:t>
            </w:r>
          </w:p>
        </w:tc>
        <w:tc>
          <w:tcPr>
            <w:tcW w:w="567" w:type="dxa"/>
            <w:shd w:val="clear" w:color="auto" w:fill="auto"/>
            <w:vAlign w:val="center"/>
          </w:tcPr>
          <w:p w14:paraId="03D21A2A" w14:textId="0EDA8E75"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2E426CFD" w14:textId="7197D81F" w:rsidR="00D34C6F" w:rsidRPr="00F9037E" w:rsidRDefault="00D34C6F" w:rsidP="00C05C97">
            <w:pPr>
              <w:spacing w:before="120" w:after="120"/>
              <w:jc w:val="center"/>
              <w:rPr>
                <w:color w:val="auto"/>
                <w:sz w:val="10"/>
                <w:szCs w:val="10"/>
              </w:rPr>
            </w:pPr>
          </w:p>
        </w:tc>
        <w:tc>
          <w:tcPr>
            <w:tcW w:w="629" w:type="dxa"/>
            <w:vAlign w:val="center"/>
          </w:tcPr>
          <w:p w14:paraId="455BF46F" w14:textId="77777777" w:rsidR="00D34C6F" w:rsidRPr="00F9037E" w:rsidRDefault="00D34C6F" w:rsidP="00C05C97">
            <w:pPr>
              <w:spacing w:before="120" w:after="120"/>
              <w:jc w:val="center"/>
              <w:rPr>
                <w:color w:val="auto"/>
                <w:sz w:val="10"/>
                <w:szCs w:val="10"/>
              </w:rPr>
            </w:pPr>
          </w:p>
        </w:tc>
        <w:tc>
          <w:tcPr>
            <w:tcW w:w="567" w:type="dxa"/>
            <w:vAlign w:val="center"/>
          </w:tcPr>
          <w:p w14:paraId="73BD2DF2" w14:textId="77777777" w:rsidR="00D34C6F" w:rsidRPr="00F9037E" w:rsidRDefault="00D34C6F" w:rsidP="00C05C97">
            <w:pPr>
              <w:spacing w:before="120" w:after="120"/>
              <w:jc w:val="center"/>
              <w:rPr>
                <w:color w:val="auto"/>
                <w:sz w:val="10"/>
                <w:szCs w:val="10"/>
              </w:rPr>
            </w:pPr>
          </w:p>
        </w:tc>
        <w:tc>
          <w:tcPr>
            <w:tcW w:w="567" w:type="dxa"/>
            <w:vAlign w:val="center"/>
          </w:tcPr>
          <w:p w14:paraId="3B98A522"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6A03EBE1" w14:textId="694B1140"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337D1179" w14:textId="7FE1A4FB"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601416A9" w14:textId="77777777" w:rsidR="00D34C6F" w:rsidRPr="00F9037E" w:rsidRDefault="00D34C6F" w:rsidP="00C05C97">
            <w:pPr>
              <w:spacing w:before="120" w:after="120"/>
              <w:jc w:val="center"/>
              <w:rPr>
                <w:color w:val="auto"/>
                <w:sz w:val="10"/>
                <w:szCs w:val="10"/>
              </w:rPr>
            </w:pPr>
            <w:r w:rsidRPr="00F9037E">
              <w:rPr>
                <w:color w:val="auto"/>
                <w:sz w:val="10"/>
                <w:szCs w:val="10"/>
              </w:rPr>
              <w:t>250.000</w:t>
            </w:r>
          </w:p>
        </w:tc>
        <w:tc>
          <w:tcPr>
            <w:tcW w:w="709" w:type="dxa"/>
            <w:shd w:val="clear" w:color="auto" w:fill="auto"/>
            <w:vAlign w:val="center"/>
          </w:tcPr>
          <w:p w14:paraId="7DB64B13" w14:textId="77777777" w:rsidR="00D34C6F" w:rsidRPr="00F9037E" w:rsidRDefault="00D34C6F" w:rsidP="00C05C97">
            <w:pPr>
              <w:spacing w:before="120" w:after="120"/>
              <w:jc w:val="center"/>
              <w:rPr>
                <w:color w:val="auto"/>
                <w:sz w:val="10"/>
                <w:szCs w:val="10"/>
              </w:rPr>
            </w:pPr>
            <w:r w:rsidRPr="00F9037E">
              <w:rPr>
                <w:color w:val="auto"/>
                <w:sz w:val="10"/>
                <w:szCs w:val="10"/>
              </w:rPr>
              <w:t>250.000</w:t>
            </w:r>
          </w:p>
        </w:tc>
        <w:tc>
          <w:tcPr>
            <w:tcW w:w="567" w:type="dxa"/>
            <w:shd w:val="clear" w:color="auto" w:fill="auto"/>
            <w:vAlign w:val="center"/>
          </w:tcPr>
          <w:p w14:paraId="556B1781" w14:textId="77777777" w:rsidR="00D34C6F" w:rsidRPr="00F9037E" w:rsidRDefault="00D34C6F" w:rsidP="00C05C97">
            <w:pPr>
              <w:spacing w:before="120" w:after="120"/>
              <w:jc w:val="center"/>
              <w:rPr>
                <w:color w:val="auto"/>
                <w:sz w:val="10"/>
                <w:szCs w:val="10"/>
              </w:rPr>
            </w:pPr>
            <w:r w:rsidRPr="00F9037E">
              <w:rPr>
                <w:color w:val="auto"/>
                <w:sz w:val="10"/>
                <w:szCs w:val="10"/>
              </w:rPr>
              <w:t>125.000</w:t>
            </w:r>
          </w:p>
        </w:tc>
        <w:tc>
          <w:tcPr>
            <w:tcW w:w="647" w:type="dxa"/>
            <w:shd w:val="clear" w:color="auto" w:fill="auto"/>
            <w:vAlign w:val="center"/>
          </w:tcPr>
          <w:p w14:paraId="08719698" w14:textId="77777777" w:rsidR="00D34C6F" w:rsidRPr="00F9037E" w:rsidRDefault="00D34C6F" w:rsidP="00C05C97">
            <w:pPr>
              <w:spacing w:before="120" w:after="120"/>
              <w:jc w:val="center"/>
              <w:rPr>
                <w:color w:val="auto"/>
                <w:sz w:val="10"/>
                <w:szCs w:val="10"/>
              </w:rPr>
            </w:pPr>
            <w:r w:rsidRPr="00F9037E">
              <w:rPr>
                <w:color w:val="auto"/>
                <w:sz w:val="10"/>
                <w:szCs w:val="10"/>
              </w:rPr>
              <w:t>12.500</w:t>
            </w:r>
          </w:p>
        </w:tc>
        <w:tc>
          <w:tcPr>
            <w:tcW w:w="567" w:type="dxa"/>
            <w:shd w:val="clear" w:color="auto" w:fill="auto"/>
            <w:vAlign w:val="center"/>
          </w:tcPr>
          <w:p w14:paraId="08AAF9D2" w14:textId="0E831E22"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223EB466" w14:textId="5727B5DF" w:rsidR="00D34C6F" w:rsidRPr="00F9037E" w:rsidRDefault="00D34C6F" w:rsidP="00C05C97">
            <w:pPr>
              <w:spacing w:before="120" w:after="120"/>
              <w:jc w:val="center"/>
              <w:rPr>
                <w:b/>
                <w:color w:val="auto"/>
                <w:sz w:val="10"/>
                <w:szCs w:val="10"/>
              </w:rPr>
            </w:pPr>
          </w:p>
        </w:tc>
        <w:tc>
          <w:tcPr>
            <w:tcW w:w="567" w:type="dxa"/>
            <w:vAlign w:val="center"/>
          </w:tcPr>
          <w:p w14:paraId="5A9B6EFE" w14:textId="77777777" w:rsidR="00D34C6F" w:rsidRPr="00F9037E" w:rsidRDefault="00D34C6F" w:rsidP="00C05C97">
            <w:pPr>
              <w:spacing w:before="120" w:after="120"/>
              <w:jc w:val="center"/>
              <w:rPr>
                <w:b/>
                <w:color w:val="auto"/>
                <w:sz w:val="10"/>
                <w:szCs w:val="10"/>
              </w:rPr>
            </w:pPr>
          </w:p>
        </w:tc>
        <w:tc>
          <w:tcPr>
            <w:tcW w:w="567" w:type="dxa"/>
            <w:vAlign w:val="center"/>
          </w:tcPr>
          <w:p w14:paraId="17FDDA1F" w14:textId="77777777" w:rsidR="00D34C6F" w:rsidRPr="00F9037E" w:rsidRDefault="00D34C6F" w:rsidP="00C05C97">
            <w:pPr>
              <w:spacing w:before="120" w:after="120"/>
              <w:jc w:val="center"/>
              <w:rPr>
                <w:b/>
                <w:color w:val="auto"/>
                <w:sz w:val="10"/>
                <w:szCs w:val="10"/>
              </w:rPr>
            </w:pPr>
          </w:p>
        </w:tc>
        <w:tc>
          <w:tcPr>
            <w:tcW w:w="567" w:type="dxa"/>
            <w:vAlign w:val="center"/>
          </w:tcPr>
          <w:p w14:paraId="00A5948F" w14:textId="77777777" w:rsidR="00D34C6F" w:rsidRPr="00F9037E" w:rsidRDefault="00D34C6F" w:rsidP="00C05C97">
            <w:pPr>
              <w:spacing w:before="120" w:after="120"/>
              <w:jc w:val="center"/>
              <w:rPr>
                <w:b/>
                <w:color w:val="auto"/>
                <w:sz w:val="10"/>
                <w:szCs w:val="10"/>
              </w:rPr>
            </w:pPr>
          </w:p>
        </w:tc>
        <w:tc>
          <w:tcPr>
            <w:tcW w:w="567" w:type="dxa"/>
            <w:vAlign w:val="center"/>
          </w:tcPr>
          <w:p w14:paraId="6B40D563" w14:textId="77777777" w:rsidR="00D34C6F" w:rsidRPr="00F9037E" w:rsidRDefault="00D34C6F" w:rsidP="00C05C97">
            <w:pPr>
              <w:spacing w:before="120" w:after="120"/>
              <w:jc w:val="center"/>
              <w:rPr>
                <w:b/>
                <w:color w:val="auto"/>
                <w:sz w:val="10"/>
                <w:szCs w:val="10"/>
              </w:rPr>
            </w:pPr>
          </w:p>
        </w:tc>
      </w:tr>
      <w:tr w:rsidR="00D34C6F" w:rsidRPr="00F9037E" w14:paraId="396BD520" w14:textId="77777777" w:rsidTr="00C05C97">
        <w:trPr>
          <w:trHeight w:val="270"/>
          <w:jc w:val="center"/>
        </w:trPr>
        <w:tc>
          <w:tcPr>
            <w:tcW w:w="662" w:type="dxa"/>
            <w:shd w:val="clear" w:color="auto" w:fill="auto"/>
            <w:vAlign w:val="center"/>
          </w:tcPr>
          <w:p w14:paraId="13A0AF65" w14:textId="77777777" w:rsidR="00D34C6F" w:rsidRPr="00F9037E" w:rsidRDefault="00D34C6F" w:rsidP="00C05C97">
            <w:pPr>
              <w:spacing w:before="120" w:after="120"/>
              <w:rPr>
                <w:color w:val="auto"/>
                <w:sz w:val="12"/>
                <w:szCs w:val="12"/>
              </w:rPr>
            </w:pPr>
            <w:r w:rsidRPr="00F9037E">
              <w:rPr>
                <w:color w:val="auto"/>
                <w:sz w:val="12"/>
                <w:szCs w:val="12"/>
              </w:rPr>
              <w:t>Israel</w:t>
            </w:r>
          </w:p>
        </w:tc>
        <w:tc>
          <w:tcPr>
            <w:tcW w:w="2241" w:type="dxa"/>
            <w:gridSpan w:val="3"/>
            <w:shd w:val="clear" w:color="auto" w:fill="auto"/>
            <w:vAlign w:val="center"/>
          </w:tcPr>
          <w:p w14:paraId="16757F6C" w14:textId="77777777" w:rsidR="00D34C6F" w:rsidRPr="00F9037E" w:rsidRDefault="00D34C6F" w:rsidP="00C05C97">
            <w:pPr>
              <w:spacing w:before="120" w:after="120"/>
              <w:rPr>
                <w:color w:val="auto"/>
                <w:sz w:val="10"/>
                <w:szCs w:val="10"/>
              </w:rPr>
            </w:pPr>
            <w:r w:rsidRPr="00F9037E">
              <w:rPr>
                <w:color w:val="auto"/>
                <w:sz w:val="10"/>
                <w:szCs w:val="10"/>
              </w:rPr>
              <w:t>Cucumber - protected new 2007</w:t>
            </w:r>
          </w:p>
        </w:tc>
        <w:tc>
          <w:tcPr>
            <w:tcW w:w="709" w:type="dxa"/>
            <w:shd w:val="clear" w:color="auto" w:fill="auto"/>
            <w:vAlign w:val="center"/>
          </w:tcPr>
          <w:p w14:paraId="34A621E2" w14:textId="77777777" w:rsidR="00D34C6F" w:rsidRPr="00F9037E" w:rsidRDefault="00D34C6F" w:rsidP="00C05C97">
            <w:pPr>
              <w:spacing w:before="120" w:after="120"/>
              <w:jc w:val="center"/>
              <w:rPr>
                <w:color w:val="auto"/>
                <w:sz w:val="10"/>
                <w:szCs w:val="10"/>
              </w:rPr>
            </w:pPr>
            <w:r w:rsidRPr="00F9037E">
              <w:rPr>
                <w:color w:val="auto"/>
                <w:sz w:val="10"/>
                <w:szCs w:val="10"/>
              </w:rPr>
              <w:t>25.000</w:t>
            </w:r>
          </w:p>
        </w:tc>
        <w:tc>
          <w:tcPr>
            <w:tcW w:w="567" w:type="dxa"/>
            <w:shd w:val="clear" w:color="auto" w:fill="auto"/>
            <w:vAlign w:val="center"/>
          </w:tcPr>
          <w:p w14:paraId="646EB829" w14:textId="77777777" w:rsidR="00D34C6F" w:rsidRPr="00F9037E" w:rsidRDefault="00D34C6F" w:rsidP="00C05C97">
            <w:pPr>
              <w:spacing w:before="120" w:after="120"/>
              <w:jc w:val="center"/>
              <w:rPr>
                <w:color w:val="auto"/>
                <w:sz w:val="10"/>
                <w:szCs w:val="10"/>
              </w:rPr>
            </w:pPr>
            <w:r w:rsidRPr="00F9037E">
              <w:rPr>
                <w:color w:val="auto"/>
                <w:sz w:val="10"/>
                <w:szCs w:val="10"/>
              </w:rPr>
              <w:t>18.750</w:t>
            </w:r>
          </w:p>
        </w:tc>
        <w:tc>
          <w:tcPr>
            <w:tcW w:w="709" w:type="dxa"/>
            <w:shd w:val="clear" w:color="auto" w:fill="auto"/>
            <w:vAlign w:val="center"/>
          </w:tcPr>
          <w:p w14:paraId="069BEDAA" w14:textId="29791CB5"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26F95466" w14:textId="77777777" w:rsidR="00D34C6F" w:rsidRPr="00F9037E" w:rsidRDefault="00D34C6F" w:rsidP="00C05C97">
            <w:pPr>
              <w:spacing w:before="120" w:after="120"/>
              <w:jc w:val="center"/>
              <w:rPr>
                <w:color w:val="auto"/>
                <w:sz w:val="10"/>
                <w:szCs w:val="10"/>
              </w:rPr>
            </w:pPr>
            <w:r w:rsidRPr="00F9037E">
              <w:rPr>
                <w:color w:val="auto"/>
                <w:sz w:val="10"/>
                <w:szCs w:val="10"/>
              </w:rPr>
              <w:t>18.750</w:t>
            </w:r>
          </w:p>
        </w:tc>
        <w:tc>
          <w:tcPr>
            <w:tcW w:w="708" w:type="dxa"/>
            <w:shd w:val="clear" w:color="auto" w:fill="auto"/>
            <w:vAlign w:val="center"/>
          </w:tcPr>
          <w:p w14:paraId="46278507" w14:textId="77777777" w:rsidR="00D34C6F" w:rsidRPr="00F9037E" w:rsidRDefault="00D34C6F" w:rsidP="00C05C97">
            <w:pPr>
              <w:spacing w:before="120" w:after="120"/>
              <w:jc w:val="center"/>
              <w:rPr>
                <w:color w:val="auto"/>
                <w:sz w:val="10"/>
                <w:szCs w:val="10"/>
              </w:rPr>
            </w:pPr>
            <w:r w:rsidRPr="00F9037E">
              <w:rPr>
                <w:color w:val="auto"/>
                <w:sz w:val="10"/>
                <w:szCs w:val="10"/>
              </w:rPr>
              <w:t>12.500</w:t>
            </w:r>
          </w:p>
        </w:tc>
        <w:tc>
          <w:tcPr>
            <w:tcW w:w="567" w:type="dxa"/>
            <w:shd w:val="clear" w:color="auto" w:fill="auto"/>
            <w:vAlign w:val="center"/>
          </w:tcPr>
          <w:p w14:paraId="75272B51" w14:textId="264F066D"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7AB5B117" w14:textId="40B63FB1" w:rsidR="00D34C6F" w:rsidRPr="00F9037E" w:rsidRDefault="00D34C6F" w:rsidP="00C05C97">
            <w:pPr>
              <w:spacing w:before="120" w:after="120"/>
              <w:jc w:val="center"/>
              <w:rPr>
                <w:color w:val="auto"/>
                <w:sz w:val="10"/>
                <w:szCs w:val="10"/>
              </w:rPr>
            </w:pPr>
          </w:p>
        </w:tc>
        <w:tc>
          <w:tcPr>
            <w:tcW w:w="629" w:type="dxa"/>
            <w:vAlign w:val="center"/>
          </w:tcPr>
          <w:p w14:paraId="2757CA80" w14:textId="77777777" w:rsidR="00D34C6F" w:rsidRPr="00F9037E" w:rsidRDefault="00D34C6F" w:rsidP="00C05C97">
            <w:pPr>
              <w:spacing w:before="120" w:after="120"/>
              <w:jc w:val="center"/>
              <w:rPr>
                <w:color w:val="auto"/>
                <w:sz w:val="10"/>
                <w:szCs w:val="10"/>
              </w:rPr>
            </w:pPr>
          </w:p>
        </w:tc>
        <w:tc>
          <w:tcPr>
            <w:tcW w:w="567" w:type="dxa"/>
            <w:vAlign w:val="center"/>
          </w:tcPr>
          <w:p w14:paraId="6E004FD0" w14:textId="77777777" w:rsidR="00D34C6F" w:rsidRPr="00F9037E" w:rsidRDefault="00D34C6F" w:rsidP="00C05C97">
            <w:pPr>
              <w:spacing w:before="120" w:after="120"/>
              <w:jc w:val="center"/>
              <w:rPr>
                <w:color w:val="auto"/>
                <w:sz w:val="10"/>
                <w:szCs w:val="10"/>
              </w:rPr>
            </w:pPr>
          </w:p>
        </w:tc>
        <w:tc>
          <w:tcPr>
            <w:tcW w:w="567" w:type="dxa"/>
            <w:vAlign w:val="center"/>
          </w:tcPr>
          <w:p w14:paraId="1D02CB10"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0F34D8E4" w14:textId="2AB636B4"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79715F84" w14:textId="2B5D6338"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0D6A501B" w14:textId="77777777" w:rsidR="00D34C6F" w:rsidRPr="00F9037E" w:rsidRDefault="00D34C6F" w:rsidP="00C05C97">
            <w:pPr>
              <w:spacing w:before="120" w:after="120"/>
              <w:jc w:val="center"/>
              <w:rPr>
                <w:color w:val="auto"/>
                <w:sz w:val="10"/>
                <w:szCs w:val="10"/>
              </w:rPr>
            </w:pPr>
            <w:r w:rsidRPr="00F9037E">
              <w:rPr>
                <w:color w:val="auto"/>
                <w:sz w:val="10"/>
                <w:szCs w:val="10"/>
              </w:rPr>
              <w:t>25.000</w:t>
            </w:r>
          </w:p>
        </w:tc>
        <w:tc>
          <w:tcPr>
            <w:tcW w:w="709" w:type="dxa"/>
            <w:shd w:val="clear" w:color="auto" w:fill="auto"/>
            <w:vAlign w:val="center"/>
          </w:tcPr>
          <w:p w14:paraId="428FC6BE" w14:textId="77777777" w:rsidR="00D34C6F" w:rsidRPr="00F9037E" w:rsidRDefault="00D34C6F" w:rsidP="00C05C97">
            <w:pPr>
              <w:spacing w:before="120" w:after="120"/>
              <w:jc w:val="center"/>
              <w:rPr>
                <w:color w:val="auto"/>
                <w:sz w:val="10"/>
                <w:szCs w:val="10"/>
              </w:rPr>
            </w:pPr>
            <w:r w:rsidRPr="00F9037E">
              <w:rPr>
                <w:color w:val="auto"/>
                <w:sz w:val="10"/>
                <w:szCs w:val="10"/>
              </w:rPr>
              <w:t>18.750</w:t>
            </w:r>
          </w:p>
        </w:tc>
        <w:tc>
          <w:tcPr>
            <w:tcW w:w="567" w:type="dxa"/>
            <w:shd w:val="clear" w:color="auto" w:fill="auto"/>
            <w:vAlign w:val="center"/>
          </w:tcPr>
          <w:p w14:paraId="20C843F0" w14:textId="77777777" w:rsidR="00D34C6F" w:rsidRPr="00F9037E" w:rsidRDefault="00D34C6F" w:rsidP="00C05C97">
            <w:pPr>
              <w:spacing w:before="120" w:after="120"/>
              <w:jc w:val="center"/>
              <w:rPr>
                <w:color w:val="auto"/>
                <w:sz w:val="10"/>
                <w:szCs w:val="10"/>
              </w:rPr>
            </w:pPr>
            <w:r w:rsidRPr="00F9037E">
              <w:rPr>
                <w:color w:val="auto"/>
                <w:sz w:val="10"/>
                <w:szCs w:val="10"/>
              </w:rPr>
              <w:t>-</w:t>
            </w:r>
          </w:p>
        </w:tc>
        <w:tc>
          <w:tcPr>
            <w:tcW w:w="647" w:type="dxa"/>
            <w:shd w:val="clear" w:color="auto" w:fill="auto"/>
            <w:vAlign w:val="center"/>
          </w:tcPr>
          <w:p w14:paraId="3DE30AA8" w14:textId="77777777" w:rsidR="00D34C6F" w:rsidRPr="00F9037E" w:rsidRDefault="00D34C6F" w:rsidP="00C05C97">
            <w:pPr>
              <w:spacing w:before="120" w:after="120"/>
              <w:jc w:val="center"/>
              <w:rPr>
                <w:color w:val="auto"/>
                <w:sz w:val="10"/>
                <w:szCs w:val="10"/>
              </w:rPr>
            </w:pPr>
            <w:r w:rsidRPr="00F9037E">
              <w:rPr>
                <w:color w:val="auto"/>
                <w:sz w:val="10"/>
                <w:szCs w:val="10"/>
              </w:rPr>
              <w:t>15.937</w:t>
            </w:r>
          </w:p>
        </w:tc>
        <w:tc>
          <w:tcPr>
            <w:tcW w:w="567" w:type="dxa"/>
            <w:shd w:val="clear" w:color="auto" w:fill="auto"/>
            <w:vAlign w:val="center"/>
          </w:tcPr>
          <w:p w14:paraId="4A1C98E9" w14:textId="38B42E4A"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4623003B" w14:textId="7360A9A4" w:rsidR="00D34C6F" w:rsidRPr="00F9037E" w:rsidRDefault="00D34C6F" w:rsidP="00C05C97">
            <w:pPr>
              <w:spacing w:before="120" w:after="120"/>
              <w:jc w:val="center"/>
              <w:rPr>
                <w:b/>
                <w:color w:val="auto"/>
                <w:sz w:val="10"/>
                <w:szCs w:val="10"/>
              </w:rPr>
            </w:pPr>
          </w:p>
        </w:tc>
        <w:tc>
          <w:tcPr>
            <w:tcW w:w="567" w:type="dxa"/>
            <w:vAlign w:val="center"/>
          </w:tcPr>
          <w:p w14:paraId="47CCAC41" w14:textId="77777777" w:rsidR="00D34C6F" w:rsidRPr="00F9037E" w:rsidRDefault="00D34C6F" w:rsidP="00C05C97">
            <w:pPr>
              <w:spacing w:before="120" w:after="120"/>
              <w:jc w:val="center"/>
              <w:rPr>
                <w:b/>
                <w:color w:val="auto"/>
                <w:sz w:val="10"/>
                <w:szCs w:val="10"/>
              </w:rPr>
            </w:pPr>
          </w:p>
        </w:tc>
        <w:tc>
          <w:tcPr>
            <w:tcW w:w="567" w:type="dxa"/>
            <w:vAlign w:val="center"/>
          </w:tcPr>
          <w:p w14:paraId="11F904C5" w14:textId="77777777" w:rsidR="00D34C6F" w:rsidRPr="00F9037E" w:rsidRDefault="00D34C6F" w:rsidP="00C05C97">
            <w:pPr>
              <w:spacing w:before="120" w:after="120"/>
              <w:jc w:val="center"/>
              <w:rPr>
                <w:b/>
                <w:color w:val="auto"/>
                <w:sz w:val="10"/>
                <w:szCs w:val="10"/>
              </w:rPr>
            </w:pPr>
          </w:p>
        </w:tc>
        <w:tc>
          <w:tcPr>
            <w:tcW w:w="567" w:type="dxa"/>
            <w:vAlign w:val="center"/>
          </w:tcPr>
          <w:p w14:paraId="1938B42A" w14:textId="77777777" w:rsidR="00D34C6F" w:rsidRPr="00F9037E" w:rsidRDefault="00D34C6F" w:rsidP="00C05C97">
            <w:pPr>
              <w:spacing w:before="120" w:after="120"/>
              <w:jc w:val="center"/>
              <w:rPr>
                <w:b/>
                <w:color w:val="auto"/>
                <w:sz w:val="10"/>
                <w:szCs w:val="10"/>
              </w:rPr>
            </w:pPr>
          </w:p>
        </w:tc>
        <w:tc>
          <w:tcPr>
            <w:tcW w:w="567" w:type="dxa"/>
            <w:vAlign w:val="center"/>
          </w:tcPr>
          <w:p w14:paraId="2F646462" w14:textId="77777777" w:rsidR="00D34C6F" w:rsidRPr="00F9037E" w:rsidRDefault="00D34C6F" w:rsidP="00C05C97">
            <w:pPr>
              <w:spacing w:before="120" w:after="120"/>
              <w:jc w:val="center"/>
              <w:rPr>
                <w:b/>
                <w:color w:val="auto"/>
                <w:sz w:val="10"/>
                <w:szCs w:val="10"/>
              </w:rPr>
            </w:pPr>
          </w:p>
        </w:tc>
      </w:tr>
      <w:tr w:rsidR="00D34C6F" w:rsidRPr="00F9037E" w14:paraId="123A84C3" w14:textId="77777777" w:rsidTr="00C05C97">
        <w:trPr>
          <w:trHeight w:val="465"/>
          <w:jc w:val="center"/>
        </w:trPr>
        <w:tc>
          <w:tcPr>
            <w:tcW w:w="662" w:type="dxa"/>
            <w:shd w:val="clear" w:color="auto" w:fill="auto"/>
            <w:vAlign w:val="center"/>
          </w:tcPr>
          <w:p w14:paraId="78DBF813" w14:textId="77777777" w:rsidR="00D34C6F" w:rsidRPr="00F9037E" w:rsidRDefault="00D34C6F" w:rsidP="00C05C97">
            <w:pPr>
              <w:spacing w:before="120" w:after="120"/>
              <w:rPr>
                <w:color w:val="auto"/>
                <w:sz w:val="12"/>
                <w:szCs w:val="12"/>
              </w:rPr>
            </w:pPr>
            <w:r w:rsidRPr="00F9037E">
              <w:rPr>
                <w:color w:val="auto"/>
                <w:sz w:val="12"/>
                <w:szCs w:val="12"/>
              </w:rPr>
              <w:t>Israel</w:t>
            </w:r>
          </w:p>
        </w:tc>
        <w:tc>
          <w:tcPr>
            <w:tcW w:w="824" w:type="dxa"/>
            <w:shd w:val="clear" w:color="auto" w:fill="auto"/>
            <w:vAlign w:val="center"/>
          </w:tcPr>
          <w:p w14:paraId="29C8EDBC" w14:textId="77777777" w:rsidR="00D34C6F" w:rsidRPr="00F9037E" w:rsidRDefault="00D34C6F" w:rsidP="00C05C97">
            <w:pPr>
              <w:spacing w:before="120" w:after="120"/>
              <w:rPr>
                <w:color w:val="auto"/>
                <w:sz w:val="12"/>
                <w:szCs w:val="12"/>
              </w:rPr>
            </w:pPr>
            <w:r w:rsidRPr="00F9037E">
              <w:rPr>
                <w:color w:val="auto"/>
                <w:sz w:val="12"/>
                <w:szCs w:val="12"/>
              </w:rPr>
              <w:t>Cut flowers – open field</w:t>
            </w:r>
          </w:p>
        </w:tc>
        <w:tc>
          <w:tcPr>
            <w:tcW w:w="708" w:type="dxa"/>
            <w:shd w:val="clear" w:color="auto" w:fill="auto"/>
            <w:vAlign w:val="center"/>
          </w:tcPr>
          <w:p w14:paraId="1C551074" w14:textId="77777777" w:rsidR="00D34C6F" w:rsidRPr="00F9037E" w:rsidRDefault="00D34C6F" w:rsidP="00C05C97">
            <w:pPr>
              <w:spacing w:before="120" w:after="120"/>
              <w:jc w:val="center"/>
              <w:rPr>
                <w:color w:val="auto"/>
                <w:sz w:val="10"/>
                <w:szCs w:val="10"/>
              </w:rPr>
            </w:pPr>
            <w:r w:rsidRPr="00F9037E">
              <w:rPr>
                <w:color w:val="auto"/>
                <w:sz w:val="10"/>
                <w:szCs w:val="10"/>
              </w:rPr>
              <w:t>77.000</w:t>
            </w:r>
          </w:p>
        </w:tc>
        <w:tc>
          <w:tcPr>
            <w:tcW w:w="709" w:type="dxa"/>
            <w:shd w:val="clear" w:color="auto" w:fill="auto"/>
            <w:vAlign w:val="center"/>
          </w:tcPr>
          <w:p w14:paraId="0664ECBD" w14:textId="77777777" w:rsidR="00D34C6F" w:rsidRPr="00F9037E" w:rsidRDefault="00D34C6F" w:rsidP="00C05C97">
            <w:pPr>
              <w:spacing w:before="120" w:after="120"/>
              <w:jc w:val="center"/>
              <w:rPr>
                <w:color w:val="auto"/>
                <w:sz w:val="10"/>
                <w:szCs w:val="10"/>
              </w:rPr>
            </w:pPr>
            <w:r w:rsidRPr="00F9037E">
              <w:rPr>
                <w:color w:val="auto"/>
                <w:sz w:val="10"/>
                <w:szCs w:val="10"/>
              </w:rPr>
              <w:t>67.000</w:t>
            </w:r>
          </w:p>
        </w:tc>
        <w:tc>
          <w:tcPr>
            <w:tcW w:w="709" w:type="dxa"/>
            <w:shd w:val="clear" w:color="auto" w:fill="auto"/>
            <w:vAlign w:val="center"/>
          </w:tcPr>
          <w:p w14:paraId="68DAC3C8" w14:textId="77777777" w:rsidR="00D34C6F" w:rsidRPr="00F9037E" w:rsidRDefault="00D34C6F" w:rsidP="00C05C97">
            <w:pPr>
              <w:spacing w:before="120" w:after="120"/>
              <w:jc w:val="center"/>
              <w:rPr>
                <w:color w:val="auto"/>
                <w:sz w:val="10"/>
                <w:szCs w:val="10"/>
              </w:rPr>
            </w:pPr>
            <w:r w:rsidRPr="00F9037E">
              <w:rPr>
                <w:color w:val="auto"/>
                <w:sz w:val="10"/>
                <w:szCs w:val="10"/>
              </w:rPr>
              <w:t>80.755</w:t>
            </w:r>
          </w:p>
        </w:tc>
        <w:tc>
          <w:tcPr>
            <w:tcW w:w="567" w:type="dxa"/>
            <w:shd w:val="clear" w:color="auto" w:fill="auto"/>
            <w:vAlign w:val="center"/>
          </w:tcPr>
          <w:p w14:paraId="2B95C78B" w14:textId="77777777" w:rsidR="00D34C6F" w:rsidRPr="00F9037E" w:rsidRDefault="00D34C6F" w:rsidP="00C05C97">
            <w:pPr>
              <w:spacing w:before="120" w:after="120"/>
              <w:jc w:val="center"/>
              <w:rPr>
                <w:color w:val="auto"/>
                <w:sz w:val="10"/>
                <w:szCs w:val="10"/>
              </w:rPr>
            </w:pPr>
            <w:r w:rsidRPr="00F9037E">
              <w:rPr>
                <w:color w:val="auto"/>
                <w:sz w:val="10"/>
                <w:szCs w:val="10"/>
              </w:rPr>
              <w:t>53.345</w:t>
            </w:r>
          </w:p>
        </w:tc>
        <w:tc>
          <w:tcPr>
            <w:tcW w:w="709" w:type="dxa"/>
            <w:shd w:val="clear" w:color="auto" w:fill="auto"/>
            <w:vAlign w:val="center"/>
          </w:tcPr>
          <w:p w14:paraId="2C14EAF3" w14:textId="77777777" w:rsidR="00D34C6F" w:rsidRPr="00F9037E" w:rsidRDefault="00D34C6F" w:rsidP="00C05C97">
            <w:pPr>
              <w:spacing w:before="120" w:after="120"/>
              <w:jc w:val="center"/>
              <w:rPr>
                <w:color w:val="auto"/>
                <w:sz w:val="10"/>
                <w:szCs w:val="10"/>
              </w:rPr>
            </w:pPr>
            <w:r w:rsidRPr="00F9037E">
              <w:rPr>
                <w:color w:val="auto"/>
                <w:sz w:val="10"/>
                <w:szCs w:val="10"/>
              </w:rPr>
              <w:t>42.777</w:t>
            </w:r>
          </w:p>
        </w:tc>
        <w:tc>
          <w:tcPr>
            <w:tcW w:w="567" w:type="dxa"/>
            <w:shd w:val="clear" w:color="auto" w:fill="auto"/>
            <w:vAlign w:val="center"/>
          </w:tcPr>
          <w:p w14:paraId="398642BF" w14:textId="77777777" w:rsidR="00D34C6F" w:rsidRPr="00F9037E" w:rsidRDefault="00D34C6F" w:rsidP="00C05C97">
            <w:pPr>
              <w:spacing w:before="120" w:after="120"/>
              <w:jc w:val="center"/>
              <w:rPr>
                <w:color w:val="auto"/>
                <w:sz w:val="10"/>
                <w:szCs w:val="10"/>
              </w:rPr>
            </w:pPr>
            <w:r w:rsidRPr="00F9037E">
              <w:rPr>
                <w:color w:val="auto"/>
                <w:sz w:val="10"/>
                <w:szCs w:val="10"/>
              </w:rPr>
              <w:t>42.554</w:t>
            </w:r>
          </w:p>
        </w:tc>
        <w:tc>
          <w:tcPr>
            <w:tcW w:w="708" w:type="dxa"/>
            <w:shd w:val="clear" w:color="auto" w:fill="auto"/>
            <w:vAlign w:val="center"/>
          </w:tcPr>
          <w:p w14:paraId="6EBB6463" w14:textId="77777777" w:rsidR="00D34C6F" w:rsidRPr="00F9037E" w:rsidRDefault="00D34C6F" w:rsidP="00C05C97">
            <w:pPr>
              <w:spacing w:before="120" w:after="120"/>
              <w:jc w:val="center"/>
              <w:rPr>
                <w:color w:val="auto"/>
                <w:sz w:val="10"/>
                <w:szCs w:val="10"/>
              </w:rPr>
            </w:pPr>
            <w:r w:rsidRPr="00F9037E">
              <w:rPr>
                <w:color w:val="auto"/>
                <w:sz w:val="10"/>
                <w:szCs w:val="10"/>
              </w:rPr>
              <w:t>23.292</w:t>
            </w:r>
          </w:p>
        </w:tc>
        <w:tc>
          <w:tcPr>
            <w:tcW w:w="567" w:type="dxa"/>
            <w:shd w:val="clear" w:color="auto" w:fill="auto"/>
            <w:vAlign w:val="center"/>
          </w:tcPr>
          <w:p w14:paraId="2607235A" w14:textId="5E58F3D5"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7AE3F10F" w14:textId="158F2AF1" w:rsidR="00D34C6F" w:rsidRPr="00F9037E" w:rsidRDefault="00D34C6F" w:rsidP="00C05C97">
            <w:pPr>
              <w:spacing w:before="120" w:after="120"/>
              <w:jc w:val="center"/>
              <w:rPr>
                <w:color w:val="auto"/>
                <w:sz w:val="10"/>
                <w:szCs w:val="10"/>
              </w:rPr>
            </w:pPr>
          </w:p>
        </w:tc>
        <w:tc>
          <w:tcPr>
            <w:tcW w:w="629" w:type="dxa"/>
            <w:vAlign w:val="center"/>
          </w:tcPr>
          <w:p w14:paraId="15A3C397" w14:textId="77777777" w:rsidR="00D34C6F" w:rsidRPr="00F9037E" w:rsidRDefault="00D34C6F" w:rsidP="00C05C97">
            <w:pPr>
              <w:spacing w:before="120" w:after="120"/>
              <w:jc w:val="center"/>
              <w:rPr>
                <w:color w:val="auto"/>
                <w:sz w:val="10"/>
                <w:szCs w:val="10"/>
              </w:rPr>
            </w:pPr>
          </w:p>
        </w:tc>
        <w:tc>
          <w:tcPr>
            <w:tcW w:w="567" w:type="dxa"/>
            <w:vAlign w:val="center"/>
          </w:tcPr>
          <w:p w14:paraId="46932423" w14:textId="77777777" w:rsidR="00D34C6F" w:rsidRPr="00F9037E" w:rsidRDefault="00D34C6F" w:rsidP="00C05C97">
            <w:pPr>
              <w:spacing w:before="120" w:after="120"/>
              <w:jc w:val="center"/>
              <w:rPr>
                <w:color w:val="auto"/>
                <w:sz w:val="10"/>
                <w:szCs w:val="10"/>
              </w:rPr>
            </w:pPr>
          </w:p>
        </w:tc>
        <w:tc>
          <w:tcPr>
            <w:tcW w:w="567" w:type="dxa"/>
            <w:vAlign w:val="center"/>
          </w:tcPr>
          <w:p w14:paraId="15DE39F8"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09629E1D" w14:textId="77777777" w:rsidR="00D34C6F" w:rsidRPr="00F9037E" w:rsidRDefault="00D34C6F" w:rsidP="00C05C97">
            <w:pPr>
              <w:spacing w:before="120" w:after="120"/>
              <w:jc w:val="center"/>
              <w:rPr>
                <w:color w:val="auto"/>
                <w:sz w:val="10"/>
                <w:szCs w:val="10"/>
              </w:rPr>
            </w:pPr>
            <w:r w:rsidRPr="00F9037E">
              <w:rPr>
                <w:color w:val="auto"/>
                <w:sz w:val="10"/>
                <w:szCs w:val="10"/>
              </w:rPr>
              <w:t>77.000</w:t>
            </w:r>
          </w:p>
        </w:tc>
        <w:tc>
          <w:tcPr>
            <w:tcW w:w="709" w:type="dxa"/>
            <w:shd w:val="clear" w:color="auto" w:fill="auto"/>
            <w:vAlign w:val="center"/>
          </w:tcPr>
          <w:p w14:paraId="275868CC" w14:textId="77777777" w:rsidR="00D34C6F" w:rsidRPr="00F9037E" w:rsidRDefault="00D34C6F" w:rsidP="00C05C97">
            <w:pPr>
              <w:spacing w:before="120" w:after="120"/>
              <w:jc w:val="center"/>
              <w:rPr>
                <w:color w:val="auto"/>
                <w:sz w:val="10"/>
                <w:szCs w:val="10"/>
              </w:rPr>
            </w:pPr>
            <w:r w:rsidRPr="00F9037E">
              <w:rPr>
                <w:color w:val="auto"/>
                <w:sz w:val="10"/>
                <w:szCs w:val="10"/>
              </w:rPr>
              <w:t>67.000</w:t>
            </w:r>
          </w:p>
        </w:tc>
        <w:tc>
          <w:tcPr>
            <w:tcW w:w="708" w:type="dxa"/>
            <w:shd w:val="clear" w:color="auto" w:fill="auto"/>
            <w:vAlign w:val="center"/>
          </w:tcPr>
          <w:p w14:paraId="05B91EAC" w14:textId="77777777" w:rsidR="00D34C6F" w:rsidRPr="00F9037E" w:rsidRDefault="00D34C6F" w:rsidP="00C05C97">
            <w:pPr>
              <w:spacing w:before="120" w:after="120"/>
              <w:jc w:val="center"/>
              <w:rPr>
                <w:color w:val="auto"/>
                <w:sz w:val="10"/>
                <w:szCs w:val="10"/>
              </w:rPr>
            </w:pPr>
            <w:r w:rsidRPr="00F9037E">
              <w:rPr>
                <w:color w:val="auto"/>
                <w:sz w:val="10"/>
                <w:szCs w:val="10"/>
              </w:rPr>
              <w:t>74.540</w:t>
            </w:r>
          </w:p>
        </w:tc>
        <w:tc>
          <w:tcPr>
            <w:tcW w:w="709" w:type="dxa"/>
            <w:shd w:val="clear" w:color="auto" w:fill="auto"/>
            <w:vAlign w:val="center"/>
          </w:tcPr>
          <w:p w14:paraId="29DA67AE" w14:textId="77777777" w:rsidR="00D34C6F" w:rsidRPr="00F9037E" w:rsidRDefault="00D34C6F" w:rsidP="00C05C97">
            <w:pPr>
              <w:spacing w:before="120" w:after="120"/>
              <w:jc w:val="center"/>
              <w:rPr>
                <w:color w:val="auto"/>
                <w:sz w:val="10"/>
                <w:szCs w:val="10"/>
              </w:rPr>
            </w:pPr>
            <w:r w:rsidRPr="00F9037E">
              <w:rPr>
                <w:color w:val="auto"/>
                <w:sz w:val="10"/>
                <w:szCs w:val="10"/>
              </w:rPr>
              <w:t>44.750</w:t>
            </w:r>
          </w:p>
        </w:tc>
        <w:tc>
          <w:tcPr>
            <w:tcW w:w="567" w:type="dxa"/>
            <w:shd w:val="clear" w:color="auto" w:fill="auto"/>
            <w:vAlign w:val="center"/>
          </w:tcPr>
          <w:p w14:paraId="3AC844B8" w14:textId="77777777" w:rsidR="00D34C6F" w:rsidRPr="00F9037E" w:rsidRDefault="00D34C6F" w:rsidP="00C05C97">
            <w:pPr>
              <w:spacing w:before="120" w:after="120"/>
              <w:jc w:val="center"/>
              <w:rPr>
                <w:color w:val="auto"/>
                <w:sz w:val="10"/>
                <w:szCs w:val="10"/>
              </w:rPr>
            </w:pPr>
            <w:r w:rsidRPr="00F9037E">
              <w:rPr>
                <w:color w:val="auto"/>
                <w:sz w:val="10"/>
                <w:szCs w:val="10"/>
              </w:rPr>
              <w:t>34.698</w:t>
            </w:r>
          </w:p>
        </w:tc>
        <w:tc>
          <w:tcPr>
            <w:tcW w:w="647" w:type="dxa"/>
            <w:shd w:val="clear" w:color="auto" w:fill="auto"/>
            <w:vAlign w:val="center"/>
          </w:tcPr>
          <w:p w14:paraId="30011DC3" w14:textId="77777777" w:rsidR="00D34C6F" w:rsidRPr="00F9037E" w:rsidRDefault="00D34C6F" w:rsidP="00C05C97">
            <w:pPr>
              <w:spacing w:before="120" w:after="120"/>
              <w:jc w:val="center"/>
              <w:rPr>
                <w:color w:val="auto"/>
                <w:sz w:val="10"/>
                <w:szCs w:val="10"/>
              </w:rPr>
            </w:pPr>
            <w:r w:rsidRPr="00F9037E">
              <w:rPr>
                <w:color w:val="auto"/>
                <w:sz w:val="10"/>
                <w:szCs w:val="10"/>
              </w:rPr>
              <w:t>28.554</w:t>
            </w:r>
          </w:p>
        </w:tc>
        <w:tc>
          <w:tcPr>
            <w:tcW w:w="567" w:type="dxa"/>
            <w:shd w:val="clear" w:color="auto" w:fill="auto"/>
            <w:vAlign w:val="center"/>
          </w:tcPr>
          <w:p w14:paraId="35DF904A" w14:textId="306F1CFE"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5CAF478A" w14:textId="31B81404" w:rsidR="00D34C6F" w:rsidRPr="00F9037E" w:rsidRDefault="00D34C6F" w:rsidP="00C05C97">
            <w:pPr>
              <w:spacing w:before="120" w:after="120"/>
              <w:jc w:val="center"/>
              <w:rPr>
                <w:b/>
                <w:color w:val="auto"/>
                <w:sz w:val="10"/>
                <w:szCs w:val="10"/>
              </w:rPr>
            </w:pPr>
          </w:p>
        </w:tc>
        <w:tc>
          <w:tcPr>
            <w:tcW w:w="567" w:type="dxa"/>
            <w:vAlign w:val="center"/>
          </w:tcPr>
          <w:p w14:paraId="4B585F1C" w14:textId="77777777" w:rsidR="00D34C6F" w:rsidRPr="00F9037E" w:rsidRDefault="00D34C6F" w:rsidP="00C05C97">
            <w:pPr>
              <w:spacing w:before="120" w:after="120"/>
              <w:jc w:val="center"/>
              <w:rPr>
                <w:b/>
                <w:color w:val="auto"/>
                <w:sz w:val="10"/>
                <w:szCs w:val="10"/>
              </w:rPr>
            </w:pPr>
          </w:p>
        </w:tc>
        <w:tc>
          <w:tcPr>
            <w:tcW w:w="567" w:type="dxa"/>
            <w:vAlign w:val="center"/>
          </w:tcPr>
          <w:p w14:paraId="1845972E" w14:textId="77777777" w:rsidR="00D34C6F" w:rsidRPr="00F9037E" w:rsidRDefault="00D34C6F" w:rsidP="00C05C97">
            <w:pPr>
              <w:spacing w:before="120" w:after="120"/>
              <w:jc w:val="center"/>
              <w:rPr>
                <w:b/>
                <w:color w:val="auto"/>
                <w:sz w:val="10"/>
                <w:szCs w:val="10"/>
              </w:rPr>
            </w:pPr>
          </w:p>
        </w:tc>
        <w:tc>
          <w:tcPr>
            <w:tcW w:w="567" w:type="dxa"/>
            <w:vAlign w:val="center"/>
          </w:tcPr>
          <w:p w14:paraId="40C589AA" w14:textId="77777777" w:rsidR="00D34C6F" w:rsidRPr="00F9037E" w:rsidRDefault="00D34C6F" w:rsidP="00C05C97">
            <w:pPr>
              <w:spacing w:before="120" w:after="120"/>
              <w:jc w:val="center"/>
              <w:rPr>
                <w:b/>
                <w:color w:val="auto"/>
                <w:sz w:val="10"/>
                <w:szCs w:val="10"/>
              </w:rPr>
            </w:pPr>
          </w:p>
        </w:tc>
        <w:tc>
          <w:tcPr>
            <w:tcW w:w="567" w:type="dxa"/>
            <w:vAlign w:val="center"/>
          </w:tcPr>
          <w:p w14:paraId="753F234F" w14:textId="77777777" w:rsidR="00D34C6F" w:rsidRPr="00F9037E" w:rsidRDefault="00D34C6F" w:rsidP="00C05C97">
            <w:pPr>
              <w:spacing w:before="120" w:after="120"/>
              <w:jc w:val="center"/>
              <w:rPr>
                <w:b/>
                <w:color w:val="auto"/>
                <w:sz w:val="10"/>
                <w:szCs w:val="10"/>
              </w:rPr>
            </w:pPr>
          </w:p>
        </w:tc>
      </w:tr>
      <w:tr w:rsidR="00D34C6F" w:rsidRPr="00F9037E" w14:paraId="3511765D" w14:textId="77777777" w:rsidTr="00C05C97">
        <w:trPr>
          <w:trHeight w:val="465"/>
          <w:jc w:val="center"/>
        </w:trPr>
        <w:tc>
          <w:tcPr>
            <w:tcW w:w="662" w:type="dxa"/>
            <w:shd w:val="clear" w:color="auto" w:fill="auto"/>
            <w:vAlign w:val="center"/>
          </w:tcPr>
          <w:p w14:paraId="6A03F871" w14:textId="77777777" w:rsidR="00D34C6F" w:rsidRPr="00F9037E" w:rsidRDefault="00D34C6F" w:rsidP="00C05C97">
            <w:pPr>
              <w:spacing w:before="120" w:after="120"/>
              <w:rPr>
                <w:color w:val="auto"/>
                <w:sz w:val="12"/>
                <w:szCs w:val="12"/>
              </w:rPr>
            </w:pPr>
            <w:r w:rsidRPr="00F9037E">
              <w:rPr>
                <w:color w:val="auto"/>
                <w:sz w:val="12"/>
                <w:szCs w:val="12"/>
              </w:rPr>
              <w:t>Israel</w:t>
            </w:r>
          </w:p>
        </w:tc>
        <w:tc>
          <w:tcPr>
            <w:tcW w:w="824" w:type="dxa"/>
            <w:shd w:val="clear" w:color="auto" w:fill="auto"/>
            <w:vAlign w:val="center"/>
          </w:tcPr>
          <w:p w14:paraId="355EEB75" w14:textId="77777777" w:rsidR="00D34C6F" w:rsidRPr="00F9037E" w:rsidRDefault="00D34C6F" w:rsidP="00C05C97">
            <w:pPr>
              <w:spacing w:before="120" w:after="120"/>
              <w:rPr>
                <w:color w:val="auto"/>
                <w:sz w:val="12"/>
                <w:szCs w:val="12"/>
              </w:rPr>
            </w:pPr>
            <w:r w:rsidRPr="00F9037E">
              <w:rPr>
                <w:color w:val="auto"/>
                <w:sz w:val="12"/>
                <w:szCs w:val="12"/>
              </w:rPr>
              <w:t>Cut flowers – protected</w:t>
            </w:r>
          </w:p>
        </w:tc>
        <w:tc>
          <w:tcPr>
            <w:tcW w:w="708" w:type="dxa"/>
            <w:shd w:val="clear" w:color="auto" w:fill="auto"/>
            <w:vAlign w:val="center"/>
          </w:tcPr>
          <w:p w14:paraId="157BAA45" w14:textId="77777777" w:rsidR="00D34C6F" w:rsidRPr="00F9037E" w:rsidRDefault="00D34C6F" w:rsidP="00C05C97">
            <w:pPr>
              <w:spacing w:before="120" w:after="120"/>
              <w:jc w:val="center"/>
              <w:rPr>
                <w:color w:val="auto"/>
                <w:sz w:val="10"/>
                <w:szCs w:val="10"/>
              </w:rPr>
            </w:pPr>
            <w:r w:rsidRPr="00F9037E">
              <w:rPr>
                <w:color w:val="auto"/>
                <w:sz w:val="10"/>
                <w:szCs w:val="10"/>
              </w:rPr>
              <w:t>303.000</w:t>
            </w:r>
          </w:p>
        </w:tc>
        <w:tc>
          <w:tcPr>
            <w:tcW w:w="709" w:type="dxa"/>
            <w:shd w:val="clear" w:color="auto" w:fill="auto"/>
            <w:vAlign w:val="center"/>
          </w:tcPr>
          <w:p w14:paraId="443FC679" w14:textId="77777777" w:rsidR="00D34C6F" w:rsidRPr="00F9037E" w:rsidRDefault="00D34C6F" w:rsidP="00C05C97">
            <w:pPr>
              <w:spacing w:before="120" w:after="120"/>
              <w:jc w:val="center"/>
              <w:rPr>
                <w:color w:val="auto"/>
                <w:sz w:val="10"/>
                <w:szCs w:val="10"/>
              </w:rPr>
            </w:pPr>
            <w:r w:rsidRPr="00F9037E">
              <w:rPr>
                <w:color w:val="auto"/>
                <w:sz w:val="10"/>
                <w:szCs w:val="10"/>
              </w:rPr>
              <w:t>303.000</w:t>
            </w:r>
          </w:p>
        </w:tc>
        <w:tc>
          <w:tcPr>
            <w:tcW w:w="709" w:type="dxa"/>
            <w:shd w:val="clear" w:color="auto" w:fill="auto"/>
            <w:vAlign w:val="center"/>
          </w:tcPr>
          <w:p w14:paraId="5DADECA4" w14:textId="77777777" w:rsidR="00D34C6F" w:rsidRPr="00F9037E" w:rsidRDefault="00D34C6F" w:rsidP="00C05C97">
            <w:pPr>
              <w:spacing w:before="120" w:after="120"/>
              <w:jc w:val="center"/>
              <w:rPr>
                <w:color w:val="auto"/>
                <w:sz w:val="10"/>
                <w:szCs w:val="10"/>
              </w:rPr>
            </w:pPr>
            <w:r w:rsidRPr="00F9037E">
              <w:rPr>
                <w:color w:val="auto"/>
                <w:sz w:val="10"/>
                <w:szCs w:val="10"/>
              </w:rPr>
              <w:t>321.330</w:t>
            </w:r>
          </w:p>
        </w:tc>
        <w:tc>
          <w:tcPr>
            <w:tcW w:w="567" w:type="dxa"/>
            <w:shd w:val="clear" w:color="auto" w:fill="auto"/>
            <w:vAlign w:val="center"/>
          </w:tcPr>
          <w:p w14:paraId="745C43DD" w14:textId="77777777" w:rsidR="00D34C6F" w:rsidRPr="00F9037E" w:rsidRDefault="00D34C6F" w:rsidP="00C05C97">
            <w:pPr>
              <w:spacing w:before="120" w:after="120"/>
              <w:jc w:val="center"/>
              <w:rPr>
                <w:color w:val="auto"/>
                <w:sz w:val="10"/>
                <w:szCs w:val="10"/>
              </w:rPr>
            </w:pPr>
            <w:r w:rsidRPr="00F9037E">
              <w:rPr>
                <w:color w:val="auto"/>
                <w:sz w:val="10"/>
                <w:szCs w:val="10"/>
              </w:rPr>
              <w:t>163.400</w:t>
            </w:r>
          </w:p>
        </w:tc>
        <w:tc>
          <w:tcPr>
            <w:tcW w:w="709" w:type="dxa"/>
            <w:shd w:val="clear" w:color="auto" w:fill="auto"/>
            <w:vAlign w:val="center"/>
          </w:tcPr>
          <w:p w14:paraId="12A471E5" w14:textId="77777777" w:rsidR="00D34C6F" w:rsidRPr="00F9037E" w:rsidRDefault="00D34C6F" w:rsidP="00C05C97">
            <w:pPr>
              <w:spacing w:before="120" w:after="120"/>
              <w:jc w:val="center"/>
              <w:rPr>
                <w:color w:val="auto"/>
                <w:sz w:val="10"/>
                <w:szCs w:val="10"/>
              </w:rPr>
            </w:pPr>
            <w:r w:rsidRPr="00F9037E">
              <w:rPr>
                <w:color w:val="auto"/>
                <w:sz w:val="10"/>
                <w:szCs w:val="10"/>
              </w:rPr>
              <w:t>113.821</w:t>
            </w:r>
          </w:p>
        </w:tc>
        <w:tc>
          <w:tcPr>
            <w:tcW w:w="567" w:type="dxa"/>
            <w:shd w:val="clear" w:color="auto" w:fill="auto"/>
            <w:vAlign w:val="center"/>
          </w:tcPr>
          <w:p w14:paraId="49B2145D" w14:textId="77777777" w:rsidR="00D34C6F" w:rsidRPr="00F9037E" w:rsidRDefault="00D34C6F" w:rsidP="00C05C97">
            <w:pPr>
              <w:spacing w:before="120" w:after="120"/>
              <w:jc w:val="center"/>
              <w:rPr>
                <w:color w:val="auto"/>
                <w:sz w:val="10"/>
                <w:szCs w:val="10"/>
              </w:rPr>
            </w:pPr>
            <w:r w:rsidRPr="00F9037E">
              <w:rPr>
                <w:color w:val="auto"/>
                <w:sz w:val="10"/>
                <w:szCs w:val="10"/>
              </w:rPr>
              <w:t>72.266</w:t>
            </w:r>
          </w:p>
        </w:tc>
        <w:tc>
          <w:tcPr>
            <w:tcW w:w="708" w:type="dxa"/>
            <w:shd w:val="clear" w:color="auto" w:fill="auto"/>
            <w:vAlign w:val="center"/>
          </w:tcPr>
          <w:p w14:paraId="4FC41A23" w14:textId="77777777" w:rsidR="00D34C6F" w:rsidRPr="00F9037E" w:rsidRDefault="00D34C6F" w:rsidP="00C05C97">
            <w:pPr>
              <w:spacing w:before="120" w:after="120"/>
              <w:jc w:val="center"/>
              <w:rPr>
                <w:color w:val="auto"/>
                <w:sz w:val="10"/>
                <w:szCs w:val="10"/>
              </w:rPr>
            </w:pPr>
            <w:r w:rsidRPr="00F9037E">
              <w:rPr>
                <w:color w:val="auto"/>
                <w:sz w:val="10"/>
                <w:szCs w:val="10"/>
              </w:rPr>
              <w:t>52.955</w:t>
            </w:r>
          </w:p>
        </w:tc>
        <w:tc>
          <w:tcPr>
            <w:tcW w:w="567" w:type="dxa"/>
            <w:shd w:val="clear" w:color="auto" w:fill="auto"/>
            <w:vAlign w:val="center"/>
          </w:tcPr>
          <w:p w14:paraId="312B8F33" w14:textId="7DE4ABD3"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F21733D" w14:textId="48A0BDB4" w:rsidR="00D34C6F" w:rsidRPr="00F9037E" w:rsidRDefault="00D34C6F" w:rsidP="00C05C97">
            <w:pPr>
              <w:spacing w:before="120" w:after="120"/>
              <w:jc w:val="center"/>
              <w:rPr>
                <w:color w:val="auto"/>
                <w:sz w:val="10"/>
                <w:szCs w:val="10"/>
              </w:rPr>
            </w:pPr>
          </w:p>
        </w:tc>
        <w:tc>
          <w:tcPr>
            <w:tcW w:w="629" w:type="dxa"/>
            <w:vAlign w:val="center"/>
          </w:tcPr>
          <w:p w14:paraId="714ED196" w14:textId="77777777" w:rsidR="00D34C6F" w:rsidRPr="00F9037E" w:rsidRDefault="00D34C6F" w:rsidP="00C05C97">
            <w:pPr>
              <w:spacing w:before="120" w:after="120"/>
              <w:jc w:val="center"/>
              <w:rPr>
                <w:color w:val="auto"/>
                <w:sz w:val="10"/>
                <w:szCs w:val="10"/>
              </w:rPr>
            </w:pPr>
          </w:p>
        </w:tc>
        <w:tc>
          <w:tcPr>
            <w:tcW w:w="567" w:type="dxa"/>
            <w:vAlign w:val="center"/>
          </w:tcPr>
          <w:p w14:paraId="77CB4D04" w14:textId="77777777" w:rsidR="00D34C6F" w:rsidRPr="00F9037E" w:rsidRDefault="00D34C6F" w:rsidP="00C05C97">
            <w:pPr>
              <w:spacing w:before="120" w:after="120"/>
              <w:jc w:val="center"/>
              <w:rPr>
                <w:color w:val="auto"/>
                <w:sz w:val="10"/>
                <w:szCs w:val="10"/>
              </w:rPr>
            </w:pPr>
          </w:p>
        </w:tc>
        <w:tc>
          <w:tcPr>
            <w:tcW w:w="567" w:type="dxa"/>
            <w:vAlign w:val="center"/>
          </w:tcPr>
          <w:p w14:paraId="4D569773"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0DFD0081" w14:textId="77777777" w:rsidR="00D34C6F" w:rsidRPr="00F9037E" w:rsidRDefault="00D34C6F" w:rsidP="00C05C97">
            <w:pPr>
              <w:spacing w:before="120" w:after="120"/>
              <w:jc w:val="center"/>
              <w:rPr>
                <w:color w:val="auto"/>
                <w:sz w:val="10"/>
                <w:szCs w:val="10"/>
              </w:rPr>
            </w:pPr>
            <w:r w:rsidRPr="00F9037E">
              <w:rPr>
                <w:color w:val="auto"/>
                <w:sz w:val="10"/>
                <w:szCs w:val="10"/>
              </w:rPr>
              <w:t>303.000</w:t>
            </w:r>
          </w:p>
        </w:tc>
        <w:tc>
          <w:tcPr>
            <w:tcW w:w="709" w:type="dxa"/>
            <w:shd w:val="clear" w:color="auto" w:fill="auto"/>
            <w:vAlign w:val="center"/>
          </w:tcPr>
          <w:p w14:paraId="3E0913A7" w14:textId="77777777" w:rsidR="00D34C6F" w:rsidRPr="00F9037E" w:rsidRDefault="00D34C6F" w:rsidP="00C05C97">
            <w:pPr>
              <w:spacing w:before="120" w:after="120"/>
              <w:jc w:val="center"/>
              <w:rPr>
                <w:color w:val="auto"/>
                <w:sz w:val="10"/>
                <w:szCs w:val="10"/>
              </w:rPr>
            </w:pPr>
            <w:r w:rsidRPr="00F9037E">
              <w:rPr>
                <w:color w:val="auto"/>
                <w:sz w:val="10"/>
                <w:szCs w:val="10"/>
              </w:rPr>
              <w:t>240.000</w:t>
            </w:r>
          </w:p>
        </w:tc>
        <w:tc>
          <w:tcPr>
            <w:tcW w:w="708" w:type="dxa"/>
            <w:shd w:val="clear" w:color="auto" w:fill="auto"/>
            <w:vAlign w:val="center"/>
          </w:tcPr>
          <w:p w14:paraId="7D43CFBF" w14:textId="77777777" w:rsidR="00D34C6F" w:rsidRPr="00F9037E" w:rsidRDefault="00D34C6F" w:rsidP="00C05C97">
            <w:pPr>
              <w:spacing w:before="120" w:after="120"/>
              <w:jc w:val="center"/>
              <w:rPr>
                <w:color w:val="auto"/>
                <w:sz w:val="10"/>
                <w:szCs w:val="10"/>
              </w:rPr>
            </w:pPr>
            <w:r w:rsidRPr="00F9037E">
              <w:rPr>
                <w:color w:val="auto"/>
                <w:sz w:val="10"/>
                <w:szCs w:val="10"/>
              </w:rPr>
              <w:t>220.185</w:t>
            </w:r>
          </w:p>
        </w:tc>
        <w:tc>
          <w:tcPr>
            <w:tcW w:w="709" w:type="dxa"/>
            <w:shd w:val="clear" w:color="auto" w:fill="auto"/>
            <w:vAlign w:val="center"/>
          </w:tcPr>
          <w:p w14:paraId="2D85C9AD" w14:textId="77777777" w:rsidR="00D34C6F" w:rsidRPr="00F9037E" w:rsidRDefault="00D34C6F" w:rsidP="00C05C97">
            <w:pPr>
              <w:spacing w:before="120" w:after="120"/>
              <w:jc w:val="center"/>
              <w:rPr>
                <w:color w:val="auto"/>
                <w:sz w:val="10"/>
                <w:szCs w:val="10"/>
              </w:rPr>
            </w:pPr>
            <w:r w:rsidRPr="00F9037E">
              <w:rPr>
                <w:color w:val="auto"/>
                <w:sz w:val="10"/>
                <w:szCs w:val="10"/>
              </w:rPr>
              <w:t>114.450</w:t>
            </w:r>
          </w:p>
        </w:tc>
        <w:tc>
          <w:tcPr>
            <w:tcW w:w="567" w:type="dxa"/>
            <w:shd w:val="clear" w:color="auto" w:fill="auto"/>
            <w:vAlign w:val="center"/>
          </w:tcPr>
          <w:p w14:paraId="0096ABEC" w14:textId="77777777" w:rsidR="00D34C6F" w:rsidRPr="00F9037E" w:rsidRDefault="00D34C6F" w:rsidP="00C05C97">
            <w:pPr>
              <w:spacing w:before="120" w:after="120"/>
              <w:jc w:val="center"/>
              <w:rPr>
                <w:color w:val="auto"/>
                <w:sz w:val="10"/>
                <w:szCs w:val="10"/>
              </w:rPr>
            </w:pPr>
            <w:r w:rsidRPr="00F9037E">
              <w:rPr>
                <w:color w:val="auto"/>
                <w:sz w:val="10"/>
                <w:szCs w:val="10"/>
              </w:rPr>
              <w:t>85.431</w:t>
            </w:r>
          </w:p>
        </w:tc>
        <w:tc>
          <w:tcPr>
            <w:tcW w:w="647" w:type="dxa"/>
            <w:shd w:val="clear" w:color="auto" w:fill="auto"/>
            <w:vAlign w:val="center"/>
          </w:tcPr>
          <w:p w14:paraId="2F4E2772" w14:textId="77777777" w:rsidR="00D34C6F" w:rsidRPr="00F9037E" w:rsidRDefault="00D34C6F" w:rsidP="00C05C97">
            <w:pPr>
              <w:spacing w:before="120" w:after="120"/>
              <w:jc w:val="center"/>
              <w:rPr>
                <w:color w:val="auto"/>
                <w:sz w:val="10"/>
                <w:szCs w:val="10"/>
              </w:rPr>
            </w:pPr>
            <w:r w:rsidRPr="00F9037E">
              <w:rPr>
                <w:color w:val="auto"/>
                <w:sz w:val="10"/>
                <w:szCs w:val="10"/>
              </w:rPr>
              <w:t>63.464</w:t>
            </w:r>
          </w:p>
        </w:tc>
        <w:tc>
          <w:tcPr>
            <w:tcW w:w="567" w:type="dxa"/>
            <w:shd w:val="clear" w:color="auto" w:fill="auto"/>
            <w:vAlign w:val="center"/>
          </w:tcPr>
          <w:p w14:paraId="644C086B" w14:textId="599A8C90"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53EBEB91" w14:textId="190F58EA" w:rsidR="00D34C6F" w:rsidRPr="00F9037E" w:rsidRDefault="00D34C6F" w:rsidP="00C05C97">
            <w:pPr>
              <w:spacing w:before="120" w:after="120"/>
              <w:jc w:val="center"/>
              <w:rPr>
                <w:b/>
                <w:color w:val="auto"/>
                <w:sz w:val="10"/>
                <w:szCs w:val="10"/>
              </w:rPr>
            </w:pPr>
          </w:p>
        </w:tc>
        <w:tc>
          <w:tcPr>
            <w:tcW w:w="567" w:type="dxa"/>
            <w:vAlign w:val="center"/>
          </w:tcPr>
          <w:p w14:paraId="1CB8F10B" w14:textId="77777777" w:rsidR="00D34C6F" w:rsidRPr="00F9037E" w:rsidRDefault="00D34C6F" w:rsidP="00C05C97">
            <w:pPr>
              <w:spacing w:before="120" w:after="120"/>
              <w:jc w:val="center"/>
              <w:rPr>
                <w:b/>
                <w:color w:val="auto"/>
                <w:sz w:val="10"/>
                <w:szCs w:val="10"/>
              </w:rPr>
            </w:pPr>
          </w:p>
        </w:tc>
        <w:tc>
          <w:tcPr>
            <w:tcW w:w="567" w:type="dxa"/>
            <w:vAlign w:val="center"/>
          </w:tcPr>
          <w:p w14:paraId="7E0404E4" w14:textId="77777777" w:rsidR="00D34C6F" w:rsidRPr="00F9037E" w:rsidRDefault="00D34C6F" w:rsidP="00C05C97">
            <w:pPr>
              <w:spacing w:before="120" w:after="120"/>
              <w:jc w:val="center"/>
              <w:rPr>
                <w:b/>
                <w:color w:val="auto"/>
                <w:sz w:val="10"/>
                <w:szCs w:val="10"/>
              </w:rPr>
            </w:pPr>
          </w:p>
        </w:tc>
        <w:tc>
          <w:tcPr>
            <w:tcW w:w="567" w:type="dxa"/>
            <w:vAlign w:val="center"/>
          </w:tcPr>
          <w:p w14:paraId="7B3C8D1F" w14:textId="77777777" w:rsidR="00D34C6F" w:rsidRPr="00F9037E" w:rsidRDefault="00D34C6F" w:rsidP="00C05C97">
            <w:pPr>
              <w:spacing w:before="120" w:after="120"/>
              <w:jc w:val="center"/>
              <w:rPr>
                <w:b/>
                <w:color w:val="auto"/>
                <w:sz w:val="10"/>
                <w:szCs w:val="10"/>
              </w:rPr>
            </w:pPr>
          </w:p>
        </w:tc>
        <w:tc>
          <w:tcPr>
            <w:tcW w:w="567" w:type="dxa"/>
            <w:vAlign w:val="center"/>
          </w:tcPr>
          <w:p w14:paraId="5CFEC67C" w14:textId="77777777" w:rsidR="00D34C6F" w:rsidRPr="00F9037E" w:rsidRDefault="00D34C6F" w:rsidP="00C05C97">
            <w:pPr>
              <w:spacing w:before="120" w:after="120"/>
              <w:jc w:val="center"/>
              <w:rPr>
                <w:b/>
                <w:color w:val="auto"/>
                <w:sz w:val="10"/>
                <w:szCs w:val="10"/>
              </w:rPr>
            </w:pPr>
          </w:p>
        </w:tc>
      </w:tr>
      <w:tr w:rsidR="00D34C6F" w:rsidRPr="00F9037E" w14:paraId="65308B8D" w14:textId="77777777" w:rsidTr="00C05C97">
        <w:trPr>
          <w:trHeight w:val="465"/>
          <w:jc w:val="center"/>
        </w:trPr>
        <w:tc>
          <w:tcPr>
            <w:tcW w:w="662" w:type="dxa"/>
            <w:shd w:val="clear" w:color="auto" w:fill="auto"/>
            <w:vAlign w:val="center"/>
          </w:tcPr>
          <w:p w14:paraId="79F6962A" w14:textId="77777777" w:rsidR="00D34C6F" w:rsidRPr="00F9037E" w:rsidRDefault="00D34C6F" w:rsidP="00C05C97">
            <w:pPr>
              <w:spacing w:before="120" w:after="120"/>
              <w:rPr>
                <w:color w:val="auto"/>
                <w:sz w:val="12"/>
                <w:szCs w:val="12"/>
              </w:rPr>
            </w:pPr>
            <w:r w:rsidRPr="00F9037E">
              <w:rPr>
                <w:color w:val="auto"/>
                <w:sz w:val="12"/>
                <w:szCs w:val="12"/>
              </w:rPr>
              <w:t>Israel</w:t>
            </w:r>
          </w:p>
        </w:tc>
        <w:tc>
          <w:tcPr>
            <w:tcW w:w="824" w:type="dxa"/>
            <w:shd w:val="clear" w:color="auto" w:fill="auto"/>
            <w:vAlign w:val="center"/>
          </w:tcPr>
          <w:p w14:paraId="03EBB4EF" w14:textId="77777777" w:rsidR="00D34C6F" w:rsidRPr="00F9037E" w:rsidRDefault="00D34C6F" w:rsidP="00C05C97">
            <w:pPr>
              <w:spacing w:before="120" w:after="120"/>
              <w:rPr>
                <w:color w:val="auto"/>
                <w:sz w:val="12"/>
                <w:szCs w:val="12"/>
              </w:rPr>
            </w:pPr>
            <w:r w:rsidRPr="00F9037E">
              <w:rPr>
                <w:color w:val="auto"/>
                <w:sz w:val="12"/>
                <w:szCs w:val="12"/>
              </w:rPr>
              <w:t>Fruit tree nurseries</w:t>
            </w:r>
          </w:p>
        </w:tc>
        <w:tc>
          <w:tcPr>
            <w:tcW w:w="708" w:type="dxa"/>
            <w:shd w:val="clear" w:color="auto" w:fill="auto"/>
            <w:vAlign w:val="center"/>
          </w:tcPr>
          <w:p w14:paraId="0488E90E" w14:textId="77777777" w:rsidR="00D34C6F" w:rsidRPr="00F9037E" w:rsidRDefault="00D34C6F" w:rsidP="00C05C97">
            <w:pPr>
              <w:spacing w:before="120" w:after="120"/>
              <w:jc w:val="center"/>
              <w:rPr>
                <w:color w:val="auto"/>
                <w:sz w:val="10"/>
                <w:szCs w:val="10"/>
              </w:rPr>
            </w:pPr>
            <w:r w:rsidRPr="00F9037E">
              <w:rPr>
                <w:color w:val="auto"/>
                <w:sz w:val="10"/>
                <w:szCs w:val="10"/>
              </w:rPr>
              <w:t>50.000</w:t>
            </w:r>
          </w:p>
        </w:tc>
        <w:tc>
          <w:tcPr>
            <w:tcW w:w="709" w:type="dxa"/>
            <w:shd w:val="clear" w:color="auto" w:fill="auto"/>
            <w:vAlign w:val="center"/>
          </w:tcPr>
          <w:p w14:paraId="1361625B" w14:textId="77777777" w:rsidR="00D34C6F" w:rsidRPr="00F9037E" w:rsidRDefault="00D34C6F" w:rsidP="00C05C97">
            <w:pPr>
              <w:spacing w:before="120" w:after="120"/>
              <w:jc w:val="center"/>
              <w:rPr>
                <w:color w:val="auto"/>
                <w:sz w:val="10"/>
                <w:szCs w:val="10"/>
              </w:rPr>
            </w:pPr>
            <w:r w:rsidRPr="00F9037E">
              <w:rPr>
                <w:color w:val="auto"/>
                <w:sz w:val="10"/>
                <w:szCs w:val="10"/>
              </w:rPr>
              <w:t>45.000</w:t>
            </w:r>
          </w:p>
        </w:tc>
        <w:tc>
          <w:tcPr>
            <w:tcW w:w="709" w:type="dxa"/>
            <w:shd w:val="clear" w:color="auto" w:fill="auto"/>
            <w:vAlign w:val="center"/>
          </w:tcPr>
          <w:p w14:paraId="1A06ED3D" w14:textId="77777777" w:rsidR="00D34C6F" w:rsidRPr="00F9037E" w:rsidRDefault="00D34C6F" w:rsidP="00C05C97">
            <w:pPr>
              <w:spacing w:before="120" w:after="120"/>
              <w:jc w:val="center"/>
              <w:rPr>
                <w:color w:val="auto"/>
                <w:sz w:val="10"/>
                <w:szCs w:val="10"/>
              </w:rPr>
            </w:pPr>
            <w:r w:rsidRPr="00F9037E">
              <w:rPr>
                <w:color w:val="auto"/>
                <w:sz w:val="10"/>
                <w:szCs w:val="10"/>
              </w:rPr>
              <w:t>10.000</w:t>
            </w:r>
          </w:p>
        </w:tc>
        <w:tc>
          <w:tcPr>
            <w:tcW w:w="567" w:type="dxa"/>
            <w:shd w:val="clear" w:color="auto" w:fill="auto"/>
            <w:vAlign w:val="center"/>
          </w:tcPr>
          <w:p w14:paraId="16C80F22" w14:textId="7CD2D25C"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13F95A41" w14:textId="3EDD0CF5"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0082D5A" w14:textId="4146DE4F"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34C0C950" w14:textId="56CB453B"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2F7BFF4" w14:textId="4F2BBBAE"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58BCED4" w14:textId="5BCBD47B" w:rsidR="00D34C6F" w:rsidRPr="00F9037E" w:rsidRDefault="00D34C6F" w:rsidP="00C05C97">
            <w:pPr>
              <w:spacing w:before="120" w:after="120"/>
              <w:jc w:val="center"/>
              <w:rPr>
                <w:color w:val="auto"/>
                <w:sz w:val="10"/>
                <w:szCs w:val="10"/>
              </w:rPr>
            </w:pPr>
          </w:p>
        </w:tc>
        <w:tc>
          <w:tcPr>
            <w:tcW w:w="629" w:type="dxa"/>
            <w:vAlign w:val="center"/>
          </w:tcPr>
          <w:p w14:paraId="6F8A7706" w14:textId="77777777" w:rsidR="00D34C6F" w:rsidRPr="00F9037E" w:rsidRDefault="00D34C6F" w:rsidP="00C05C97">
            <w:pPr>
              <w:spacing w:before="120" w:after="120"/>
              <w:jc w:val="center"/>
              <w:rPr>
                <w:color w:val="auto"/>
                <w:sz w:val="10"/>
                <w:szCs w:val="10"/>
              </w:rPr>
            </w:pPr>
          </w:p>
        </w:tc>
        <w:tc>
          <w:tcPr>
            <w:tcW w:w="567" w:type="dxa"/>
            <w:vAlign w:val="center"/>
          </w:tcPr>
          <w:p w14:paraId="2E05237B" w14:textId="77777777" w:rsidR="00D34C6F" w:rsidRPr="00F9037E" w:rsidRDefault="00D34C6F" w:rsidP="00C05C97">
            <w:pPr>
              <w:spacing w:before="120" w:after="120"/>
              <w:jc w:val="center"/>
              <w:rPr>
                <w:color w:val="auto"/>
                <w:sz w:val="10"/>
                <w:szCs w:val="10"/>
              </w:rPr>
            </w:pPr>
          </w:p>
        </w:tc>
        <w:tc>
          <w:tcPr>
            <w:tcW w:w="567" w:type="dxa"/>
            <w:vAlign w:val="center"/>
          </w:tcPr>
          <w:p w14:paraId="162EFABB"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235591A1" w14:textId="77777777" w:rsidR="00D34C6F" w:rsidRPr="00F9037E" w:rsidRDefault="00D34C6F" w:rsidP="00C05C97">
            <w:pPr>
              <w:spacing w:before="120" w:after="120"/>
              <w:jc w:val="center"/>
              <w:rPr>
                <w:color w:val="auto"/>
                <w:sz w:val="10"/>
                <w:szCs w:val="10"/>
              </w:rPr>
            </w:pPr>
            <w:r w:rsidRPr="00F9037E">
              <w:rPr>
                <w:color w:val="auto"/>
                <w:sz w:val="10"/>
                <w:szCs w:val="10"/>
              </w:rPr>
              <w:t>50.000</w:t>
            </w:r>
          </w:p>
        </w:tc>
        <w:tc>
          <w:tcPr>
            <w:tcW w:w="709" w:type="dxa"/>
            <w:shd w:val="clear" w:color="auto" w:fill="auto"/>
            <w:vAlign w:val="center"/>
          </w:tcPr>
          <w:p w14:paraId="24C0A216" w14:textId="77777777" w:rsidR="00D34C6F" w:rsidRPr="00F9037E" w:rsidRDefault="00D34C6F" w:rsidP="00C05C97">
            <w:pPr>
              <w:spacing w:before="120" w:after="120"/>
              <w:jc w:val="center"/>
              <w:rPr>
                <w:color w:val="auto"/>
                <w:sz w:val="10"/>
                <w:szCs w:val="10"/>
              </w:rPr>
            </w:pPr>
            <w:r w:rsidRPr="00F9037E">
              <w:rPr>
                <w:color w:val="auto"/>
                <w:sz w:val="10"/>
                <w:szCs w:val="10"/>
              </w:rPr>
              <w:t>45.000</w:t>
            </w:r>
          </w:p>
        </w:tc>
        <w:tc>
          <w:tcPr>
            <w:tcW w:w="708" w:type="dxa"/>
            <w:shd w:val="clear" w:color="auto" w:fill="auto"/>
            <w:vAlign w:val="center"/>
          </w:tcPr>
          <w:p w14:paraId="0D16DC3E" w14:textId="77777777" w:rsidR="00D34C6F" w:rsidRPr="00F9037E" w:rsidRDefault="00D34C6F" w:rsidP="00C05C97">
            <w:pPr>
              <w:spacing w:before="120" w:after="120"/>
              <w:jc w:val="center"/>
              <w:rPr>
                <w:color w:val="auto"/>
                <w:sz w:val="10"/>
                <w:szCs w:val="10"/>
              </w:rPr>
            </w:pPr>
            <w:r w:rsidRPr="00F9037E">
              <w:rPr>
                <w:color w:val="auto"/>
                <w:sz w:val="10"/>
                <w:szCs w:val="10"/>
              </w:rPr>
              <w:t>7.500</w:t>
            </w:r>
          </w:p>
        </w:tc>
        <w:tc>
          <w:tcPr>
            <w:tcW w:w="709" w:type="dxa"/>
            <w:shd w:val="clear" w:color="auto" w:fill="auto"/>
            <w:vAlign w:val="center"/>
          </w:tcPr>
          <w:p w14:paraId="410BFD7B" w14:textId="35A35D75"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408320D" w14:textId="5745251F"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4974D272" w14:textId="12AE0B61"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21BA4252" w14:textId="39F7380B"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018F14A4" w14:textId="5C2DD37D" w:rsidR="00D34C6F" w:rsidRPr="00F9037E" w:rsidRDefault="00D34C6F" w:rsidP="00C05C97">
            <w:pPr>
              <w:spacing w:before="120" w:after="120"/>
              <w:jc w:val="center"/>
              <w:rPr>
                <w:b/>
                <w:color w:val="auto"/>
                <w:sz w:val="10"/>
                <w:szCs w:val="10"/>
              </w:rPr>
            </w:pPr>
          </w:p>
        </w:tc>
        <w:tc>
          <w:tcPr>
            <w:tcW w:w="567" w:type="dxa"/>
            <w:vAlign w:val="center"/>
          </w:tcPr>
          <w:p w14:paraId="69178AAD" w14:textId="77777777" w:rsidR="00D34C6F" w:rsidRPr="00F9037E" w:rsidRDefault="00D34C6F" w:rsidP="00C05C97">
            <w:pPr>
              <w:spacing w:before="120" w:after="120"/>
              <w:jc w:val="center"/>
              <w:rPr>
                <w:b/>
                <w:color w:val="auto"/>
                <w:sz w:val="10"/>
                <w:szCs w:val="10"/>
              </w:rPr>
            </w:pPr>
          </w:p>
        </w:tc>
        <w:tc>
          <w:tcPr>
            <w:tcW w:w="567" w:type="dxa"/>
            <w:vAlign w:val="center"/>
          </w:tcPr>
          <w:p w14:paraId="47300A68" w14:textId="77777777" w:rsidR="00D34C6F" w:rsidRPr="00F9037E" w:rsidRDefault="00D34C6F" w:rsidP="00C05C97">
            <w:pPr>
              <w:spacing w:before="120" w:after="120"/>
              <w:jc w:val="center"/>
              <w:rPr>
                <w:b/>
                <w:color w:val="auto"/>
                <w:sz w:val="10"/>
                <w:szCs w:val="10"/>
              </w:rPr>
            </w:pPr>
          </w:p>
        </w:tc>
        <w:tc>
          <w:tcPr>
            <w:tcW w:w="567" w:type="dxa"/>
            <w:vAlign w:val="center"/>
          </w:tcPr>
          <w:p w14:paraId="190C0AE1" w14:textId="77777777" w:rsidR="00D34C6F" w:rsidRPr="00F9037E" w:rsidRDefault="00D34C6F" w:rsidP="00C05C97">
            <w:pPr>
              <w:spacing w:before="120" w:after="120"/>
              <w:jc w:val="center"/>
              <w:rPr>
                <w:b/>
                <w:color w:val="auto"/>
                <w:sz w:val="10"/>
                <w:szCs w:val="10"/>
              </w:rPr>
            </w:pPr>
          </w:p>
        </w:tc>
        <w:tc>
          <w:tcPr>
            <w:tcW w:w="567" w:type="dxa"/>
            <w:vAlign w:val="center"/>
          </w:tcPr>
          <w:p w14:paraId="7E0A1E12" w14:textId="77777777" w:rsidR="00D34C6F" w:rsidRPr="00F9037E" w:rsidRDefault="00D34C6F" w:rsidP="00C05C97">
            <w:pPr>
              <w:spacing w:before="120" w:after="120"/>
              <w:jc w:val="center"/>
              <w:rPr>
                <w:b/>
                <w:color w:val="auto"/>
                <w:sz w:val="10"/>
                <w:szCs w:val="10"/>
              </w:rPr>
            </w:pPr>
          </w:p>
        </w:tc>
      </w:tr>
      <w:tr w:rsidR="00D34C6F" w:rsidRPr="00F9037E" w14:paraId="54700856" w14:textId="77777777" w:rsidTr="00C05C97">
        <w:trPr>
          <w:trHeight w:val="690"/>
          <w:jc w:val="center"/>
        </w:trPr>
        <w:tc>
          <w:tcPr>
            <w:tcW w:w="662" w:type="dxa"/>
            <w:shd w:val="clear" w:color="auto" w:fill="auto"/>
            <w:vAlign w:val="center"/>
          </w:tcPr>
          <w:p w14:paraId="12669989" w14:textId="77777777" w:rsidR="00D34C6F" w:rsidRPr="00563BC0" w:rsidRDefault="00D34C6F" w:rsidP="00C05C97">
            <w:pPr>
              <w:spacing w:before="120" w:after="120"/>
              <w:rPr>
                <w:color w:val="auto"/>
                <w:sz w:val="12"/>
                <w:szCs w:val="12"/>
              </w:rPr>
            </w:pPr>
            <w:r w:rsidRPr="00563BC0">
              <w:rPr>
                <w:color w:val="auto"/>
                <w:sz w:val="12"/>
                <w:szCs w:val="12"/>
              </w:rPr>
              <w:lastRenderedPageBreak/>
              <w:t>Israel</w:t>
            </w:r>
          </w:p>
        </w:tc>
        <w:tc>
          <w:tcPr>
            <w:tcW w:w="824" w:type="dxa"/>
            <w:shd w:val="clear" w:color="auto" w:fill="auto"/>
            <w:vAlign w:val="center"/>
          </w:tcPr>
          <w:p w14:paraId="051CD32C" w14:textId="651745EA" w:rsidR="00D34C6F" w:rsidRPr="00563BC0" w:rsidRDefault="00D34C6F" w:rsidP="00C05C97">
            <w:pPr>
              <w:spacing w:before="120" w:after="120"/>
              <w:rPr>
                <w:color w:val="auto"/>
                <w:sz w:val="12"/>
                <w:szCs w:val="12"/>
              </w:rPr>
            </w:pPr>
            <w:r w:rsidRPr="00563BC0">
              <w:rPr>
                <w:color w:val="auto"/>
                <w:sz w:val="12"/>
                <w:szCs w:val="12"/>
              </w:rPr>
              <w:t>Melon – protected &amp; field</w:t>
            </w:r>
          </w:p>
        </w:tc>
        <w:tc>
          <w:tcPr>
            <w:tcW w:w="708" w:type="dxa"/>
            <w:shd w:val="clear" w:color="auto" w:fill="auto"/>
            <w:vAlign w:val="center"/>
          </w:tcPr>
          <w:p w14:paraId="3DDDED84" w14:textId="77777777" w:rsidR="00D34C6F" w:rsidRPr="000F08B5" w:rsidRDefault="00D34C6F" w:rsidP="00C05C97">
            <w:pPr>
              <w:spacing w:before="120" w:after="120"/>
              <w:jc w:val="center"/>
              <w:rPr>
                <w:color w:val="auto"/>
                <w:sz w:val="10"/>
                <w:szCs w:val="10"/>
              </w:rPr>
            </w:pPr>
            <w:r w:rsidRPr="000F08B5">
              <w:rPr>
                <w:color w:val="auto"/>
                <w:sz w:val="10"/>
                <w:szCs w:val="10"/>
              </w:rPr>
              <w:t>148.000</w:t>
            </w:r>
          </w:p>
        </w:tc>
        <w:tc>
          <w:tcPr>
            <w:tcW w:w="709" w:type="dxa"/>
            <w:shd w:val="clear" w:color="auto" w:fill="auto"/>
            <w:vAlign w:val="center"/>
          </w:tcPr>
          <w:p w14:paraId="05EDB314" w14:textId="77777777" w:rsidR="00D34C6F" w:rsidRPr="000F08B5" w:rsidRDefault="00D34C6F" w:rsidP="00C05C97">
            <w:pPr>
              <w:spacing w:before="120" w:after="120"/>
              <w:jc w:val="center"/>
              <w:rPr>
                <w:color w:val="auto"/>
                <w:sz w:val="10"/>
                <w:szCs w:val="10"/>
              </w:rPr>
            </w:pPr>
            <w:r w:rsidRPr="000F08B5">
              <w:rPr>
                <w:color w:val="auto"/>
                <w:sz w:val="10"/>
                <w:szCs w:val="10"/>
              </w:rPr>
              <w:t>142.000</w:t>
            </w:r>
          </w:p>
        </w:tc>
        <w:tc>
          <w:tcPr>
            <w:tcW w:w="709" w:type="dxa"/>
            <w:shd w:val="clear" w:color="auto" w:fill="auto"/>
            <w:vAlign w:val="center"/>
          </w:tcPr>
          <w:p w14:paraId="0AFBBCBE" w14:textId="77777777" w:rsidR="00D34C6F" w:rsidRPr="00365366" w:rsidRDefault="00D34C6F" w:rsidP="00C05C97">
            <w:pPr>
              <w:spacing w:before="120" w:after="120"/>
              <w:jc w:val="center"/>
              <w:rPr>
                <w:color w:val="auto"/>
                <w:sz w:val="10"/>
                <w:szCs w:val="10"/>
              </w:rPr>
            </w:pPr>
            <w:r w:rsidRPr="00365366">
              <w:rPr>
                <w:color w:val="auto"/>
                <w:sz w:val="10"/>
                <w:szCs w:val="10"/>
              </w:rPr>
              <w:t>140.000</w:t>
            </w:r>
          </w:p>
        </w:tc>
        <w:tc>
          <w:tcPr>
            <w:tcW w:w="567" w:type="dxa"/>
            <w:shd w:val="clear" w:color="auto" w:fill="auto"/>
            <w:vAlign w:val="center"/>
          </w:tcPr>
          <w:p w14:paraId="76847A85" w14:textId="77777777" w:rsidR="00D34C6F" w:rsidRPr="00F9037E" w:rsidRDefault="00D34C6F" w:rsidP="00C05C97">
            <w:pPr>
              <w:spacing w:before="120" w:after="120"/>
              <w:jc w:val="center"/>
              <w:rPr>
                <w:color w:val="auto"/>
                <w:sz w:val="10"/>
                <w:szCs w:val="10"/>
              </w:rPr>
            </w:pPr>
            <w:r w:rsidRPr="00F9037E">
              <w:rPr>
                <w:color w:val="auto"/>
                <w:sz w:val="10"/>
                <w:szCs w:val="10"/>
              </w:rPr>
              <w:t>87.500</w:t>
            </w:r>
          </w:p>
        </w:tc>
        <w:tc>
          <w:tcPr>
            <w:tcW w:w="709" w:type="dxa"/>
            <w:shd w:val="clear" w:color="auto" w:fill="auto"/>
            <w:vAlign w:val="center"/>
          </w:tcPr>
          <w:p w14:paraId="535D34AE" w14:textId="77777777" w:rsidR="00D34C6F" w:rsidRPr="00F9037E" w:rsidRDefault="00D34C6F" w:rsidP="00C05C97">
            <w:pPr>
              <w:spacing w:before="120" w:after="120"/>
              <w:jc w:val="center"/>
              <w:rPr>
                <w:color w:val="auto"/>
                <w:sz w:val="10"/>
                <w:szCs w:val="10"/>
              </w:rPr>
            </w:pPr>
            <w:r w:rsidRPr="00F9037E">
              <w:rPr>
                <w:color w:val="auto"/>
                <w:sz w:val="10"/>
                <w:szCs w:val="10"/>
              </w:rPr>
              <w:t>87.500</w:t>
            </w:r>
          </w:p>
        </w:tc>
        <w:tc>
          <w:tcPr>
            <w:tcW w:w="567" w:type="dxa"/>
            <w:shd w:val="clear" w:color="auto" w:fill="auto"/>
            <w:vAlign w:val="center"/>
          </w:tcPr>
          <w:p w14:paraId="39BAD47F" w14:textId="77777777" w:rsidR="00D34C6F" w:rsidRPr="00F9037E" w:rsidRDefault="00D34C6F" w:rsidP="00C05C97">
            <w:pPr>
              <w:spacing w:before="120" w:after="120"/>
              <w:jc w:val="center"/>
              <w:rPr>
                <w:color w:val="auto"/>
                <w:sz w:val="10"/>
                <w:szCs w:val="10"/>
              </w:rPr>
            </w:pPr>
            <w:r w:rsidRPr="00F9037E">
              <w:rPr>
                <w:color w:val="auto"/>
                <w:sz w:val="10"/>
                <w:szCs w:val="10"/>
              </w:rPr>
              <w:t>87.500</w:t>
            </w:r>
          </w:p>
        </w:tc>
        <w:tc>
          <w:tcPr>
            <w:tcW w:w="708" w:type="dxa"/>
            <w:shd w:val="clear" w:color="auto" w:fill="auto"/>
            <w:vAlign w:val="center"/>
          </w:tcPr>
          <w:p w14:paraId="4F76EB72" w14:textId="77777777" w:rsidR="00D34C6F" w:rsidRPr="00F9037E" w:rsidRDefault="00D34C6F" w:rsidP="00C05C97">
            <w:pPr>
              <w:spacing w:before="120" w:after="120"/>
              <w:jc w:val="center"/>
              <w:rPr>
                <w:color w:val="auto"/>
                <w:sz w:val="10"/>
                <w:szCs w:val="10"/>
              </w:rPr>
            </w:pPr>
            <w:r w:rsidRPr="00F9037E">
              <w:rPr>
                <w:color w:val="auto"/>
                <w:sz w:val="10"/>
                <w:szCs w:val="10"/>
              </w:rPr>
              <w:t>35.000</w:t>
            </w:r>
          </w:p>
        </w:tc>
        <w:tc>
          <w:tcPr>
            <w:tcW w:w="567" w:type="dxa"/>
            <w:shd w:val="clear" w:color="auto" w:fill="auto"/>
            <w:vAlign w:val="center"/>
          </w:tcPr>
          <w:p w14:paraId="2033500E" w14:textId="48E2043D"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B92E22E" w14:textId="21C97706" w:rsidR="00D34C6F" w:rsidRPr="00F9037E" w:rsidRDefault="00D34C6F" w:rsidP="00C05C97">
            <w:pPr>
              <w:spacing w:before="120" w:after="120"/>
              <w:jc w:val="center"/>
              <w:rPr>
                <w:color w:val="auto"/>
                <w:sz w:val="10"/>
                <w:szCs w:val="10"/>
              </w:rPr>
            </w:pPr>
          </w:p>
        </w:tc>
        <w:tc>
          <w:tcPr>
            <w:tcW w:w="629" w:type="dxa"/>
            <w:vAlign w:val="center"/>
          </w:tcPr>
          <w:p w14:paraId="7CFBE848" w14:textId="77777777" w:rsidR="00D34C6F" w:rsidRPr="00F9037E" w:rsidRDefault="00D34C6F" w:rsidP="00C05C97">
            <w:pPr>
              <w:spacing w:before="120" w:after="120"/>
              <w:jc w:val="center"/>
              <w:rPr>
                <w:color w:val="auto"/>
                <w:sz w:val="10"/>
                <w:szCs w:val="10"/>
              </w:rPr>
            </w:pPr>
          </w:p>
        </w:tc>
        <w:tc>
          <w:tcPr>
            <w:tcW w:w="567" w:type="dxa"/>
            <w:vAlign w:val="center"/>
          </w:tcPr>
          <w:p w14:paraId="670B0FCF" w14:textId="77777777" w:rsidR="00D34C6F" w:rsidRPr="00F9037E" w:rsidRDefault="00D34C6F" w:rsidP="00C05C97">
            <w:pPr>
              <w:spacing w:before="120" w:after="120"/>
              <w:jc w:val="center"/>
              <w:rPr>
                <w:color w:val="auto"/>
                <w:sz w:val="10"/>
                <w:szCs w:val="10"/>
              </w:rPr>
            </w:pPr>
          </w:p>
        </w:tc>
        <w:tc>
          <w:tcPr>
            <w:tcW w:w="567" w:type="dxa"/>
            <w:vAlign w:val="center"/>
          </w:tcPr>
          <w:p w14:paraId="2E6A6991"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4360B2B2" w14:textId="77777777" w:rsidR="00D34C6F" w:rsidRPr="00F9037E" w:rsidRDefault="00D34C6F" w:rsidP="00C05C97">
            <w:pPr>
              <w:spacing w:before="120" w:after="120"/>
              <w:jc w:val="center"/>
              <w:rPr>
                <w:color w:val="auto"/>
                <w:sz w:val="10"/>
                <w:szCs w:val="10"/>
              </w:rPr>
            </w:pPr>
            <w:r w:rsidRPr="00F9037E">
              <w:rPr>
                <w:color w:val="auto"/>
                <w:sz w:val="10"/>
                <w:szCs w:val="10"/>
              </w:rPr>
              <w:t>125.650</w:t>
            </w:r>
          </w:p>
        </w:tc>
        <w:tc>
          <w:tcPr>
            <w:tcW w:w="709" w:type="dxa"/>
            <w:shd w:val="clear" w:color="auto" w:fill="auto"/>
            <w:vAlign w:val="center"/>
          </w:tcPr>
          <w:p w14:paraId="6FB43A64" w14:textId="77777777" w:rsidR="00D34C6F" w:rsidRPr="00F9037E" w:rsidRDefault="00D34C6F" w:rsidP="00C05C97">
            <w:pPr>
              <w:spacing w:before="120" w:after="120"/>
              <w:jc w:val="center"/>
              <w:rPr>
                <w:color w:val="auto"/>
                <w:sz w:val="10"/>
                <w:szCs w:val="10"/>
              </w:rPr>
            </w:pPr>
            <w:r w:rsidRPr="00F9037E">
              <w:rPr>
                <w:color w:val="auto"/>
                <w:sz w:val="10"/>
                <w:szCs w:val="10"/>
              </w:rPr>
              <w:t>99.400</w:t>
            </w:r>
          </w:p>
        </w:tc>
        <w:tc>
          <w:tcPr>
            <w:tcW w:w="708" w:type="dxa"/>
            <w:shd w:val="clear" w:color="auto" w:fill="auto"/>
            <w:vAlign w:val="center"/>
          </w:tcPr>
          <w:p w14:paraId="70310576" w14:textId="77777777" w:rsidR="00D34C6F" w:rsidRPr="00F9037E" w:rsidRDefault="00D34C6F" w:rsidP="00C05C97">
            <w:pPr>
              <w:spacing w:before="120" w:after="120"/>
              <w:jc w:val="center"/>
              <w:rPr>
                <w:color w:val="auto"/>
                <w:sz w:val="10"/>
                <w:szCs w:val="10"/>
              </w:rPr>
            </w:pPr>
            <w:r w:rsidRPr="00F9037E">
              <w:rPr>
                <w:color w:val="auto"/>
                <w:sz w:val="10"/>
                <w:szCs w:val="10"/>
              </w:rPr>
              <w:t>105.000</w:t>
            </w:r>
          </w:p>
        </w:tc>
        <w:tc>
          <w:tcPr>
            <w:tcW w:w="709" w:type="dxa"/>
            <w:shd w:val="clear" w:color="auto" w:fill="auto"/>
            <w:vAlign w:val="center"/>
          </w:tcPr>
          <w:p w14:paraId="23AB78E1" w14:textId="77777777" w:rsidR="00D34C6F" w:rsidRPr="00F9037E" w:rsidRDefault="00D34C6F" w:rsidP="00C05C97">
            <w:pPr>
              <w:spacing w:before="120" w:after="120"/>
              <w:jc w:val="center"/>
              <w:rPr>
                <w:color w:val="auto"/>
                <w:sz w:val="10"/>
                <w:szCs w:val="10"/>
              </w:rPr>
            </w:pPr>
            <w:r w:rsidRPr="00F9037E">
              <w:rPr>
                <w:color w:val="auto"/>
                <w:sz w:val="10"/>
                <w:szCs w:val="10"/>
              </w:rPr>
              <w:t>87.500</w:t>
            </w:r>
          </w:p>
        </w:tc>
        <w:tc>
          <w:tcPr>
            <w:tcW w:w="567" w:type="dxa"/>
            <w:shd w:val="clear" w:color="auto" w:fill="auto"/>
            <w:vAlign w:val="center"/>
          </w:tcPr>
          <w:p w14:paraId="044910B5" w14:textId="77777777" w:rsidR="00D34C6F" w:rsidRPr="00F9037E" w:rsidRDefault="00D34C6F" w:rsidP="00C05C97">
            <w:pPr>
              <w:spacing w:before="120" w:after="120"/>
              <w:jc w:val="center"/>
              <w:rPr>
                <w:color w:val="auto"/>
                <w:sz w:val="10"/>
                <w:szCs w:val="10"/>
              </w:rPr>
            </w:pPr>
            <w:r w:rsidRPr="00F9037E">
              <w:rPr>
                <w:color w:val="auto"/>
                <w:sz w:val="10"/>
                <w:szCs w:val="10"/>
              </w:rPr>
              <w:t>87.500</w:t>
            </w:r>
          </w:p>
        </w:tc>
        <w:tc>
          <w:tcPr>
            <w:tcW w:w="647" w:type="dxa"/>
            <w:shd w:val="clear" w:color="auto" w:fill="auto"/>
            <w:vAlign w:val="center"/>
          </w:tcPr>
          <w:p w14:paraId="02128F61" w14:textId="77777777" w:rsidR="00D34C6F" w:rsidRPr="00F9037E" w:rsidRDefault="00D34C6F" w:rsidP="00C05C97">
            <w:pPr>
              <w:spacing w:before="120" w:after="120"/>
              <w:jc w:val="center"/>
              <w:rPr>
                <w:color w:val="auto"/>
                <w:sz w:val="10"/>
                <w:szCs w:val="10"/>
              </w:rPr>
            </w:pPr>
            <w:r w:rsidRPr="00F9037E">
              <w:rPr>
                <w:color w:val="auto"/>
                <w:sz w:val="10"/>
                <w:szCs w:val="10"/>
              </w:rPr>
              <w:t>70.000</w:t>
            </w:r>
          </w:p>
        </w:tc>
        <w:tc>
          <w:tcPr>
            <w:tcW w:w="567" w:type="dxa"/>
            <w:shd w:val="clear" w:color="auto" w:fill="auto"/>
            <w:vAlign w:val="center"/>
          </w:tcPr>
          <w:p w14:paraId="1D132261" w14:textId="48E7D302"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021AA82E" w14:textId="0096C58D" w:rsidR="00D34C6F" w:rsidRPr="00F9037E" w:rsidRDefault="00D34C6F" w:rsidP="00C05C97">
            <w:pPr>
              <w:spacing w:before="120" w:after="120"/>
              <w:jc w:val="center"/>
              <w:rPr>
                <w:b/>
                <w:color w:val="auto"/>
                <w:sz w:val="10"/>
                <w:szCs w:val="10"/>
              </w:rPr>
            </w:pPr>
          </w:p>
        </w:tc>
        <w:tc>
          <w:tcPr>
            <w:tcW w:w="567" w:type="dxa"/>
            <w:vAlign w:val="center"/>
          </w:tcPr>
          <w:p w14:paraId="53B29506" w14:textId="77777777" w:rsidR="00D34C6F" w:rsidRPr="00F9037E" w:rsidRDefault="00D34C6F" w:rsidP="00C05C97">
            <w:pPr>
              <w:spacing w:before="120" w:after="120"/>
              <w:jc w:val="center"/>
              <w:rPr>
                <w:b/>
                <w:color w:val="auto"/>
                <w:sz w:val="10"/>
                <w:szCs w:val="10"/>
              </w:rPr>
            </w:pPr>
          </w:p>
        </w:tc>
        <w:tc>
          <w:tcPr>
            <w:tcW w:w="567" w:type="dxa"/>
            <w:vAlign w:val="center"/>
          </w:tcPr>
          <w:p w14:paraId="050BD663" w14:textId="77777777" w:rsidR="00D34C6F" w:rsidRPr="00F9037E" w:rsidRDefault="00D34C6F" w:rsidP="00C05C97">
            <w:pPr>
              <w:spacing w:before="120" w:after="120"/>
              <w:jc w:val="center"/>
              <w:rPr>
                <w:b/>
                <w:color w:val="auto"/>
                <w:sz w:val="10"/>
                <w:szCs w:val="10"/>
              </w:rPr>
            </w:pPr>
          </w:p>
        </w:tc>
        <w:tc>
          <w:tcPr>
            <w:tcW w:w="567" w:type="dxa"/>
            <w:vAlign w:val="center"/>
          </w:tcPr>
          <w:p w14:paraId="322C37DB" w14:textId="77777777" w:rsidR="00D34C6F" w:rsidRPr="00F9037E" w:rsidRDefault="00D34C6F" w:rsidP="00C05C97">
            <w:pPr>
              <w:spacing w:before="120" w:after="120"/>
              <w:jc w:val="center"/>
              <w:rPr>
                <w:b/>
                <w:color w:val="auto"/>
                <w:sz w:val="10"/>
                <w:szCs w:val="10"/>
              </w:rPr>
            </w:pPr>
          </w:p>
        </w:tc>
        <w:tc>
          <w:tcPr>
            <w:tcW w:w="567" w:type="dxa"/>
            <w:vAlign w:val="center"/>
          </w:tcPr>
          <w:p w14:paraId="6567A69F" w14:textId="77777777" w:rsidR="00D34C6F" w:rsidRPr="00F9037E" w:rsidRDefault="00D34C6F" w:rsidP="00C05C97">
            <w:pPr>
              <w:spacing w:before="120" w:after="120"/>
              <w:jc w:val="center"/>
              <w:rPr>
                <w:b/>
                <w:color w:val="auto"/>
                <w:sz w:val="10"/>
                <w:szCs w:val="10"/>
              </w:rPr>
            </w:pPr>
          </w:p>
        </w:tc>
      </w:tr>
      <w:tr w:rsidR="00D34C6F" w:rsidRPr="00F9037E" w14:paraId="1364EBD7" w14:textId="77777777" w:rsidTr="00C05C97">
        <w:trPr>
          <w:trHeight w:val="270"/>
          <w:jc w:val="center"/>
        </w:trPr>
        <w:tc>
          <w:tcPr>
            <w:tcW w:w="662" w:type="dxa"/>
            <w:shd w:val="clear" w:color="auto" w:fill="auto"/>
            <w:vAlign w:val="center"/>
          </w:tcPr>
          <w:p w14:paraId="68FCBEA1" w14:textId="77777777" w:rsidR="00D34C6F" w:rsidRPr="00F9037E" w:rsidRDefault="00D34C6F" w:rsidP="00C05C97">
            <w:pPr>
              <w:spacing w:before="120" w:after="120"/>
              <w:rPr>
                <w:color w:val="auto"/>
                <w:sz w:val="12"/>
                <w:szCs w:val="12"/>
              </w:rPr>
            </w:pPr>
            <w:r w:rsidRPr="00F9037E">
              <w:rPr>
                <w:color w:val="auto"/>
                <w:sz w:val="12"/>
                <w:szCs w:val="12"/>
              </w:rPr>
              <w:t>Israel</w:t>
            </w:r>
          </w:p>
        </w:tc>
        <w:tc>
          <w:tcPr>
            <w:tcW w:w="824" w:type="dxa"/>
            <w:shd w:val="clear" w:color="auto" w:fill="auto"/>
            <w:vAlign w:val="center"/>
          </w:tcPr>
          <w:p w14:paraId="432A1C33" w14:textId="77777777" w:rsidR="00D34C6F" w:rsidRPr="00F9037E" w:rsidRDefault="00D34C6F" w:rsidP="00C05C97">
            <w:pPr>
              <w:spacing w:before="120" w:after="120"/>
              <w:rPr>
                <w:color w:val="auto"/>
                <w:sz w:val="12"/>
                <w:szCs w:val="12"/>
              </w:rPr>
            </w:pPr>
            <w:r w:rsidRPr="00F9037E">
              <w:rPr>
                <w:color w:val="auto"/>
                <w:sz w:val="12"/>
                <w:szCs w:val="12"/>
              </w:rPr>
              <w:t>Potato</w:t>
            </w:r>
          </w:p>
        </w:tc>
        <w:tc>
          <w:tcPr>
            <w:tcW w:w="708" w:type="dxa"/>
            <w:shd w:val="clear" w:color="auto" w:fill="auto"/>
            <w:vAlign w:val="center"/>
          </w:tcPr>
          <w:p w14:paraId="4188B814" w14:textId="77777777" w:rsidR="00D34C6F" w:rsidRPr="00F9037E" w:rsidRDefault="00D34C6F" w:rsidP="00C05C97">
            <w:pPr>
              <w:spacing w:before="120" w:after="120"/>
              <w:jc w:val="center"/>
              <w:rPr>
                <w:color w:val="auto"/>
                <w:sz w:val="10"/>
                <w:szCs w:val="10"/>
              </w:rPr>
            </w:pPr>
            <w:r w:rsidRPr="00F9037E">
              <w:rPr>
                <w:color w:val="auto"/>
                <w:sz w:val="10"/>
                <w:szCs w:val="10"/>
              </w:rPr>
              <w:t>239.000</w:t>
            </w:r>
          </w:p>
        </w:tc>
        <w:tc>
          <w:tcPr>
            <w:tcW w:w="709" w:type="dxa"/>
            <w:shd w:val="clear" w:color="auto" w:fill="auto"/>
            <w:vAlign w:val="center"/>
          </w:tcPr>
          <w:p w14:paraId="350AB228" w14:textId="77777777" w:rsidR="00D34C6F" w:rsidRPr="00F9037E" w:rsidRDefault="00D34C6F" w:rsidP="00C05C97">
            <w:pPr>
              <w:spacing w:before="120" w:after="120"/>
              <w:jc w:val="center"/>
              <w:rPr>
                <w:color w:val="auto"/>
                <w:sz w:val="10"/>
                <w:szCs w:val="10"/>
              </w:rPr>
            </w:pPr>
            <w:r w:rsidRPr="00F9037E">
              <w:rPr>
                <w:color w:val="auto"/>
                <w:sz w:val="10"/>
                <w:szCs w:val="10"/>
              </w:rPr>
              <w:t>231.000</w:t>
            </w:r>
          </w:p>
        </w:tc>
        <w:tc>
          <w:tcPr>
            <w:tcW w:w="709" w:type="dxa"/>
            <w:shd w:val="clear" w:color="auto" w:fill="auto"/>
            <w:vAlign w:val="center"/>
          </w:tcPr>
          <w:p w14:paraId="766168AB" w14:textId="77777777" w:rsidR="00D34C6F" w:rsidRPr="00F9037E" w:rsidRDefault="00D34C6F" w:rsidP="00C05C97">
            <w:pPr>
              <w:spacing w:before="120" w:after="120"/>
              <w:jc w:val="center"/>
              <w:rPr>
                <w:color w:val="auto"/>
                <w:sz w:val="10"/>
                <w:szCs w:val="10"/>
              </w:rPr>
            </w:pPr>
            <w:r w:rsidRPr="00F9037E">
              <w:rPr>
                <w:color w:val="auto"/>
                <w:sz w:val="10"/>
                <w:szCs w:val="10"/>
              </w:rPr>
              <w:t>137.500</w:t>
            </w:r>
          </w:p>
        </w:tc>
        <w:tc>
          <w:tcPr>
            <w:tcW w:w="567" w:type="dxa"/>
            <w:shd w:val="clear" w:color="auto" w:fill="auto"/>
            <w:vAlign w:val="center"/>
          </w:tcPr>
          <w:p w14:paraId="11F9548C" w14:textId="77777777" w:rsidR="00D34C6F" w:rsidRPr="00F9037E" w:rsidRDefault="00D34C6F" w:rsidP="00C05C97">
            <w:pPr>
              <w:spacing w:before="120" w:after="120"/>
              <w:jc w:val="center"/>
              <w:rPr>
                <w:color w:val="auto"/>
                <w:sz w:val="10"/>
                <w:szCs w:val="10"/>
              </w:rPr>
            </w:pPr>
            <w:r w:rsidRPr="00F9037E">
              <w:rPr>
                <w:color w:val="auto"/>
                <w:sz w:val="10"/>
                <w:szCs w:val="10"/>
              </w:rPr>
              <w:t>93.750</w:t>
            </w:r>
          </w:p>
        </w:tc>
        <w:tc>
          <w:tcPr>
            <w:tcW w:w="709" w:type="dxa"/>
            <w:shd w:val="clear" w:color="auto" w:fill="auto"/>
            <w:vAlign w:val="center"/>
          </w:tcPr>
          <w:p w14:paraId="252D2C0B" w14:textId="77777777" w:rsidR="00D34C6F" w:rsidRPr="00F9037E" w:rsidRDefault="00D34C6F" w:rsidP="00C05C97">
            <w:pPr>
              <w:spacing w:before="120" w:after="120"/>
              <w:jc w:val="center"/>
              <w:rPr>
                <w:color w:val="auto"/>
                <w:sz w:val="10"/>
                <w:szCs w:val="10"/>
              </w:rPr>
            </w:pPr>
            <w:r w:rsidRPr="00F9037E">
              <w:rPr>
                <w:color w:val="auto"/>
                <w:sz w:val="10"/>
                <w:szCs w:val="10"/>
              </w:rPr>
              <w:t>75.000</w:t>
            </w:r>
          </w:p>
        </w:tc>
        <w:tc>
          <w:tcPr>
            <w:tcW w:w="567" w:type="dxa"/>
            <w:shd w:val="clear" w:color="auto" w:fill="auto"/>
            <w:vAlign w:val="center"/>
          </w:tcPr>
          <w:p w14:paraId="50FF69C7" w14:textId="33257330"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7189D194" w14:textId="3EC0BE6C"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F3A163F" w14:textId="03560D3E"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27455EB" w14:textId="1746B0C8" w:rsidR="00D34C6F" w:rsidRPr="00F9037E" w:rsidRDefault="00D34C6F" w:rsidP="00C05C97">
            <w:pPr>
              <w:spacing w:before="120" w:after="120"/>
              <w:jc w:val="center"/>
              <w:rPr>
                <w:color w:val="auto"/>
                <w:sz w:val="10"/>
                <w:szCs w:val="10"/>
              </w:rPr>
            </w:pPr>
          </w:p>
        </w:tc>
        <w:tc>
          <w:tcPr>
            <w:tcW w:w="629" w:type="dxa"/>
            <w:vAlign w:val="center"/>
          </w:tcPr>
          <w:p w14:paraId="4410C27B" w14:textId="77777777" w:rsidR="00D34C6F" w:rsidRPr="00F9037E" w:rsidRDefault="00D34C6F" w:rsidP="00C05C97">
            <w:pPr>
              <w:spacing w:before="120" w:after="120"/>
              <w:jc w:val="center"/>
              <w:rPr>
                <w:color w:val="auto"/>
                <w:sz w:val="10"/>
                <w:szCs w:val="10"/>
              </w:rPr>
            </w:pPr>
          </w:p>
        </w:tc>
        <w:tc>
          <w:tcPr>
            <w:tcW w:w="567" w:type="dxa"/>
            <w:vAlign w:val="center"/>
          </w:tcPr>
          <w:p w14:paraId="5201C5AC" w14:textId="77777777" w:rsidR="00D34C6F" w:rsidRPr="00F9037E" w:rsidRDefault="00D34C6F" w:rsidP="00C05C97">
            <w:pPr>
              <w:spacing w:before="120" w:after="120"/>
              <w:jc w:val="center"/>
              <w:rPr>
                <w:color w:val="auto"/>
                <w:sz w:val="10"/>
                <w:szCs w:val="10"/>
              </w:rPr>
            </w:pPr>
          </w:p>
        </w:tc>
        <w:tc>
          <w:tcPr>
            <w:tcW w:w="567" w:type="dxa"/>
            <w:vAlign w:val="center"/>
          </w:tcPr>
          <w:p w14:paraId="290931ED"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60CD0DCA" w14:textId="77777777" w:rsidR="00D34C6F" w:rsidRPr="00F9037E" w:rsidRDefault="00D34C6F" w:rsidP="00C05C97">
            <w:pPr>
              <w:spacing w:before="120" w:after="120"/>
              <w:jc w:val="center"/>
              <w:rPr>
                <w:color w:val="auto"/>
                <w:sz w:val="10"/>
                <w:szCs w:val="10"/>
              </w:rPr>
            </w:pPr>
            <w:r w:rsidRPr="00F9037E">
              <w:rPr>
                <w:color w:val="auto"/>
                <w:sz w:val="10"/>
                <w:szCs w:val="10"/>
              </w:rPr>
              <w:t>239.000</w:t>
            </w:r>
          </w:p>
        </w:tc>
        <w:tc>
          <w:tcPr>
            <w:tcW w:w="709" w:type="dxa"/>
            <w:shd w:val="clear" w:color="auto" w:fill="auto"/>
            <w:vAlign w:val="center"/>
          </w:tcPr>
          <w:p w14:paraId="3596DD2B" w14:textId="77777777" w:rsidR="00D34C6F" w:rsidRPr="00F9037E" w:rsidRDefault="00D34C6F" w:rsidP="00C05C97">
            <w:pPr>
              <w:spacing w:before="120" w:after="120"/>
              <w:jc w:val="center"/>
              <w:rPr>
                <w:color w:val="auto"/>
                <w:sz w:val="10"/>
                <w:szCs w:val="10"/>
              </w:rPr>
            </w:pPr>
            <w:r w:rsidRPr="00F9037E">
              <w:rPr>
                <w:color w:val="auto"/>
                <w:sz w:val="10"/>
                <w:szCs w:val="10"/>
              </w:rPr>
              <w:t>165.000</w:t>
            </w:r>
          </w:p>
        </w:tc>
        <w:tc>
          <w:tcPr>
            <w:tcW w:w="708" w:type="dxa"/>
            <w:shd w:val="clear" w:color="auto" w:fill="auto"/>
            <w:vAlign w:val="center"/>
          </w:tcPr>
          <w:p w14:paraId="77AF8BD7" w14:textId="77777777" w:rsidR="00D34C6F" w:rsidRPr="00F9037E" w:rsidRDefault="00D34C6F" w:rsidP="00C05C97">
            <w:pPr>
              <w:spacing w:before="120" w:after="120"/>
              <w:jc w:val="center"/>
              <w:rPr>
                <w:color w:val="auto"/>
                <w:sz w:val="10"/>
                <w:szCs w:val="10"/>
              </w:rPr>
            </w:pPr>
            <w:r w:rsidRPr="00F9037E">
              <w:rPr>
                <w:color w:val="auto"/>
                <w:sz w:val="10"/>
                <w:szCs w:val="10"/>
              </w:rPr>
              <w:t>137.500</w:t>
            </w:r>
          </w:p>
        </w:tc>
        <w:tc>
          <w:tcPr>
            <w:tcW w:w="709" w:type="dxa"/>
            <w:shd w:val="clear" w:color="auto" w:fill="auto"/>
            <w:vAlign w:val="center"/>
          </w:tcPr>
          <w:p w14:paraId="2494B36A" w14:textId="77777777" w:rsidR="00D34C6F" w:rsidRPr="00F9037E" w:rsidRDefault="00D34C6F" w:rsidP="00C05C97">
            <w:pPr>
              <w:spacing w:before="120" w:after="120"/>
              <w:jc w:val="center"/>
              <w:rPr>
                <w:color w:val="auto"/>
                <w:sz w:val="10"/>
                <w:szCs w:val="10"/>
              </w:rPr>
            </w:pPr>
            <w:r w:rsidRPr="00F9037E">
              <w:rPr>
                <w:color w:val="auto"/>
                <w:sz w:val="10"/>
                <w:szCs w:val="10"/>
              </w:rPr>
              <w:t>93.750</w:t>
            </w:r>
          </w:p>
        </w:tc>
        <w:tc>
          <w:tcPr>
            <w:tcW w:w="567" w:type="dxa"/>
            <w:shd w:val="clear" w:color="auto" w:fill="auto"/>
            <w:vAlign w:val="center"/>
          </w:tcPr>
          <w:p w14:paraId="77B3AA2B" w14:textId="77777777" w:rsidR="00D34C6F" w:rsidRPr="00F9037E" w:rsidRDefault="00D34C6F" w:rsidP="00C05C97">
            <w:pPr>
              <w:spacing w:before="120" w:after="120"/>
              <w:jc w:val="center"/>
              <w:rPr>
                <w:color w:val="auto"/>
                <w:sz w:val="10"/>
                <w:szCs w:val="10"/>
              </w:rPr>
            </w:pPr>
            <w:r w:rsidRPr="00F9037E">
              <w:rPr>
                <w:color w:val="auto"/>
                <w:sz w:val="10"/>
                <w:szCs w:val="10"/>
              </w:rPr>
              <w:t>75.000</w:t>
            </w:r>
          </w:p>
        </w:tc>
        <w:tc>
          <w:tcPr>
            <w:tcW w:w="647" w:type="dxa"/>
            <w:shd w:val="clear" w:color="auto" w:fill="auto"/>
            <w:vAlign w:val="center"/>
          </w:tcPr>
          <w:p w14:paraId="42942A75" w14:textId="0DF8B769"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92DA7A4" w14:textId="19A0E6F4"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77850FF2" w14:textId="4CC8CDC5" w:rsidR="00D34C6F" w:rsidRPr="00F9037E" w:rsidRDefault="00D34C6F" w:rsidP="00C05C97">
            <w:pPr>
              <w:spacing w:before="120" w:after="120"/>
              <w:jc w:val="center"/>
              <w:rPr>
                <w:b/>
                <w:color w:val="auto"/>
                <w:sz w:val="10"/>
                <w:szCs w:val="10"/>
              </w:rPr>
            </w:pPr>
          </w:p>
        </w:tc>
        <w:tc>
          <w:tcPr>
            <w:tcW w:w="567" w:type="dxa"/>
            <w:vAlign w:val="center"/>
          </w:tcPr>
          <w:p w14:paraId="46C1C128" w14:textId="77777777" w:rsidR="00D34C6F" w:rsidRPr="00F9037E" w:rsidRDefault="00D34C6F" w:rsidP="00C05C97">
            <w:pPr>
              <w:spacing w:before="120" w:after="120"/>
              <w:jc w:val="center"/>
              <w:rPr>
                <w:b/>
                <w:color w:val="auto"/>
                <w:sz w:val="10"/>
                <w:szCs w:val="10"/>
              </w:rPr>
            </w:pPr>
          </w:p>
        </w:tc>
        <w:tc>
          <w:tcPr>
            <w:tcW w:w="567" w:type="dxa"/>
            <w:vAlign w:val="center"/>
          </w:tcPr>
          <w:p w14:paraId="121BFA52" w14:textId="77777777" w:rsidR="00D34C6F" w:rsidRPr="00F9037E" w:rsidRDefault="00D34C6F" w:rsidP="00C05C97">
            <w:pPr>
              <w:spacing w:before="120" w:after="120"/>
              <w:jc w:val="center"/>
              <w:rPr>
                <w:b/>
                <w:color w:val="auto"/>
                <w:sz w:val="10"/>
                <w:szCs w:val="10"/>
              </w:rPr>
            </w:pPr>
          </w:p>
        </w:tc>
        <w:tc>
          <w:tcPr>
            <w:tcW w:w="567" w:type="dxa"/>
            <w:vAlign w:val="center"/>
          </w:tcPr>
          <w:p w14:paraId="565EC6A6" w14:textId="77777777" w:rsidR="00D34C6F" w:rsidRPr="00F9037E" w:rsidRDefault="00D34C6F" w:rsidP="00C05C97">
            <w:pPr>
              <w:spacing w:before="120" w:after="120"/>
              <w:jc w:val="center"/>
              <w:rPr>
                <w:b/>
                <w:color w:val="auto"/>
                <w:sz w:val="10"/>
                <w:szCs w:val="10"/>
              </w:rPr>
            </w:pPr>
          </w:p>
        </w:tc>
        <w:tc>
          <w:tcPr>
            <w:tcW w:w="567" w:type="dxa"/>
            <w:vAlign w:val="center"/>
          </w:tcPr>
          <w:p w14:paraId="0CF7A440" w14:textId="77777777" w:rsidR="00D34C6F" w:rsidRPr="00F9037E" w:rsidRDefault="00D34C6F" w:rsidP="00C05C97">
            <w:pPr>
              <w:spacing w:before="120" w:after="120"/>
              <w:jc w:val="center"/>
              <w:rPr>
                <w:b/>
                <w:color w:val="auto"/>
                <w:sz w:val="10"/>
                <w:szCs w:val="10"/>
              </w:rPr>
            </w:pPr>
          </w:p>
        </w:tc>
      </w:tr>
      <w:tr w:rsidR="00D34C6F" w:rsidRPr="00F9037E" w14:paraId="2A395F4E" w14:textId="77777777" w:rsidTr="00C05C97">
        <w:trPr>
          <w:trHeight w:val="465"/>
          <w:jc w:val="center"/>
        </w:trPr>
        <w:tc>
          <w:tcPr>
            <w:tcW w:w="662" w:type="dxa"/>
            <w:shd w:val="clear" w:color="auto" w:fill="auto"/>
            <w:vAlign w:val="center"/>
          </w:tcPr>
          <w:p w14:paraId="21B8609D" w14:textId="77777777" w:rsidR="00D34C6F" w:rsidRPr="00F9037E" w:rsidRDefault="00D34C6F" w:rsidP="00C05C97">
            <w:pPr>
              <w:spacing w:before="120" w:after="120"/>
              <w:rPr>
                <w:color w:val="auto"/>
                <w:sz w:val="12"/>
                <w:szCs w:val="12"/>
              </w:rPr>
            </w:pPr>
            <w:r w:rsidRPr="00F9037E">
              <w:rPr>
                <w:color w:val="auto"/>
                <w:sz w:val="12"/>
                <w:szCs w:val="12"/>
              </w:rPr>
              <w:t>Israel</w:t>
            </w:r>
          </w:p>
        </w:tc>
        <w:tc>
          <w:tcPr>
            <w:tcW w:w="824" w:type="dxa"/>
            <w:shd w:val="clear" w:color="auto" w:fill="auto"/>
            <w:vAlign w:val="center"/>
          </w:tcPr>
          <w:p w14:paraId="395F21C8" w14:textId="77777777" w:rsidR="00D34C6F" w:rsidRPr="00F9037E" w:rsidRDefault="00D34C6F" w:rsidP="00C05C97">
            <w:pPr>
              <w:spacing w:before="120" w:after="120"/>
              <w:rPr>
                <w:color w:val="auto"/>
                <w:sz w:val="12"/>
                <w:szCs w:val="12"/>
              </w:rPr>
            </w:pPr>
            <w:r w:rsidRPr="00F9037E">
              <w:rPr>
                <w:color w:val="auto"/>
                <w:sz w:val="12"/>
                <w:szCs w:val="12"/>
              </w:rPr>
              <w:t>Seed production</w:t>
            </w:r>
          </w:p>
        </w:tc>
        <w:tc>
          <w:tcPr>
            <w:tcW w:w="708" w:type="dxa"/>
            <w:shd w:val="clear" w:color="auto" w:fill="auto"/>
            <w:vAlign w:val="center"/>
          </w:tcPr>
          <w:p w14:paraId="119FB8B8" w14:textId="77777777" w:rsidR="00D34C6F" w:rsidRPr="00F9037E" w:rsidRDefault="00D34C6F" w:rsidP="00C05C97">
            <w:pPr>
              <w:spacing w:before="120" w:after="120"/>
              <w:jc w:val="center"/>
              <w:rPr>
                <w:color w:val="auto"/>
                <w:sz w:val="10"/>
                <w:szCs w:val="10"/>
              </w:rPr>
            </w:pPr>
            <w:r w:rsidRPr="00F9037E">
              <w:rPr>
                <w:color w:val="auto"/>
                <w:sz w:val="10"/>
                <w:szCs w:val="10"/>
              </w:rPr>
              <w:t>56.000</w:t>
            </w:r>
          </w:p>
        </w:tc>
        <w:tc>
          <w:tcPr>
            <w:tcW w:w="709" w:type="dxa"/>
            <w:shd w:val="clear" w:color="auto" w:fill="auto"/>
            <w:vAlign w:val="center"/>
          </w:tcPr>
          <w:p w14:paraId="377E3420" w14:textId="77777777" w:rsidR="00D34C6F" w:rsidRPr="00F9037E" w:rsidRDefault="00D34C6F" w:rsidP="00C05C97">
            <w:pPr>
              <w:spacing w:before="120" w:after="120"/>
              <w:jc w:val="center"/>
              <w:rPr>
                <w:color w:val="auto"/>
                <w:sz w:val="10"/>
                <w:szCs w:val="10"/>
              </w:rPr>
            </w:pPr>
            <w:r w:rsidRPr="00F9037E">
              <w:rPr>
                <w:color w:val="auto"/>
                <w:sz w:val="10"/>
                <w:szCs w:val="10"/>
              </w:rPr>
              <w:t>50.000</w:t>
            </w:r>
          </w:p>
        </w:tc>
        <w:tc>
          <w:tcPr>
            <w:tcW w:w="709" w:type="dxa"/>
            <w:shd w:val="clear" w:color="auto" w:fill="auto"/>
            <w:vAlign w:val="center"/>
          </w:tcPr>
          <w:p w14:paraId="7FA27BD3" w14:textId="4E8AE212"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7754371" w14:textId="410FAEC5"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08A90E36" w14:textId="77777777" w:rsidR="00D34C6F" w:rsidRPr="00F9037E" w:rsidRDefault="00D34C6F" w:rsidP="00C05C97">
            <w:pPr>
              <w:spacing w:before="120" w:after="120"/>
              <w:jc w:val="center"/>
              <w:rPr>
                <w:color w:val="auto"/>
                <w:sz w:val="10"/>
                <w:szCs w:val="10"/>
              </w:rPr>
            </w:pPr>
            <w:r w:rsidRPr="00F9037E">
              <w:rPr>
                <w:color w:val="auto"/>
                <w:sz w:val="10"/>
                <w:szCs w:val="10"/>
              </w:rPr>
              <w:t>22.400</w:t>
            </w:r>
          </w:p>
        </w:tc>
        <w:tc>
          <w:tcPr>
            <w:tcW w:w="567" w:type="dxa"/>
            <w:shd w:val="clear" w:color="auto" w:fill="auto"/>
            <w:vAlign w:val="center"/>
          </w:tcPr>
          <w:p w14:paraId="5892DE05" w14:textId="11B09A6E"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155C4CB2" w14:textId="3F211FCA"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0F70B34" w14:textId="74CD5A34"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707588C1" w14:textId="050A6438" w:rsidR="00D34C6F" w:rsidRPr="00F9037E" w:rsidRDefault="00D34C6F" w:rsidP="00C05C97">
            <w:pPr>
              <w:spacing w:before="120" w:after="120"/>
              <w:jc w:val="center"/>
              <w:rPr>
                <w:color w:val="auto"/>
                <w:sz w:val="10"/>
                <w:szCs w:val="10"/>
              </w:rPr>
            </w:pPr>
          </w:p>
        </w:tc>
        <w:tc>
          <w:tcPr>
            <w:tcW w:w="629" w:type="dxa"/>
            <w:vAlign w:val="center"/>
          </w:tcPr>
          <w:p w14:paraId="680C3D29" w14:textId="77777777" w:rsidR="00D34C6F" w:rsidRPr="00F9037E" w:rsidRDefault="00D34C6F" w:rsidP="00C05C97">
            <w:pPr>
              <w:spacing w:before="120" w:after="120"/>
              <w:jc w:val="center"/>
              <w:rPr>
                <w:color w:val="auto"/>
                <w:sz w:val="10"/>
                <w:szCs w:val="10"/>
              </w:rPr>
            </w:pPr>
          </w:p>
        </w:tc>
        <w:tc>
          <w:tcPr>
            <w:tcW w:w="567" w:type="dxa"/>
            <w:vAlign w:val="center"/>
          </w:tcPr>
          <w:p w14:paraId="38934136" w14:textId="77777777" w:rsidR="00D34C6F" w:rsidRPr="00F9037E" w:rsidRDefault="00D34C6F" w:rsidP="00C05C97">
            <w:pPr>
              <w:spacing w:before="120" w:after="120"/>
              <w:jc w:val="center"/>
              <w:rPr>
                <w:color w:val="auto"/>
                <w:sz w:val="10"/>
                <w:szCs w:val="10"/>
              </w:rPr>
            </w:pPr>
          </w:p>
        </w:tc>
        <w:tc>
          <w:tcPr>
            <w:tcW w:w="567" w:type="dxa"/>
            <w:vAlign w:val="center"/>
          </w:tcPr>
          <w:p w14:paraId="04397D00"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2C7D2E4F" w14:textId="77777777" w:rsidR="00D34C6F" w:rsidRPr="00F9037E" w:rsidRDefault="00D34C6F" w:rsidP="00C05C97">
            <w:pPr>
              <w:spacing w:before="120" w:after="120"/>
              <w:jc w:val="center"/>
              <w:rPr>
                <w:color w:val="auto"/>
                <w:sz w:val="10"/>
                <w:szCs w:val="10"/>
              </w:rPr>
            </w:pPr>
            <w:r w:rsidRPr="00F9037E">
              <w:rPr>
                <w:color w:val="auto"/>
                <w:sz w:val="10"/>
                <w:szCs w:val="10"/>
              </w:rPr>
              <w:t>56.000</w:t>
            </w:r>
          </w:p>
        </w:tc>
        <w:tc>
          <w:tcPr>
            <w:tcW w:w="709" w:type="dxa"/>
            <w:shd w:val="clear" w:color="auto" w:fill="auto"/>
            <w:vAlign w:val="center"/>
          </w:tcPr>
          <w:p w14:paraId="59666736" w14:textId="77777777" w:rsidR="00D34C6F" w:rsidRPr="00F9037E" w:rsidRDefault="00D34C6F" w:rsidP="00C05C97">
            <w:pPr>
              <w:spacing w:before="120" w:after="120"/>
              <w:jc w:val="center"/>
              <w:rPr>
                <w:color w:val="auto"/>
                <w:sz w:val="10"/>
                <w:szCs w:val="10"/>
              </w:rPr>
            </w:pPr>
            <w:r w:rsidRPr="00F9037E">
              <w:rPr>
                <w:color w:val="auto"/>
                <w:sz w:val="10"/>
                <w:szCs w:val="10"/>
              </w:rPr>
              <w:t>28.000</w:t>
            </w:r>
          </w:p>
        </w:tc>
        <w:tc>
          <w:tcPr>
            <w:tcW w:w="708" w:type="dxa"/>
            <w:shd w:val="clear" w:color="auto" w:fill="auto"/>
            <w:vAlign w:val="center"/>
          </w:tcPr>
          <w:p w14:paraId="48926CA4" w14:textId="7AB37E66"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345EAA3E" w14:textId="530508E3"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2EB5DE1F" w14:textId="77777777" w:rsidR="00D34C6F" w:rsidRPr="00F9037E" w:rsidRDefault="00D34C6F" w:rsidP="00C05C97">
            <w:pPr>
              <w:spacing w:before="120" w:after="120"/>
              <w:jc w:val="center"/>
              <w:rPr>
                <w:color w:val="auto"/>
                <w:sz w:val="10"/>
                <w:szCs w:val="10"/>
              </w:rPr>
            </w:pPr>
            <w:r w:rsidRPr="00F9037E">
              <w:rPr>
                <w:color w:val="auto"/>
                <w:sz w:val="10"/>
                <w:szCs w:val="10"/>
              </w:rPr>
              <w:t>NR</w:t>
            </w:r>
          </w:p>
        </w:tc>
        <w:tc>
          <w:tcPr>
            <w:tcW w:w="647" w:type="dxa"/>
            <w:shd w:val="clear" w:color="auto" w:fill="auto"/>
            <w:vAlign w:val="center"/>
          </w:tcPr>
          <w:p w14:paraId="12171DB0" w14:textId="0332D3A5"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BDA94EC" w14:textId="4FEE18FD"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2B8FED1D" w14:textId="7C4176A7" w:rsidR="00D34C6F" w:rsidRPr="00F9037E" w:rsidRDefault="00D34C6F" w:rsidP="00C05C97">
            <w:pPr>
              <w:spacing w:before="120" w:after="120"/>
              <w:jc w:val="center"/>
              <w:rPr>
                <w:b/>
                <w:color w:val="auto"/>
                <w:sz w:val="10"/>
                <w:szCs w:val="10"/>
              </w:rPr>
            </w:pPr>
          </w:p>
        </w:tc>
        <w:tc>
          <w:tcPr>
            <w:tcW w:w="567" w:type="dxa"/>
            <w:vAlign w:val="center"/>
          </w:tcPr>
          <w:p w14:paraId="4B884109" w14:textId="77777777" w:rsidR="00D34C6F" w:rsidRPr="00F9037E" w:rsidRDefault="00D34C6F" w:rsidP="00C05C97">
            <w:pPr>
              <w:spacing w:before="120" w:after="120"/>
              <w:jc w:val="center"/>
              <w:rPr>
                <w:b/>
                <w:color w:val="auto"/>
                <w:sz w:val="10"/>
                <w:szCs w:val="10"/>
              </w:rPr>
            </w:pPr>
          </w:p>
        </w:tc>
        <w:tc>
          <w:tcPr>
            <w:tcW w:w="567" w:type="dxa"/>
            <w:vAlign w:val="center"/>
          </w:tcPr>
          <w:p w14:paraId="4533C565" w14:textId="77777777" w:rsidR="00D34C6F" w:rsidRPr="00F9037E" w:rsidRDefault="00D34C6F" w:rsidP="00C05C97">
            <w:pPr>
              <w:spacing w:before="120" w:after="120"/>
              <w:jc w:val="center"/>
              <w:rPr>
                <w:b/>
                <w:color w:val="auto"/>
                <w:sz w:val="10"/>
                <w:szCs w:val="10"/>
              </w:rPr>
            </w:pPr>
          </w:p>
        </w:tc>
        <w:tc>
          <w:tcPr>
            <w:tcW w:w="567" w:type="dxa"/>
            <w:vAlign w:val="center"/>
          </w:tcPr>
          <w:p w14:paraId="6E288656" w14:textId="77777777" w:rsidR="00D34C6F" w:rsidRPr="00F9037E" w:rsidRDefault="00D34C6F" w:rsidP="00C05C97">
            <w:pPr>
              <w:spacing w:before="120" w:after="120"/>
              <w:jc w:val="center"/>
              <w:rPr>
                <w:b/>
                <w:color w:val="auto"/>
                <w:sz w:val="10"/>
                <w:szCs w:val="10"/>
              </w:rPr>
            </w:pPr>
          </w:p>
        </w:tc>
        <w:tc>
          <w:tcPr>
            <w:tcW w:w="567" w:type="dxa"/>
            <w:vAlign w:val="center"/>
          </w:tcPr>
          <w:p w14:paraId="23B6787F" w14:textId="77777777" w:rsidR="00D34C6F" w:rsidRPr="00F9037E" w:rsidRDefault="00D34C6F" w:rsidP="00C05C97">
            <w:pPr>
              <w:spacing w:before="120" w:after="120"/>
              <w:jc w:val="center"/>
              <w:rPr>
                <w:b/>
                <w:color w:val="auto"/>
                <w:sz w:val="10"/>
                <w:szCs w:val="10"/>
              </w:rPr>
            </w:pPr>
          </w:p>
        </w:tc>
      </w:tr>
      <w:tr w:rsidR="00D34C6F" w:rsidRPr="00F9037E" w14:paraId="1E653C00" w14:textId="77777777" w:rsidTr="00C05C97">
        <w:trPr>
          <w:trHeight w:val="690"/>
          <w:jc w:val="center"/>
        </w:trPr>
        <w:tc>
          <w:tcPr>
            <w:tcW w:w="662" w:type="dxa"/>
            <w:shd w:val="clear" w:color="auto" w:fill="auto"/>
            <w:vAlign w:val="center"/>
          </w:tcPr>
          <w:p w14:paraId="7609EB87" w14:textId="77777777" w:rsidR="00D34C6F" w:rsidRPr="00F9037E" w:rsidRDefault="00D34C6F" w:rsidP="00C05C97">
            <w:pPr>
              <w:spacing w:before="120" w:after="120"/>
              <w:rPr>
                <w:color w:val="auto"/>
                <w:sz w:val="12"/>
                <w:szCs w:val="12"/>
              </w:rPr>
            </w:pPr>
            <w:r w:rsidRPr="00F9037E">
              <w:rPr>
                <w:color w:val="auto"/>
                <w:sz w:val="12"/>
                <w:szCs w:val="12"/>
              </w:rPr>
              <w:t>Israel</w:t>
            </w:r>
          </w:p>
        </w:tc>
        <w:tc>
          <w:tcPr>
            <w:tcW w:w="824" w:type="dxa"/>
            <w:shd w:val="clear" w:color="auto" w:fill="auto"/>
            <w:vAlign w:val="center"/>
          </w:tcPr>
          <w:p w14:paraId="759DA315" w14:textId="77777777" w:rsidR="00D34C6F" w:rsidRPr="00F9037E" w:rsidRDefault="00D34C6F" w:rsidP="00C05C97">
            <w:pPr>
              <w:spacing w:before="120" w:after="120"/>
              <w:rPr>
                <w:color w:val="auto"/>
                <w:sz w:val="12"/>
                <w:szCs w:val="12"/>
              </w:rPr>
            </w:pPr>
            <w:r w:rsidRPr="00F9037E">
              <w:rPr>
                <w:color w:val="auto"/>
                <w:sz w:val="12"/>
                <w:szCs w:val="12"/>
              </w:rPr>
              <w:t>Strawberries – fruit (Sharon)</w:t>
            </w:r>
          </w:p>
        </w:tc>
        <w:tc>
          <w:tcPr>
            <w:tcW w:w="708" w:type="dxa"/>
            <w:shd w:val="clear" w:color="auto" w:fill="auto"/>
            <w:vAlign w:val="center"/>
          </w:tcPr>
          <w:p w14:paraId="3B866560" w14:textId="77777777" w:rsidR="00D34C6F" w:rsidRPr="00F9037E" w:rsidRDefault="00D34C6F" w:rsidP="00C05C97">
            <w:pPr>
              <w:spacing w:before="120" w:after="120"/>
              <w:jc w:val="center"/>
              <w:rPr>
                <w:color w:val="auto"/>
                <w:sz w:val="10"/>
                <w:szCs w:val="10"/>
              </w:rPr>
            </w:pPr>
            <w:r w:rsidRPr="00F9037E">
              <w:rPr>
                <w:color w:val="auto"/>
                <w:sz w:val="10"/>
                <w:szCs w:val="10"/>
              </w:rPr>
              <w:t>196.000</w:t>
            </w:r>
          </w:p>
        </w:tc>
        <w:tc>
          <w:tcPr>
            <w:tcW w:w="709" w:type="dxa"/>
            <w:shd w:val="clear" w:color="auto" w:fill="auto"/>
            <w:vAlign w:val="center"/>
          </w:tcPr>
          <w:p w14:paraId="2DEBDA62" w14:textId="77777777" w:rsidR="00D34C6F" w:rsidRPr="00F9037E" w:rsidRDefault="00D34C6F" w:rsidP="00C05C97">
            <w:pPr>
              <w:spacing w:before="120" w:after="120"/>
              <w:jc w:val="center"/>
              <w:rPr>
                <w:color w:val="auto"/>
                <w:sz w:val="10"/>
                <w:szCs w:val="10"/>
              </w:rPr>
            </w:pPr>
            <w:r w:rsidRPr="00F9037E">
              <w:rPr>
                <w:color w:val="auto"/>
                <w:sz w:val="10"/>
                <w:szCs w:val="10"/>
              </w:rPr>
              <w:t>196.000</w:t>
            </w:r>
          </w:p>
        </w:tc>
        <w:tc>
          <w:tcPr>
            <w:tcW w:w="709" w:type="dxa"/>
            <w:shd w:val="clear" w:color="auto" w:fill="auto"/>
            <w:vAlign w:val="center"/>
          </w:tcPr>
          <w:p w14:paraId="4C25B885" w14:textId="77777777" w:rsidR="00D34C6F" w:rsidRPr="00F9037E" w:rsidRDefault="00D34C6F" w:rsidP="00C05C97">
            <w:pPr>
              <w:spacing w:before="120" w:after="120"/>
              <w:jc w:val="center"/>
              <w:rPr>
                <w:color w:val="auto"/>
                <w:sz w:val="10"/>
                <w:szCs w:val="10"/>
              </w:rPr>
            </w:pPr>
            <w:r w:rsidRPr="00F9037E">
              <w:rPr>
                <w:color w:val="auto"/>
                <w:sz w:val="10"/>
                <w:szCs w:val="10"/>
              </w:rPr>
              <w:t>176.200</w:t>
            </w:r>
          </w:p>
        </w:tc>
        <w:tc>
          <w:tcPr>
            <w:tcW w:w="567" w:type="dxa"/>
            <w:shd w:val="clear" w:color="auto" w:fill="auto"/>
            <w:vAlign w:val="center"/>
          </w:tcPr>
          <w:p w14:paraId="5E2494C4" w14:textId="77777777" w:rsidR="00D34C6F" w:rsidRPr="00F9037E" w:rsidRDefault="00D34C6F" w:rsidP="00C05C97">
            <w:pPr>
              <w:spacing w:before="120" w:after="120"/>
              <w:jc w:val="center"/>
              <w:rPr>
                <w:color w:val="auto"/>
                <w:sz w:val="10"/>
                <w:szCs w:val="10"/>
              </w:rPr>
            </w:pPr>
            <w:r w:rsidRPr="00F9037E">
              <w:rPr>
                <w:color w:val="auto"/>
                <w:sz w:val="10"/>
                <w:szCs w:val="10"/>
              </w:rPr>
              <w:t>64.125</w:t>
            </w:r>
          </w:p>
        </w:tc>
        <w:tc>
          <w:tcPr>
            <w:tcW w:w="709" w:type="dxa"/>
            <w:shd w:val="clear" w:color="auto" w:fill="auto"/>
            <w:vAlign w:val="center"/>
          </w:tcPr>
          <w:p w14:paraId="3C6C03DC" w14:textId="77777777" w:rsidR="00D34C6F" w:rsidRPr="00F9037E" w:rsidRDefault="00D34C6F" w:rsidP="00C05C97">
            <w:pPr>
              <w:spacing w:before="120" w:after="120"/>
              <w:jc w:val="center"/>
              <w:rPr>
                <w:color w:val="auto"/>
                <w:sz w:val="10"/>
                <w:szCs w:val="10"/>
              </w:rPr>
            </w:pPr>
            <w:r w:rsidRPr="00F9037E">
              <w:rPr>
                <w:color w:val="auto"/>
                <w:sz w:val="10"/>
                <w:szCs w:val="10"/>
              </w:rPr>
              <w:t>52.250</w:t>
            </w:r>
          </w:p>
        </w:tc>
        <w:tc>
          <w:tcPr>
            <w:tcW w:w="567" w:type="dxa"/>
            <w:shd w:val="clear" w:color="auto" w:fill="auto"/>
            <w:vAlign w:val="center"/>
          </w:tcPr>
          <w:p w14:paraId="16DCF4E7" w14:textId="77777777" w:rsidR="00D34C6F" w:rsidRPr="00F9037E" w:rsidRDefault="00D34C6F" w:rsidP="00C05C97">
            <w:pPr>
              <w:spacing w:before="120" w:after="120"/>
              <w:jc w:val="center"/>
              <w:rPr>
                <w:color w:val="auto"/>
                <w:sz w:val="10"/>
                <w:szCs w:val="10"/>
              </w:rPr>
            </w:pPr>
            <w:r w:rsidRPr="00F9037E">
              <w:rPr>
                <w:color w:val="auto"/>
                <w:sz w:val="10"/>
                <w:szCs w:val="10"/>
              </w:rPr>
              <w:t>47.500</w:t>
            </w:r>
          </w:p>
        </w:tc>
        <w:tc>
          <w:tcPr>
            <w:tcW w:w="708" w:type="dxa"/>
            <w:shd w:val="clear" w:color="auto" w:fill="auto"/>
            <w:vAlign w:val="center"/>
          </w:tcPr>
          <w:p w14:paraId="35ABFD90" w14:textId="77777777" w:rsidR="00D34C6F" w:rsidRPr="00F9037E" w:rsidRDefault="00D34C6F" w:rsidP="00C05C97">
            <w:pPr>
              <w:spacing w:before="120" w:after="120"/>
              <w:jc w:val="center"/>
              <w:rPr>
                <w:color w:val="auto"/>
                <w:sz w:val="10"/>
                <w:szCs w:val="10"/>
              </w:rPr>
            </w:pPr>
            <w:r w:rsidRPr="00F9037E">
              <w:rPr>
                <w:color w:val="auto"/>
                <w:sz w:val="10"/>
                <w:szCs w:val="10"/>
              </w:rPr>
              <w:t>28.500</w:t>
            </w:r>
          </w:p>
        </w:tc>
        <w:tc>
          <w:tcPr>
            <w:tcW w:w="567" w:type="dxa"/>
            <w:shd w:val="clear" w:color="auto" w:fill="auto"/>
            <w:vAlign w:val="center"/>
          </w:tcPr>
          <w:p w14:paraId="222B4745" w14:textId="7671E637"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7159E041" w14:textId="0A99CE6F" w:rsidR="00D34C6F" w:rsidRPr="00F9037E" w:rsidRDefault="00D34C6F" w:rsidP="00C05C97">
            <w:pPr>
              <w:spacing w:before="120" w:after="120"/>
              <w:jc w:val="center"/>
              <w:rPr>
                <w:color w:val="auto"/>
                <w:sz w:val="10"/>
                <w:szCs w:val="10"/>
              </w:rPr>
            </w:pPr>
          </w:p>
        </w:tc>
        <w:tc>
          <w:tcPr>
            <w:tcW w:w="629" w:type="dxa"/>
            <w:vAlign w:val="center"/>
          </w:tcPr>
          <w:p w14:paraId="1FFD14AD" w14:textId="77777777" w:rsidR="00D34C6F" w:rsidRPr="00F9037E" w:rsidRDefault="00D34C6F" w:rsidP="00C05C97">
            <w:pPr>
              <w:spacing w:before="120" w:after="120"/>
              <w:jc w:val="center"/>
              <w:rPr>
                <w:color w:val="auto"/>
                <w:sz w:val="10"/>
                <w:szCs w:val="10"/>
              </w:rPr>
            </w:pPr>
          </w:p>
        </w:tc>
        <w:tc>
          <w:tcPr>
            <w:tcW w:w="567" w:type="dxa"/>
            <w:vAlign w:val="center"/>
          </w:tcPr>
          <w:p w14:paraId="4B0EFC73" w14:textId="77777777" w:rsidR="00D34C6F" w:rsidRPr="00F9037E" w:rsidRDefault="00D34C6F" w:rsidP="00C05C97">
            <w:pPr>
              <w:spacing w:before="120" w:after="120"/>
              <w:jc w:val="center"/>
              <w:rPr>
                <w:color w:val="auto"/>
                <w:sz w:val="10"/>
                <w:szCs w:val="10"/>
              </w:rPr>
            </w:pPr>
          </w:p>
        </w:tc>
        <w:tc>
          <w:tcPr>
            <w:tcW w:w="567" w:type="dxa"/>
            <w:vAlign w:val="center"/>
          </w:tcPr>
          <w:p w14:paraId="18F7AC2F"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709549D5" w14:textId="77777777" w:rsidR="00D34C6F" w:rsidRPr="00F9037E" w:rsidRDefault="00D34C6F" w:rsidP="00C05C97">
            <w:pPr>
              <w:spacing w:before="120" w:after="120"/>
              <w:jc w:val="center"/>
              <w:rPr>
                <w:color w:val="auto"/>
                <w:sz w:val="10"/>
                <w:szCs w:val="10"/>
              </w:rPr>
            </w:pPr>
            <w:r w:rsidRPr="00F9037E">
              <w:rPr>
                <w:color w:val="auto"/>
                <w:sz w:val="10"/>
                <w:szCs w:val="10"/>
              </w:rPr>
              <w:t>196.000</w:t>
            </w:r>
          </w:p>
        </w:tc>
        <w:tc>
          <w:tcPr>
            <w:tcW w:w="709" w:type="dxa"/>
            <w:shd w:val="clear" w:color="auto" w:fill="auto"/>
            <w:vAlign w:val="center"/>
          </w:tcPr>
          <w:p w14:paraId="2A3E6A84" w14:textId="77777777" w:rsidR="00D34C6F" w:rsidRPr="00F9037E" w:rsidRDefault="00D34C6F" w:rsidP="00C05C97">
            <w:pPr>
              <w:spacing w:before="120" w:after="120"/>
              <w:jc w:val="center"/>
              <w:rPr>
                <w:color w:val="auto"/>
                <w:sz w:val="10"/>
                <w:szCs w:val="10"/>
              </w:rPr>
            </w:pPr>
            <w:r w:rsidRPr="00F9037E">
              <w:rPr>
                <w:color w:val="auto"/>
                <w:sz w:val="10"/>
                <w:szCs w:val="10"/>
              </w:rPr>
              <w:t>196.000</w:t>
            </w:r>
          </w:p>
        </w:tc>
        <w:tc>
          <w:tcPr>
            <w:tcW w:w="708" w:type="dxa"/>
            <w:shd w:val="clear" w:color="auto" w:fill="auto"/>
            <w:vAlign w:val="center"/>
          </w:tcPr>
          <w:p w14:paraId="3789006D" w14:textId="77777777" w:rsidR="00D34C6F" w:rsidRPr="00F9037E" w:rsidRDefault="00D34C6F" w:rsidP="00C05C97">
            <w:pPr>
              <w:spacing w:before="120" w:after="120"/>
              <w:jc w:val="center"/>
              <w:rPr>
                <w:color w:val="auto"/>
                <w:sz w:val="10"/>
                <w:szCs w:val="10"/>
              </w:rPr>
            </w:pPr>
            <w:r w:rsidRPr="00F9037E">
              <w:rPr>
                <w:color w:val="auto"/>
                <w:sz w:val="10"/>
                <w:szCs w:val="10"/>
              </w:rPr>
              <w:t>93.000</w:t>
            </w:r>
          </w:p>
        </w:tc>
        <w:tc>
          <w:tcPr>
            <w:tcW w:w="709" w:type="dxa"/>
            <w:shd w:val="clear" w:color="auto" w:fill="auto"/>
            <w:vAlign w:val="center"/>
          </w:tcPr>
          <w:p w14:paraId="1DE23176" w14:textId="77777777" w:rsidR="00D34C6F" w:rsidRPr="00F9037E" w:rsidRDefault="00D34C6F" w:rsidP="00C05C97">
            <w:pPr>
              <w:spacing w:before="120" w:after="120"/>
              <w:jc w:val="center"/>
              <w:rPr>
                <w:color w:val="auto"/>
                <w:sz w:val="10"/>
                <w:szCs w:val="10"/>
              </w:rPr>
            </w:pPr>
            <w:r w:rsidRPr="00F9037E">
              <w:rPr>
                <w:color w:val="auto"/>
                <w:sz w:val="10"/>
                <w:szCs w:val="10"/>
              </w:rPr>
              <w:t>105.960</w:t>
            </w:r>
          </w:p>
        </w:tc>
        <w:tc>
          <w:tcPr>
            <w:tcW w:w="567" w:type="dxa"/>
            <w:shd w:val="clear" w:color="auto" w:fill="auto"/>
            <w:vAlign w:val="center"/>
          </w:tcPr>
          <w:p w14:paraId="099049DF" w14:textId="77777777" w:rsidR="00D34C6F" w:rsidRPr="00F9037E" w:rsidRDefault="00D34C6F" w:rsidP="00C05C97">
            <w:pPr>
              <w:spacing w:before="120" w:after="120"/>
              <w:jc w:val="center"/>
              <w:rPr>
                <w:color w:val="auto"/>
                <w:sz w:val="10"/>
                <w:szCs w:val="10"/>
              </w:rPr>
            </w:pPr>
            <w:r w:rsidRPr="00F9037E">
              <w:rPr>
                <w:color w:val="auto"/>
                <w:sz w:val="10"/>
                <w:szCs w:val="10"/>
              </w:rPr>
              <w:t>42.750</w:t>
            </w:r>
          </w:p>
        </w:tc>
        <w:tc>
          <w:tcPr>
            <w:tcW w:w="647" w:type="dxa"/>
            <w:shd w:val="clear" w:color="auto" w:fill="auto"/>
            <w:vAlign w:val="center"/>
          </w:tcPr>
          <w:p w14:paraId="7F6EA6DB" w14:textId="499134F1"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3041E43" w14:textId="62A8D95D"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6009D02C" w14:textId="02A7C07F" w:rsidR="00D34C6F" w:rsidRPr="00F9037E" w:rsidRDefault="00D34C6F" w:rsidP="00C05C97">
            <w:pPr>
              <w:spacing w:before="120" w:after="120"/>
              <w:jc w:val="center"/>
              <w:rPr>
                <w:b/>
                <w:color w:val="auto"/>
                <w:sz w:val="10"/>
                <w:szCs w:val="10"/>
              </w:rPr>
            </w:pPr>
          </w:p>
        </w:tc>
        <w:tc>
          <w:tcPr>
            <w:tcW w:w="567" w:type="dxa"/>
            <w:vAlign w:val="center"/>
          </w:tcPr>
          <w:p w14:paraId="73840E09" w14:textId="77777777" w:rsidR="00D34C6F" w:rsidRPr="00F9037E" w:rsidRDefault="00D34C6F" w:rsidP="00C05C97">
            <w:pPr>
              <w:spacing w:before="120" w:after="120"/>
              <w:jc w:val="center"/>
              <w:rPr>
                <w:b/>
                <w:color w:val="auto"/>
                <w:sz w:val="10"/>
                <w:szCs w:val="10"/>
              </w:rPr>
            </w:pPr>
          </w:p>
        </w:tc>
        <w:tc>
          <w:tcPr>
            <w:tcW w:w="567" w:type="dxa"/>
            <w:vAlign w:val="center"/>
          </w:tcPr>
          <w:p w14:paraId="2C1B583F" w14:textId="77777777" w:rsidR="00D34C6F" w:rsidRPr="00F9037E" w:rsidRDefault="00D34C6F" w:rsidP="00C05C97">
            <w:pPr>
              <w:spacing w:before="120" w:after="120"/>
              <w:jc w:val="center"/>
              <w:rPr>
                <w:b/>
                <w:color w:val="auto"/>
                <w:sz w:val="10"/>
                <w:szCs w:val="10"/>
              </w:rPr>
            </w:pPr>
          </w:p>
        </w:tc>
        <w:tc>
          <w:tcPr>
            <w:tcW w:w="567" w:type="dxa"/>
            <w:vAlign w:val="center"/>
          </w:tcPr>
          <w:p w14:paraId="30152ECC" w14:textId="77777777" w:rsidR="00D34C6F" w:rsidRPr="00F9037E" w:rsidRDefault="00D34C6F" w:rsidP="00C05C97">
            <w:pPr>
              <w:spacing w:before="120" w:after="120"/>
              <w:jc w:val="center"/>
              <w:rPr>
                <w:b/>
                <w:color w:val="auto"/>
                <w:sz w:val="10"/>
                <w:szCs w:val="10"/>
              </w:rPr>
            </w:pPr>
          </w:p>
        </w:tc>
        <w:tc>
          <w:tcPr>
            <w:tcW w:w="567" w:type="dxa"/>
            <w:vAlign w:val="center"/>
          </w:tcPr>
          <w:p w14:paraId="37B10DA5" w14:textId="77777777" w:rsidR="00D34C6F" w:rsidRPr="00F9037E" w:rsidRDefault="00D34C6F" w:rsidP="00C05C97">
            <w:pPr>
              <w:spacing w:before="120" w:after="120"/>
              <w:jc w:val="center"/>
              <w:rPr>
                <w:b/>
                <w:color w:val="auto"/>
                <w:sz w:val="10"/>
                <w:szCs w:val="10"/>
              </w:rPr>
            </w:pPr>
          </w:p>
        </w:tc>
      </w:tr>
      <w:tr w:rsidR="00D34C6F" w:rsidRPr="00F9037E" w14:paraId="7E98DA41" w14:textId="77777777" w:rsidTr="00C05C97">
        <w:trPr>
          <w:trHeight w:val="915"/>
          <w:jc w:val="center"/>
        </w:trPr>
        <w:tc>
          <w:tcPr>
            <w:tcW w:w="662" w:type="dxa"/>
            <w:shd w:val="clear" w:color="auto" w:fill="auto"/>
            <w:vAlign w:val="center"/>
          </w:tcPr>
          <w:p w14:paraId="2CBB834C" w14:textId="77777777" w:rsidR="00D34C6F" w:rsidRPr="00F9037E" w:rsidRDefault="00D34C6F" w:rsidP="00C05C97">
            <w:pPr>
              <w:spacing w:before="120" w:after="120"/>
              <w:rPr>
                <w:color w:val="auto"/>
                <w:sz w:val="12"/>
                <w:szCs w:val="12"/>
              </w:rPr>
            </w:pPr>
            <w:r w:rsidRPr="00F9037E">
              <w:rPr>
                <w:color w:val="auto"/>
                <w:sz w:val="12"/>
                <w:szCs w:val="12"/>
              </w:rPr>
              <w:t>Israel</w:t>
            </w:r>
          </w:p>
        </w:tc>
        <w:tc>
          <w:tcPr>
            <w:tcW w:w="824" w:type="dxa"/>
            <w:shd w:val="clear" w:color="auto" w:fill="auto"/>
            <w:vAlign w:val="center"/>
          </w:tcPr>
          <w:p w14:paraId="30A8D666" w14:textId="77777777" w:rsidR="00D34C6F" w:rsidRPr="00F9037E" w:rsidRDefault="00D34C6F" w:rsidP="00C05C97">
            <w:pPr>
              <w:spacing w:before="120" w:after="120"/>
              <w:rPr>
                <w:color w:val="auto"/>
                <w:sz w:val="12"/>
                <w:szCs w:val="12"/>
              </w:rPr>
            </w:pPr>
            <w:r w:rsidRPr="00F9037E">
              <w:rPr>
                <w:color w:val="auto"/>
                <w:sz w:val="12"/>
                <w:szCs w:val="12"/>
              </w:rPr>
              <w:t>Strawberries – fruit (Sharon &amp;</w:t>
            </w:r>
            <w:proofErr w:type="spellStart"/>
            <w:r w:rsidRPr="00F9037E">
              <w:rPr>
                <w:color w:val="auto"/>
                <w:sz w:val="12"/>
                <w:szCs w:val="12"/>
              </w:rPr>
              <w:t>Ghaza</w:t>
            </w:r>
            <w:proofErr w:type="spellEnd"/>
            <w:r w:rsidRPr="00F9037E">
              <w:rPr>
                <w:color w:val="auto"/>
                <w:sz w:val="12"/>
                <w:szCs w:val="12"/>
              </w:rPr>
              <w:t>)</w:t>
            </w:r>
          </w:p>
        </w:tc>
        <w:tc>
          <w:tcPr>
            <w:tcW w:w="708" w:type="dxa"/>
            <w:shd w:val="clear" w:color="auto" w:fill="auto"/>
            <w:vAlign w:val="center"/>
          </w:tcPr>
          <w:p w14:paraId="5835CE16" w14:textId="7890775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23300353" w14:textId="593F2F14"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03FC5F1F" w14:textId="67FE0760"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3D9E52F" w14:textId="176DEA69"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5939E309" w14:textId="6EC66D46"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CC7BB7F" w14:textId="4D5AF9EF"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3570A7D7" w14:textId="3633280E"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3DE3BF7E" w14:textId="63947FF1"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5361D30" w14:textId="52FD3F1B" w:rsidR="00D34C6F" w:rsidRPr="00F9037E" w:rsidRDefault="00D34C6F" w:rsidP="00C05C97">
            <w:pPr>
              <w:spacing w:before="120" w:after="120"/>
              <w:jc w:val="center"/>
              <w:rPr>
                <w:color w:val="auto"/>
                <w:sz w:val="10"/>
                <w:szCs w:val="10"/>
              </w:rPr>
            </w:pPr>
          </w:p>
        </w:tc>
        <w:tc>
          <w:tcPr>
            <w:tcW w:w="629" w:type="dxa"/>
            <w:vAlign w:val="center"/>
          </w:tcPr>
          <w:p w14:paraId="680AA129" w14:textId="77777777" w:rsidR="00D34C6F" w:rsidRPr="00F9037E" w:rsidRDefault="00D34C6F" w:rsidP="00C05C97">
            <w:pPr>
              <w:spacing w:before="120" w:after="120"/>
              <w:jc w:val="center"/>
              <w:rPr>
                <w:color w:val="auto"/>
                <w:sz w:val="10"/>
                <w:szCs w:val="10"/>
              </w:rPr>
            </w:pPr>
          </w:p>
        </w:tc>
        <w:tc>
          <w:tcPr>
            <w:tcW w:w="567" w:type="dxa"/>
            <w:vAlign w:val="center"/>
          </w:tcPr>
          <w:p w14:paraId="7AD5A338" w14:textId="77777777" w:rsidR="00D34C6F" w:rsidRPr="00F9037E" w:rsidRDefault="00D34C6F" w:rsidP="00C05C97">
            <w:pPr>
              <w:spacing w:before="120" w:after="120"/>
              <w:jc w:val="center"/>
              <w:rPr>
                <w:color w:val="auto"/>
                <w:sz w:val="10"/>
                <w:szCs w:val="10"/>
              </w:rPr>
            </w:pPr>
          </w:p>
        </w:tc>
        <w:tc>
          <w:tcPr>
            <w:tcW w:w="567" w:type="dxa"/>
            <w:vAlign w:val="center"/>
          </w:tcPr>
          <w:p w14:paraId="70E388D0"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64047BF0" w14:textId="586AC0A1"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1B138114" w14:textId="126CC7D1"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564B9C67" w14:textId="723A62E8"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2DBC07D7" w14:textId="44F15125"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21859694" w14:textId="78C2E3CF"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1CEE6C95" w14:textId="77777777" w:rsidR="00D34C6F" w:rsidRPr="00F9037E" w:rsidRDefault="00D34C6F" w:rsidP="00C05C97">
            <w:pPr>
              <w:spacing w:before="120" w:after="120"/>
              <w:jc w:val="center"/>
              <w:rPr>
                <w:color w:val="auto"/>
                <w:sz w:val="10"/>
                <w:szCs w:val="10"/>
              </w:rPr>
            </w:pPr>
            <w:r w:rsidRPr="00F9037E">
              <w:rPr>
                <w:color w:val="auto"/>
                <w:sz w:val="10"/>
                <w:szCs w:val="10"/>
              </w:rPr>
              <w:t>57.063</w:t>
            </w:r>
          </w:p>
        </w:tc>
        <w:tc>
          <w:tcPr>
            <w:tcW w:w="567" w:type="dxa"/>
            <w:shd w:val="clear" w:color="auto" w:fill="auto"/>
            <w:vAlign w:val="center"/>
          </w:tcPr>
          <w:p w14:paraId="01C8482E" w14:textId="67AA8790"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7B85BB17" w14:textId="141F99D3" w:rsidR="00D34C6F" w:rsidRPr="00F9037E" w:rsidRDefault="00D34C6F" w:rsidP="00C05C97">
            <w:pPr>
              <w:spacing w:before="120" w:after="120"/>
              <w:jc w:val="center"/>
              <w:rPr>
                <w:b/>
                <w:color w:val="auto"/>
                <w:sz w:val="10"/>
                <w:szCs w:val="10"/>
              </w:rPr>
            </w:pPr>
          </w:p>
        </w:tc>
        <w:tc>
          <w:tcPr>
            <w:tcW w:w="567" w:type="dxa"/>
            <w:vAlign w:val="center"/>
          </w:tcPr>
          <w:p w14:paraId="54674BE8" w14:textId="77777777" w:rsidR="00D34C6F" w:rsidRPr="00F9037E" w:rsidRDefault="00D34C6F" w:rsidP="00C05C97">
            <w:pPr>
              <w:spacing w:before="120" w:after="120"/>
              <w:jc w:val="center"/>
              <w:rPr>
                <w:b/>
                <w:color w:val="auto"/>
                <w:sz w:val="10"/>
                <w:szCs w:val="10"/>
              </w:rPr>
            </w:pPr>
          </w:p>
        </w:tc>
        <w:tc>
          <w:tcPr>
            <w:tcW w:w="567" w:type="dxa"/>
            <w:vAlign w:val="center"/>
          </w:tcPr>
          <w:p w14:paraId="19D7D914" w14:textId="77777777" w:rsidR="00D34C6F" w:rsidRPr="00F9037E" w:rsidRDefault="00D34C6F" w:rsidP="00C05C97">
            <w:pPr>
              <w:spacing w:before="120" w:after="120"/>
              <w:jc w:val="center"/>
              <w:rPr>
                <w:b/>
                <w:color w:val="auto"/>
                <w:sz w:val="10"/>
                <w:szCs w:val="10"/>
              </w:rPr>
            </w:pPr>
          </w:p>
        </w:tc>
        <w:tc>
          <w:tcPr>
            <w:tcW w:w="567" w:type="dxa"/>
            <w:vAlign w:val="center"/>
          </w:tcPr>
          <w:p w14:paraId="08AF86EC" w14:textId="77777777" w:rsidR="00D34C6F" w:rsidRPr="00F9037E" w:rsidRDefault="00D34C6F" w:rsidP="00C05C97">
            <w:pPr>
              <w:spacing w:before="120" w:after="120"/>
              <w:jc w:val="center"/>
              <w:rPr>
                <w:b/>
                <w:color w:val="auto"/>
                <w:sz w:val="10"/>
                <w:szCs w:val="10"/>
              </w:rPr>
            </w:pPr>
          </w:p>
        </w:tc>
        <w:tc>
          <w:tcPr>
            <w:tcW w:w="567" w:type="dxa"/>
            <w:vAlign w:val="center"/>
          </w:tcPr>
          <w:p w14:paraId="50D7B71E" w14:textId="77777777" w:rsidR="00D34C6F" w:rsidRPr="00F9037E" w:rsidRDefault="00D34C6F" w:rsidP="00C05C97">
            <w:pPr>
              <w:spacing w:before="120" w:after="120"/>
              <w:jc w:val="center"/>
              <w:rPr>
                <w:b/>
                <w:color w:val="auto"/>
                <w:sz w:val="10"/>
                <w:szCs w:val="10"/>
              </w:rPr>
            </w:pPr>
          </w:p>
        </w:tc>
      </w:tr>
      <w:tr w:rsidR="00D34C6F" w:rsidRPr="00F9037E" w14:paraId="751F5D34" w14:textId="77777777" w:rsidTr="00C05C97">
        <w:trPr>
          <w:trHeight w:val="690"/>
          <w:jc w:val="center"/>
        </w:trPr>
        <w:tc>
          <w:tcPr>
            <w:tcW w:w="662" w:type="dxa"/>
            <w:shd w:val="clear" w:color="auto" w:fill="auto"/>
            <w:vAlign w:val="center"/>
          </w:tcPr>
          <w:p w14:paraId="48F9E015" w14:textId="77777777" w:rsidR="00D34C6F" w:rsidRPr="00F9037E" w:rsidRDefault="00D34C6F" w:rsidP="00C05C97">
            <w:pPr>
              <w:spacing w:before="120" w:after="120"/>
              <w:rPr>
                <w:color w:val="auto"/>
                <w:sz w:val="12"/>
                <w:szCs w:val="12"/>
              </w:rPr>
            </w:pPr>
            <w:r w:rsidRPr="00F9037E">
              <w:rPr>
                <w:color w:val="auto"/>
                <w:sz w:val="12"/>
                <w:szCs w:val="12"/>
              </w:rPr>
              <w:t>Israel</w:t>
            </w:r>
          </w:p>
        </w:tc>
        <w:tc>
          <w:tcPr>
            <w:tcW w:w="824" w:type="dxa"/>
            <w:shd w:val="clear" w:color="auto" w:fill="auto"/>
            <w:vAlign w:val="center"/>
          </w:tcPr>
          <w:p w14:paraId="351651D5" w14:textId="77777777" w:rsidR="00D34C6F" w:rsidRPr="00F9037E" w:rsidRDefault="00D34C6F" w:rsidP="00C05C97">
            <w:pPr>
              <w:spacing w:before="120" w:after="120"/>
              <w:rPr>
                <w:color w:val="auto"/>
                <w:sz w:val="12"/>
                <w:szCs w:val="12"/>
              </w:rPr>
            </w:pPr>
            <w:r w:rsidRPr="00F9037E">
              <w:rPr>
                <w:color w:val="auto"/>
                <w:sz w:val="12"/>
                <w:szCs w:val="12"/>
              </w:rPr>
              <w:t>Strawberry runners (Sharon)</w:t>
            </w:r>
          </w:p>
        </w:tc>
        <w:tc>
          <w:tcPr>
            <w:tcW w:w="708" w:type="dxa"/>
            <w:shd w:val="clear" w:color="auto" w:fill="auto"/>
            <w:vAlign w:val="center"/>
          </w:tcPr>
          <w:p w14:paraId="344E27CE" w14:textId="77777777" w:rsidR="00D34C6F" w:rsidRPr="00F9037E" w:rsidRDefault="00D34C6F" w:rsidP="00C05C97">
            <w:pPr>
              <w:spacing w:before="120" w:after="120"/>
              <w:jc w:val="center"/>
              <w:rPr>
                <w:color w:val="auto"/>
                <w:sz w:val="10"/>
                <w:szCs w:val="10"/>
              </w:rPr>
            </w:pPr>
            <w:r w:rsidRPr="00F9037E">
              <w:rPr>
                <w:color w:val="auto"/>
                <w:sz w:val="10"/>
                <w:szCs w:val="10"/>
              </w:rPr>
              <w:t>35.000</w:t>
            </w:r>
          </w:p>
        </w:tc>
        <w:tc>
          <w:tcPr>
            <w:tcW w:w="709" w:type="dxa"/>
            <w:shd w:val="clear" w:color="auto" w:fill="auto"/>
            <w:vAlign w:val="center"/>
          </w:tcPr>
          <w:p w14:paraId="3559D1FE" w14:textId="77777777" w:rsidR="00D34C6F" w:rsidRPr="00F9037E" w:rsidRDefault="00D34C6F" w:rsidP="00C05C97">
            <w:pPr>
              <w:spacing w:before="120" w:after="120"/>
              <w:jc w:val="center"/>
              <w:rPr>
                <w:color w:val="auto"/>
                <w:sz w:val="10"/>
                <w:szCs w:val="10"/>
              </w:rPr>
            </w:pPr>
            <w:r w:rsidRPr="00F9037E">
              <w:rPr>
                <w:color w:val="auto"/>
                <w:sz w:val="10"/>
                <w:szCs w:val="10"/>
              </w:rPr>
              <w:t>35.000</w:t>
            </w:r>
          </w:p>
        </w:tc>
        <w:tc>
          <w:tcPr>
            <w:tcW w:w="709" w:type="dxa"/>
            <w:shd w:val="clear" w:color="auto" w:fill="auto"/>
            <w:vAlign w:val="center"/>
          </w:tcPr>
          <w:p w14:paraId="51D9D40A" w14:textId="1B5CE675"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2CA86A83" w14:textId="77777777" w:rsidR="00D34C6F" w:rsidRPr="00F9037E" w:rsidRDefault="00D34C6F" w:rsidP="00C05C97">
            <w:pPr>
              <w:spacing w:before="120" w:after="120"/>
              <w:jc w:val="center"/>
              <w:rPr>
                <w:color w:val="auto"/>
                <w:sz w:val="10"/>
                <w:szCs w:val="10"/>
              </w:rPr>
            </w:pPr>
            <w:r w:rsidRPr="00F9037E">
              <w:rPr>
                <w:color w:val="auto"/>
                <w:sz w:val="10"/>
                <w:szCs w:val="10"/>
              </w:rPr>
              <w:t>20.000</w:t>
            </w:r>
          </w:p>
        </w:tc>
        <w:tc>
          <w:tcPr>
            <w:tcW w:w="709" w:type="dxa"/>
            <w:shd w:val="clear" w:color="auto" w:fill="auto"/>
            <w:vAlign w:val="center"/>
          </w:tcPr>
          <w:p w14:paraId="540AE620" w14:textId="77777777" w:rsidR="00D34C6F" w:rsidRPr="00F9037E" w:rsidRDefault="00D34C6F" w:rsidP="00C05C97">
            <w:pPr>
              <w:spacing w:before="120" w:after="120"/>
              <w:jc w:val="center"/>
              <w:rPr>
                <w:color w:val="auto"/>
                <w:sz w:val="10"/>
                <w:szCs w:val="10"/>
              </w:rPr>
            </w:pPr>
            <w:r w:rsidRPr="00F9037E">
              <w:rPr>
                <w:color w:val="auto"/>
                <w:sz w:val="10"/>
                <w:szCs w:val="10"/>
              </w:rPr>
              <w:t>15.800</w:t>
            </w:r>
          </w:p>
        </w:tc>
        <w:tc>
          <w:tcPr>
            <w:tcW w:w="567" w:type="dxa"/>
            <w:shd w:val="clear" w:color="auto" w:fill="auto"/>
            <w:vAlign w:val="center"/>
          </w:tcPr>
          <w:p w14:paraId="412B3EDA" w14:textId="77777777" w:rsidR="00D34C6F" w:rsidRPr="00F9037E" w:rsidRDefault="00D34C6F" w:rsidP="00C05C97">
            <w:pPr>
              <w:spacing w:before="120" w:after="120"/>
              <w:jc w:val="center"/>
              <w:rPr>
                <w:color w:val="auto"/>
                <w:sz w:val="10"/>
                <w:szCs w:val="10"/>
              </w:rPr>
            </w:pPr>
            <w:r w:rsidRPr="00F9037E">
              <w:rPr>
                <w:color w:val="auto"/>
                <w:sz w:val="10"/>
                <w:szCs w:val="10"/>
              </w:rPr>
              <w:t>13.570</w:t>
            </w:r>
          </w:p>
        </w:tc>
        <w:tc>
          <w:tcPr>
            <w:tcW w:w="708" w:type="dxa"/>
            <w:shd w:val="clear" w:color="auto" w:fill="auto"/>
            <w:vAlign w:val="center"/>
          </w:tcPr>
          <w:p w14:paraId="33171A3F" w14:textId="77777777" w:rsidR="00D34C6F" w:rsidRPr="00F9037E" w:rsidRDefault="00D34C6F" w:rsidP="00C05C97">
            <w:pPr>
              <w:spacing w:before="120" w:after="120"/>
              <w:jc w:val="center"/>
              <w:rPr>
                <w:color w:val="auto"/>
                <w:sz w:val="10"/>
                <w:szCs w:val="10"/>
              </w:rPr>
            </w:pPr>
            <w:r w:rsidRPr="00F9037E">
              <w:rPr>
                <w:color w:val="auto"/>
                <w:sz w:val="10"/>
                <w:szCs w:val="10"/>
              </w:rPr>
              <w:t>13.500</w:t>
            </w:r>
          </w:p>
        </w:tc>
        <w:tc>
          <w:tcPr>
            <w:tcW w:w="567" w:type="dxa"/>
            <w:shd w:val="clear" w:color="auto" w:fill="auto"/>
            <w:vAlign w:val="center"/>
          </w:tcPr>
          <w:p w14:paraId="1856AFB1" w14:textId="5601CFD3"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09ED3BF" w14:textId="1E8EA9C5" w:rsidR="00D34C6F" w:rsidRPr="00F9037E" w:rsidRDefault="00D34C6F" w:rsidP="00C05C97">
            <w:pPr>
              <w:spacing w:before="120" w:after="120"/>
              <w:jc w:val="center"/>
              <w:rPr>
                <w:color w:val="auto"/>
                <w:sz w:val="10"/>
                <w:szCs w:val="10"/>
              </w:rPr>
            </w:pPr>
          </w:p>
        </w:tc>
        <w:tc>
          <w:tcPr>
            <w:tcW w:w="629" w:type="dxa"/>
            <w:vAlign w:val="center"/>
          </w:tcPr>
          <w:p w14:paraId="782E13EF" w14:textId="77777777" w:rsidR="00D34C6F" w:rsidRPr="00F9037E" w:rsidRDefault="00D34C6F" w:rsidP="00C05C97">
            <w:pPr>
              <w:spacing w:before="120" w:after="120"/>
              <w:jc w:val="center"/>
              <w:rPr>
                <w:color w:val="auto"/>
                <w:sz w:val="10"/>
                <w:szCs w:val="10"/>
              </w:rPr>
            </w:pPr>
          </w:p>
        </w:tc>
        <w:tc>
          <w:tcPr>
            <w:tcW w:w="567" w:type="dxa"/>
            <w:vAlign w:val="center"/>
          </w:tcPr>
          <w:p w14:paraId="1ABFB7F4" w14:textId="77777777" w:rsidR="00D34C6F" w:rsidRPr="00F9037E" w:rsidRDefault="00D34C6F" w:rsidP="00C05C97">
            <w:pPr>
              <w:spacing w:before="120" w:after="120"/>
              <w:jc w:val="center"/>
              <w:rPr>
                <w:color w:val="auto"/>
                <w:sz w:val="10"/>
                <w:szCs w:val="10"/>
              </w:rPr>
            </w:pPr>
          </w:p>
        </w:tc>
        <w:tc>
          <w:tcPr>
            <w:tcW w:w="567" w:type="dxa"/>
            <w:vAlign w:val="center"/>
          </w:tcPr>
          <w:p w14:paraId="4800D67E"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63318B38" w14:textId="77777777" w:rsidR="00D34C6F" w:rsidRPr="00F9037E" w:rsidRDefault="00D34C6F" w:rsidP="00C05C97">
            <w:pPr>
              <w:spacing w:before="120" w:after="120"/>
              <w:jc w:val="center"/>
              <w:rPr>
                <w:color w:val="auto"/>
                <w:sz w:val="10"/>
                <w:szCs w:val="10"/>
              </w:rPr>
            </w:pPr>
            <w:r w:rsidRPr="00F9037E">
              <w:rPr>
                <w:color w:val="auto"/>
                <w:sz w:val="10"/>
                <w:szCs w:val="10"/>
              </w:rPr>
              <w:t>35.000</w:t>
            </w:r>
          </w:p>
        </w:tc>
        <w:tc>
          <w:tcPr>
            <w:tcW w:w="709" w:type="dxa"/>
            <w:shd w:val="clear" w:color="auto" w:fill="auto"/>
            <w:vAlign w:val="center"/>
          </w:tcPr>
          <w:p w14:paraId="7EB6CF50" w14:textId="77777777" w:rsidR="00D34C6F" w:rsidRPr="00F9037E" w:rsidRDefault="00D34C6F" w:rsidP="00C05C97">
            <w:pPr>
              <w:spacing w:before="120" w:after="120"/>
              <w:jc w:val="center"/>
              <w:rPr>
                <w:color w:val="auto"/>
                <w:sz w:val="10"/>
                <w:szCs w:val="10"/>
              </w:rPr>
            </w:pPr>
            <w:r w:rsidRPr="00F9037E">
              <w:rPr>
                <w:color w:val="auto"/>
                <w:sz w:val="10"/>
                <w:szCs w:val="10"/>
              </w:rPr>
              <w:t>35.000</w:t>
            </w:r>
          </w:p>
        </w:tc>
        <w:tc>
          <w:tcPr>
            <w:tcW w:w="708" w:type="dxa"/>
            <w:shd w:val="clear" w:color="auto" w:fill="auto"/>
            <w:vAlign w:val="center"/>
          </w:tcPr>
          <w:p w14:paraId="463C2673" w14:textId="77777777" w:rsidR="00D34C6F" w:rsidRPr="00F9037E" w:rsidRDefault="00D34C6F" w:rsidP="00C05C97">
            <w:pPr>
              <w:spacing w:before="120" w:after="120"/>
              <w:jc w:val="center"/>
              <w:rPr>
                <w:color w:val="auto"/>
                <w:sz w:val="10"/>
                <w:szCs w:val="10"/>
              </w:rPr>
            </w:pPr>
            <w:r w:rsidRPr="00F9037E">
              <w:rPr>
                <w:color w:val="auto"/>
                <w:sz w:val="10"/>
                <w:szCs w:val="10"/>
              </w:rPr>
              <w:t>28.000</w:t>
            </w:r>
          </w:p>
        </w:tc>
        <w:tc>
          <w:tcPr>
            <w:tcW w:w="709" w:type="dxa"/>
            <w:shd w:val="clear" w:color="auto" w:fill="auto"/>
            <w:vAlign w:val="center"/>
          </w:tcPr>
          <w:p w14:paraId="0C9BE352" w14:textId="77777777" w:rsidR="00D34C6F" w:rsidRPr="00F9037E" w:rsidRDefault="00D34C6F" w:rsidP="00C05C97">
            <w:pPr>
              <w:spacing w:before="120" w:after="120"/>
              <w:jc w:val="center"/>
              <w:rPr>
                <w:color w:val="auto"/>
                <w:sz w:val="10"/>
                <w:szCs w:val="10"/>
              </w:rPr>
            </w:pPr>
            <w:r w:rsidRPr="00F9037E">
              <w:rPr>
                <w:color w:val="auto"/>
                <w:sz w:val="10"/>
                <w:szCs w:val="10"/>
              </w:rPr>
              <w:t>31.900</w:t>
            </w:r>
          </w:p>
        </w:tc>
        <w:tc>
          <w:tcPr>
            <w:tcW w:w="567" w:type="dxa"/>
            <w:shd w:val="clear" w:color="auto" w:fill="auto"/>
            <w:vAlign w:val="center"/>
          </w:tcPr>
          <w:p w14:paraId="536C7696" w14:textId="77777777" w:rsidR="00D34C6F" w:rsidRPr="00F9037E" w:rsidRDefault="00D34C6F" w:rsidP="00C05C97">
            <w:pPr>
              <w:spacing w:before="120" w:after="120"/>
              <w:jc w:val="center"/>
              <w:rPr>
                <w:color w:val="auto"/>
                <w:sz w:val="10"/>
                <w:szCs w:val="10"/>
              </w:rPr>
            </w:pPr>
            <w:r w:rsidRPr="00F9037E">
              <w:rPr>
                <w:color w:val="auto"/>
                <w:sz w:val="10"/>
                <w:szCs w:val="10"/>
              </w:rPr>
              <w:t>15.825</w:t>
            </w:r>
          </w:p>
        </w:tc>
        <w:tc>
          <w:tcPr>
            <w:tcW w:w="647" w:type="dxa"/>
            <w:shd w:val="clear" w:color="auto" w:fill="auto"/>
            <w:vAlign w:val="center"/>
          </w:tcPr>
          <w:p w14:paraId="030E425F" w14:textId="6213B56B"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514DCE0" w14:textId="2923B552"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1C6A5738" w14:textId="59EFD065" w:rsidR="00D34C6F" w:rsidRPr="00F9037E" w:rsidRDefault="00D34C6F" w:rsidP="00C05C97">
            <w:pPr>
              <w:spacing w:before="120" w:after="120"/>
              <w:jc w:val="center"/>
              <w:rPr>
                <w:b/>
                <w:color w:val="auto"/>
                <w:sz w:val="10"/>
                <w:szCs w:val="10"/>
              </w:rPr>
            </w:pPr>
          </w:p>
        </w:tc>
        <w:tc>
          <w:tcPr>
            <w:tcW w:w="567" w:type="dxa"/>
            <w:vAlign w:val="center"/>
          </w:tcPr>
          <w:p w14:paraId="36A0C1A8" w14:textId="77777777" w:rsidR="00D34C6F" w:rsidRPr="00F9037E" w:rsidRDefault="00D34C6F" w:rsidP="00C05C97">
            <w:pPr>
              <w:spacing w:before="120" w:after="120"/>
              <w:jc w:val="center"/>
              <w:rPr>
                <w:b/>
                <w:color w:val="auto"/>
                <w:sz w:val="10"/>
                <w:szCs w:val="10"/>
              </w:rPr>
            </w:pPr>
          </w:p>
        </w:tc>
        <w:tc>
          <w:tcPr>
            <w:tcW w:w="567" w:type="dxa"/>
            <w:vAlign w:val="center"/>
          </w:tcPr>
          <w:p w14:paraId="50321A5B" w14:textId="77777777" w:rsidR="00D34C6F" w:rsidRPr="00F9037E" w:rsidRDefault="00D34C6F" w:rsidP="00C05C97">
            <w:pPr>
              <w:spacing w:before="120" w:after="120"/>
              <w:jc w:val="center"/>
              <w:rPr>
                <w:b/>
                <w:color w:val="auto"/>
                <w:sz w:val="10"/>
                <w:szCs w:val="10"/>
              </w:rPr>
            </w:pPr>
          </w:p>
        </w:tc>
        <w:tc>
          <w:tcPr>
            <w:tcW w:w="567" w:type="dxa"/>
            <w:vAlign w:val="center"/>
          </w:tcPr>
          <w:p w14:paraId="2D29E41C" w14:textId="77777777" w:rsidR="00D34C6F" w:rsidRPr="00F9037E" w:rsidRDefault="00D34C6F" w:rsidP="00C05C97">
            <w:pPr>
              <w:spacing w:before="120" w:after="120"/>
              <w:jc w:val="center"/>
              <w:rPr>
                <w:b/>
                <w:color w:val="auto"/>
                <w:sz w:val="10"/>
                <w:szCs w:val="10"/>
              </w:rPr>
            </w:pPr>
          </w:p>
        </w:tc>
        <w:tc>
          <w:tcPr>
            <w:tcW w:w="567" w:type="dxa"/>
            <w:vAlign w:val="center"/>
          </w:tcPr>
          <w:p w14:paraId="3B20D1DA" w14:textId="77777777" w:rsidR="00D34C6F" w:rsidRPr="00F9037E" w:rsidRDefault="00D34C6F" w:rsidP="00C05C97">
            <w:pPr>
              <w:spacing w:before="120" w:after="120"/>
              <w:jc w:val="center"/>
              <w:rPr>
                <w:b/>
                <w:color w:val="auto"/>
                <w:sz w:val="10"/>
                <w:szCs w:val="10"/>
              </w:rPr>
            </w:pPr>
          </w:p>
        </w:tc>
      </w:tr>
      <w:tr w:rsidR="00D34C6F" w:rsidRPr="00F9037E" w14:paraId="5E0927A0" w14:textId="77777777" w:rsidTr="00C05C97">
        <w:trPr>
          <w:trHeight w:val="690"/>
          <w:jc w:val="center"/>
        </w:trPr>
        <w:tc>
          <w:tcPr>
            <w:tcW w:w="662" w:type="dxa"/>
            <w:shd w:val="clear" w:color="auto" w:fill="auto"/>
            <w:vAlign w:val="center"/>
          </w:tcPr>
          <w:p w14:paraId="4F4778E5" w14:textId="77777777" w:rsidR="00D34C6F" w:rsidRPr="00F9037E" w:rsidRDefault="00D34C6F" w:rsidP="00C05C97">
            <w:pPr>
              <w:spacing w:before="120" w:after="120"/>
              <w:rPr>
                <w:color w:val="auto"/>
                <w:sz w:val="12"/>
                <w:szCs w:val="12"/>
              </w:rPr>
            </w:pPr>
            <w:r w:rsidRPr="00F9037E">
              <w:rPr>
                <w:color w:val="auto"/>
                <w:sz w:val="12"/>
                <w:szCs w:val="12"/>
              </w:rPr>
              <w:t>Israel</w:t>
            </w:r>
          </w:p>
        </w:tc>
        <w:tc>
          <w:tcPr>
            <w:tcW w:w="824" w:type="dxa"/>
            <w:shd w:val="clear" w:color="auto" w:fill="auto"/>
            <w:vAlign w:val="center"/>
          </w:tcPr>
          <w:p w14:paraId="03F5BD57" w14:textId="77777777" w:rsidR="00D34C6F" w:rsidRPr="00F9037E" w:rsidRDefault="00D34C6F" w:rsidP="00C05C97">
            <w:pPr>
              <w:spacing w:before="120" w:after="120"/>
              <w:rPr>
                <w:color w:val="auto"/>
                <w:sz w:val="12"/>
                <w:szCs w:val="12"/>
              </w:rPr>
            </w:pPr>
            <w:r w:rsidRPr="00F9037E">
              <w:rPr>
                <w:color w:val="auto"/>
                <w:sz w:val="12"/>
                <w:szCs w:val="12"/>
              </w:rPr>
              <w:t xml:space="preserve">Strawberry runners and fruit </w:t>
            </w:r>
            <w:proofErr w:type="spellStart"/>
            <w:r w:rsidRPr="00F9037E">
              <w:rPr>
                <w:color w:val="auto"/>
                <w:sz w:val="12"/>
                <w:szCs w:val="12"/>
              </w:rPr>
              <w:t>Ghaza</w:t>
            </w:r>
            <w:proofErr w:type="spellEnd"/>
          </w:p>
        </w:tc>
        <w:tc>
          <w:tcPr>
            <w:tcW w:w="708" w:type="dxa"/>
            <w:shd w:val="clear" w:color="auto" w:fill="auto"/>
            <w:vAlign w:val="center"/>
          </w:tcPr>
          <w:p w14:paraId="056D6569" w14:textId="601AA914"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50D82677" w14:textId="79D53DCD"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0F487B59" w14:textId="04B0E400"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AB0D02F" w14:textId="77777777" w:rsidR="00D34C6F" w:rsidRPr="00F9037E" w:rsidRDefault="00D34C6F" w:rsidP="00C05C97">
            <w:pPr>
              <w:spacing w:before="120" w:after="120"/>
              <w:jc w:val="center"/>
              <w:rPr>
                <w:color w:val="auto"/>
                <w:sz w:val="10"/>
                <w:szCs w:val="10"/>
              </w:rPr>
            </w:pPr>
            <w:r w:rsidRPr="00F9037E">
              <w:rPr>
                <w:color w:val="auto"/>
                <w:sz w:val="10"/>
                <w:szCs w:val="10"/>
              </w:rPr>
              <w:t>87.875</w:t>
            </w:r>
          </w:p>
        </w:tc>
        <w:tc>
          <w:tcPr>
            <w:tcW w:w="709" w:type="dxa"/>
            <w:shd w:val="clear" w:color="auto" w:fill="auto"/>
            <w:vAlign w:val="center"/>
          </w:tcPr>
          <w:p w14:paraId="1C2F8686" w14:textId="77777777" w:rsidR="00D34C6F" w:rsidRPr="00F9037E" w:rsidRDefault="00D34C6F" w:rsidP="00C05C97">
            <w:pPr>
              <w:spacing w:before="120" w:after="120"/>
              <w:jc w:val="center"/>
              <w:rPr>
                <w:color w:val="auto"/>
                <w:sz w:val="10"/>
                <w:szCs w:val="10"/>
              </w:rPr>
            </w:pPr>
            <w:r w:rsidRPr="00F9037E">
              <w:rPr>
                <w:color w:val="auto"/>
                <w:sz w:val="10"/>
                <w:szCs w:val="10"/>
              </w:rPr>
              <w:t>67.500</w:t>
            </w:r>
          </w:p>
        </w:tc>
        <w:tc>
          <w:tcPr>
            <w:tcW w:w="567" w:type="dxa"/>
            <w:shd w:val="clear" w:color="auto" w:fill="auto"/>
            <w:vAlign w:val="center"/>
          </w:tcPr>
          <w:p w14:paraId="66488849" w14:textId="77777777" w:rsidR="00D34C6F" w:rsidRPr="00F9037E" w:rsidRDefault="00D34C6F" w:rsidP="00C05C97">
            <w:pPr>
              <w:spacing w:before="120" w:after="120"/>
              <w:jc w:val="center"/>
              <w:rPr>
                <w:color w:val="auto"/>
                <w:sz w:val="10"/>
                <w:szCs w:val="10"/>
              </w:rPr>
            </w:pPr>
            <w:r w:rsidRPr="00F9037E">
              <w:rPr>
                <w:color w:val="auto"/>
                <w:sz w:val="10"/>
                <w:szCs w:val="10"/>
              </w:rPr>
              <w:t>67.500</w:t>
            </w:r>
          </w:p>
        </w:tc>
        <w:tc>
          <w:tcPr>
            <w:tcW w:w="708" w:type="dxa"/>
            <w:shd w:val="clear" w:color="auto" w:fill="auto"/>
            <w:vAlign w:val="center"/>
          </w:tcPr>
          <w:p w14:paraId="07A14EE9" w14:textId="77777777" w:rsidR="00D34C6F" w:rsidRPr="00F9037E" w:rsidRDefault="00D34C6F" w:rsidP="00C05C97">
            <w:pPr>
              <w:spacing w:before="120" w:after="120"/>
              <w:jc w:val="center"/>
              <w:rPr>
                <w:color w:val="auto"/>
                <w:sz w:val="10"/>
                <w:szCs w:val="10"/>
              </w:rPr>
            </w:pPr>
            <w:r w:rsidRPr="00F9037E">
              <w:rPr>
                <w:color w:val="auto"/>
                <w:sz w:val="10"/>
                <w:szCs w:val="10"/>
              </w:rPr>
              <w:t>34.000</w:t>
            </w:r>
          </w:p>
        </w:tc>
        <w:tc>
          <w:tcPr>
            <w:tcW w:w="567" w:type="dxa"/>
            <w:shd w:val="clear" w:color="auto" w:fill="auto"/>
            <w:vAlign w:val="center"/>
          </w:tcPr>
          <w:p w14:paraId="525CF3D2" w14:textId="11279783"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3029B73" w14:textId="36EC4951" w:rsidR="00D34C6F" w:rsidRPr="00F9037E" w:rsidRDefault="00D34C6F" w:rsidP="00C05C97">
            <w:pPr>
              <w:spacing w:before="120" w:after="120"/>
              <w:jc w:val="center"/>
              <w:rPr>
                <w:color w:val="auto"/>
                <w:sz w:val="10"/>
                <w:szCs w:val="10"/>
              </w:rPr>
            </w:pPr>
          </w:p>
        </w:tc>
        <w:tc>
          <w:tcPr>
            <w:tcW w:w="629" w:type="dxa"/>
            <w:vAlign w:val="center"/>
          </w:tcPr>
          <w:p w14:paraId="261274A7" w14:textId="77777777" w:rsidR="00D34C6F" w:rsidRPr="00F9037E" w:rsidRDefault="00D34C6F" w:rsidP="00C05C97">
            <w:pPr>
              <w:spacing w:before="120" w:after="120"/>
              <w:jc w:val="center"/>
              <w:rPr>
                <w:color w:val="auto"/>
                <w:sz w:val="10"/>
                <w:szCs w:val="10"/>
              </w:rPr>
            </w:pPr>
          </w:p>
        </w:tc>
        <w:tc>
          <w:tcPr>
            <w:tcW w:w="567" w:type="dxa"/>
            <w:vAlign w:val="center"/>
          </w:tcPr>
          <w:p w14:paraId="2D11F765" w14:textId="77777777" w:rsidR="00D34C6F" w:rsidRPr="00F9037E" w:rsidRDefault="00D34C6F" w:rsidP="00C05C97">
            <w:pPr>
              <w:spacing w:before="120" w:after="120"/>
              <w:jc w:val="center"/>
              <w:rPr>
                <w:color w:val="auto"/>
                <w:sz w:val="10"/>
                <w:szCs w:val="10"/>
              </w:rPr>
            </w:pPr>
          </w:p>
        </w:tc>
        <w:tc>
          <w:tcPr>
            <w:tcW w:w="567" w:type="dxa"/>
            <w:vAlign w:val="center"/>
          </w:tcPr>
          <w:p w14:paraId="254CB788"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0B29AE15" w14:textId="21C58244"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59080EA7" w14:textId="31233C60"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25271142" w14:textId="2FD00844"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66CDDCBA" w14:textId="5AD9E6ED"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299BDEA" w14:textId="77777777" w:rsidR="00D34C6F" w:rsidRPr="00F9037E" w:rsidRDefault="00D34C6F" w:rsidP="00C05C97">
            <w:pPr>
              <w:spacing w:before="120" w:after="120"/>
              <w:jc w:val="center"/>
              <w:rPr>
                <w:color w:val="auto"/>
                <w:sz w:val="10"/>
                <w:szCs w:val="10"/>
              </w:rPr>
            </w:pPr>
            <w:r w:rsidRPr="00F9037E">
              <w:rPr>
                <w:color w:val="auto"/>
                <w:sz w:val="10"/>
                <w:szCs w:val="10"/>
              </w:rPr>
              <w:t>47.250</w:t>
            </w:r>
          </w:p>
        </w:tc>
        <w:tc>
          <w:tcPr>
            <w:tcW w:w="647" w:type="dxa"/>
            <w:shd w:val="clear" w:color="auto" w:fill="auto"/>
            <w:vAlign w:val="center"/>
          </w:tcPr>
          <w:p w14:paraId="5F177486" w14:textId="747D0436"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21DE3391" w14:textId="7B177DF4"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646D07F5" w14:textId="4F4800E3" w:rsidR="00D34C6F" w:rsidRPr="00F9037E" w:rsidRDefault="00D34C6F" w:rsidP="00C05C97">
            <w:pPr>
              <w:spacing w:before="120" w:after="120"/>
              <w:jc w:val="center"/>
              <w:rPr>
                <w:b/>
                <w:color w:val="auto"/>
                <w:sz w:val="10"/>
                <w:szCs w:val="10"/>
              </w:rPr>
            </w:pPr>
          </w:p>
        </w:tc>
        <w:tc>
          <w:tcPr>
            <w:tcW w:w="567" w:type="dxa"/>
            <w:vAlign w:val="center"/>
          </w:tcPr>
          <w:p w14:paraId="45D72A61" w14:textId="77777777" w:rsidR="00D34C6F" w:rsidRPr="00F9037E" w:rsidRDefault="00D34C6F" w:rsidP="00C05C97">
            <w:pPr>
              <w:spacing w:before="120" w:after="120"/>
              <w:jc w:val="center"/>
              <w:rPr>
                <w:b/>
                <w:color w:val="auto"/>
                <w:sz w:val="10"/>
                <w:szCs w:val="10"/>
              </w:rPr>
            </w:pPr>
          </w:p>
        </w:tc>
        <w:tc>
          <w:tcPr>
            <w:tcW w:w="567" w:type="dxa"/>
            <w:vAlign w:val="center"/>
          </w:tcPr>
          <w:p w14:paraId="6A81A60D" w14:textId="77777777" w:rsidR="00D34C6F" w:rsidRPr="00F9037E" w:rsidRDefault="00D34C6F" w:rsidP="00C05C97">
            <w:pPr>
              <w:spacing w:before="120" w:after="120"/>
              <w:jc w:val="center"/>
              <w:rPr>
                <w:b/>
                <w:color w:val="auto"/>
                <w:sz w:val="10"/>
                <w:szCs w:val="10"/>
              </w:rPr>
            </w:pPr>
          </w:p>
        </w:tc>
        <w:tc>
          <w:tcPr>
            <w:tcW w:w="567" w:type="dxa"/>
            <w:vAlign w:val="center"/>
          </w:tcPr>
          <w:p w14:paraId="0ACC2043" w14:textId="77777777" w:rsidR="00D34C6F" w:rsidRPr="00F9037E" w:rsidRDefault="00D34C6F" w:rsidP="00C05C97">
            <w:pPr>
              <w:spacing w:before="120" w:after="120"/>
              <w:jc w:val="center"/>
              <w:rPr>
                <w:b/>
                <w:color w:val="auto"/>
                <w:sz w:val="10"/>
                <w:szCs w:val="10"/>
              </w:rPr>
            </w:pPr>
          </w:p>
        </w:tc>
        <w:tc>
          <w:tcPr>
            <w:tcW w:w="567" w:type="dxa"/>
            <w:vAlign w:val="center"/>
          </w:tcPr>
          <w:p w14:paraId="53FE4E28" w14:textId="77777777" w:rsidR="00D34C6F" w:rsidRPr="00F9037E" w:rsidRDefault="00D34C6F" w:rsidP="00C05C97">
            <w:pPr>
              <w:spacing w:before="120" w:after="120"/>
              <w:jc w:val="center"/>
              <w:rPr>
                <w:b/>
                <w:color w:val="auto"/>
                <w:sz w:val="10"/>
                <w:szCs w:val="10"/>
              </w:rPr>
            </w:pPr>
          </w:p>
        </w:tc>
      </w:tr>
      <w:tr w:rsidR="00D34C6F" w:rsidRPr="00F9037E" w14:paraId="479B8600" w14:textId="77777777" w:rsidTr="00C05C97">
        <w:trPr>
          <w:trHeight w:val="915"/>
          <w:jc w:val="center"/>
        </w:trPr>
        <w:tc>
          <w:tcPr>
            <w:tcW w:w="662" w:type="dxa"/>
            <w:shd w:val="clear" w:color="auto" w:fill="auto"/>
            <w:vAlign w:val="center"/>
          </w:tcPr>
          <w:p w14:paraId="20420FD3" w14:textId="77777777" w:rsidR="00D34C6F" w:rsidRPr="00F9037E" w:rsidRDefault="00D34C6F" w:rsidP="00C05C97">
            <w:pPr>
              <w:spacing w:before="120" w:after="120"/>
              <w:rPr>
                <w:color w:val="auto"/>
                <w:sz w:val="12"/>
                <w:szCs w:val="12"/>
              </w:rPr>
            </w:pPr>
            <w:r w:rsidRPr="00F9037E">
              <w:rPr>
                <w:color w:val="auto"/>
                <w:sz w:val="12"/>
                <w:szCs w:val="12"/>
              </w:rPr>
              <w:t>Israel</w:t>
            </w:r>
          </w:p>
        </w:tc>
        <w:tc>
          <w:tcPr>
            <w:tcW w:w="824" w:type="dxa"/>
            <w:shd w:val="clear" w:color="auto" w:fill="auto"/>
            <w:vAlign w:val="center"/>
          </w:tcPr>
          <w:p w14:paraId="2165DE4E" w14:textId="77777777" w:rsidR="00D34C6F" w:rsidRPr="00F9037E" w:rsidRDefault="00D34C6F" w:rsidP="00C05C97">
            <w:pPr>
              <w:spacing w:before="120" w:after="120"/>
              <w:rPr>
                <w:color w:val="auto"/>
                <w:sz w:val="12"/>
                <w:szCs w:val="12"/>
              </w:rPr>
            </w:pPr>
            <w:r w:rsidRPr="00F9037E">
              <w:rPr>
                <w:color w:val="auto"/>
                <w:sz w:val="12"/>
                <w:szCs w:val="12"/>
              </w:rPr>
              <w:t>Strawberry runners (Sharon &amp;</w:t>
            </w:r>
            <w:proofErr w:type="spellStart"/>
            <w:r w:rsidRPr="00F9037E">
              <w:rPr>
                <w:color w:val="auto"/>
                <w:sz w:val="12"/>
                <w:szCs w:val="12"/>
              </w:rPr>
              <w:t>Ghaza</w:t>
            </w:r>
            <w:proofErr w:type="spellEnd"/>
            <w:r w:rsidRPr="00F9037E">
              <w:rPr>
                <w:color w:val="auto"/>
                <w:sz w:val="12"/>
                <w:szCs w:val="12"/>
              </w:rPr>
              <w:t>)</w:t>
            </w:r>
          </w:p>
        </w:tc>
        <w:tc>
          <w:tcPr>
            <w:tcW w:w="708" w:type="dxa"/>
            <w:shd w:val="clear" w:color="auto" w:fill="auto"/>
            <w:vAlign w:val="center"/>
          </w:tcPr>
          <w:p w14:paraId="5C0E2935" w14:textId="1856D910"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264FAC0C" w14:textId="56D1F10F"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5988215F" w14:textId="4F19B9C5"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675319F" w14:textId="28F894EF"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68FD811E" w14:textId="63764A8C"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04F4C5D" w14:textId="4C16BFC4"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5D317E46" w14:textId="1FC7930E"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EC63240" w14:textId="46613330"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24828D87" w14:textId="19F58DA2" w:rsidR="00D34C6F" w:rsidRPr="00F9037E" w:rsidRDefault="00D34C6F" w:rsidP="00C05C97">
            <w:pPr>
              <w:spacing w:before="120" w:after="120"/>
              <w:jc w:val="center"/>
              <w:rPr>
                <w:color w:val="auto"/>
                <w:sz w:val="10"/>
                <w:szCs w:val="10"/>
              </w:rPr>
            </w:pPr>
          </w:p>
        </w:tc>
        <w:tc>
          <w:tcPr>
            <w:tcW w:w="629" w:type="dxa"/>
            <w:vAlign w:val="center"/>
          </w:tcPr>
          <w:p w14:paraId="3F7C4A70" w14:textId="77777777" w:rsidR="00D34C6F" w:rsidRPr="00F9037E" w:rsidRDefault="00D34C6F" w:rsidP="00C05C97">
            <w:pPr>
              <w:spacing w:before="120" w:after="120"/>
              <w:jc w:val="center"/>
              <w:rPr>
                <w:color w:val="auto"/>
                <w:sz w:val="10"/>
                <w:szCs w:val="10"/>
              </w:rPr>
            </w:pPr>
          </w:p>
        </w:tc>
        <w:tc>
          <w:tcPr>
            <w:tcW w:w="567" w:type="dxa"/>
            <w:vAlign w:val="center"/>
          </w:tcPr>
          <w:p w14:paraId="1E406EBA" w14:textId="77777777" w:rsidR="00D34C6F" w:rsidRPr="00F9037E" w:rsidRDefault="00D34C6F" w:rsidP="00C05C97">
            <w:pPr>
              <w:spacing w:before="120" w:after="120"/>
              <w:jc w:val="center"/>
              <w:rPr>
                <w:color w:val="auto"/>
                <w:sz w:val="10"/>
                <w:szCs w:val="10"/>
              </w:rPr>
            </w:pPr>
          </w:p>
        </w:tc>
        <w:tc>
          <w:tcPr>
            <w:tcW w:w="567" w:type="dxa"/>
            <w:vAlign w:val="center"/>
          </w:tcPr>
          <w:p w14:paraId="28E4865A"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6202E7AF" w14:textId="7C47477B"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247F1F3C" w14:textId="558E2C66"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3BDE0189" w14:textId="4A4A227D"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4EEDBC36" w14:textId="191A02A9"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15A3C7C" w14:textId="15E4BA6E"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4DCF24DB" w14:textId="77777777" w:rsidR="00D34C6F" w:rsidRPr="00F9037E" w:rsidRDefault="00D34C6F" w:rsidP="00C05C97">
            <w:pPr>
              <w:spacing w:before="120" w:after="120"/>
              <w:jc w:val="center"/>
              <w:rPr>
                <w:color w:val="auto"/>
                <w:sz w:val="10"/>
                <w:szCs w:val="10"/>
              </w:rPr>
            </w:pPr>
            <w:r w:rsidRPr="00F9037E">
              <w:rPr>
                <w:color w:val="auto"/>
                <w:sz w:val="10"/>
                <w:szCs w:val="10"/>
              </w:rPr>
              <w:t>22.320</w:t>
            </w:r>
          </w:p>
        </w:tc>
        <w:tc>
          <w:tcPr>
            <w:tcW w:w="567" w:type="dxa"/>
            <w:shd w:val="clear" w:color="auto" w:fill="auto"/>
            <w:vAlign w:val="center"/>
          </w:tcPr>
          <w:p w14:paraId="1EC5CE29" w14:textId="02D0C7CF"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2582C440" w14:textId="1E8E0C5E" w:rsidR="00D34C6F" w:rsidRPr="00F9037E" w:rsidRDefault="00D34C6F" w:rsidP="00C05C97">
            <w:pPr>
              <w:spacing w:before="120" w:after="120"/>
              <w:jc w:val="center"/>
              <w:rPr>
                <w:b/>
                <w:color w:val="auto"/>
                <w:sz w:val="10"/>
                <w:szCs w:val="10"/>
              </w:rPr>
            </w:pPr>
          </w:p>
        </w:tc>
        <w:tc>
          <w:tcPr>
            <w:tcW w:w="567" w:type="dxa"/>
            <w:vAlign w:val="center"/>
          </w:tcPr>
          <w:p w14:paraId="24AF9E6C" w14:textId="77777777" w:rsidR="00D34C6F" w:rsidRPr="00F9037E" w:rsidRDefault="00D34C6F" w:rsidP="00C05C97">
            <w:pPr>
              <w:spacing w:before="120" w:after="120"/>
              <w:jc w:val="center"/>
              <w:rPr>
                <w:b/>
                <w:color w:val="auto"/>
                <w:sz w:val="10"/>
                <w:szCs w:val="10"/>
              </w:rPr>
            </w:pPr>
          </w:p>
        </w:tc>
        <w:tc>
          <w:tcPr>
            <w:tcW w:w="567" w:type="dxa"/>
            <w:vAlign w:val="center"/>
          </w:tcPr>
          <w:p w14:paraId="005D608B" w14:textId="77777777" w:rsidR="00D34C6F" w:rsidRPr="00F9037E" w:rsidRDefault="00D34C6F" w:rsidP="00C05C97">
            <w:pPr>
              <w:spacing w:before="120" w:after="120"/>
              <w:jc w:val="center"/>
              <w:rPr>
                <w:b/>
                <w:color w:val="auto"/>
                <w:sz w:val="10"/>
                <w:szCs w:val="10"/>
              </w:rPr>
            </w:pPr>
          </w:p>
        </w:tc>
        <w:tc>
          <w:tcPr>
            <w:tcW w:w="567" w:type="dxa"/>
            <w:vAlign w:val="center"/>
          </w:tcPr>
          <w:p w14:paraId="194D56AB" w14:textId="77777777" w:rsidR="00D34C6F" w:rsidRPr="00F9037E" w:rsidRDefault="00D34C6F" w:rsidP="00C05C97">
            <w:pPr>
              <w:spacing w:before="120" w:after="120"/>
              <w:jc w:val="center"/>
              <w:rPr>
                <w:b/>
                <w:color w:val="auto"/>
                <w:sz w:val="10"/>
                <w:szCs w:val="10"/>
              </w:rPr>
            </w:pPr>
          </w:p>
        </w:tc>
        <w:tc>
          <w:tcPr>
            <w:tcW w:w="567" w:type="dxa"/>
            <w:vAlign w:val="center"/>
          </w:tcPr>
          <w:p w14:paraId="47028B01" w14:textId="77777777" w:rsidR="00D34C6F" w:rsidRPr="00F9037E" w:rsidRDefault="00D34C6F" w:rsidP="00C05C97">
            <w:pPr>
              <w:spacing w:before="120" w:after="120"/>
              <w:jc w:val="center"/>
              <w:rPr>
                <w:b/>
                <w:color w:val="auto"/>
                <w:sz w:val="10"/>
                <w:szCs w:val="10"/>
              </w:rPr>
            </w:pPr>
          </w:p>
        </w:tc>
      </w:tr>
      <w:tr w:rsidR="00D34C6F" w:rsidRPr="00F9037E" w14:paraId="0C73CB0D" w14:textId="77777777" w:rsidTr="00C05C97">
        <w:trPr>
          <w:trHeight w:val="270"/>
          <w:jc w:val="center"/>
        </w:trPr>
        <w:tc>
          <w:tcPr>
            <w:tcW w:w="662" w:type="dxa"/>
            <w:shd w:val="clear" w:color="auto" w:fill="auto"/>
            <w:vAlign w:val="center"/>
          </w:tcPr>
          <w:p w14:paraId="34709BD9" w14:textId="4A7D4685" w:rsidR="00D34C6F" w:rsidRPr="00F9037E" w:rsidRDefault="00D34C6F" w:rsidP="00C05C97">
            <w:pPr>
              <w:spacing w:before="120" w:after="120"/>
              <w:rPr>
                <w:color w:val="auto"/>
                <w:sz w:val="12"/>
                <w:szCs w:val="12"/>
              </w:rPr>
            </w:pPr>
            <w:r w:rsidRPr="00F9037E">
              <w:rPr>
                <w:color w:val="auto"/>
                <w:sz w:val="12"/>
                <w:szCs w:val="12"/>
              </w:rPr>
              <w:t>Israel</w:t>
            </w:r>
          </w:p>
        </w:tc>
        <w:tc>
          <w:tcPr>
            <w:tcW w:w="824" w:type="dxa"/>
            <w:shd w:val="clear" w:color="auto" w:fill="auto"/>
            <w:vAlign w:val="center"/>
          </w:tcPr>
          <w:p w14:paraId="5F17923F" w14:textId="77777777" w:rsidR="00D34C6F" w:rsidRPr="00F9037E" w:rsidRDefault="00D34C6F" w:rsidP="00C05C97">
            <w:pPr>
              <w:spacing w:before="120" w:after="120"/>
              <w:rPr>
                <w:color w:val="auto"/>
                <w:sz w:val="12"/>
                <w:szCs w:val="12"/>
              </w:rPr>
            </w:pPr>
            <w:r w:rsidRPr="00F9037E">
              <w:rPr>
                <w:color w:val="auto"/>
                <w:sz w:val="12"/>
                <w:szCs w:val="12"/>
              </w:rPr>
              <w:t>Tomatoes</w:t>
            </w:r>
          </w:p>
        </w:tc>
        <w:tc>
          <w:tcPr>
            <w:tcW w:w="708" w:type="dxa"/>
            <w:shd w:val="clear" w:color="auto" w:fill="auto"/>
            <w:vAlign w:val="center"/>
          </w:tcPr>
          <w:p w14:paraId="2652607E" w14:textId="43073B0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414C80F0" w14:textId="077045CD"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2EFB55C0" w14:textId="77777777" w:rsidR="00D34C6F" w:rsidRPr="00F9037E" w:rsidRDefault="00D34C6F" w:rsidP="00C05C97">
            <w:pPr>
              <w:spacing w:before="120" w:after="120"/>
              <w:jc w:val="center"/>
              <w:rPr>
                <w:color w:val="auto"/>
                <w:sz w:val="10"/>
                <w:szCs w:val="10"/>
              </w:rPr>
            </w:pPr>
            <w:r w:rsidRPr="00F9037E">
              <w:rPr>
                <w:color w:val="auto"/>
                <w:sz w:val="10"/>
                <w:szCs w:val="10"/>
              </w:rPr>
              <w:t>90.000</w:t>
            </w:r>
          </w:p>
        </w:tc>
        <w:tc>
          <w:tcPr>
            <w:tcW w:w="567" w:type="dxa"/>
            <w:shd w:val="clear" w:color="auto" w:fill="auto"/>
            <w:vAlign w:val="center"/>
          </w:tcPr>
          <w:p w14:paraId="7B156310" w14:textId="79327D2C"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7E86657A" w14:textId="20F8E790"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4F00584" w14:textId="07D84C6B"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071046BD" w14:textId="0FF854D4"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6767377" w14:textId="44DB0615"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938558D" w14:textId="21852EE5" w:rsidR="00D34C6F" w:rsidRPr="00F9037E" w:rsidRDefault="00D34C6F" w:rsidP="00C05C97">
            <w:pPr>
              <w:spacing w:before="120" w:after="120"/>
              <w:jc w:val="center"/>
              <w:rPr>
                <w:color w:val="auto"/>
                <w:sz w:val="10"/>
                <w:szCs w:val="10"/>
              </w:rPr>
            </w:pPr>
          </w:p>
        </w:tc>
        <w:tc>
          <w:tcPr>
            <w:tcW w:w="629" w:type="dxa"/>
            <w:vAlign w:val="center"/>
          </w:tcPr>
          <w:p w14:paraId="6136DA56" w14:textId="77777777" w:rsidR="00D34C6F" w:rsidRPr="00F9037E" w:rsidRDefault="00D34C6F" w:rsidP="00C05C97">
            <w:pPr>
              <w:spacing w:before="120" w:after="120"/>
              <w:jc w:val="center"/>
              <w:rPr>
                <w:color w:val="auto"/>
                <w:sz w:val="10"/>
                <w:szCs w:val="10"/>
              </w:rPr>
            </w:pPr>
          </w:p>
        </w:tc>
        <w:tc>
          <w:tcPr>
            <w:tcW w:w="567" w:type="dxa"/>
            <w:vAlign w:val="center"/>
          </w:tcPr>
          <w:p w14:paraId="10630676" w14:textId="77777777" w:rsidR="00D34C6F" w:rsidRPr="00F9037E" w:rsidRDefault="00D34C6F" w:rsidP="00C05C97">
            <w:pPr>
              <w:spacing w:before="120" w:after="120"/>
              <w:jc w:val="center"/>
              <w:rPr>
                <w:color w:val="auto"/>
                <w:sz w:val="10"/>
                <w:szCs w:val="10"/>
              </w:rPr>
            </w:pPr>
          </w:p>
        </w:tc>
        <w:tc>
          <w:tcPr>
            <w:tcW w:w="567" w:type="dxa"/>
            <w:vAlign w:val="center"/>
          </w:tcPr>
          <w:p w14:paraId="41FBA1F4"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6D80D33F" w14:textId="0D64C3D0"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02350E47" w14:textId="6DB8B403"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48716CF8" w14:textId="77777777" w:rsidR="00D34C6F" w:rsidRPr="00F9037E" w:rsidRDefault="00D34C6F" w:rsidP="00C05C97">
            <w:pPr>
              <w:spacing w:before="120" w:after="120"/>
              <w:jc w:val="center"/>
              <w:rPr>
                <w:color w:val="auto"/>
                <w:sz w:val="10"/>
                <w:szCs w:val="10"/>
              </w:rPr>
            </w:pPr>
            <w:r w:rsidRPr="00F9037E">
              <w:rPr>
                <w:color w:val="auto"/>
                <w:sz w:val="10"/>
                <w:szCs w:val="10"/>
              </w:rPr>
              <w:t>22.750</w:t>
            </w:r>
          </w:p>
        </w:tc>
        <w:tc>
          <w:tcPr>
            <w:tcW w:w="709" w:type="dxa"/>
            <w:shd w:val="clear" w:color="auto" w:fill="auto"/>
            <w:vAlign w:val="center"/>
          </w:tcPr>
          <w:p w14:paraId="426E4242" w14:textId="61DED2CB"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AF0B87E" w14:textId="3C49B1C1"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1FE27D70" w14:textId="72350430"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EF2E5FD" w14:textId="76EEA5C9"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576DEC82" w14:textId="3C5B1611" w:rsidR="00D34C6F" w:rsidRPr="00F9037E" w:rsidRDefault="00D34C6F" w:rsidP="00C05C97">
            <w:pPr>
              <w:spacing w:before="120" w:after="120"/>
              <w:jc w:val="center"/>
              <w:rPr>
                <w:b/>
                <w:color w:val="auto"/>
                <w:sz w:val="10"/>
                <w:szCs w:val="10"/>
              </w:rPr>
            </w:pPr>
          </w:p>
        </w:tc>
        <w:tc>
          <w:tcPr>
            <w:tcW w:w="567" w:type="dxa"/>
            <w:vAlign w:val="center"/>
          </w:tcPr>
          <w:p w14:paraId="2F1709A6" w14:textId="77777777" w:rsidR="00D34C6F" w:rsidRPr="00F9037E" w:rsidRDefault="00D34C6F" w:rsidP="00C05C97">
            <w:pPr>
              <w:spacing w:before="120" w:after="120"/>
              <w:jc w:val="center"/>
              <w:rPr>
                <w:b/>
                <w:color w:val="auto"/>
                <w:sz w:val="10"/>
                <w:szCs w:val="10"/>
              </w:rPr>
            </w:pPr>
          </w:p>
        </w:tc>
        <w:tc>
          <w:tcPr>
            <w:tcW w:w="567" w:type="dxa"/>
            <w:vAlign w:val="center"/>
          </w:tcPr>
          <w:p w14:paraId="21D9F7A7" w14:textId="77777777" w:rsidR="00D34C6F" w:rsidRPr="00F9037E" w:rsidRDefault="00D34C6F" w:rsidP="00C05C97">
            <w:pPr>
              <w:spacing w:before="120" w:after="120"/>
              <w:jc w:val="center"/>
              <w:rPr>
                <w:b/>
                <w:color w:val="auto"/>
                <w:sz w:val="10"/>
                <w:szCs w:val="10"/>
              </w:rPr>
            </w:pPr>
          </w:p>
        </w:tc>
        <w:tc>
          <w:tcPr>
            <w:tcW w:w="567" w:type="dxa"/>
            <w:vAlign w:val="center"/>
          </w:tcPr>
          <w:p w14:paraId="41FE8D0C" w14:textId="77777777" w:rsidR="00D34C6F" w:rsidRPr="00F9037E" w:rsidRDefault="00D34C6F" w:rsidP="00C05C97">
            <w:pPr>
              <w:spacing w:before="120" w:after="120"/>
              <w:jc w:val="center"/>
              <w:rPr>
                <w:b/>
                <w:color w:val="auto"/>
                <w:sz w:val="10"/>
                <w:szCs w:val="10"/>
              </w:rPr>
            </w:pPr>
          </w:p>
        </w:tc>
        <w:tc>
          <w:tcPr>
            <w:tcW w:w="567" w:type="dxa"/>
            <w:vAlign w:val="center"/>
          </w:tcPr>
          <w:p w14:paraId="5D75D4DB" w14:textId="77777777" w:rsidR="00D34C6F" w:rsidRPr="00F9037E" w:rsidRDefault="00D34C6F" w:rsidP="00C05C97">
            <w:pPr>
              <w:spacing w:before="120" w:after="120"/>
              <w:jc w:val="center"/>
              <w:rPr>
                <w:b/>
                <w:color w:val="auto"/>
                <w:sz w:val="10"/>
                <w:szCs w:val="10"/>
              </w:rPr>
            </w:pPr>
          </w:p>
        </w:tc>
      </w:tr>
      <w:tr w:rsidR="00D34C6F" w:rsidRPr="00F9037E" w14:paraId="6A045EBF" w14:textId="77777777" w:rsidTr="00C05C97">
        <w:trPr>
          <w:trHeight w:val="465"/>
          <w:jc w:val="center"/>
        </w:trPr>
        <w:tc>
          <w:tcPr>
            <w:tcW w:w="662" w:type="dxa"/>
            <w:shd w:val="clear" w:color="auto" w:fill="auto"/>
            <w:vAlign w:val="center"/>
          </w:tcPr>
          <w:p w14:paraId="51415E01" w14:textId="77777777" w:rsidR="00D34C6F" w:rsidRPr="00F9037E" w:rsidRDefault="00D34C6F" w:rsidP="00C05C97">
            <w:pPr>
              <w:spacing w:before="120" w:after="120"/>
              <w:rPr>
                <w:color w:val="auto"/>
                <w:sz w:val="12"/>
                <w:szCs w:val="12"/>
              </w:rPr>
            </w:pPr>
            <w:r w:rsidRPr="00F9037E">
              <w:rPr>
                <w:color w:val="auto"/>
                <w:sz w:val="12"/>
                <w:szCs w:val="12"/>
              </w:rPr>
              <w:t>Israel</w:t>
            </w:r>
          </w:p>
        </w:tc>
        <w:tc>
          <w:tcPr>
            <w:tcW w:w="824" w:type="dxa"/>
            <w:shd w:val="clear" w:color="auto" w:fill="auto"/>
            <w:vAlign w:val="center"/>
          </w:tcPr>
          <w:p w14:paraId="53C0339D" w14:textId="77777777" w:rsidR="00D34C6F" w:rsidRPr="00F9037E" w:rsidRDefault="00D34C6F" w:rsidP="00C05C97">
            <w:pPr>
              <w:spacing w:before="120" w:after="120"/>
              <w:rPr>
                <w:color w:val="auto"/>
                <w:sz w:val="12"/>
                <w:szCs w:val="12"/>
              </w:rPr>
            </w:pPr>
            <w:r w:rsidRPr="00F9037E">
              <w:rPr>
                <w:color w:val="auto"/>
                <w:sz w:val="12"/>
                <w:szCs w:val="12"/>
              </w:rPr>
              <w:t>Sweet potato</w:t>
            </w:r>
          </w:p>
        </w:tc>
        <w:tc>
          <w:tcPr>
            <w:tcW w:w="708" w:type="dxa"/>
            <w:shd w:val="clear" w:color="auto" w:fill="auto"/>
            <w:vAlign w:val="center"/>
          </w:tcPr>
          <w:p w14:paraId="0F88F36B" w14:textId="0D6A625F"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13EEFA22" w14:textId="454C81F8"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51FEAEE9" w14:textId="2322EE6C"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32890234" w14:textId="0E216B39"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4D264B66" w14:textId="77777777" w:rsidR="00D34C6F" w:rsidRPr="00F9037E" w:rsidRDefault="00D34C6F" w:rsidP="00C05C97">
            <w:pPr>
              <w:spacing w:before="120" w:after="120"/>
              <w:jc w:val="center"/>
              <w:rPr>
                <w:color w:val="auto"/>
                <w:sz w:val="10"/>
                <w:szCs w:val="10"/>
              </w:rPr>
            </w:pPr>
            <w:r w:rsidRPr="00F9037E">
              <w:rPr>
                <w:color w:val="auto"/>
                <w:sz w:val="10"/>
                <w:szCs w:val="10"/>
              </w:rPr>
              <w:t>95.000</w:t>
            </w:r>
          </w:p>
        </w:tc>
        <w:tc>
          <w:tcPr>
            <w:tcW w:w="567" w:type="dxa"/>
            <w:shd w:val="clear" w:color="auto" w:fill="auto"/>
            <w:vAlign w:val="center"/>
          </w:tcPr>
          <w:p w14:paraId="51275EF9" w14:textId="77777777" w:rsidR="00D34C6F" w:rsidRPr="00F9037E" w:rsidRDefault="00D34C6F" w:rsidP="00C05C97">
            <w:pPr>
              <w:spacing w:before="120" w:after="120"/>
              <w:jc w:val="center"/>
              <w:rPr>
                <w:color w:val="auto"/>
                <w:sz w:val="10"/>
                <w:szCs w:val="10"/>
              </w:rPr>
            </w:pPr>
            <w:r w:rsidRPr="00F9037E">
              <w:rPr>
                <w:color w:val="auto"/>
                <w:sz w:val="10"/>
                <w:szCs w:val="10"/>
              </w:rPr>
              <w:t>20.000</w:t>
            </w:r>
          </w:p>
        </w:tc>
        <w:tc>
          <w:tcPr>
            <w:tcW w:w="708" w:type="dxa"/>
            <w:shd w:val="clear" w:color="auto" w:fill="auto"/>
            <w:vAlign w:val="center"/>
          </w:tcPr>
          <w:p w14:paraId="6E7344E8" w14:textId="77777777" w:rsidR="00D34C6F" w:rsidRPr="00F9037E" w:rsidRDefault="00D34C6F" w:rsidP="00C05C97">
            <w:pPr>
              <w:spacing w:before="120" w:after="120"/>
              <w:jc w:val="center"/>
              <w:rPr>
                <w:color w:val="auto"/>
                <w:sz w:val="10"/>
                <w:szCs w:val="10"/>
              </w:rPr>
            </w:pPr>
            <w:r w:rsidRPr="00F9037E">
              <w:rPr>
                <w:color w:val="auto"/>
                <w:sz w:val="10"/>
                <w:szCs w:val="10"/>
              </w:rPr>
              <w:t>20.000</w:t>
            </w:r>
          </w:p>
        </w:tc>
        <w:tc>
          <w:tcPr>
            <w:tcW w:w="567" w:type="dxa"/>
            <w:shd w:val="clear" w:color="auto" w:fill="auto"/>
            <w:vAlign w:val="center"/>
          </w:tcPr>
          <w:p w14:paraId="572758F0" w14:textId="331B0FD9"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B8BD551" w14:textId="303BBCC4" w:rsidR="00D34C6F" w:rsidRPr="00F9037E" w:rsidRDefault="00D34C6F" w:rsidP="00C05C97">
            <w:pPr>
              <w:spacing w:before="120" w:after="120"/>
              <w:jc w:val="center"/>
              <w:rPr>
                <w:color w:val="auto"/>
                <w:sz w:val="10"/>
                <w:szCs w:val="10"/>
              </w:rPr>
            </w:pPr>
          </w:p>
        </w:tc>
        <w:tc>
          <w:tcPr>
            <w:tcW w:w="629" w:type="dxa"/>
            <w:vAlign w:val="center"/>
          </w:tcPr>
          <w:p w14:paraId="5E834E01" w14:textId="77777777" w:rsidR="00D34C6F" w:rsidRPr="00F9037E" w:rsidRDefault="00D34C6F" w:rsidP="00C05C97">
            <w:pPr>
              <w:spacing w:before="120" w:after="120"/>
              <w:jc w:val="center"/>
              <w:rPr>
                <w:color w:val="auto"/>
                <w:sz w:val="10"/>
                <w:szCs w:val="10"/>
              </w:rPr>
            </w:pPr>
          </w:p>
        </w:tc>
        <w:tc>
          <w:tcPr>
            <w:tcW w:w="567" w:type="dxa"/>
            <w:vAlign w:val="center"/>
          </w:tcPr>
          <w:p w14:paraId="6E546470" w14:textId="77777777" w:rsidR="00D34C6F" w:rsidRPr="00F9037E" w:rsidRDefault="00D34C6F" w:rsidP="00C05C97">
            <w:pPr>
              <w:spacing w:before="120" w:after="120"/>
              <w:jc w:val="center"/>
              <w:rPr>
                <w:color w:val="auto"/>
                <w:sz w:val="10"/>
                <w:szCs w:val="10"/>
              </w:rPr>
            </w:pPr>
          </w:p>
        </w:tc>
        <w:tc>
          <w:tcPr>
            <w:tcW w:w="567" w:type="dxa"/>
            <w:vAlign w:val="center"/>
          </w:tcPr>
          <w:p w14:paraId="369E01FE"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66BF36ED" w14:textId="7EC5893C"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50AB1124" w14:textId="7B2EC16C"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4DBD7342" w14:textId="4BBF4B63"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77FB9B5E" w14:textId="77777777" w:rsidR="00D34C6F" w:rsidRPr="00F9037E" w:rsidRDefault="00D34C6F" w:rsidP="00C05C97">
            <w:pPr>
              <w:spacing w:before="120" w:after="120"/>
              <w:jc w:val="center"/>
              <w:rPr>
                <w:color w:val="auto"/>
                <w:sz w:val="10"/>
                <w:szCs w:val="10"/>
              </w:rPr>
            </w:pPr>
            <w:r w:rsidRPr="00F9037E">
              <w:rPr>
                <w:color w:val="auto"/>
                <w:sz w:val="10"/>
                <w:szCs w:val="10"/>
              </w:rPr>
              <w:t>111.500</w:t>
            </w:r>
          </w:p>
        </w:tc>
        <w:tc>
          <w:tcPr>
            <w:tcW w:w="567" w:type="dxa"/>
            <w:shd w:val="clear" w:color="auto" w:fill="auto"/>
            <w:vAlign w:val="center"/>
          </w:tcPr>
          <w:p w14:paraId="0A8450AD" w14:textId="77777777" w:rsidR="00D34C6F" w:rsidRPr="00F9037E" w:rsidRDefault="00D34C6F" w:rsidP="00C05C97">
            <w:pPr>
              <w:spacing w:before="120" w:after="120"/>
              <w:jc w:val="center"/>
              <w:rPr>
                <w:color w:val="auto"/>
                <w:sz w:val="10"/>
                <w:szCs w:val="10"/>
              </w:rPr>
            </w:pPr>
            <w:r w:rsidRPr="00F9037E">
              <w:rPr>
                <w:color w:val="auto"/>
                <w:sz w:val="10"/>
                <w:szCs w:val="10"/>
              </w:rPr>
              <w:t>95.000</w:t>
            </w:r>
          </w:p>
        </w:tc>
        <w:tc>
          <w:tcPr>
            <w:tcW w:w="647" w:type="dxa"/>
            <w:shd w:val="clear" w:color="auto" w:fill="auto"/>
            <w:vAlign w:val="center"/>
          </w:tcPr>
          <w:p w14:paraId="1117A324" w14:textId="77777777" w:rsidR="00D34C6F" w:rsidRPr="00F9037E" w:rsidRDefault="00D34C6F" w:rsidP="00C05C97">
            <w:pPr>
              <w:spacing w:before="120" w:after="120"/>
              <w:jc w:val="center"/>
              <w:rPr>
                <w:color w:val="auto"/>
                <w:sz w:val="10"/>
                <w:szCs w:val="10"/>
              </w:rPr>
            </w:pPr>
            <w:r w:rsidRPr="00F9037E">
              <w:rPr>
                <w:color w:val="auto"/>
                <w:sz w:val="10"/>
                <w:szCs w:val="10"/>
              </w:rPr>
              <w:t>20.000</w:t>
            </w:r>
          </w:p>
        </w:tc>
        <w:tc>
          <w:tcPr>
            <w:tcW w:w="567" w:type="dxa"/>
            <w:shd w:val="clear" w:color="auto" w:fill="auto"/>
            <w:vAlign w:val="center"/>
          </w:tcPr>
          <w:p w14:paraId="52DA4896" w14:textId="04BBF840"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1B1F784A" w14:textId="3A2F5637" w:rsidR="00D34C6F" w:rsidRPr="00F9037E" w:rsidRDefault="00D34C6F" w:rsidP="00C05C97">
            <w:pPr>
              <w:spacing w:before="120" w:after="120"/>
              <w:jc w:val="center"/>
              <w:rPr>
                <w:b/>
                <w:color w:val="auto"/>
                <w:sz w:val="10"/>
                <w:szCs w:val="10"/>
              </w:rPr>
            </w:pPr>
          </w:p>
        </w:tc>
        <w:tc>
          <w:tcPr>
            <w:tcW w:w="567" w:type="dxa"/>
            <w:vAlign w:val="center"/>
          </w:tcPr>
          <w:p w14:paraId="21566189" w14:textId="77777777" w:rsidR="00D34C6F" w:rsidRPr="00F9037E" w:rsidRDefault="00D34C6F" w:rsidP="00C05C97">
            <w:pPr>
              <w:spacing w:before="120" w:after="120"/>
              <w:jc w:val="center"/>
              <w:rPr>
                <w:b/>
                <w:color w:val="auto"/>
                <w:sz w:val="10"/>
                <w:szCs w:val="10"/>
              </w:rPr>
            </w:pPr>
          </w:p>
        </w:tc>
        <w:tc>
          <w:tcPr>
            <w:tcW w:w="567" w:type="dxa"/>
            <w:vAlign w:val="center"/>
          </w:tcPr>
          <w:p w14:paraId="09E89685" w14:textId="77777777" w:rsidR="00D34C6F" w:rsidRPr="00F9037E" w:rsidRDefault="00D34C6F" w:rsidP="00C05C97">
            <w:pPr>
              <w:spacing w:before="120" w:after="120"/>
              <w:jc w:val="center"/>
              <w:rPr>
                <w:b/>
                <w:color w:val="auto"/>
                <w:sz w:val="10"/>
                <w:szCs w:val="10"/>
              </w:rPr>
            </w:pPr>
          </w:p>
        </w:tc>
        <w:tc>
          <w:tcPr>
            <w:tcW w:w="567" w:type="dxa"/>
            <w:vAlign w:val="center"/>
          </w:tcPr>
          <w:p w14:paraId="3AE32650" w14:textId="77777777" w:rsidR="00D34C6F" w:rsidRPr="00F9037E" w:rsidRDefault="00D34C6F" w:rsidP="00C05C97">
            <w:pPr>
              <w:spacing w:before="120" w:after="120"/>
              <w:jc w:val="center"/>
              <w:rPr>
                <w:b/>
                <w:color w:val="auto"/>
                <w:sz w:val="10"/>
                <w:szCs w:val="10"/>
              </w:rPr>
            </w:pPr>
          </w:p>
        </w:tc>
        <w:tc>
          <w:tcPr>
            <w:tcW w:w="567" w:type="dxa"/>
            <w:vAlign w:val="center"/>
          </w:tcPr>
          <w:p w14:paraId="3741952B" w14:textId="77777777" w:rsidR="00D34C6F" w:rsidRPr="00F9037E" w:rsidRDefault="00D34C6F" w:rsidP="00C05C97">
            <w:pPr>
              <w:spacing w:before="120" w:after="120"/>
              <w:jc w:val="center"/>
              <w:rPr>
                <w:b/>
                <w:color w:val="auto"/>
                <w:sz w:val="10"/>
                <w:szCs w:val="10"/>
              </w:rPr>
            </w:pPr>
          </w:p>
        </w:tc>
      </w:tr>
      <w:tr w:rsidR="00D34C6F" w:rsidRPr="00F9037E" w14:paraId="43988281" w14:textId="77777777" w:rsidTr="00C05C97">
        <w:trPr>
          <w:trHeight w:val="465"/>
          <w:jc w:val="center"/>
        </w:trPr>
        <w:tc>
          <w:tcPr>
            <w:tcW w:w="662" w:type="dxa"/>
            <w:shd w:val="clear" w:color="auto" w:fill="auto"/>
            <w:vAlign w:val="center"/>
          </w:tcPr>
          <w:p w14:paraId="44B3B435" w14:textId="77777777" w:rsidR="00D34C6F" w:rsidRPr="00F9037E" w:rsidRDefault="00D34C6F" w:rsidP="00C05C97">
            <w:pPr>
              <w:spacing w:before="120" w:after="120"/>
              <w:rPr>
                <w:color w:val="auto"/>
                <w:sz w:val="12"/>
                <w:szCs w:val="12"/>
              </w:rPr>
            </w:pPr>
            <w:r w:rsidRPr="00F9037E">
              <w:rPr>
                <w:color w:val="auto"/>
                <w:sz w:val="12"/>
                <w:szCs w:val="12"/>
              </w:rPr>
              <w:t>Italy</w:t>
            </w:r>
          </w:p>
        </w:tc>
        <w:tc>
          <w:tcPr>
            <w:tcW w:w="824" w:type="dxa"/>
            <w:shd w:val="clear" w:color="auto" w:fill="auto"/>
            <w:vAlign w:val="center"/>
          </w:tcPr>
          <w:p w14:paraId="3D152188" w14:textId="77777777" w:rsidR="00D34C6F" w:rsidRPr="00F9037E" w:rsidRDefault="00D34C6F" w:rsidP="00C05C97">
            <w:pPr>
              <w:spacing w:before="120" w:after="120"/>
              <w:rPr>
                <w:color w:val="auto"/>
                <w:sz w:val="12"/>
                <w:szCs w:val="12"/>
              </w:rPr>
            </w:pPr>
            <w:r w:rsidRPr="00F9037E">
              <w:rPr>
                <w:color w:val="auto"/>
                <w:sz w:val="12"/>
                <w:szCs w:val="12"/>
              </w:rPr>
              <w:t>Cut flowers (protected)</w:t>
            </w:r>
          </w:p>
        </w:tc>
        <w:tc>
          <w:tcPr>
            <w:tcW w:w="708" w:type="dxa"/>
            <w:shd w:val="clear" w:color="auto" w:fill="auto"/>
            <w:vAlign w:val="center"/>
          </w:tcPr>
          <w:p w14:paraId="6EB434CC" w14:textId="77777777" w:rsidR="00D34C6F" w:rsidRPr="00F9037E" w:rsidRDefault="00D34C6F" w:rsidP="00C05C97">
            <w:pPr>
              <w:spacing w:before="120" w:after="120"/>
              <w:jc w:val="center"/>
              <w:rPr>
                <w:color w:val="auto"/>
                <w:sz w:val="10"/>
                <w:szCs w:val="10"/>
              </w:rPr>
            </w:pPr>
            <w:r w:rsidRPr="00F9037E">
              <w:rPr>
                <w:color w:val="auto"/>
                <w:sz w:val="10"/>
                <w:szCs w:val="10"/>
              </w:rPr>
              <w:t>250.000</w:t>
            </w:r>
          </w:p>
        </w:tc>
        <w:tc>
          <w:tcPr>
            <w:tcW w:w="709" w:type="dxa"/>
            <w:shd w:val="clear" w:color="auto" w:fill="auto"/>
            <w:vAlign w:val="center"/>
          </w:tcPr>
          <w:p w14:paraId="125A6083" w14:textId="77777777" w:rsidR="00D34C6F" w:rsidRPr="00F9037E" w:rsidRDefault="00D34C6F" w:rsidP="00C05C97">
            <w:pPr>
              <w:spacing w:before="120" w:after="120"/>
              <w:jc w:val="center"/>
              <w:rPr>
                <w:color w:val="auto"/>
                <w:sz w:val="10"/>
                <w:szCs w:val="10"/>
              </w:rPr>
            </w:pPr>
            <w:r w:rsidRPr="00F9037E">
              <w:rPr>
                <w:color w:val="auto"/>
                <w:sz w:val="10"/>
                <w:szCs w:val="10"/>
              </w:rPr>
              <w:t>250.000</w:t>
            </w:r>
          </w:p>
        </w:tc>
        <w:tc>
          <w:tcPr>
            <w:tcW w:w="709" w:type="dxa"/>
            <w:shd w:val="clear" w:color="auto" w:fill="auto"/>
            <w:vAlign w:val="center"/>
          </w:tcPr>
          <w:p w14:paraId="3035325F" w14:textId="77777777" w:rsidR="00D34C6F" w:rsidRPr="00F9037E" w:rsidRDefault="00D34C6F" w:rsidP="00C05C97">
            <w:pPr>
              <w:spacing w:before="120" w:after="120"/>
              <w:jc w:val="center"/>
              <w:rPr>
                <w:color w:val="auto"/>
                <w:sz w:val="10"/>
                <w:szCs w:val="10"/>
              </w:rPr>
            </w:pPr>
            <w:r w:rsidRPr="00F9037E">
              <w:rPr>
                <w:color w:val="auto"/>
                <w:sz w:val="10"/>
                <w:szCs w:val="10"/>
              </w:rPr>
              <w:t>30.000</w:t>
            </w:r>
          </w:p>
        </w:tc>
        <w:tc>
          <w:tcPr>
            <w:tcW w:w="567" w:type="dxa"/>
            <w:shd w:val="clear" w:color="auto" w:fill="auto"/>
            <w:vAlign w:val="center"/>
          </w:tcPr>
          <w:p w14:paraId="03DA2382" w14:textId="450B40D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6290E028" w14:textId="5BC34F2C"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AF445A1" w14:textId="6EC1275E"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38202F4B" w14:textId="03103FEE"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5C32930" w14:textId="21714DD4"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B0FE137" w14:textId="12C3729F" w:rsidR="00D34C6F" w:rsidRPr="00F9037E" w:rsidRDefault="00D34C6F" w:rsidP="00C05C97">
            <w:pPr>
              <w:spacing w:before="120" w:after="120"/>
              <w:jc w:val="center"/>
              <w:rPr>
                <w:color w:val="auto"/>
                <w:sz w:val="10"/>
                <w:szCs w:val="10"/>
              </w:rPr>
            </w:pPr>
          </w:p>
        </w:tc>
        <w:tc>
          <w:tcPr>
            <w:tcW w:w="629" w:type="dxa"/>
            <w:vAlign w:val="center"/>
          </w:tcPr>
          <w:p w14:paraId="5B3FDF75" w14:textId="77777777" w:rsidR="00D34C6F" w:rsidRPr="00F9037E" w:rsidRDefault="00D34C6F" w:rsidP="00C05C97">
            <w:pPr>
              <w:spacing w:before="120" w:after="120"/>
              <w:jc w:val="center"/>
              <w:rPr>
                <w:color w:val="auto"/>
                <w:sz w:val="10"/>
                <w:szCs w:val="10"/>
              </w:rPr>
            </w:pPr>
          </w:p>
        </w:tc>
        <w:tc>
          <w:tcPr>
            <w:tcW w:w="567" w:type="dxa"/>
            <w:vAlign w:val="center"/>
          </w:tcPr>
          <w:p w14:paraId="3C6C7BAC" w14:textId="77777777" w:rsidR="00D34C6F" w:rsidRPr="00F9037E" w:rsidRDefault="00D34C6F" w:rsidP="00C05C97">
            <w:pPr>
              <w:spacing w:before="120" w:after="120"/>
              <w:jc w:val="center"/>
              <w:rPr>
                <w:color w:val="auto"/>
                <w:sz w:val="10"/>
                <w:szCs w:val="10"/>
              </w:rPr>
            </w:pPr>
          </w:p>
        </w:tc>
        <w:tc>
          <w:tcPr>
            <w:tcW w:w="567" w:type="dxa"/>
            <w:vAlign w:val="center"/>
          </w:tcPr>
          <w:p w14:paraId="28D14C1A"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00615A64" w14:textId="77777777" w:rsidR="00D34C6F" w:rsidRPr="00F9037E" w:rsidRDefault="00D34C6F" w:rsidP="00C05C97">
            <w:pPr>
              <w:spacing w:before="120" w:after="120"/>
              <w:jc w:val="center"/>
              <w:rPr>
                <w:color w:val="auto"/>
                <w:sz w:val="10"/>
                <w:szCs w:val="10"/>
              </w:rPr>
            </w:pPr>
            <w:r w:rsidRPr="00F9037E">
              <w:rPr>
                <w:color w:val="auto"/>
                <w:sz w:val="10"/>
                <w:szCs w:val="10"/>
              </w:rPr>
              <w:t>250.000</w:t>
            </w:r>
          </w:p>
        </w:tc>
        <w:tc>
          <w:tcPr>
            <w:tcW w:w="709" w:type="dxa"/>
            <w:shd w:val="clear" w:color="auto" w:fill="auto"/>
            <w:vAlign w:val="center"/>
          </w:tcPr>
          <w:p w14:paraId="31D552BF" w14:textId="77777777" w:rsidR="00D34C6F" w:rsidRPr="00F9037E" w:rsidRDefault="00D34C6F" w:rsidP="00C05C97">
            <w:pPr>
              <w:spacing w:before="120" w:after="120"/>
              <w:jc w:val="center"/>
              <w:rPr>
                <w:color w:val="auto"/>
                <w:sz w:val="10"/>
                <w:szCs w:val="10"/>
              </w:rPr>
            </w:pPr>
            <w:r w:rsidRPr="00F9037E">
              <w:rPr>
                <w:color w:val="auto"/>
                <w:sz w:val="10"/>
                <w:szCs w:val="10"/>
              </w:rPr>
              <w:t>187.000</w:t>
            </w:r>
          </w:p>
        </w:tc>
        <w:tc>
          <w:tcPr>
            <w:tcW w:w="708" w:type="dxa"/>
            <w:shd w:val="clear" w:color="auto" w:fill="auto"/>
            <w:vAlign w:val="center"/>
          </w:tcPr>
          <w:p w14:paraId="5FD42781" w14:textId="77777777" w:rsidR="00D34C6F" w:rsidRPr="00F9037E" w:rsidRDefault="00D34C6F" w:rsidP="00C05C97">
            <w:pPr>
              <w:spacing w:before="120" w:after="120"/>
              <w:jc w:val="center"/>
              <w:rPr>
                <w:color w:val="auto"/>
                <w:sz w:val="10"/>
                <w:szCs w:val="10"/>
              </w:rPr>
            </w:pPr>
            <w:r w:rsidRPr="00F9037E">
              <w:rPr>
                <w:color w:val="auto"/>
                <w:sz w:val="10"/>
                <w:szCs w:val="10"/>
              </w:rPr>
              <w:t>30.000</w:t>
            </w:r>
          </w:p>
        </w:tc>
        <w:tc>
          <w:tcPr>
            <w:tcW w:w="709" w:type="dxa"/>
            <w:shd w:val="clear" w:color="auto" w:fill="auto"/>
            <w:vAlign w:val="center"/>
          </w:tcPr>
          <w:p w14:paraId="68FC57FA" w14:textId="6F10F581"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33C8030A" w14:textId="78A75B75"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1B295BB8" w14:textId="476C929C"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CB06774" w14:textId="2B41554C"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367D9D2A" w14:textId="04720A4C" w:rsidR="00D34C6F" w:rsidRPr="00F9037E" w:rsidRDefault="00D34C6F" w:rsidP="00C05C97">
            <w:pPr>
              <w:spacing w:before="120" w:after="120"/>
              <w:jc w:val="center"/>
              <w:rPr>
                <w:b/>
                <w:color w:val="auto"/>
                <w:sz w:val="10"/>
                <w:szCs w:val="10"/>
              </w:rPr>
            </w:pPr>
          </w:p>
        </w:tc>
        <w:tc>
          <w:tcPr>
            <w:tcW w:w="567" w:type="dxa"/>
            <w:vAlign w:val="center"/>
          </w:tcPr>
          <w:p w14:paraId="0C032DCD" w14:textId="77777777" w:rsidR="00D34C6F" w:rsidRPr="00F9037E" w:rsidRDefault="00D34C6F" w:rsidP="00C05C97">
            <w:pPr>
              <w:spacing w:before="120" w:after="120"/>
              <w:jc w:val="center"/>
              <w:rPr>
                <w:b/>
                <w:color w:val="auto"/>
                <w:sz w:val="10"/>
                <w:szCs w:val="10"/>
              </w:rPr>
            </w:pPr>
          </w:p>
        </w:tc>
        <w:tc>
          <w:tcPr>
            <w:tcW w:w="567" w:type="dxa"/>
            <w:vAlign w:val="center"/>
          </w:tcPr>
          <w:p w14:paraId="7100C745" w14:textId="77777777" w:rsidR="00D34C6F" w:rsidRPr="00F9037E" w:rsidRDefault="00D34C6F" w:rsidP="00C05C97">
            <w:pPr>
              <w:spacing w:before="120" w:after="120"/>
              <w:jc w:val="center"/>
              <w:rPr>
                <w:b/>
                <w:color w:val="auto"/>
                <w:sz w:val="10"/>
                <w:szCs w:val="10"/>
              </w:rPr>
            </w:pPr>
          </w:p>
        </w:tc>
        <w:tc>
          <w:tcPr>
            <w:tcW w:w="567" w:type="dxa"/>
            <w:vAlign w:val="center"/>
          </w:tcPr>
          <w:p w14:paraId="45E98BF1" w14:textId="77777777" w:rsidR="00D34C6F" w:rsidRPr="00F9037E" w:rsidRDefault="00D34C6F" w:rsidP="00C05C97">
            <w:pPr>
              <w:spacing w:before="120" w:after="120"/>
              <w:jc w:val="center"/>
              <w:rPr>
                <w:b/>
                <w:color w:val="auto"/>
                <w:sz w:val="10"/>
                <w:szCs w:val="10"/>
              </w:rPr>
            </w:pPr>
          </w:p>
        </w:tc>
        <w:tc>
          <w:tcPr>
            <w:tcW w:w="567" w:type="dxa"/>
            <w:vAlign w:val="center"/>
          </w:tcPr>
          <w:p w14:paraId="2BAA695B" w14:textId="77777777" w:rsidR="00D34C6F" w:rsidRPr="00F9037E" w:rsidRDefault="00D34C6F" w:rsidP="00C05C97">
            <w:pPr>
              <w:spacing w:before="120" w:after="120"/>
              <w:jc w:val="center"/>
              <w:rPr>
                <w:b/>
                <w:color w:val="auto"/>
                <w:sz w:val="10"/>
                <w:szCs w:val="10"/>
              </w:rPr>
            </w:pPr>
          </w:p>
        </w:tc>
      </w:tr>
      <w:tr w:rsidR="00D34C6F" w:rsidRPr="00F9037E" w14:paraId="7AA34E2C" w14:textId="77777777" w:rsidTr="00C05C97">
        <w:trPr>
          <w:trHeight w:val="465"/>
          <w:jc w:val="center"/>
        </w:trPr>
        <w:tc>
          <w:tcPr>
            <w:tcW w:w="662" w:type="dxa"/>
            <w:shd w:val="clear" w:color="auto" w:fill="auto"/>
            <w:vAlign w:val="center"/>
          </w:tcPr>
          <w:p w14:paraId="4CD35C6A" w14:textId="77777777" w:rsidR="00D34C6F" w:rsidRPr="00F9037E" w:rsidRDefault="00D34C6F" w:rsidP="00C05C97">
            <w:pPr>
              <w:spacing w:before="120" w:after="120"/>
              <w:rPr>
                <w:color w:val="auto"/>
                <w:sz w:val="12"/>
                <w:szCs w:val="12"/>
              </w:rPr>
            </w:pPr>
            <w:r w:rsidRPr="00F9037E">
              <w:rPr>
                <w:color w:val="auto"/>
                <w:sz w:val="12"/>
                <w:szCs w:val="12"/>
              </w:rPr>
              <w:t>Italy</w:t>
            </w:r>
          </w:p>
        </w:tc>
        <w:tc>
          <w:tcPr>
            <w:tcW w:w="824" w:type="dxa"/>
            <w:shd w:val="clear" w:color="auto" w:fill="auto"/>
            <w:vAlign w:val="center"/>
          </w:tcPr>
          <w:p w14:paraId="638D2845" w14:textId="77777777" w:rsidR="00D34C6F" w:rsidRPr="00F9037E" w:rsidRDefault="00D34C6F" w:rsidP="00C05C97">
            <w:pPr>
              <w:spacing w:before="120" w:after="120"/>
              <w:rPr>
                <w:color w:val="auto"/>
                <w:sz w:val="12"/>
                <w:szCs w:val="12"/>
              </w:rPr>
            </w:pPr>
            <w:r w:rsidRPr="00F9037E">
              <w:rPr>
                <w:color w:val="auto"/>
                <w:sz w:val="12"/>
                <w:szCs w:val="12"/>
              </w:rPr>
              <w:t>Eggplant (protected)</w:t>
            </w:r>
          </w:p>
        </w:tc>
        <w:tc>
          <w:tcPr>
            <w:tcW w:w="708" w:type="dxa"/>
            <w:shd w:val="clear" w:color="auto" w:fill="auto"/>
            <w:vAlign w:val="center"/>
          </w:tcPr>
          <w:p w14:paraId="394ED022" w14:textId="77777777" w:rsidR="00D34C6F" w:rsidRPr="00F9037E" w:rsidRDefault="00D34C6F" w:rsidP="00C05C97">
            <w:pPr>
              <w:spacing w:before="120" w:after="120"/>
              <w:jc w:val="center"/>
              <w:rPr>
                <w:color w:val="auto"/>
                <w:sz w:val="10"/>
                <w:szCs w:val="10"/>
              </w:rPr>
            </w:pPr>
            <w:r w:rsidRPr="00F9037E">
              <w:rPr>
                <w:color w:val="auto"/>
                <w:sz w:val="10"/>
                <w:szCs w:val="10"/>
              </w:rPr>
              <w:t>280.000</w:t>
            </w:r>
          </w:p>
        </w:tc>
        <w:tc>
          <w:tcPr>
            <w:tcW w:w="709" w:type="dxa"/>
            <w:shd w:val="clear" w:color="auto" w:fill="auto"/>
            <w:vAlign w:val="center"/>
          </w:tcPr>
          <w:p w14:paraId="1F9385DD" w14:textId="77777777" w:rsidR="00D34C6F" w:rsidRPr="00F9037E" w:rsidRDefault="00D34C6F" w:rsidP="00C05C97">
            <w:pPr>
              <w:spacing w:before="120" w:after="120"/>
              <w:jc w:val="center"/>
              <w:rPr>
                <w:color w:val="auto"/>
                <w:sz w:val="10"/>
                <w:szCs w:val="10"/>
              </w:rPr>
            </w:pPr>
            <w:r w:rsidRPr="00F9037E">
              <w:rPr>
                <w:color w:val="auto"/>
                <w:sz w:val="10"/>
                <w:szCs w:val="10"/>
              </w:rPr>
              <w:t>200.000</w:t>
            </w:r>
          </w:p>
        </w:tc>
        <w:tc>
          <w:tcPr>
            <w:tcW w:w="709" w:type="dxa"/>
            <w:shd w:val="clear" w:color="auto" w:fill="auto"/>
            <w:vAlign w:val="center"/>
          </w:tcPr>
          <w:p w14:paraId="79833D22" w14:textId="77777777" w:rsidR="00D34C6F" w:rsidRPr="00F9037E" w:rsidRDefault="00D34C6F" w:rsidP="00C05C97">
            <w:pPr>
              <w:spacing w:before="120" w:after="120"/>
              <w:jc w:val="center"/>
              <w:rPr>
                <w:color w:val="auto"/>
                <w:sz w:val="10"/>
                <w:szCs w:val="10"/>
              </w:rPr>
            </w:pPr>
            <w:r w:rsidRPr="00F9037E">
              <w:rPr>
                <w:color w:val="auto"/>
                <w:sz w:val="10"/>
                <w:szCs w:val="10"/>
              </w:rPr>
              <w:t>15.000</w:t>
            </w:r>
          </w:p>
        </w:tc>
        <w:tc>
          <w:tcPr>
            <w:tcW w:w="567" w:type="dxa"/>
            <w:shd w:val="clear" w:color="auto" w:fill="auto"/>
            <w:vAlign w:val="center"/>
          </w:tcPr>
          <w:p w14:paraId="3ACD36FD" w14:textId="2601B63D"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6DC368A4" w14:textId="2AB91794"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7C924885" w14:textId="19CA654E"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12F51AB8" w14:textId="049D2154"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00EB6D2" w14:textId="1B144BA4"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2F88760C" w14:textId="74A687ED" w:rsidR="00D34C6F" w:rsidRPr="00F9037E" w:rsidRDefault="00D34C6F" w:rsidP="00C05C97">
            <w:pPr>
              <w:spacing w:before="120" w:after="120"/>
              <w:jc w:val="center"/>
              <w:rPr>
                <w:color w:val="auto"/>
                <w:sz w:val="10"/>
                <w:szCs w:val="10"/>
              </w:rPr>
            </w:pPr>
          </w:p>
        </w:tc>
        <w:tc>
          <w:tcPr>
            <w:tcW w:w="629" w:type="dxa"/>
            <w:vAlign w:val="center"/>
          </w:tcPr>
          <w:p w14:paraId="21258972" w14:textId="77777777" w:rsidR="00D34C6F" w:rsidRPr="00F9037E" w:rsidRDefault="00D34C6F" w:rsidP="00C05C97">
            <w:pPr>
              <w:spacing w:before="120" w:after="120"/>
              <w:jc w:val="center"/>
              <w:rPr>
                <w:color w:val="auto"/>
                <w:sz w:val="10"/>
                <w:szCs w:val="10"/>
              </w:rPr>
            </w:pPr>
          </w:p>
        </w:tc>
        <w:tc>
          <w:tcPr>
            <w:tcW w:w="567" w:type="dxa"/>
            <w:vAlign w:val="center"/>
          </w:tcPr>
          <w:p w14:paraId="3816A126" w14:textId="77777777" w:rsidR="00D34C6F" w:rsidRPr="00F9037E" w:rsidRDefault="00D34C6F" w:rsidP="00C05C97">
            <w:pPr>
              <w:spacing w:before="120" w:after="120"/>
              <w:jc w:val="center"/>
              <w:rPr>
                <w:color w:val="auto"/>
                <w:sz w:val="10"/>
                <w:szCs w:val="10"/>
              </w:rPr>
            </w:pPr>
          </w:p>
        </w:tc>
        <w:tc>
          <w:tcPr>
            <w:tcW w:w="567" w:type="dxa"/>
            <w:vAlign w:val="center"/>
          </w:tcPr>
          <w:p w14:paraId="5730F443"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0C1796CB" w14:textId="77777777" w:rsidR="00D34C6F" w:rsidRPr="00F9037E" w:rsidRDefault="00D34C6F" w:rsidP="00C05C97">
            <w:pPr>
              <w:spacing w:before="120" w:after="120"/>
              <w:jc w:val="center"/>
              <w:rPr>
                <w:color w:val="auto"/>
                <w:sz w:val="10"/>
                <w:szCs w:val="10"/>
              </w:rPr>
            </w:pPr>
            <w:r w:rsidRPr="00F9037E">
              <w:rPr>
                <w:color w:val="auto"/>
                <w:sz w:val="10"/>
                <w:szCs w:val="10"/>
              </w:rPr>
              <w:t>194.000</w:t>
            </w:r>
          </w:p>
        </w:tc>
        <w:tc>
          <w:tcPr>
            <w:tcW w:w="709" w:type="dxa"/>
            <w:shd w:val="clear" w:color="auto" w:fill="auto"/>
            <w:vAlign w:val="center"/>
          </w:tcPr>
          <w:p w14:paraId="0000A52B" w14:textId="77777777" w:rsidR="00D34C6F" w:rsidRPr="00F9037E" w:rsidRDefault="00D34C6F" w:rsidP="00C05C97">
            <w:pPr>
              <w:spacing w:before="120" w:after="120"/>
              <w:jc w:val="center"/>
              <w:rPr>
                <w:color w:val="auto"/>
                <w:sz w:val="10"/>
                <w:szCs w:val="10"/>
              </w:rPr>
            </w:pPr>
            <w:r w:rsidRPr="00F9037E">
              <w:rPr>
                <w:color w:val="auto"/>
                <w:sz w:val="10"/>
                <w:szCs w:val="10"/>
              </w:rPr>
              <w:t>156.000</w:t>
            </w:r>
          </w:p>
        </w:tc>
        <w:tc>
          <w:tcPr>
            <w:tcW w:w="708" w:type="dxa"/>
            <w:shd w:val="clear" w:color="auto" w:fill="auto"/>
            <w:vAlign w:val="center"/>
          </w:tcPr>
          <w:p w14:paraId="33CD17AC" w14:textId="33B9758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5E11EC0A" w14:textId="6CDE7B35"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709918FE" w14:textId="2E297ED1"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3C60AE8D" w14:textId="08F2D43F"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4152ED0" w14:textId="66C530D4"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1BB1C85E" w14:textId="35EF1AD8" w:rsidR="00D34C6F" w:rsidRPr="00F9037E" w:rsidRDefault="00D34C6F" w:rsidP="00C05C97">
            <w:pPr>
              <w:spacing w:before="120" w:after="120"/>
              <w:jc w:val="center"/>
              <w:rPr>
                <w:b/>
                <w:color w:val="auto"/>
                <w:sz w:val="10"/>
                <w:szCs w:val="10"/>
              </w:rPr>
            </w:pPr>
          </w:p>
        </w:tc>
        <w:tc>
          <w:tcPr>
            <w:tcW w:w="567" w:type="dxa"/>
            <w:vAlign w:val="center"/>
          </w:tcPr>
          <w:p w14:paraId="0E6079B8" w14:textId="77777777" w:rsidR="00D34C6F" w:rsidRPr="00F9037E" w:rsidRDefault="00D34C6F" w:rsidP="00C05C97">
            <w:pPr>
              <w:spacing w:before="120" w:after="120"/>
              <w:jc w:val="center"/>
              <w:rPr>
                <w:b/>
                <w:color w:val="auto"/>
                <w:sz w:val="10"/>
                <w:szCs w:val="10"/>
              </w:rPr>
            </w:pPr>
          </w:p>
        </w:tc>
        <w:tc>
          <w:tcPr>
            <w:tcW w:w="567" w:type="dxa"/>
            <w:vAlign w:val="center"/>
          </w:tcPr>
          <w:p w14:paraId="262A4AD5" w14:textId="77777777" w:rsidR="00D34C6F" w:rsidRPr="00F9037E" w:rsidRDefault="00D34C6F" w:rsidP="00C05C97">
            <w:pPr>
              <w:spacing w:before="120" w:after="120"/>
              <w:jc w:val="center"/>
              <w:rPr>
                <w:b/>
                <w:color w:val="auto"/>
                <w:sz w:val="10"/>
                <w:szCs w:val="10"/>
              </w:rPr>
            </w:pPr>
          </w:p>
        </w:tc>
        <w:tc>
          <w:tcPr>
            <w:tcW w:w="567" w:type="dxa"/>
            <w:vAlign w:val="center"/>
          </w:tcPr>
          <w:p w14:paraId="3F858FB1" w14:textId="77777777" w:rsidR="00D34C6F" w:rsidRPr="00F9037E" w:rsidRDefault="00D34C6F" w:rsidP="00C05C97">
            <w:pPr>
              <w:spacing w:before="120" w:after="120"/>
              <w:jc w:val="center"/>
              <w:rPr>
                <w:b/>
                <w:color w:val="auto"/>
                <w:sz w:val="10"/>
                <w:szCs w:val="10"/>
              </w:rPr>
            </w:pPr>
          </w:p>
        </w:tc>
        <w:tc>
          <w:tcPr>
            <w:tcW w:w="567" w:type="dxa"/>
            <w:vAlign w:val="center"/>
          </w:tcPr>
          <w:p w14:paraId="01E649A1" w14:textId="77777777" w:rsidR="00D34C6F" w:rsidRPr="00F9037E" w:rsidRDefault="00D34C6F" w:rsidP="00C05C97">
            <w:pPr>
              <w:spacing w:before="120" w:after="120"/>
              <w:jc w:val="center"/>
              <w:rPr>
                <w:b/>
                <w:color w:val="auto"/>
                <w:sz w:val="10"/>
                <w:szCs w:val="10"/>
              </w:rPr>
            </w:pPr>
          </w:p>
        </w:tc>
      </w:tr>
      <w:tr w:rsidR="00D34C6F" w:rsidRPr="00F9037E" w14:paraId="1EE63BAD" w14:textId="77777777" w:rsidTr="00C05C97">
        <w:trPr>
          <w:trHeight w:val="465"/>
          <w:jc w:val="center"/>
        </w:trPr>
        <w:tc>
          <w:tcPr>
            <w:tcW w:w="662" w:type="dxa"/>
            <w:shd w:val="clear" w:color="auto" w:fill="auto"/>
            <w:vAlign w:val="center"/>
          </w:tcPr>
          <w:p w14:paraId="65FAE007" w14:textId="77777777" w:rsidR="00D34C6F" w:rsidRPr="00F9037E" w:rsidRDefault="00D34C6F" w:rsidP="00C05C97">
            <w:pPr>
              <w:spacing w:before="120" w:after="120"/>
              <w:rPr>
                <w:color w:val="auto"/>
                <w:sz w:val="12"/>
                <w:szCs w:val="12"/>
              </w:rPr>
            </w:pPr>
            <w:r w:rsidRPr="00F9037E">
              <w:rPr>
                <w:color w:val="auto"/>
                <w:sz w:val="12"/>
                <w:szCs w:val="12"/>
              </w:rPr>
              <w:t>Italy</w:t>
            </w:r>
          </w:p>
        </w:tc>
        <w:tc>
          <w:tcPr>
            <w:tcW w:w="824" w:type="dxa"/>
            <w:shd w:val="clear" w:color="auto" w:fill="auto"/>
            <w:vAlign w:val="center"/>
          </w:tcPr>
          <w:p w14:paraId="647148A1" w14:textId="77777777" w:rsidR="00D34C6F" w:rsidRPr="00F9037E" w:rsidRDefault="00D34C6F" w:rsidP="00C05C97">
            <w:pPr>
              <w:spacing w:before="120" w:after="120"/>
              <w:rPr>
                <w:color w:val="auto"/>
                <w:sz w:val="12"/>
                <w:szCs w:val="12"/>
              </w:rPr>
            </w:pPr>
            <w:r w:rsidRPr="00F9037E">
              <w:rPr>
                <w:color w:val="auto"/>
                <w:sz w:val="12"/>
                <w:szCs w:val="12"/>
              </w:rPr>
              <w:t>Melon (protected)</w:t>
            </w:r>
          </w:p>
        </w:tc>
        <w:tc>
          <w:tcPr>
            <w:tcW w:w="708" w:type="dxa"/>
            <w:shd w:val="clear" w:color="auto" w:fill="auto"/>
            <w:vAlign w:val="center"/>
          </w:tcPr>
          <w:p w14:paraId="68FC2B64" w14:textId="77777777" w:rsidR="00D34C6F" w:rsidRPr="00F9037E" w:rsidRDefault="00D34C6F" w:rsidP="00C05C97">
            <w:pPr>
              <w:spacing w:before="120" w:after="120"/>
              <w:jc w:val="center"/>
              <w:rPr>
                <w:color w:val="auto"/>
                <w:sz w:val="10"/>
                <w:szCs w:val="10"/>
              </w:rPr>
            </w:pPr>
            <w:r w:rsidRPr="00F9037E">
              <w:rPr>
                <w:color w:val="auto"/>
                <w:sz w:val="10"/>
                <w:szCs w:val="10"/>
              </w:rPr>
              <w:t>180.000</w:t>
            </w:r>
          </w:p>
        </w:tc>
        <w:tc>
          <w:tcPr>
            <w:tcW w:w="709" w:type="dxa"/>
            <w:shd w:val="clear" w:color="auto" w:fill="auto"/>
            <w:vAlign w:val="center"/>
          </w:tcPr>
          <w:p w14:paraId="2D19928A" w14:textId="77777777" w:rsidR="00D34C6F" w:rsidRPr="00F9037E" w:rsidRDefault="00D34C6F" w:rsidP="00C05C97">
            <w:pPr>
              <w:spacing w:before="120" w:after="120"/>
              <w:jc w:val="center"/>
              <w:rPr>
                <w:color w:val="auto"/>
                <w:sz w:val="10"/>
                <w:szCs w:val="10"/>
              </w:rPr>
            </w:pPr>
            <w:r w:rsidRPr="00F9037E">
              <w:rPr>
                <w:color w:val="auto"/>
                <w:sz w:val="10"/>
                <w:szCs w:val="10"/>
              </w:rPr>
              <w:t>135.000</w:t>
            </w:r>
          </w:p>
        </w:tc>
        <w:tc>
          <w:tcPr>
            <w:tcW w:w="709" w:type="dxa"/>
            <w:shd w:val="clear" w:color="auto" w:fill="auto"/>
            <w:vAlign w:val="center"/>
          </w:tcPr>
          <w:p w14:paraId="49179199" w14:textId="77777777" w:rsidR="00D34C6F" w:rsidRPr="00F9037E" w:rsidRDefault="00D34C6F" w:rsidP="00C05C97">
            <w:pPr>
              <w:spacing w:before="120" w:after="120"/>
              <w:jc w:val="center"/>
              <w:rPr>
                <w:color w:val="auto"/>
                <w:sz w:val="10"/>
                <w:szCs w:val="10"/>
              </w:rPr>
            </w:pPr>
            <w:r w:rsidRPr="00F9037E">
              <w:rPr>
                <w:color w:val="auto"/>
                <w:sz w:val="10"/>
                <w:szCs w:val="10"/>
              </w:rPr>
              <w:t>10.000</w:t>
            </w:r>
          </w:p>
        </w:tc>
        <w:tc>
          <w:tcPr>
            <w:tcW w:w="567" w:type="dxa"/>
            <w:shd w:val="clear" w:color="auto" w:fill="auto"/>
            <w:vAlign w:val="center"/>
          </w:tcPr>
          <w:p w14:paraId="28396FC7" w14:textId="30E5A48A"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3E81ECED" w14:textId="74E61454"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96B0C74" w14:textId="39A6BE52"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3AC97523" w14:textId="4CE02788"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D9FA5FE" w14:textId="4E595AC8"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0AFD8CA" w14:textId="54FC8458" w:rsidR="00D34C6F" w:rsidRPr="00F9037E" w:rsidRDefault="00D34C6F" w:rsidP="00C05C97">
            <w:pPr>
              <w:spacing w:before="120" w:after="120"/>
              <w:jc w:val="center"/>
              <w:rPr>
                <w:color w:val="auto"/>
                <w:sz w:val="10"/>
                <w:szCs w:val="10"/>
              </w:rPr>
            </w:pPr>
          </w:p>
        </w:tc>
        <w:tc>
          <w:tcPr>
            <w:tcW w:w="629" w:type="dxa"/>
            <w:vAlign w:val="center"/>
          </w:tcPr>
          <w:p w14:paraId="051C9D38" w14:textId="77777777" w:rsidR="00D34C6F" w:rsidRPr="00F9037E" w:rsidRDefault="00D34C6F" w:rsidP="00C05C97">
            <w:pPr>
              <w:spacing w:before="120" w:after="120"/>
              <w:jc w:val="center"/>
              <w:rPr>
                <w:color w:val="auto"/>
                <w:sz w:val="10"/>
                <w:szCs w:val="10"/>
              </w:rPr>
            </w:pPr>
          </w:p>
        </w:tc>
        <w:tc>
          <w:tcPr>
            <w:tcW w:w="567" w:type="dxa"/>
            <w:vAlign w:val="center"/>
          </w:tcPr>
          <w:p w14:paraId="35C82D09" w14:textId="77777777" w:rsidR="00D34C6F" w:rsidRPr="00F9037E" w:rsidRDefault="00D34C6F" w:rsidP="00C05C97">
            <w:pPr>
              <w:spacing w:before="120" w:after="120"/>
              <w:jc w:val="center"/>
              <w:rPr>
                <w:color w:val="auto"/>
                <w:sz w:val="10"/>
                <w:szCs w:val="10"/>
              </w:rPr>
            </w:pPr>
          </w:p>
        </w:tc>
        <w:tc>
          <w:tcPr>
            <w:tcW w:w="567" w:type="dxa"/>
            <w:vAlign w:val="center"/>
          </w:tcPr>
          <w:p w14:paraId="5B7474E1"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1DB4C7F0" w14:textId="77777777" w:rsidR="00D34C6F" w:rsidRPr="00F9037E" w:rsidRDefault="00D34C6F" w:rsidP="00C05C97">
            <w:pPr>
              <w:spacing w:before="120" w:after="120"/>
              <w:jc w:val="center"/>
              <w:rPr>
                <w:color w:val="auto"/>
                <w:sz w:val="10"/>
                <w:szCs w:val="10"/>
              </w:rPr>
            </w:pPr>
            <w:r w:rsidRPr="00F9037E">
              <w:rPr>
                <w:color w:val="auto"/>
                <w:sz w:val="10"/>
                <w:szCs w:val="10"/>
              </w:rPr>
              <w:t>131.000</w:t>
            </w:r>
          </w:p>
        </w:tc>
        <w:tc>
          <w:tcPr>
            <w:tcW w:w="709" w:type="dxa"/>
            <w:shd w:val="clear" w:color="auto" w:fill="auto"/>
            <w:vAlign w:val="center"/>
          </w:tcPr>
          <w:p w14:paraId="3B6700C1" w14:textId="77777777" w:rsidR="00D34C6F" w:rsidRPr="00F9037E" w:rsidRDefault="00D34C6F" w:rsidP="00C05C97">
            <w:pPr>
              <w:spacing w:before="120" w:after="120"/>
              <w:jc w:val="center"/>
              <w:rPr>
                <w:color w:val="auto"/>
                <w:sz w:val="10"/>
                <w:szCs w:val="10"/>
              </w:rPr>
            </w:pPr>
            <w:r w:rsidRPr="00F9037E">
              <w:rPr>
                <w:color w:val="auto"/>
                <w:sz w:val="10"/>
                <w:szCs w:val="10"/>
              </w:rPr>
              <w:t>131.000</w:t>
            </w:r>
          </w:p>
        </w:tc>
        <w:tc>
          <w:tcPr>
            <w:tcW w:w="708" w:type="dxa"/>
            <w:shd w:val="clear" w:color="auto" w:fill="auto"/>
            <w:vAlign w:val="center"/>
          </w:tcPr>
          <w:p w14:paraId="7994B949" w14:textId="77777777" w:rsidR="00D34C6F" w:rsidRPr="00F9037E" w:rsidRDefault="00D34C6F" w:rsidP="00C05C97">
            <w:pPr>
              <w:spacing w:before="120" w:after="120"/>
              <w:jc w:val="center"/>
              <w:rPr>
                <w:color w:val="auto"/>
                <w:sz w:val="10"/>
                <w:szCs w:val="10"/>
              </w:rPr>
            </w:pPr>
            <w:r w:rsidRPr="00F9037E">
              <w:rPr>
                <w:color w:val="auto"/>
                <w:sz w:val="10"/>
                <w:szCs w:val="10"/>
              </w:rPr>
              <w:t>10.000</w:t>
            </w:r>
          </w:p>
        </w:tc>
        <w:tc>
          <w:tcPr>
            <w:tcW w:w="709" w:type="dxa"/>
            <w:shd w:val="clear" w:color="auto" w:fill="auto"/>
            <w:vAlign w:val="center"/>
          </w:tcPr>
          <w:p w14:paraId="5995292B" w14:textId="766E0E10"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A593601" w14:textId="771E83CE"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5B79A6F8" w14:textId="68B369BF"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507536E" w14:textId="45ECC497"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65188CE8" w14:textId="273EA687" w:rsidR="00D34C6F" w:rsidRPr="00F9037E" w:rsidRDefault="00D34C6F" w:rsidP="00C05C97">
            <w:pPr>
              <w:spacing w:before="120" w:after="120"/>
              <w:jc w:val="center"/>
              <w:rPr>
                <w:b/>
                <w:color w:val="auto"/>
                <w:sz w:val="10"/>
                <w:szCs w:val="10"/>
              </w:rPr>
            </w:pPr>
          </w:p>
        </w:tc>
        <w:tc>
          <w:tcPr>
            <w:tcW w:w="567" w:type="dxa"/>
            <w:vAlign w:val="center"/>
          </w:tcPr>
          <w:p w14:paraId="79E29A56" w14:textId="77777777" w:rsidR="00D34C6F" w:rsidRPr="00F9037E" w:rsidRDefault="00D34C6F" w:rsidP="00C05C97">
            <w:pPr>
              <w:spacing w:before="120" w:after="120"/>
              <w:jc w:val="center"/>
              <w:rPr>
                <w:b/>
                <w:color w:val="auto"/>
                <w:sz w:val="10"/>
                <w:szCs w:val="10"/>
              </w:rPr>
            </w:pPr>
          </w:p>
        </w:tc>
        <w:tc>
          <w:tcPr>
            <w:tcW w:w="567" w:type="dxa"/>
            <w:vAlign w:val="center"/>
          </w:tcPr>
          <w:p w14:paraId="0547D154" w14:textId="77777777" w:rsidR="00D34C6F" w:rsidRPr="00F9037E" w:rsidRDefault="00D34C6F" w:rsidP="00C05C97">
            <w:pPr>
              <w:spacing w:before="120" w:after="120"/>
              <w:jc w:val="center"/>
              <w:rPr>
                <w:b/>
                <w:color w:val="auto"/>
                <w:sz w:val="10"/>
                <w:szCs w:val="10"/>
              </w:rPr>
            </w:pPr>
          </w:p>
        </w:tc>
        <w:tc>
          <w:tcPr>
            <w:tcW w:w="567" w:type="dxa"/>
            <w:vAlign w:val="center"/>
          </w:tcPr>
          <w:p w14:paraId="2F362F33" w14:textId="77777777" w:rsidR="00D34C6F" w:rsidRPr="00F9037E" w:rsidRDefault="00D34C6F" w:rsidP="00C05C97">
            <w:pPr>
              <w:spacing w:before="120" w:after="120"/>
              <w:jc w:val="center"/>
              <w:rPr>
                <w:b/>
                <w:color w:val="auto"/>
                <w:sz w:val="10"/>
                <w:szCs w:val="10"/>
              </w:rPr>
            </w:pPr>
          </w:p>
        </w:tc>
        <w:tc>
          <w:tcPr>
            <w:tcW w:w="567" w:type="dxa"/>
            <w:vAlign w:val="center"/>
          </w:tcPr>
          <w:p w14:paraId="4CBD8D65" w14:textId="77777777" w:rsidR="00D34C6F" w:rsidRPr="00F9037E" w:rsidRDefault="00D34C6F" w:rsidP="00C05C97">
            <w:pPr>
              <w:spacing w:before="120" w:after="120"/>
              <w:jc w:val="center"/>
              <w:rPr>
                <w:b/>
                <w:color w:val="auto"/>
                <w:sz w:val="10"/>
                <w:szCs w:val="10"/>
              </w:rPr>
            </w:pPr>
          </w:p>
        </w:tc>
      </w:tr>
      <w:tr w:rsidR="00D34C6F" w:rsidRPr="00F9037E" w14:paraId="6FCB4383" w14:textId="77777777" w:rsidTr="00C05C97">
        <w:trPr>
          <w:trHeight w:val="465"/>
          <w:jc w:val="center"/>
        </w:trPr>
        <w:tc>
          <w:tcPr>
            <w:tcW w:w="662" w:type="dxa"/>
            <w:shd w:val="clear" w:color="auto" w:fill="auto"/>
            <w:vAlign w:val="center"/>
          </w:tcPr>
          <w:p w14:paraId="018C297A" w14:textId="77777777" w:rsidR="00D34C6F" w:rsidRPr="000F08B5" w:rsidRDefault="00D34C6F" w:rsidP="00C05C97">
            <w:pPr>
              <w:spacing w:before="120" w:after="120"/>
              <w:rPr>
                <w:color w:val="auto"/>
                <w:sz w:val="12"/>
                <w:szCs w:val="12"/>
              </w:rPr>
            </w:pPr>
            <w:r w:rsidRPr="000F08B5">
              <w:rPr>
                <w:color w:val="auto"/>
                <w:sz w:val="12"/>
                <w:szCs w:val="12"/>
              </w:rPr>
              <w:lastRenderedPageBreak/>
              <w:t>Italy</w:t>
            </w:r>
          </w:p>
        </w:tc>
        <w:tc>
          <w:tcPr>
            <w:tcW w:w="824" w:type="dxa"/>
            <w:shd w:val="clear" w:color="auto" w:fill="auto"/>
            <w:vAlign w:val="center"/>
          </w:tcPr>
          <w:p w14:paraId="791FE7B0" w14:textId="77777777" w:rsidR="00D34C6F" w:rsidRPr="00365366" w:rsidRDefault="00D34C6F" w:rsidP="00C05C97">
            <w:pPr>
              <w:spacing w:before="120" w:after="120"/>
              <w:rPr>
                <w:color w:val="auto"/>
                <w:sz w:val="12"/>
                <w:szCs w:val="12"/>
              </w:rPr>
            </w:pPr>
            <w:r w:rsidRPr="00365366">
              <w:rPr>
                <w:color w:val="auto"/>
                <w:sz w:val="12"/>
                <w:szCs w:val="12"/>
              </w:rPr>
              <w:t>Pepper (protected)</w:t>
            </w:r>
          </w:p>
        </w:tc>
        <w:tc>
          <w:tcPr>
            <w:tcW w:w="708" w:type="dxa"/>
            <w:shd w:val="clear" w:color="auto" w:fill="auto"/>
            <w:vAlign w:val="center"/>
          </w:tcPr>
          <w:p w14:paraId="580837E2" w14:textId="77777777" w:rsidR="00D34C6F" w:rsidRPr="00F9037E" w:rsidRDefault="00D34C6F" w:rsidP="00C05C97">
            <w:pPr>
              <w:spacing w:before="120" w:after="120"/>
              <w:jc w:val="center"/>
              <w:rPr>
                <w:color w:val="auto"/>
                <w:sz w:val="10"/>
                <w:szCs w:val="10"/>
              </w:rPr>
            </w:pPr>
            <w:r w:rsidRPr="00F9037E">
              <w:rPr>
                <w:color w:val="auto"/>
                <w:sz w:val="10"/>
                <w:szCs w:val="10"/>
              </w:rPr>
              <w:t>220.000</w:t>
            </w:r>
          </w:p>
        </w:tc>
        <w:tc>
          <w:tcPr>
            <w:tcW w:w="709" w:type="dxa"/>
            <w:shd w:val="clear" w:color="auto" w:fill="auto"/>
            <w:vAlign w:val="center"/>
          </w:tcPr>
          <w:p w14:paraId="4E54C286" w14:textId="77777777" w:rsidR="00D34C6F" w:rsidRPr="00F9037E" w:rsidRDefault="00D34C6F" w:rsidP="00C05C97">
            <w:pPr>
              <w:spacing w:before="120" w:after="120"/>
              <w:jc w:val="center"/>
              <w:rPr>
                <w:color w:val="auto"/>
                <w:sz w:val="10"/>
                <w:szCs w:val="10"/>
              </w:rPr>
            </w:pPr>
            <w:r w:rsidRPr="00F9037E">
              <w:rPr>
                <w:color w:val="auto"/>
                <w:sz w:val="10"/>
                <w:szCs w:val="10"/>
              </w:rPr>
              <w:t>160.000</w:t>
            </w:r>
          </w:p>
        </w:tc>
        <w:tc>
          <w:tcPr>
            <w:tcW w:w="709" w:type="dxa"/>
            <w:shd w:val="clear" w:color="auto" w:fill="auto"/>
            <w:vAlign w:val="center"/>
          </w:tcPr>
          <w:p w14:paraId="24B77E53" w14:textId="77777777" w:rsidR="00D34C6F" w:rsidRPr="00F9037E" w:rsidRDefault="00D34C6F" w:rsidP="00C05C97">
            <w:pPr>
              <w:spacing w:before="120" w:after="120"/>
              <w:jc w:val="center"/>
              <w:rPr>
                <w:color w:val="auto"/>
                <w:sz w:val="10"/>
                <w:szCs w:val="10"/>
              </w:rPr>
            </w:pPr>
            <w:r w:rsidRPr="00F9037E">
              <w:rPr>
                <w:color w:val="auto"/>
                <w:sz w:val="10"/>
                <w:szCs w:val="10"/>
              </w:rPr>
              <w:t>67.000</w:t>
            </w:r>
          </w:p>
        </w:tc>
        <w:tc>
          <w:tcPr>
            <w:tcW w:w="567" w:type="dxa"/>
            <w:shd w:val="clear" w:color="auto" w:fill="auto"/>
            <w:vAlign w:val="center"/>
          </w:tcPr>
          <w:p w14:paraId="2E76025B" w14:textId="2987626F"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00452C7D" w14:textId="49D80A8D"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78C85933" w14:textId="00198EFB"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3912F6A9" w14:textId="6F8ED8CC"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278D804C" w14:textId="561FEAFE"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7A7FA159" w14:textId="2186F482" w:rsidR="00D34C6F" w:rsidRPr="00F9037E" w:rsidRDefault="00D34C6F" w:rsidP="00C05C97">
            <w:pPr>
              <w:spacing w:before="120" w:after="120"/>
              <w:jc w:val="center"/>
              <w:rPr>
                <w:color w:val="auto"/>
                <w:sz w:val="10"/>
                <w:szCs w:val="10"/>
              </w:rPr>
            </w:pPr>
          </w:p>
        </w:tc>
        <w:tc>
          <w:tcPr>
            <w:tcW w:w="629" w:type="dxa"/>
            <w:vAlign w:val="center"/>
          </w:tcPr>
          <w:p w14:paraId="0D5DC6F3" w14:textId="77777777" w:rsidR="00D34C6F" w:rsidRPr="00F9037E" w:rsidRDefault="00D34C6F" w:rsidP="00C05C97">
            <w:pPr>
              <w:spacing w:before="120" w:after="120"/>
              <w:jc w:val="center"/>
              <w:rPr>
                <w:color w:val="auto"/>
                <w:sz w:val="10"/>
                <w:szCs w:val="10"/>
              </w:rPr>
            </w:pPr>
          </w:p>
        </w:tc>
        <w:tc>
          <w:tcPr>
            <w:tcW w:w="567" w:type="dxa"/>
            <w:vAlign w:val="center"/>
          </w:tcPr>
          <w:p w14:paraId="61A6163E" w14:textId="77777777" w:rsidR="00D34C6F" w:rsidRPr="00F9037E" w:rsidRDefault="00D34C6F" w:rsidP="00C05C97">
            <w:pPr>
              <w:spacing w:before="120" w:after="120"/>
              <w:jc w:val="center"/>
              <w:rPr>
                <w:color w:val="auto"/>
                <w:sz w:val="10"/>
                <w:szCs w:val="10"/>
              </w:rPr>
            </w:pPr>
          </w:p>
        </w:tc>
        <w:tc>
          <w:tcPr>
            <w:tcW w:w="567" w:type="dxa"/>
            <w:vAlign w:val="center"/>
          </w:tcPr>
          <w:p w14:paraId="3BB02AAE"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70622D19" w14:textId="77777777" w:rsidR="00D34C6F" w:rsidRPr="00F9037E" w:rsidRDefault="00D34C6F" w:rsidP="00C05C97">
            <w:pPr>
              <w:spacing w:before="120" w:after="120"/>
              <w:jc w:val="center"/>
              <w:rPr>
                <w:color w:val="auto"/>
                <w:sz w:val="10"/>
                <w:szCs w:val="10"/>
              </w:rPr>
            </w:pPr>
            <w:r w:rsidRPr="00F9037E">
              <w:rPr>
                <w:color w:val="auto"/>
                <w:sz w:val="10"/>
                <w:szCs w:val="10"/>
              </w:rPr>
              <w:t>160.000</w:t>
            </w:r>
          </w:p>
        </w:tc>
        <w:tc>
          <w:tcPr>
            <w:tcW w:w="709" w:type="dxa"/>
            <w:shd w:val="clear" w:color="auto" w:fill="auto"/>
            <w:vAlign w:val="center"/>
          </w:tcPr>
          <w:p w14:paraId="01691AC3" w14:textId="77777777" w:rsidR="00D34C6F" w:rsidRPr="00F9037E" w:rsidRDefault="00D34C6F" w:rsidP="00C05C97">
            <w:pPr>
              <w:spacing w:before="120" w:after="120"/>
              <w:jc w:val="center"/>
              <w:rPr>
                <w:color w:val="auto"/>
                <w:sz w:val="10"/>
                <w:szCs w:val="10"/>
              </w:rPr>
            </w:pPr>
            <w:r w:rsidRPr="00F9037E">
              <w:rPr>
                <w:color w:val="auto"/>
                <w:sz w:val="10"/>
                <w:szCs w:val="10"/>
              </w:rPr>
              <w:t>130.000</w:t>
            </w:r>
          </w:p>
        </w:tc>
        <w:tc>
          <w:tcPr>
            <w:tcW w:w="708" w:type="dxa"/>
            <w:shd w:val="clear" w:color="auto" w:fill="auto"/>
            <w:vAlign w:val="center"/>
          </w:tcPr>
          <w:p w14:paraId="383455ED" w14:textId="77777777" w:rsidR="00D34C6F" w:rsidRPr="00F9037E" w:rsidRDefault="00D34C6F" w:rsidP="00C05C97">
            <w:pPr>
              <w:spacing w:before="120" w:after="120"/>
              <w:jc w:val="center"/>
              <w:rPr>
                <w:color w:val="auto"/>
                <w:sz w:val="10"/>
                <w:szCs w:val="10"/>
              </w:rPr>
            </w:pPr>
            <w:r w:rsidRPr="00F9037E">
              <w:rPr>
                <w:color w:val="auto"/>
                <w:sz w:val="10"/>
                <w:szCs w:val="10"/>
              </w:rPr>
              <w:t>67.000</w:t>
            </w:r>
          </w:p>
        </w:tc>
        <w:tc>
          <w:tcPr>
            <w:tcW w:w="709" w:type="dxa"/>
            <w:shd w:val="clear" w:color="auto" w:fill="auto"/>
            <w:vAlign w:val="center"/>
          </w:tcPr>
          <w:p w14:paraId="4AD12995" w14:textId="515ED7B9"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5351F2E" w14:textId="3E86AC66"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71FA10AF" w14:textId="4F9096E0"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215EF5C6" w14:textId="78F8F6B3"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53076B7E" w14:textId="021D1D61" w:rsidR="00D34C6F" w:rsidRPr="00F9037E" w:rsidRDefault="00D34C6F" w:rsidP="00C05C97">
            <w:pPr>
              <w:spacing w:before="120" w:after="120"/>
              <w:jc w:val="center"/>
              <w:rPr>
                <w:b/>
                <w:color w:val="auto"/>
                <w:sz w:val="10"/>
                <w:szCs w:val="10"/>
              </w:rPr>
            </w:pPr>
          </w:p>
        </w:tc>
        <w:tc>
          <w:tcPr>
            <w:tcW w:w="567" w:type="dxa"/>
            <w:vAlign w:val="center"/>
          </w:tcPr>
          <w:p w14:paraId="5EB3B450" w14:textId="77777777" w:rsidR="00D34C6F" w:rsidRPr="00F9037E" w:rsidRDefault="00D34C6F" w:rsidP="00C05C97">
            <w:pPr>
              <w:spacing w:before="120" w:after="120"/>
              <w:jc w:val="center"/>
              <w:rPr>
                <w:b/>
                <w:color w:val="auto"/>
                <w:sz w:val="10"/>
                <w:szCs w:val="10"/>
              </w:rPr>
            </w:pPr>
          </w:p>
        </w:tc>
        <w:tc>
          <w:tcPr>
            <w:tcW w:w="567" w:type="dxa"/>
            <w:vAlign w:val="center"/>
          </w:tcPr>
          <w:p w14:paraId="2F193E59" w14:textId="77777777" w:rsidR="00D34C6F" w:rsidRPr="00F9037E" w:rsidRDefault="00D34C6F" w:rsidP="00C05C97">
            <w:pPr>
              <w:spacing w:before="120" w:after="120"/>
              <w:jc w:val="center"/>
              <w:rPr>
                <w:b/>
                <w:color w:val="auto"/>
                <w:sz w:val="10"/>
                <w:szCs w:val="10"/>
              </w:rPr>
            </w:pPr>
          </w:p>
        </w:tc>
        <w:tc>
          <w:tcPr>
            <w:tcW w:w="567" w:type="dxa"/>
            <w:vAlign w:val="center"/>
          </w:tcPr>
          <w:p w14:paraId="7679BBA3" w14:textId="77777777" w:rsidR="00D34C6F" w:rsidRPr="00F9037E" w:rsidRDefault="00D34C6F" w:rsidP="00C05C97">
            <w:pPr>
              <w:spacing w:before="120" w:after="120"/>
              <w:jc w:val="center"/>
              <w:rPr>
                <w:b/>
                <w:color w:val="auto"/>
                <w:sz w:val="10"/>
                <w:szCs w:val="10"/>
              </w:rPr>
            </w:pPr>
          </w:p>
        </w:tc>
        <w:tc>
          <w:tcPr>
            <w:tcW w:w="567" w:type="dxa"/>
            <w:vAlign w:val="center"/>
          </w:tcPr>
          <w:p w14:paraId="37205E37" w14:textId="77777777" w:rsidR="00D34C6F" w:rsidRPr="00F9037E" w:rsidRDefault="00D34C6F" w:rsidP="00C05C97">
            <w:pPr>
              <w:spacing w:before="120" w:after="120"/>
              <w:jc w:val="center"/>
              <w:rPr>
                <w:b/>
                <w:color w:val="auto"/>
                <w:sz w:val="10"/>
                <w:szCs w:val="10"/>
              </w:rPr>
            </w:pPr>
          </w:p>
        </w:tc>
      </w:tr>
      <w:tr w:rsidR="00D34C6F" w:rsidRPr="00F9037E" w14:paraId="051EAB9B" w14:textId="77777777" w:rsidTr="00C05C97">
        <w:trPr>
          <w:trHeight w:val="690"/>
          <w:jc w:val="center"/>
        </w:trPr>
        <w:tc>
          <w:tcPr>
            <w:tcW w:w="662" w:type="dxa"/>
            <w:shd w:val="clear" w:color="auto" w:fill="auto"/>
            <w:vAlign w:val="center"/>
          </w:tcPr>
          <w:p w14:paraId="63E9E921" w14:textId="77777777" w:rsidR="00D34C6F" w:rsidRPr="00F9037E" w:rsidRDefault="00D34C6F" w:rsidP="00C05C97">
            <w:pPr>
              <w:spacing w:before="120" w:after="120"/>
              <w:rPr>
                <w:color w:val="auto"/>
                <w:sz w:val="12"/>
                <w:szCs w:val="12"/>
              </w:rPr>
            </w:pPr>
            <w:r w:rsidRPr="00F9037E">
              <w:rPr>
                <w:color w:val="auto"/>
                <w:sz w:val="12"/>
                <w:szCs w:val="12"/>
              </w:rPr>
              <w:t>Italy</w:t>
            </w:r>
          </w:p>
        </w:tc>
        <w:tc>
          <w:tcPr>
            <w:tcW w:w="824" w:type="dxa"/>
            <w:shd w:val="clear" w:color="auto" w:fill="auto"/>
            <w:vAlign w:val="center"/>
          </w:tcPr>
          <w:p w14:paraId="1FA19099" w14:textId="77777777" w:rsidR="00D34C6F" w:rsidRPr="00F9037E" w:rsidRDefault="00D34C6F" w:rsidP="00C05C97">
            <w:pPr>
              <w:spacing w:before="120" w:after="120"/>
              <w:rPr>
                <w:color w:val="auto"/>
                <w:sz w:val="12"/>
                <w:szCs w:val="12"/>
              </w:rPr>
            </w:pPr>
            <w:r w:rsidRPr="00F9037E">
              <w:rPr>
                <w:color w:val="auto"/>
                <w:sz w:val="12"/>
                <w:szCs w:val="12"/>
              </w:rPr>
              <w:t>Strawberry Fruit (Protected)</w:t>
            </w:r>
          </w:p>
        </w:tc>
        <w:tc>
          <w:tcPr>
            <w:tcW w:w="708" w:type="dxa"/>
            <w:shd w:val="clear" w:color="auto" w:fill="auto"/>
            <w:vAlign w:val="center"/>
          </w:tcPr>
          <w:p w14:paraId="14350FDB" w14:textId="77777777" w:rsidR="00D34C6F" w:rsidRPr="00F9037E" w:rsidRDefault="00D34C6F" w:rsidP="00C05C97">
            <w:pPr>
              <w:spacing w:before="120" w:after="120"/>
              <w:jc w:val="center"/>
              <w:rPr>
                <w:color w:val="auto"/>
                <w:sz w:val="10"/>
                <w:szCs w:val="10"/>
              </w:rPr>
            </w:pPr>
            <w:r w:rsidRPr="00F9037E">
              <w:rPr>
                <w:color w:val="auto"/>
                <w:sz w:val="10"/>
                <w:szCs w:val="10"/>
              </w:rPr>
              <w:t>510.000</w:t>
            </w:r>
          </w:p>
        </w:tc>
        <w:tc>
          <w:tcPr>
            <w:tcW w:w="709" w:type="dxa"/>
            <w:shd w:val="clear" w:color="auto" w:fill="auto"/>
            <w:vAlign w:val="center"/>
          </w:tcPr>
          <w:p w14:paraId="52AE08F8" w14:textId="77777777" w:rsidR="00D34C6F" w:rsidRPr="00F9037E" w:rsidRDefault="00D34C6F" w:rsidP="00C05C97">
            <w:pPr>
              <w:spacing w:before="120" w:after="120"/>
              <w:jc w:val="center"/>
              <w:rPr>
                <w:color w:val="auto"/>
                <w:sz w:val="10"/>
                <w:szCs w:val="10"/>
              </w:rPr>
            </w:pPr>
            <w:r w:rsidRPr="00F9037E">
              <w:rPr>
                <w:color w:val="auto"/>
                <w:sz w:val="10"/>
                <w:szCs w:val="10"/>
              </w:rPr>
              <w:t>400.000</w:t>
            </w:r>
          </w:p>
        </w:tc>
        <w:tc>
          <w:tcPr>
            <w:tcW w:w="709" w:type="dxa"/>
            <w:shd w:val="clear" w:color="auto" w:fill="auto"/>
            <w:vAlign w:val="center"/>
          </w:tcPr>
          <w:p w14:paraId="799AE5B6" w14:textId="77777777" w:rsidR="00D34C6F" w:rsidRPr="00F9037E" w:rsidRDefault="00D34C6F" w:rsidP="00C05C97">
            <w:pPr>
              <w:spacing w:before="120" w:after="120"/>
              <w:jc w:val="center"/>
              <w:rPr>
                <w:color w:val="auto"/>
                <w:sz w:val="10"/>
                <w:szCs w:val="10"/>
              </w:rPr>
            </w:pPr>
            <w:r w:rsidRPr="00F9037E">
              <w:rPr>
                <w:color w:val="auto"/>
                <w:sz w:val="10"/>
                <w:szCs w:val="10"/>
              </w:rPr>
              <w:t>35.000</w:t>
            </w:r>
          </w:p>
        </w:tc>
        <w:tc>
          <w:tcPr>
            <w:tcW w:w="567" w:type="dxa"/>
            <w:shd w:val="clear" w:color="auto" w:fill="auto"/>
            <w:vAlign w:val="center"/>
          </w:tcPr>
          <w:p w14:paraId="466B6C3B" w14:textId="31FCB861"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2223E9AE" w14:textId="473A262D"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6C86E4F" w14:textId="1CD75B06"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623CAC15" w14:textId="0CCBC462"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CA2843C" w14:textId="003996DB"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1B7CD23" w14:textId="3C5D0C53" w:rsidR="00D34C6F" w:rsidRPr="00F9037E" w:rsidRDefault="00D34C6F" w:rsidP="00C05C97">
            <w:pPr>
              <w:spacing w:before="120" w:after="120"/>
              <w:jc w:val="center"/>
              <w:rPr>
                <w:color w:val="auto"/>
                <w:sz w:val="10"/>
                <w:szCs w:val="10"/>
              </w:rPr>
            </w:pPr>
          </w:p>
        </w:tc>
        <w:tc>
          <w:tcPr>
            <w:tcW w:w="629" w:type="dxa"/>
            <w:vAlign w:val="center"/>
          </w:tcPr>
          <w:p w14:paraId="53457B4D" w14:textId="77777777" w:rsidR="00D34C6F" w:rsidRPr="00F9037E" w:rsidRDefault="00D34C6F" w:rsidP="00C05C97">
            <w:pPr>
              <w:spacing w:before="120" w:after="120"/>
              <w:jc w:val="center"/>
              <w:rPr>
                <w:color w:val="auto"/>
                <w:sz w:val="10"/>
                <w:szCs w:val="10"/>
              </w:rPr>
            </w:pPr>
          </w:p>
        </w:tc>
        <w:tc>
          <w:tcPr>
            <w:tcW w:w="567" w:type="dxa"/>
            <w:vAlign w:val="center"/>
          </w:tcPr>
          <w:p w14:paraId="2B980CAB" w14:textId="77777777" w:rsidR="00D34C6F" w:rsidRPr="00F9037E" w:rsidRDefault="00D34C6F" w:rsidP="00C05C97">
            <w:pPr>
              <w:spacing w:before="120" w:after="120"/>
              <w:jc w:val="center"/>
              <w:rPr>
                <w:color w:val="auto"/>
                <w:sz w:val="10"/>
                <w:szCs w:val="10"/>
              </w:rPr>
            </w:pPr>
          </w:p>
        </w:tc>
        <w:tc>
          <w:tcPr>
            <w:tcW w:w="567" w:type="dxa"/>
            <w:vAlign w:val="center"/>
          </w:tcPr>
          <w:p w14:paraId="032AD1D8"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1CC0F728" w14:textId="77777777" w:rsidR="00D34C6F" w:rsidRPr="00F9037E" w:rsidRDefault="00D34C6F" w:rsidP="00C05C97">
            <w:pPr>
              <w:spacing w:before="120" w:after="120"/>
              <w:jc w:val="center"/>
              <w:rPr>
                <w:color w:val="auto"/>
                <w:sz w:val="10"/>
                <w:szCs w:val="10"/>
              </w:rPr>
            </w:pPr>
            <w:r w:rsidRPr="00F9037E">
              <w:rPr>
                <w:color w:val="auto"/>
                <w:sz w:val="10"/>
                <w:szCs w:val="10"/>
              </w:rPr>
              <w:t>407.000</w:t>
            </w:r>
          </w:p>
        </w:tc>
        <w:tc>
          <w:tcPr>
            <w:tcW w:w="709" w:type="dxa"/>
            <w:shd w:val="clear" w:color="auto" w:fill="auto"/>
            <w:vAlign w:val="center"/>
          </w:tcPr>
          <w:p w14:paraId="31D6690A" w14:textId="77777777" w:rsidR="00D34C6F" w:rsidRPr="00F9037E" w:rsidRDefault="00D34C6F" w:rsidP="00C05C97">
            <w:pPr>
              <w:spacing w:before="120" w:after="120"/>
              <w:jc w:val="center"/>
              <w:rPr>
                <w:color w:val="auto"/>
                <w:sz w:val="10"/>
                <w:szCs w:val="10"/>
              </w:rPr>
            </w:pPr>
            <w:r w:rsidRPr="00F9037E">
              <w:rPr>
                <w:color w:val="auto"/>
                <w:sz w:val="10"/>
                <w:szCs w:val="10"/>
              </w:rPr>
              <w:t>320.000</w:t>
            </w:r>
          </w:p>
        </w:tc>
        <w:tc>
          <w:tcPr>
            <w:tcW w:w="708" w:type="dxa"/>
            <w:shd w:val="clear" w:color="auto" w:fill="auto"/>
            <w:vAlign w:val="center"/>
          </w:tcPr>
          <w:p w14:paraId="09887542" w14:textId="58AEB1E8"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53072989" w14:textId="40EBECC5"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4D14E53" w14:textId="35E71317"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7CB6B305" w14:textId="7CD424CE"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7FEC41A" w14:textId="7194EFAA"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53B5C188" w14:textId="79BB3E1F" w:rsidR="00D34C6F" w:rsidRPr="00F9037E" w:rsidRDefault="00D34C6F" w:rsidP="00C05C97">
            <w:pPr>
              <w:spacing w:before="120" w:after="120"/>
              <w:jc w:val="center"/>
              <w:rPr>
                <w:b/>
                <w:color w:val="auto"/>
                <w:sz w:val="10"/>
                <w:szCs w:val="10"/>
              </w:rPr>
            </w:pPr>
          </w:p>
        </w:tc>
        <w:tc>
          <w:tcPr>
            <w:tcW w:w="567" w:type="dxa"/>
            <w:vAlign w:val="center"/>
          </w:tcPr>
          <w:p w14:paraId="7ECE5F0F" w14:textId="77777777" w:rsidR="00D34C6F" w:rsidRPr="00F9037E" w:rsidRDefault="00D34C6F" w:rsidP="00C05C97">
            <w:pPr>
              <w:spacing w:before="120" w:after="120"/>
              <w:jc w:val="center"/>
              <w:rPr>
                <w:b/>
                <w:color w:val="auto"/>
                <w:sz w:val="10"/>
                <w:szCs w:val="10"/>
              </w:rPr>
            </w:pPr>
          </w:p>
        </w:tc>
        <w:tc>
          <w:tcPr>
            <w:tcW w:w="567" w:type="dxa"/>
            <w:vAlign w:val="center"/>
          </w:tcPr>
          <w:p w14:paraId="4E21CECA" w14:textId="77777777" w:rsidR="00D34C6F" w:rsidRPr="00F9037E" w:rsidRDefault="00D34C6F" w:rsidP="00C05C97">
            <w:pPr>
              <w:spacing w:before="120" w:after="120"/>
              <w:jc w:val="center"/>
              <w:rPr>
                <w:b/>
                <w:color w:val="auto"/>
                <w:sz w:val="10"/>
                <w:szCs w:val="10"/>
              </w:rPr>
            </w:pPr>
          </w:p>
        </w:tc>
        <w:tc>
          <w:tcPr>
            <w:tcW w:w="567" w:type="dxa"/>
            <w:vAlign w:val="center"/>
          </w:tcPr>
          <w:p w14:paraId="0206FD78" w14:textId="77777777" w:rsidR="00D34C6F" w:rsidRPr="00F9037E" w:rsidRDefault="00D34C6F" w:rsidP="00C05C97">
            <w:pPr>
              <w:spacing w:before="120" w:after="120"/>
              <w:jc w:val="center"/>
              <w:rPr>
                <w:b/>
                <w:color w:val="auto"/>
                <w:sz w:val="10"/>
                <w:szCs w:val="10"/>
              </w:rPr>
            </w:pPr>
          </w:p>
        </w:tc>
        <w:tc>
          <w:tcPr>
            <w:tcW w:w="567" w:type="dxa"/>
            <w:vAlign w:val="center"/>
          </w:tcPr>
          <w:p w14:paraId="61368F27" w14:textId="77777777" w:rsidR="00D34C6F" w:rsidRPr="00F9037E" w:rsidRDefault="00D34C6F" w:rsidP="00C05C97">
            <w:pPr>
              <w:spacing w:before="120" w:after="120"/>
              <w:jc w:val="center"/>
              <w:rPr>
                <w:b/>
                <w:color w:val="auto"/>
                <w:sz w:val="10"/>
                <w:szCs w:val="10"/>
              </w:rPr>
            </w:pPr>
          </w:p>
        </w:tc>
      </w:tr>
      <w:tr w:rsidR="00D34C6F" w:rsidRPr="00F9037E" w14:paraId="68AE3FF5" w14:textId="77777777" w:rsidTr="00C05C97">
        <w:trPr>
          <w:trHeight w:val="465"/>
          <w:jc w:val="center"/>
        </w:trPr>
        <w:tc>
          <w:tcPr>
            <w:tcW w:w="662" w:type="dxa"/>
            <w:shd w:val="clear" w:color="auto" w:fill="auto"/>
            <w:vAlign w:val="center"/>
          </w:tcPr>
          <w:p w14:paraId="04AA1B06" w14:textId="77777777" w:rsidR="00D34C6F" w:rsidRPr="00F9037E" w:rsidRDefault="00D34C6F" w:rsidP="00C05C97">
            <w:pPr>
              <w:spacing w:before="120" w:after="120"/>
              <w:rPr>
                <w:color w:val="auto"/>
                <w:sz w:val="12"/>
                <w:szCs w:val="12"/>
              </w:rPr>
            </w:pPr>
            <w:r w:rsidRPr="00F9037E">
              <w:rPr>
                <w:color w:val="auto"/>
                <w:sz w:val="12"/>
                <w:szCs w:val="12"/>
              </w:rPr>
              <w:t>Italy</w:t>
            </w:r>
          </w:p>
        </w:tc>
        <w:tc>
          <w:tcPr>
            <w:tcW w:w="824" w:type="dxa"/>
            <w:shd w:val="clear" w:color="auto" w:fill="auto"/>
            <w:vAlign w:val="center"/>
          </w:tcPr>
          <w:p w14:paraId="0CDB741F" w14:textId="77777777" w:rsidR="00D34C6F" w:rsidRPr="00F9037E" w:rsidRDefault="00D34C6F" w:rsidP="00C05C97">
            <w:pPr>
              <w:spacing w:before="120" w:after="120"/>
              <w:rPr>
                <w:color w:val="auto"/>
                <w:sz w:val="12"/>
                <w:szCs w:val="12"/>
              </w:rPr>
            </w:pPr>
            <w:r w:rsidRPr="00F9037E">
              <w:rPr>
                <w:color w:val="auto"/>
                <w:sz w:val="12"/>
                <w:szCs w:val="12"/>
              </w:rPr>
              <w:t>Strawberry Runners</w:t>
            </w:r>
          </w:p>
        </w:tc>
        <w:tc>
          <w:tcPr>
            <w:tcW w:w="708" w:type="dxa"/>
            <w:shd w:val="clear" w:color="auto" w:fill="auto"/>
            <w:vAlign w:val="center"/>
          </w:tcPr>
          <w:p w14:paraId="5A0292EA" w14:textId="77777777" w:rsidR="00D34C6F" w:rsidRPr="00F9037E" w:rsidRDefault="00D34C6F" w:rsidP="00C05C97">
            <w:pPr>
              <w:spacing w:before="120" w:after="120"/>
              <w:jc w:val="center"/>
              <w:rPr>
                <w:color w:val="auto"/>
                <w:sz w:val="10"/>
                <w:szCs w:val="10"/>
              </w:rPr>
            </w:pPr>
            <w:r w:rsidRPr="00F9037E">
              <w:rPr>
                <w:color w:val="auto"/>
                <w:sz w:val="10"/>
                <w:szCs w:val="10"/>
              </w:rPr>
              <w:t>100.000</w:t>
            </w:r>
          </w:p>
        </w:tc>
        <w:tc>
          <w:tcPr>
            <w:tcW w:w="709" w:type="dxa"/>
            <w:shd w:val="clear" w:color="auto" w:fill="auto"/>
            <w:vAlign w:val="center"/>
          </w:tcPr>
          <w:p w14:paraId="2FCB0A0E" w14:textId="77777777" w:rsidR="00D34C6F" w:rsidRPr="00F9037E" w:rsidRDefault="00D34C6F" w:rsidP="00C05C97">
            <w:pPr>
              <w:spacing w:before="120" w:after="120"/>
              <w:jc w:val="center"/>
              <w:rPr>
                <w:color w:val="auto"/>
                <w:sz w:val="10"/>
                <w:szCs w:val="10"/>
              </w:rPr>
            </w:pPr>
            <w:r w:rsidRPr="00F9037E">
              <w:rPr>
                <w:color w:val="auto"/>
                <w:sz w:val="10"/>
                <w:szCs w:val="10"/>
              </w:rPr>
              <w:t>120.000</w:t>
            </w:r>
          </w:p>
        </w:tc>
        <w:tc>
          <w:tcPr>
            <w:tcW w:w="709" w:type="dxa"/>
            <w:shd w:val="clear" w:color="auto" w:fill="auto"/>
            <w:vAlign w:val="center"/>
          </w:tcPr>
          <w:p w14:paraId="1B4D75E8" w14:textId="77777777" w:rsidR="00D34C6F" w:rsidRPr="00F9037E" w:rsidRDefault="00D34C6F" w:rsidP="00C05C97">
            <w:pPr>
              <w:spacing w:before="120" w:after="120"/>
              <w:jc w:val="center"/>
              <w:rPr>
                <w:color w:val="auto"/>
                <w:sz w:val="10"/>
                <w:szCs w:val="10"/>
              </w:rPr>
            </w:pPr>
            <w:r w:rsidRPr="00F9037E">
              <w:rPr>
                <w:color w:val="auto"/>
                <w:sz w:val="10"/>
                <w:szCs w:val="10"/>
              </w:rPr>
              <w:t>35.000</w:t>
            </w:r>
          </w:p>
        </w:tc>
        <w:tc>
          <w:tcPr>
            <w:tcW w:w="567" w:type="dxa"/>
            <w:shd w:val="clear" w:color="auto" w:fill="auto"/>
            <w:vAlign w:val="center"/>
          </w:tcPr>
          <w:p w14:paraId="05B10F50" w14:textId="1F4B24B9"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74A53538" w14:textId="20CC919E"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0F7984A" w14:textId="62FB2E04"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3599F493" w14:textId="59214491"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E486CE3" w14:textId="6C5044D7"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B8642B0" w14:textId="5E6DE7F6" w:rsidR="00D34C6F" w:rsidRPr="00F9037E" w:rsidRDefault="00D34C6F" w:rsidP="00C05C97">
            <w:pPr>
              <w:spacing w:before="120" w:after="120"/>
              <w:jc w:val="center"/>
              <w:rPr>
                <w:color w:val="auto"/>
                <w:sz w:val="10"/>
                <w:szCs w:val="10"/>
              </w:rPr>
            </w:pPr>
          </w:p>
        </w:tc>
        <w:tc>
          <w:tcPr>
            <w:tcW w:w="629" w:type="dxa"/>
            <w:vAlign w:val="center"/>
          </w:tcPr>
          <w:p w14:paraId="18B94E74" w14:textId="77777777" w:rsidR="00D34C6F" w:rsidRPr="00F9037E" w:rsidRDefault="00D34C6F" w:rsidP="00C05C97">
            <w:pPr>
              <w:spacing w:before="120" w:after="120"/>
              <w:jc w:val="center"/>
              <w:rPr>
                <w:color w:val="auto"/>
                <w:sz w:val="10"/>
                <w:szCs w:val="10"/>
              </w:rPr>
            </w:pPr>
          </w:p>
        </w:tc>
        <w:tc>
          <w:tcPr>
            <w:tcW w:w="567" w:type="dxa"/>
            <w:vAlign w:val="center"/>
          </w:tcPr>
          <w:p w14:paraId="18037D01" w14:textId="77777777" w:rsidR="00D34C6F" w:rsidRPr="00F9037E" w:rsidRDefault="00D34C6F" w:rsidP="00C05C97">
            <w:pPr>
              <w:spacing w:before="120" w:after="120"/>
              <w:jc w:val="center"/>
              <w:rPr>
                <w:color w:val="auto"/>
                <w:sz w:val="10"/>
                <w:szCs w:val="10"/>
              </w:rPr>
            </w:pPr>
          </w:p>
        </w:tc>
        <w:tc>
          <w:tcPr>
            <w:tcW w:w="567" w:type="dxa"/>
            <w:vAlign w:val="center"/>
          </w:tcPr>
          <w:p w14:paraId="58DF4011"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07A9A891" w14:textId="77777777" w:rsidR="00D34C6F" w:rsidRPr="00F9037E" w:rsidRDefault="00D34C6F" w:rsidP="00C05C97">
            <w:pPr>
              <w:spacing w:before="120" w:after="120"/>
              <w:jc w:val="center"/>
              <w:rPr>
                <w:color w:val="auto"/>
                <w:sz w:val="10"/>
                <w:szCs w:val="10"/>
              </w:rPr>
            </w:pPr>
            <w:r w:rsidRPr="00F9037E">
              <w:rPr>
                <w:color w:val="auto"/>
                <w:sz w:val="10"/>
                <w:szCs w:val="10"/>
              </w:rPr>
              <w:t>120.000</w:t>
            </w:r>
          </w:p>
        </w:tc>
        <w:tc>
          <w:tcPr>
            <w:tcW w:w="709" w:type="dxa"/>
            <w:shd w:val="clear" w:color="auto" w:fill="auto"/>
            <w:vAlign w:val="center"/>
          </w:tcPr>
          <w:p w14:paraId="12B474BB" w14:textId="77777777" w:rsidR="00D34C6F" w:rsidRPr="00F9037E" w:rsidRDefault="00D34C6F" w:rsidP="00C05C97">
            <w:pPr>
              <w:spacing w:before="120" w:after="120"/>
              <w:jc w:val="center"/>
              <w:rPr>
                <w:color w:val="auto"/>
                <w:sz w:val="10"/>
                <w:szCs w:val="10"/>
              </w:rPr>
            </w:pPr>
            <w:r w:rsidRPr="00F9037E">
              <w:rPr>
                <w:color w:val="auto"/>
                <w:sz w:val="10"/>
                <w:szCs w:val="10"/>
              </w:rPr>
              <w:t>120.000</w:t>
            </w:r>
          </w:p>
        </w:tc>
        <w:tc>
          <w:tcPr>
            <w:tcW w:w="708" w:type="dxa"/>
            <w:shd w:val="clear" w:color="auto" w:fill="auto"/>
            <w:vAlign w:val="center"/>
          </w:tcPr>
          <w:p w14:paraId="2FEEEA4C" w14:textId="77777777" w:rsidR="00D34C6F" w:rsidRPr="00F9037E" w:rsidRDefault="00D34C6F" w:rsidP="00C05C97">
            <w:pPr>
              <w:spacing w:before="120" w:after="120"/>
              <w:jc w:val="center"/>
              <w:rPr>
                <w:color w:val="auto"/>
                <w:sz w:val="10"/>
                <w:szCs w:val="10"/>
              </w:rPr>
            </w:pPr>
            <w:r w:rsidRPr="00F9037E">
              <w:rPr>
                <w:color w:val="auto"/>
                <w:sz w:val="10"/>
                <w:szCs w:val="10"/>
              </w:rPr>
              <w:t>35.000</w:t>
            </w:r>
          </w:p>
        </w:tc>
        <w:tc>
          <w:tcPr>
            <w:tcW w:w="709" w:type="dxa"/>
            <w:shd w:val="clear" w:color="auto" w:fill="auto"/>
            <w:vAlign w:val="center"/>
          </w:tcPr>
          <w:p w14:paraId="7B9F4092" w14:textId="3968ABF3"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277D0E83" w14:textId="7F994C1C"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03A2799B" w14:textId="3709CF46"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B1FE3C3" w14:textId="0E618913"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61716902" w14:textId="4ED44CCF" w:rsidR="00D34C6F" w:rsidRPr="00F9037E" w:rsidRDefault="00D34C6F" w:rsidP="00C05C97">
            <w:pPr>
              <w:spacing w:before="120" w:after="120"/>
              <w:jc w:val="center"/>
              <w:rPr>
                <w:b/>
                <w:color w:val="auto"/>
                <w:sz w:val="10"/>
                <w:szCs w:val="10"/>
              </w:rPr>
            </w:pPr>
          </w:p>
        </w:tc>
        <w:tc>
          <w:tcPr>
            <w:tcW w:w="567" w:type="dxa"/>
            <w:vAlign w:val="center"/>
          </w:tcPr>
          <w:p w14:paraId="56D66245" w14:textId="77777777" w:rsidR="00D34C6F" w:rsidRPr="00F9037E" w:rsidRDefault="00D34C6F" w:rsidP="00C05C97">
            <w:pPr>
              <w:spacing w:before="120" w:after="120"/>
              <w:jc w:val="center"/>
              <w:rPr>
                <w:b/>
                <w:color w:val="auto"/>
                <w:sz w:val="10"/>
                <w:szCs w:val="10"/>
              </w:rPr>
            </w:pPr>
          </w:p>
        </w:tc>
        <w:tc>
          <w:tcPr>
            <w:tcW w:w="567" w:type="dxa"/>
            <w:vAlign w:val="center"/>
          </w:tcPr>
          <w:p w14:paraId="7984C429" w14:textId="77777777" w:rsidR="00D34C6F" w:rsidRPr="00F9037E" w:rsidRDefault="00D34C6F" w:rsidP="00C05C97">
            <w:pPr>
              <w:spacing w:before="120" w:after="120"/>
              <w:jc w:val="center"/>
              <w:rPr>
                <w:b/>
                <w:color w:val="auto"/>
                <w:sz w:val="10"/>
                <w:szCs w:val="10"/>
              </w:rPr>
            </w:pPr>
          </w:p>
        </w:tc>
        <w:tc>
          <w:tcPr>
            <w:tcW w:w="567" w:type="dxa"/>
            <w:vAlign w:val="center"/>
          </w:tcPr>
          <w:p w14:paraId="75664397" w14:textId="77777777" w:rsidR="00D34C6F" w:rsidRPr="00F9037E" w:rsidRDefault="00D34C6F" w:rsidP="00C05C97">
            <w:pPr>
              <w:spacing w:before="120" w:after="120"/>
              <w:jc w:val="center"/>
              <w:rPr>
                <w:b/>
                <w:color w:val="auto"/>
                <w:sz w:val="10"/>
                <w:szCs w:val="10"/>
              </w:rPr>
            </w:pPr>
          </w:p>
        </w:tc>
        <w:tc>
          <w:tcPr>
            <w:tcW w:w="567" w:type="dxa"/>
            <w:vAlign w:val="center"/>
          </w:tcPr>
          <w:p w14:paraId="6F3BEADE" w14:textId="77777777" w:rsidR="00D34C6F" w:rsidRPr="00F9037E" w:rsidRDefault="00D34C6F" w:rsidP="00C05C97">
            <w:pPr>
              <w:spacing w:before="120" w:after="120"/>
              <w:jc w:val="center"/>
              <w:rPr>
                <w:b/>
                <w:color w:val="auto"/>
                <w:sz w:val="10"/>
                <w:szCs w:val="10"/>
              </w:rPr>
            </w:pPr>
          </w:p>
        </w:tc>
      </w:tr>
      <w:tr w:rsidR="00D34C6F" w:rsidRPr="00F9037E" w14:paraId="069EC655" w14:textId="77777777" w:rsidTr="00C05C97">
        <w:trPr>
          <w:trHeight w:val="465"/>
          <w:jc w:val="center"/>
        </w:trPr>
        <w:tc>
          <w:tcPr>
            <w:tcW w:w="662" w:type="dxa"/>
            <w:shd w:val="clear" w:color="auto" w:fill="auto"/>
            <w:vAlign w:val="center"/>
          </w:tcPr>
          <w:p w14:paraId="7FD876D6" w14:textId="77777777" w:rsidR="00D34C6F" w:rsidRPr="00F9037E" w:rsidRDefault="00D34C6F" w:rsidP="00C05C97">
            <w:pPr>
              <w:spacing w:before="120" w:after="120"/>
              <w:rPr>
                <w:color w:val="auto"/>
                <w:sz w:val="12"/>
                <w:szCs w:val="12"/>
              </w:rPr>
            </w:pPr>
            <w:r w:rsidRPr="00F9037E">
              <w:rPr>
                <w:color w:val="auto"/>
                <w:sz w:val="12"/>
                <w:szCs w:val="12"/>
              </w:rPr>
              <w:t>Italy</w:t>
            </w:r>
          </w:p>
        </w:tc>
        <w:tc>
          <w:tcPr>
            <w:tcW w:w="824" w:type="dxa"/>
            <w:shd w:val="clear" w:color="auto" w:fill="auto"/>
            <w:vAlign w:val="center"/>
          </w:tcPr>
          <w:p w14:paraId="2E53F1F8" w14:textId="77777777" w:rsidR="00D34C6F" w:rsidRPr="00F9037E" w:rsidRDefault="00D34C6F" w:rsidP="00C05C97">
            <w:pPr>
              <w:spacing w:before="120" w:after="120"/>
              <w:rPr>
                <w:color w:val="auto"/>
                <w:sz w:val="12"/>
                <w:szCs w:val="12"/>
              </w:rPr>
            </w:pPr>
            <w:r w:rsidRPr="00F9037E">
              <w:rPr>
                <w:color w:val="auto"/>
                <w:sz w:val="12"/>
                <w:szCs w:val="12"/>
              </w:rPr>
              <w:t>Tomato (protected)</w:t>
            </w:r>
          </w:p>
        </w:tc>
        <w:tc>
          <w:tcPr>
            <w:tcW w:w="708" w:type="dxa"/>
            <w:shd w:val="clear" w:color="auto" w:fill="auto"/>
            <w:vAlign w:val="center"/>
          </w:tcPr>
          <w:p w14:paraId="6576853E" w14:textId="77777777" w:rsidR="00D34C6F" w:rsidRPr="00F9037E" w:rsidRDefault="00D34C6F" w:rsidP="00C05C97">
            <w:pPr>
              <w:spacing w:before="120" w:after="120"/>
              <w:jc w:val="center"/>
              <w:rPr>
                <w:color w:val="auto"/>
                <w:sz w:val="10"/>
                <w:szCs w:val="10"/>
              </w:rPr>
            </w:pPr>
            <w:r w:rsidRPr="00F9037E">
              <w:rPr>
                <w:color w:val="auto"/>
                <w:sz w:val="10"/>
                <w:szCs w:val="10"/>
              </w:rPr>
              <w:t>1300.000</w:t>
            </w:r>
          </w:p>
        </w:tc>
        <w:tc>
          <w:tcPr>
            <w:tcW w:w="709" w:type="dxa"/>
            <w:shd w:val="clear" w:color="auto" w:fill="auto"/>
            <w:vAlign w:val="center"/>
          </w:tcPr>
          <w:p w14:paraId="0EE286AD" w14:textId="77777777" w:rsidR="00D34C6F" w:rsidRPr="00F9037E" w:rsidRDefault="00D34C6F" w:rsidP="00C05C97">
            <w:pPr>
              <w:spacing w:before="120" w:after="120"/>
              <w:jc w:val="center"/>
              <w:rPr>
                <w:color w:val="auto"/>
                <w:sz w:val="10"/>
                <w:szCs w:val="10"/>
              </w:rPr>
            </w:pPr>
            <w:r w:rsidRPr="00F9037E">
              <w:rPr>
                <w:color w:val="auto"/>
                <w:sz w:val="10"/>
                <w:szCs w:val="10"/>
              </w:rPr>
              <w:t>1030.00</w:t>
            </w:r>
          </w:p>
        </w:tc>
        <w:tc>
          <w:tcPr>
            <w:tcW w:w="709" w:type="dxa"/>
            <w:shd w:val="clear" w:color="auto" w:fill="auto"/>
            <w:vAlign w:val="center"/>
          </w:tcPr>
          <w:p w14:paraId="23554496" w14:textId="77777777" w:rsidR="00D34C6F" w:rsidRPr="00F9037E" w:rsidRDefault="00D34C6F" w:rsidP="00C05C97">
            <w:pPr>
              <w:spacing w:before="120" w:after="120"/>
              <w:jc w:val="center"/>
              <w:rPr>
                <w:color w:val="auto"/>
                <w:sz w:val="10"/>
                <w:szCs w:val="10"/>
              </w:rPr>
            </w:pPr>
            <w:r w:rsidRPr="00F9037E">
              <w:rPr>
                <w:color w:val="auto"/>
                <w:sz w:val="10"/>
                <w:szCs w:val="10"/>
              </w:rPr>
              <w:t>418.000</w:t>
            </w:r>
          </w:p>
        </w:tc>
        <w:tc>
          <w:tcPr>
            <w:tcW w:w="567" w:type="dxa"/>
            <w:shd w:val="clear" w:color="auto" w:fill="auto"/>
            <w:vAlign w:val="center"/>
          </w:tcPr>
          <w:p w14:paraId="1934E8A4" w14:textId="41936FCD"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1DCD8D42" w14:textId="5034D3B4"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71B0E0DC" w14:textId="15AA7E21"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29AF477E" w14:textId="48B57461"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4567215" w14:textId="743E9682"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3636A24" w14:textId="2021014C" w:rsidR="00D34C6F" w:rsidRPr="00F9037E" w:rsidRDefault="00D34C6F" w:rsidP="00C05C97">
            <w:pPr>
              <w:spacing w:before="120" w:after="120"/>
              <w:jc w:val="center"/>
              <w:rPr>
                <w:color w:val="auto"/>
                <w:sz w:val="10"/>
                <w:szCs w:val="10"/>
              </w:rPr>
            </w:pPr>
          </w:p>
        </w:tc>
        <w:tc>
          <w:tcPr>
            <w:tcW w:w="629" w:type="dxa"/>
            <w:vAlign w:val="center"/>
          </w:tcPr>
          <w:p w14:paraId="57EBD11A" w14:textId="77777777" w:rsidR="00D34C6F" w:rsidRPr="00F9037E" w:rsidRDefault="00D34C6F" w:rsidP="00C05C97">
            <w:pPr>
              <w:spacing w:before="120" w:after="120"/>
              <w:jc w:val="center"/>
              <w:rPr>
                <w:color w:val="auto"/>
                <w:sz w:val="10"/>
                <w:szCs w:val="10"/>
              </w:rPr>
            </w:pPr>
          </w:p>
        </w:tc>
        <w:tc>
          <w:tcPr>
            <w:tcW w:w="567" w:type="dxa"/>
            <w:vAlign w:val="center"/>
          </w:tcPr>
          <w:p w14:paraId="0CC1AD1D" w14:textId="77777777" w:rsidR="00D34C6F" w:rsidRPr="00F9037E" w:rsidRDefault="00D34C6F" w:rsidP="00C05C97">
            <w:pPr>
              <w:spacing w:before="120" w:after="120"/>
              <w:jc w:val="center"/>
              <w:rPr>
                <w:color w:val="auto"/>
                <w:sz w:val="10"/>
                <w:szCs w:val="10"/>
              </w:rPr>
            </w:pPr>
          </w:p>
        </w:tc>
        <w:tc>
          <w:tcPr>
            <w:tcW w:w="567" w:type="dxa"/>
            <w:vAlign w:val="center"/>
          </w:tcPr>
          <w:p w14:paraId="7D1ADCC4"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0A9443FE" w14:textId="77777777" w:rsidR="00D34C6F" w:rsidRPr="00F9037E" w:rsidRDefault="00D34C6F" w:rsidP="00C05C97">
            <w:pPr>
              <w:spacing w:before="120" w:after="120"/>
              <w:jc w:val="center"/>
              <w:rPr>
                <w:color w:val="auto"/>
                <w:sz w:val="10"/>
                <w:szCs w:val="10"/>
              </w:rPr>
            </w:pPr>
            <w:r w:rsidRPr="00F9037E">
              <w:rPr>
                <w:color w:val="auto"/>
                <w:sz w:val="10"/>
                <w:szCs w:val="10"/>
              </w:rPr>
              <w:t>871.000</w:t>
            </w:r>
          </w:p>
        </w:tc>
        <w:tc>
          <w:tcPr>
            <w:tcW w:w="709" w:type="dxa"/>
            <w:shd w:val="clear" w:color="auto" w:fill="auto"/>
            <w:vAlign w:val="center"/>
          </w:tcPr>
          <w:p w14:paraId="75011341" w14:textId="77777777" w:rsidR="00D34C6F" w:rsidRPr="00F9037E" w:rsidRDefault="00D34C6F" w:rsidP="00C05C97">
            <w:pPr>
              <w:spacing w:before="120" w:after="120"/>
              <w:jc w:val="center"/>
              <w:rPr>
                <w:color w:val="auto"/>
                <w:sz w:val="10"/>
                <w:szCs w:val="10"/>
              </w:rPr>
            </w:pPr>
            <w:r w:rsidRPr="00F9037E">
              <w:rPr>
                <w:color w:val="auto"/>
                <w:sz w:val="10"/>
                <w:szCs w:val="10"/>
              </w:rPr>
              <w:t>697.000</w:t>
            </w:r>
          </w:p>
        </w:tc>
        <w:tc>
          <w:tcPr>
            <w:tcW w:w="708" w:type="dxa"/>
            <w:shd w:val="clear" w:color="auto" w:fill="auto"/>
            <w:vAlign w:val="center"/>
          </w:tcPr>
          <w:p w14:paraId="454C965B" w14:textId="77777777" w:rsidR="00D34C6F" w:rsidRPr="00F9037E" w:rsidRDefault="00D34C6F" w:rsidP="00C05C97">
            <w:pPr>
              <w:spacing w:before="120" w:after="120"/>
              <w:jc w:val="center"/>
              <w:rPr>
                <w:color w:val="auto"/>
                <w:sz w:val="10"/>
                <w:szCs w:val="10"/>
              </w:rPr>
            </w:pPr>
            <w:r w:rsidRPr="00F9037E">
              <w:rPr>
                <w:color w:val="auto"/>
                <w:sz w:val="10"/>
                <w:szCs w:val="10"/>
              </w:rPr>
              <w:t>80.000</w:t>
            </w:r>
          </w:p>
        </w:tc>
        <w:tc>
          <w:tcPr>
            <w:tcW w:w="709" w:type="dxa"/>
            <w:shd w:val="clear" w:color="auto" w:fill="auto"/>
            <w:vAlign w:val="center"/>
          </w:tcPr>
          <w:p w14:paraId="2630F0B6" w14:textId="2D3B950E"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3E8F2CD1" w14:textId="61D208C2"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15B71855" w14:textId="51A6F00A"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2C2D3685" w14:textId="0C538940"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5D914449" w14:textId="7BC51903" w:rsidR="00D34C6F" w:rsidRPr="00F9037E" w:rsidRDefault="00D34C6F" w:rsidP="00C05C97">
            <w:pPr>
              <w:spacing w:before="120" w:after="120"/>
              <w:jc w:val="center"/>
              <w:rPr>
                <w:b/>
                <w:color w:val="auto"/>
                <w:sz w:val="10"/>
                <w:szCs w:val="10"/>
              </w:rPr>
            </w:pPr>
          </w:p>
        </w:tc>
        <w:tc>
          <w:tcPr>
            <w:tcW w:w="567" w:type="dxa"/>
            <w:vAlign w:val="center"/>
          </w:tcPr>
          <w:p w14:paraId="28F598A9" w14:textId="77777777" w:rsidR="00D34C6F" w:rsidRPr="00F9037E" w:rsidRDefault="00D34C6F" w:rsidP="00C05C97">
            <w:pPr>
              <w:spacing w:before="120" w:after="120"/>
              <w:jc w:val="center"/>
              <w:rPr>
                <w:b/>
                <w:color w:val="auto"/>
                <w:sz w:val="10"/>
                <w:szCs w:val="10"/>
              </w:rPr>
            </w:pPr>
          </w:p>
        </w:tc>
        <w:tc>
          <w:tcPr>
            <w:tcW w:w="567" w:type="dxa"/>
            <w:vAlign w:val="center"/>
          </w:tcPr>
          <w:p w14:paraId="70EE53B3" w14:textId="77777777" w:rsidR="00D34C6F" w:rsidRPr="00F9037E" w:rsidRDefault="00D34C6F" w:rsidP="00C05C97">
            <w:pPr>
              <w:spacing w:before="120" w:after="120"/>
              <w:jc w:val="center"/>
              <w:rPr>
                <w:b/>
                <w:color w:val="auto"/>
                <w:sz w:val="10"/>
                <w:szCs w:val="10"/>
              </w:rPr>
            </w:pPr>
          </w:p>
        </w:tc>
        <w:tc>
          <w:tcPr>
            <w:tcW w:w="567" w:type="dxa"/>
            <w:vAlign w:val="center"/>
          </w:tcPr>
          <w:p w14:paraId="020DDEBC" w14:textId="77777777" w:rsidR="00D34C6F" w:rsidRPr="00F9037E" w:rsidRDefault="00D34C6F" w:rsidP="00C05C97">
            <w:pPr>
              <w:spacing w:before="120" w:after="120"/>
              <w:jc w:val="center"/>
              <w:rPr>
                <w:b/>
                <w:color w:val="auto"/>
                <w:sz w:val="10"/>
                <w:szCs w:val="10"/>
              </w:rPr>
            </w:pPr>
          </w:p>
        </w:tc>
        <w:tc>
          <w:tcPr>
            <w:tcW w:w="567" w:type="dxa"/>
            <w:vAlign w:val="center"/>
          </w:tcPr>
          <w:p w14:paraId="69268A91" w14:textId="77777777" w:rsidR="00D34C6F" w:rsidRPr="00F9037E" w:rsidRDefault="00D34C6F" w:rsidP="00C05C97">
            <w:pPr>
              <w:spacing w:before="120" w:after="120"/>
              <w:jc w:val="center"/>
              <w:rPr>
                <w:b/>
                <w:color w:val="auto"/>
                <w:sz w:val="10"/>
                <w:szCs w:val="10"/>
              </w:rPr>
            </w:pPr>
          </w:p>
        </w:tc>
      </w:tr>
      <w:tr w:rsidR="00D34C6F" w:rsidRPr="00F9037E" w14:paraId="270DEDE3" w14:textId="77777777" w:rsidTr="00C05C97">
        <w:trPr>
          <w:trHeight w:val="270"/>
          <w:jc w:val="center"/>
        </w:trPr>
        <w:tc>
          <w:tcPr>
            <w:tcW w:w="662" w:type="dxa"/>
            <w:shd w:val="clear" w:color="auto" w:fill="auto"/>
            <w:vAlign w:val="center"/>
          </w:tcPr>
          <w:p w14:paraId="142B5358" w14:textId="77777777" w:rsidR="00D34C6F" w:rsidRPr="00F9037E" w:rsidRDefault="00D34C6F" w:rsidP="00C05C97">
            <w:pPr>
              <w:spacing w:before="120" w:after="120"/>
              <w:rPr>
                <w:color w:val="auto"/>
                <w:sz w:val="12"/>
                <w:szCs w:val="12"/>
              </w:rPr>
            </w:pPr>
            <w:r w:rsidRPr="00F9037E">
              <w:rPr>
                <w:color w:val="auto"/>
                <w:sz w:val="12"/>
                <w:szCs w:val="12"/>
              </w:rPr>
              <w:t>Japan</w:t>
            </w:r>
          </w:p>
        </w:tc>
        <w:tc>
          <w:tcPr>
            <w:tcW w:w="824" w:type="dxa"/>
            <w:shd w:val="clear" w:color="auto" w:fill="auto"/>
            <w:vAlign w:val="center"/>
          </w:tcPr>
          <w:p w14:paraId="5D290DBD" w14:textId="77777777" w:rsidR="00D34C6F" w:rsidRPr="00F9037E" w:rsidRDefault="00D34C6F" w:rsidP="00C05C97">
            <w:pPr>
              <w:spacing w:before="120" w:after="120"/>
              <w:rPr>
                <w:color w:val="auto"/>
                <w:sz w:val="12"/>
                <w:szCs w:val="12"/>
              </w:rPr>
            </w:pPr>
            <w:r w:rsidRPr="00F9037E">
              <w:rPr>
                <w:color w:val="auto"/>
                <w:sz w:val="12"/>
                <w:szCs w:val="12"/>
              </w:rPr>
              <w:t>Cucumber</w:t>
            </w:r>
          </w:p>
        </w:tc>
        <w:tc>
          <w:tcPr>
            <w:tcW w:w="708" w:type="dxa"/>
            <w:shd w:val="clear" w:color="auto" w:fill="auto"/>
            <w:vAlign w:val="center"/>
          </w:tcPr>
          <w:p w14:paraId="0B010366" w14:textId="77777777" w:rsidR="00D34C6F" w:rsidRPr="00F9037E" w:rsidRDefault="00D34C6F" w:rsidP="00C05C97">
            <w:pPr>
              <w:spacing w:before="120" w:after="120"/>
              <w:jc w:val="center"/>
              <w:rPr>
                <w:color w:val="auto"/>
                <w:sz w:val="10"/>
                <w:szCs w:val="10"/>
              </w:rPr>
            </w:pPr>
            <w:r w:rsidRPr="00F9037E">
              <w:rPr>
                <w:color w:val="auto"/>
                <w:sz w:val="10"/>
                <w:szCs w:val="10"/>
              </w:rPr>
              <w:t>88.300</w:t>
            </w:r>
          </w:p>
        </w:tc>
        <w:tc>
          <w:tcPr>
            <w:tcW w:w="709" w:type="dxa"/>
            <w:shd w:val="clear" w:color="auto" w:fill="auto"/>
            <w:vAlign w:val="center"/>
          </w:tcPr>
          <w:p w14:paraId="40EC1D92" w14:textId="77777777" w:rsidR="00D34C6F" w:rsidRPr="00F9037E" w:rsidRDefault="00D34C6F" w:rsidP="00C05C97">
            <w:pPr>
              <w:spacing w:before="120" w:after="120"/>
              <w:jc w:val="center"/>
              <w:rPr>
                <w:color w:val="auto"/>
                <w:sz w:val="10"/>
                <w:szCs w:val="10"/>
              </w:rPr>
            </w:pPr>
            <w:r w:rsidRPr="00F9037E">
              <w:rPr>
                <w:color w:val="auto"/>
                <w:sz w:val="10"/>
                <w:szCs w:val="10"/>
              </w:rPr>
              <w:t>88.800</w:t>
            </w:r>
          </w:p>
        </w:tc>
        <w:tc>
          <w:tcPr>
            <w:tcW w:w="709" w:type="dxa"/>
            <w:shd w:val="clear" w:color="auto" w:fill="auto"/>
            <w:vAlign w:val="center"/>
          </w:tcPr>
          <w:p w14:paraId="3D3748C0" w14:textId="77777777" w:rsidR="00D34C6F" w:rsidRPr="00F9037E" w:rsidRDefault="00D34C6F" w:rsidP="00C05C97">
            <w:pPr>
              <w:spacing w:before="120" w:after="120"/>
              <w:jc w:val="center"/>
              <w:rPr>
                <w:color w:val="auto"/>
                <w:sz w:val="10"/>
                <w:szCs w:val="10"/>
              </w:rPr>
            </w:pPr>
            <w:r w:rsidRPr="00F9037E">
              <w:rPr>
                <w:color w:val="auto"/>
                <w:sz w:val="10"/>
                <w:szCs w:val="10"/>
              </w:rPr>
              <w:t>72.400</w:t>
            </w:r>
          </w:p>
        </w:tc>
        <w:tc>
          <w:tcPr>
            <w:tcW w:w="567" w:type="dxa"/>
            <w:shd w:val="clear" w:color="auto" w:fill="auto"/>
            <w:vAlign w:val="center"/>
          </w:tcPr>
          <w:p w14:paraId="0CEEB802" w14:textId="77777777" w:rsidR="00D34C6F" w:rsidRPr="00F9037E" w:rsidRDefault="00D34C6F" w:rsidP="00C05C97">
            <w:pPr>
              <w:spacing w:before="120" w:after="120"/>
              <w:jc w:val="center"/>
              <w:rPr>
                <w:color w:val="auto"/>
                <w:sz w:val="10"/>
                <w:szCs w:val="10"/>
              </w:rPr>
            </w:pPr>
            <w:r w:rsidRPr="00F9037E">
              <w:rPr>
                <w:color w:val="auto"/>
                <w:sz w:val="10"/>
                <w:szCs w:val="10"/>
              </w:rPr>
              <w:t>68.600</w:t>
            </w:r>
          </w:p>
        </w:tc>
        <w:tc>
          <w:tcPr>
            <w:tcW w:w="709" w:type="dxa"/>
            <w:shd w:val="clear" w:color="auto" w:fill="auto"/>
            <w:vAlign w:val="center"/>
          </w:tcPr>
          <w:p w14:paraId="3D15D86D" w14:textId="77777777" w:rsidR="00D34C6F" w:rsidRPr="00F9037E" w:rsidRDefault="00D34C6F" w:rsidP="00C05C97">
            <w:pPr>
              <w:spacing w:before="120" w:after="120"/>
              <w:jc w:val="center"/>
              <w:rPr>
                <w:color w:val="auto"/>
                <w:sz w:val="10"/>
                <w:szCs w:val="10"/>
              </w:rPr>
            </w:pPr>
            <w:r w:rsidRPr="00F9037E">
              <w:rPr>
                <w:color w:val="auto"/>
                <w:sz w:val="10"/>
                <w:szCs w:val="10"/>
              </w:rPr>
              <w:t>61.400</w:t>
            </w:r>
          </w:p>
        </w:tc>
        <w:tc>
          <w:tcPr>
            <w:tcW w:w="567" w:type="dxa"/>
            <w:shd w:val="clear" w:color="auto" w:fill="auto"/>
            <w:vAlign w:val="center"/>
          </w:tcPr>
          <w:p w14:paraId="0A1CB42E" w14:textId="77777777" w:rsidR="00D34C6F" w:rsidRPr="00F9037E" w:rsidRDefault="00D34C6F" w:rsidP="00C05C97">
            <w:pPr>
              <w:spacing w:before="120" w:after="120"/>
              <w:jc w:val="center"/>
              <w:rPr>
                <w:color w:val="auto"/>
                <w:sz w:val="10"/>
                <w:szCs w:val="10"/>
              </w:rPr>
            </w:pPr>
            <w:r w:rsidRPr="00F9037E">
              <w:rPr>
                <w:color w:val="auto"/>
                <w:sz w:val="10"/>
                <w:szCs w:val="10"/>
              </w:rPr>
              <w:t>34.100</w:t>
            </w:r>
          </w:p>
        </w:tc>
        <w:tc>
          <w:tcPr>
            <w:tcW w:w="708" w:type="dxa"/>
            <w:shd w:val="clear" w:color="auto" w:fill="auto"/>
            <w:vAlign w:val="center"/>
          </w:tcPr>
          <w:p w14:paraId="0A38EF61" w14:textId="77777777" w:rsidR="00D34C6F" w:rsidRPr="00F9037E" w:rsidRDefault="00D34C6F" w:rsidP="00C05C97">
            <w:pPr>
              <w:spacing w:before="120" w:after="120"/>
              <w:jc w:val="center"/>
              <w:rPr>
                <w:color w:val="auto"/>
                <w:sz w:val="10"/>
                <w:szCs w:val="10"/>
              </w:rPr>
            </w:pPr>
            <w:r w:rsidRPr="00F9037E">
              <w:rPr>
                <w:color w:val="auto"/>
                <w:sz w:val="10"/>
                <w:szCs w:val="10"/>
              </w:rPr>
              <w:t>29.120</w:t>
            </w:r>
          </w:p>
        </w:tc>
        <w:tc>
          <w:tcPr>
            <w:tcW w:w="567" w:type="dxa"/>
            <w:shd w:val="clear" w:color="auto" w:fill="auto"/>
            <w:vAlign w:val="center"/>
          </w:tcPr>
          <w:p w14:paraId="45440539" w14:textId="77777777" w:rsidR="00D34C6F" w:rsidRPr="00F9037E" w:rsidRDefault="00D34C6F" w:rsidP="00C05C97">
            <w:pPr>
              <w:spacing w:before="120" w:after="120"/>
              <w:jc w:val="center"/>
              <w:rPr>
                <w:color w:val="auto"/>
                <w:sz w:val="10"/>
                <w:szCs w:val="10"/>
              </w:rPr>
            </w:pPr>
            <w:r w:rsidRPr="00F9037E">
              <w:rPr>
                <w:color w:val="auto"/>
                <w:sz w:val="10"/>
                <w:szCs w:val="10"/>
              </w:rPr>
              <w:t>26.162</w:t>
            </w:r>
          </w:p>
        </w:tc>
        <w:tc>
          <w:tcPr>
            <w:tcW w:w="567" w:type="dxa"/>
            <w:shd w:val="clear" w:color="auto" w:fill="auto"/>
            <w:vAlign w:val="center"/>
          </w:tcPr>
          <w:p w14:paraId="5D894342" w14:textId="535D9434" w:rsidR="00D34C6F" w:rsidRPr="00F9037E" w:rsidRDefault="00D34C6F" w:rsidP="00C05C97">
            <w:pPr>
              <w:spacing w:before="120" w:after="120"/>
              <w:jc w:val="center"/>
              <w:rPr>
                <w:color w:val="auto"/>
                <w:sz w:val="10"/>
                <w:szCs w:val="10"/>
              </w:rPr>
            </w:pPr>
          </w:p>
        </w:tc>
        <w:tc>
          <w:tcPr>
            <w:tcW w:w="629" w:type="dxa"/>
            <w:vAlign w:val="center"/>
          </w:tcPr>
          <w:p w14:paraId="75E615DD" w14:textId="77777777" w:rsidR="00D34C6F" w:rsidRPr="00F9037E" w:rsidRDefault="00D34C6F" w:rsidP="00C05C97">
            <w:pPr>
              <w:spacing w:before="120" w:after="120"/>
              <w:jc w:val="center"/>
              <w:rPr>
                <w:color w:val="auto"/>
                <w:sz w:val="10"/>
                <w:szCs w:val="10"/>
              </w:rPr>
            </w:pPr>
          </w:p>
        </w:tc>
        <w:tc>
          <w:tcPr>
            <w:tcW w:w="567" w:type="dxa"/>
            <w:vAlign w:val="center"/>
          </w:tcPr>
          <w:p w14:paraId="16E1A5CA" w14:textId="77777777" w:rsidR="00D34C6F" w:rsidRPr="00F9037E" w:rsidRDefault="00D34C6F" w:rsidP="00C05C97">
            <w:pPr>
              <w:spacing w:before="120" w:after="120"/>
              <w:jc w:val="center"/>
              <w:rPr>
                <w:color w:val="auto"/>
                <w:sz w:val="10"/>
                <w:szCs w:val="10"/>
              </w:rPr>
            </w:pPr>
          </w:p>
        </w:tc>
        <w:tc>
          <w:tcPr>
            <w:tcW w:w="567" w:type="dxa"/>
            <w:vAlign w:val="center"/>
          </w:tcPr>
          <w:p w14:paraId="69A1FC70"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065E4E86" w14:textId="77777777" w:rsidR="00D34C6F" w:rsidRPr="00F9037E" w:rsidRDefault="00D34C6F" w:rsidP="00C05C97">
            <w:pPr>
              <w:spacing w:before="120" w:after="120"/>
              <w:jc w:val="center"/>
              <w:rPr>
                <w:color w:val="auto"/>
                <w:sz w:val="10"/>
                <w:szCs w:val="10"/>
              </w:rPr>
            </w:pPr>
            <w:r w:rsidRPr="00F9037E">
              <w:rPr>
                <w:color w:val="auto"/>
                <w:sz w:val="10"/>
                <w:szCs w:val="10"/>
              </w:rPr>
              <w:t>88.300</w:t>
            </w:r>
          </w:p>
        </w:tc>
        <w:tc>
          <w:tcPr>
            <w:tcW w:w="709" w:type="dxa"/>
            <w:shd w:val="clear" w:color="auto" w:fill="auto"/>
            <w:vAlign w:val="center"/>
          </w:tcPr>
          <w:p w14:paraId="6AF72B7E" w14:textId="77777777" w:rsidR="00D34C6F" w:rsidRPr="00F9037E" w:rsidRDefault="00D34C6F" w:rsidP="00C05C97">
            <w:pPr>
              <w:spacing w:before="120" w:after="120"/>
              <w:jc w:val="center"/>
              <w:rPr>
                <w:color w:val="auto"/>
                <w:sz w:val="10"/>
                <w:szCs w:val="10"/>
              </w:rPr>
            </w:pPr>
            <w:r w:rsidRPr="00F9037E">
              <w:rPr>
                <w:color w:val="auto"/>
                <w:sz w:val="10"/>
                <w:szCs w:val="10"/>
              </w:rPr>
              <w:t>88.800</w:t>
            </w:r>
          </w:p>
        </w:tc>
        <w:tc>
          <w:tcPr>
            <w:tcW w:w="708" w:type="dxa"/>
            <w:shd w:val="clear" w:color="auto" w:fill="auto"/>
            <w:vAlign w:val="center"/>
          </w:tcPr>
          <w:p w14:paraId="274C5F2F" w14:textId="77777777" w:rsidR="00D34C6F" w:rsidRPr="00F9037E" w:rsidRDefault="00D34C6F" w:rsidP="00C05C97">
            <w:pPr>
              <w:spacing w:before="120" w:after="120"/>
              <w:jc w:val="center"/>
              <w:rPr>
                <w:color w:val="auto"/>
                <w:sz w:val="10"/>
                <w:szCs w:val="10"/>
              </w:rPr>
            </w:pPr>
            <w:r w:rsidRPr="00F9037E">
              <w:rPr>
                <w:color w:val="auto"/>
                <w:sz w:val="10"/>
                <w:szCs w:val="10"/>
              </w:rPr>
              <w:t>72.400</w:t>
            </w:r>
          </w:p>
        </w:tc>
        <w:tc>
          <w:tcPr>
            <w:tcW w:w="709" w:type="dxa"/>
            <w:shd w:val="clear" w:color="auto" w:fill="auto"/>
            <w:vAlign w:val="center"/>
          </w:tcPr>
          <w:p w14:paraId="37EC62D2" w14:textId="77777777" w:rsidR="00D34C6F" w:rsidRPr="00F9037E" w:rsidRDefault="00D34C6F" w:rsidP="00C05C97">
            <w:pPr>
              <w:spacing w:before="120" w:after="120"/>
              <w:jc w:val="center"/>
              <w:rPr>
                <w:color w:val="auto"/>
                <w:sz w:val="10"/>
                <w:szCs w:val="10"/>
              </w:rPr>
            </w:pPr>
            <w:r w:rsidRPr="00F9037E">
              <w:rPr>
                <w:color w:val="auto"/>
                <w:sz w:val="10"/>
                <w:szCs w:val="10"/>
              </w:rPr>
              <w:t>51.450</w:t>
            </w:r>
          </w:p>
        </w:tc>
        <w:tc>
          <w:tcPr>
            <w:tcW w:w="567" w:type="dxa"/>
            <w:shd w:val="clear" w:color="auto" w:fill="auto"/>
            <w:vAlign w:val="center"/>
          </w:tcPr>
          <w:p w14:paraId="0297D67A" w14:textId="77777777" w:rsidR="00D34C6F" w:rsidRPr="00F9037E" w:rsidRDefault="00D34C6F" w:rsidP="00C05C97">
            <w:pPr>
              <w:spacing w:before="120" w:after="120"/>
              <w:jc w:val="center"/>
              <w:rPr>
                <w:color w:val="auto"/>
                <w:sz w:val="10"/>
                <w:szCs w:val="10"/>
              </w:rPr>
            </w:pPr>
            <w:r w:rsidRPr="00F9037E">
              <w:rPr>
                <w:color w:val="auto"/>
                <w:sz w:val="10"/>
                <w:szCs w:val="10"/>
              </w:rPr>
              <w:t>34.300</w:t>
            </w:r>
          </w:p>
        </w:tc>
        <w:tc>
          <w:tcPr>
            <w:tcW w:w="647" w:type="dxa"/>
            <w:shd w:val="clear" w:color="auto" w:fill="auto"/>
            <w:vAlign w:val="center"/>
          </w:tcPr>
          <w:p w14:paraId="160BC50A" w14:textId="77777777" w:rsidR="00D34C6F" w:rsidRPr="00F9037E" w:rsidRDefault="00D34C6F" w:rsidP="00C05C97">
            <w:pPr>
              <w:spacing w:before="120" w:after="120"/>
              <w:jc w:val="center"/>
              <w:rPr>
                <w:color w:val="auto"/>
                <w:sz w:val="10"/>
                <w:szCs w:val="10"/>
              </w:rPr>
            </w:pPr>
            <w:r w:rsidRPr="00F9037E">
              <w:rPr>
                <w:color w:val="auto"/>
                <w:sz w:val="10"/>
                <w:szCs w:val="10"/>
              </w:rPr>
              <w:t>30.690</w:t>
            </w:r>
          </w:p>
        </w:tc>
        <w:tc>
          <w:tcPr>
            <w:tcW w:w="567" w:type="dxa"/>
            <w:shd w:val="clear" w:color="auto" w:fill="auto"/>
            <w:vAlign w:val="center"/>
          </w:tcPr>
          <w:p w14:paraId="5C92C562" w14:textId="77777777" w:rsidR="00D34C6F" w:rsidRPr="00F9037E" w:rsidRDefault="00D34C6F" w:rsidP="00C05C97">
            <w:pPr>
              <w:spacing w:before="120" w:after="120"/>
              <w:jc w:val="center"/>
              <w:rPr>
                <w:color w:val="auto"/>
                <w:sz w:val="10"/>
                <w:szCs w:val="10"/>
              </w:rPr>
            </w:pPr>
            <w:r w:rsidRPr="00F9037E">
              <w:rPr>
                <w:color w:val="auto"/>
                <w:sz w:val="10"/>
                <w:szCs w:val="10"/>
              </w:rPr>
              <w:t>27.621</w:t>
            </w:r>
          </w:p>
        </w:tc>
        <w:tc>
          <w:tcPr>
            <w:tcW w:w="567" w:type="dxa"/>
            <w:shd w:val="clear" w:color="auto" w:fill="auto"/>
            <w:noWrap/>
            <w:vAlign w:val="center"/>
          </w:tcPr>
          <w:p w14:paraId="05AB2CA7" w14:textId="480B825B" w:rsidR="00D34C6F" w:rsidRPr="00F9037E" w:rsidRDefault="00D34C6F" w:rsidP="00C05C97">
            <w:pPr>
              <w:spacing w:before="120" w:after="120"/>
              <w:jc w:val="center"/>
              <w:rPr>
                <w:b/>
                <w:color w:val="auto"/>
                <w:sz w:val="10"/>
                <w:szCs w:val="10"/>
              </w:rPr>
            </w:pPr>
          </w:p>
        </w:tc>
        <w:tc>
          <w:tcPr>
            <w:tcW w:w="567" w:type="dxa"/>
            <w:vAlign w:val="center"/>
          </w:tcPr>
          <w:p w14:paraId="12DCB34D" w14:textId="77777777" w:rsidR="00D34C6F" w:rsidRPr="00F9037E" w:rsidRDefault="00D34C6F" w:rsidP="00C05C97">
            <w:pPr>
              <w:spacing w:before="120" w:after="120"/>
              <w:jc w:val="center"/>
              <w:rPr>
                <w:b/>
                <w:color w:val="auto"/>
                <w:sz w:val="10"/>
                <w:szCs w:val="10"/>
              </w:rPr>
            </w:pPr>
          </w:p>
        </w:tc>
        <w:tc>
          <w:tcPr>
            <w:tcW w:w="567" w:type="dxa"/>
            <w:vAlign w:val="center"/>
          </w:tcPr>
          <w:p w14:paraId="37D74007" w14:textId="77777777" w:rsidR="00D34C6F" w:rsidRPr="00F9037E" w:rsidRDefault="00D34C6F" w:rsidP="00C05C97">
            <w:pPr>
              <w:spacing w:before="120" w:after="120"/>
              <w:jc w:val="center"/>
              <w:rPr>
                <w:b/>
                <w:color w:val="auto"/>
                <w:sz w:val="10"/>
                <w:szCs w:val="10"/>
              </w:rPr>
            </w:pPr>
          </w:p>
        </w:tc>
        <w:tc>
          <w:tcPr>
            <w:tcW w:w="567" w:type="dxa"/>
            <w:vAlign w:val="center"/>
          </w:tcPr>
          <w:p w14:paraId="57C02914" w14:textId="77777777" w:rsidR="00D34C6F" w:rsidRPr="00F9037E" w:rsidRDefault="00D34C6F" w:rsidP="00C05C97">
            <w:pPr>
              <w:spacing w:before="120" w:after="120"/>
              <w:jc w:val="center"/>
              <w:rPr>
                <w:b/>
                <w:color w:val="auto"/>
                <w:sz w:val="10"/>
                <w:szCs w:val="10"/>
              </w:rPr>
            </w:pPr>
          </w:p>
        </w:tc>
        <w:tc>
          <w:tcPr>
            <w:tcW w:w="567" w:type="dxa"/>
            <w:vAlign w:val="center"/>
          </w:tcPr>
          <w:p w14:paraId="01F4CA9F" w14:textId="77777777" w:rsidR="00D34C6F" w:rsidRPr="00F9037E" w:rsidRDefault="00D34C6F" w:rsidP="00C05C97">
            <w:pPr>
              <w:spacing w:before="120" w:after="120"/>
              <w:jc w:val="center"/>
              <w:rPr>
                <w:b/>
                <w:color w:val="auto"/>
                <w:sz w:val="10"/>
                <w:szCs w:val="10"/>
              </w:rPr>
            </w:pPr>
          </w:p>
        </w:tc>
      </w:tr>
      <w:tr w:rsidR="00D34C6F" w:rsidRPr="00F9037E" w14:paraId="7B909CB8" w14:textId="77777777" w:rsidTr="00C05C97">
        <w:trPr>
          <w:trHeight w:val="465"/>
          <w:jc w:val="center"/>
        </w:trPr>
        <w:tc>
          <w:tcPr>
            <w:tcW w:w="662" w:type="dxa"/>
            <w:shd w:val="clear" w:color="auto" w:fill="auto"/>
            <w:vAlign w:val="center"/>
          </w:tcPr>
          <w:p w14:paraId="5C6BD2D1" w14:textId="77777777" w:rsidR="00D34C6F" w:rsidRPr="00F9037E" w:rsidRDefault="00D34C6F" w:rsidP="00C05C97">
            <w:pPr>
              <w:spacing w:before="120" w:after="120"/>
              <w:rPr>
                <w:color w:val="auto"/>
                <w:sz w:val="12"/>
                <w:szCs w:val="12"/>
              </w:rPr>
            </w:pPr>
            <w:r w:rsidRPr="00F9037E">
              <w:rPr>
                <w:color w:val="auto"/>
                <w:sz w:val="12"/>
                <w:szCs w:val="12"/>
              </w:rPr>
              <w:t>Japan</w:t>
            </w:r>
          </w:p>
        </w:tc>
        <w:tc>
          <w:tcPr>
            <w:tcW w:w="824" w:type="dxa"/>
            <w:shd w:val="clear" w:color="auto" w:fill="auto"/>
            <w:vAlign w:val="center"/>
          </w:tcPr>
          <w:p w14:paraId="2F8372FE" w14:textId="77777777" w:rsidR="00D34C6F" w:rsidRPr="00F9037E" w:rsidRDefault="00D34C6F" w:rsidP="00C05C97">
            <w:pPr>
              <w:spacing w:before="120" w:after="120"/>
              <w:rPr>
                <w:color w:val="auto"/>
                <w:sz w:val="12"/>
                <w:szCs w:val="12"/>
              </w:rPr>
            </w:pPr>
            <w:r w:rsidRPr="00F9037E">
              <w:rPr>
                <w:color w:val="auto"/>
                <w:sz w:val="12"/>
                <w:szCs w:val="12"/>
              </w:rPr>
              <w:t>Ginger – field</w:t>
            </w:r>
          </w:p>
        </w:tc>
        <w:tc>
          <w:tcPr>
            <w:tcW w:w="708" w:type="dxa"/>
            <w:shd w:val="clear" w:color="auto" w:fill="auto"/>
            <w:vAlign w:val="center"/>
          </w:tcPr>
          <w:p w14:paraId="60DF56A9" w14:textId="77777777" w:rsidR="00D34C6F" w:rsidRPr="00F9037E" w:rsidRDefault="00D34C6F" w:rsidP="00C05C97">
            <w:pPr>
              <w:spacing w:before="120" w:after="120"/>
              <w:jc w:val="center"/>
              <w:rPr>
                <w:color w:val="auto"/>
                <w:sz w:val="10"/>
                <w:szCs w:val="10"/>
              </w:rPr>
            </w:pPr>
            <w:r w:rsidRPr="00F9037E">
              <w:rPr>
                <w:color w:val="auto"/>
                <w:sz w:val="10"/>
                <w:szCs w:val="10"/>
              </w:rPr>
              <w:t>119.400</w:t>
            </w:r>
          </w:p>
        </w:tc>
        <w:tc>
          <w:tcPr>
            <w:tcW w:w="709" w:type="dxa"/>
            <w:shd w:val="clear" w:color="auto" w:fill="auto"/>
            <w:vAlign w:val="center"/>
          </w:tcPr>
          <w:p w14:paraId="730C69CF" w14:textId="77777777" w:rsidR="00D34C6F" w:rsidRPr="00F9037E" w:rsidRDefault="00D34C6F" w:rsidP="00C05C97">
            <w:pPr>
              <w:spacing w:before="120" w:after="120"/>
              <w:jc w:val="center"/>
              <w:rPr>
                <w:color w:val="auto"/>
                <w:sz w:val="10"/>
                <w:szCs w:val="10"/>
              </w:rPr>
            </w:pPr>
            <w:r w:rsidRPr="00F9037E">
              <w:rPr>
                <w:color w:val="auto"/>
                <w:sz w:val="10"/>
                <w:szCs w:val="10"/>
              </w:rPr>
              <w:t>119.400</w:t>
            </w:r>
          </w:p>
        </w:tc>
        <w:tc>
          <w:tcPr>
            <w:tcW w:w="709" w:type="dxa"/>
            <w:shd w:val="clear" w:color="auto" w:fill="auto"/>
            <w:vAlign w:val="center"/>
          </w:tcPr>
          <w:p w14:paraId="3E4410ED" w14:textId="77777777" w:rsidR="00D34C6F" w:rsidRPr="00F9037E" w:rsidRDefault="00D34C6F" w:rsidP="00C05C97">
            <w:pPr>
              <w:spacing w:before="120" w:after="120"/>
              <w:jc w:val="center"/>
              <w:rPr>
                <w:color w:val="auto"/>
                <w:sz w:val="10"/>
                <w:szCs w:val="10"/>
              </w:rPr>
            </w:pPr>
            <w:r w:rsidRPr="00F9037E">
              <w:rPr>
                <w:color w:val="auto"/>
                <w:sz w:val="10"/>
                <w:szCs w:val="10"/>
              </w:rPr>
              <w:t>112.200</w:t>
            </w:r>
          </w:p>
        </w:tc>
        <w:tc>
          <w:tcPr>
            <w:tcW w:w="567" w:type="dxa"/>
            <w:shd w:val="clear" w:color="auto" w:fill="auto"/>
            <w:vAlign w:val="center"/>
          </w:tcPr>
          <w:p w14:paraId="544A2F22" w14:textId="77777777" w:rsidR="00D34C6F" w:rsidRPr="00F9037E" w:rsidRDefault="00D34C6F" w:rsidP="00C05C97">
            <w:pPr>
              <w:spacing w:before="120" w:after="120"/>
              <w:jc w:val="center"/>
              <w:rPr>
                <w:color w:val="auto"/>
                <w:sz w:val="10"/>
                <w:szCs w:val="10"/>
              </w:rPr>
            </w:pPr>
            <w:r w:rsidRPr="00F9037E">
              <w:rPr>
                <w:color w:val="auto"/>
                <w:sz w:val="10"/>
                <w:szCs w:val="10"/>
              </w:rPr>
              <w:t>112.100</w:t>
            </w:r>
          </w:p>
        </w:tc>
        <w:tc>
          <w:tcPr>
            <w:tcW w:w="709" w:type="dxa"/>
            <w:shd w:val="clear" w:color="auto" w:fill="auto"/>
            <w:vAlign w:val="center"/>
          </w:tcPr>
          <w:p w14:paraId="3CFF1FCA" w14:textId="77777777" w:rsidR="00D34C6F" w:rsidRPr="00F9037E" w:rsidRDefault="00D34C6F" w:rsidP="00C05C97">
            <w:pPr>
              <w:spacing w:before="120" w:after="120"/>
              <w:jc w:val="center"/>
              <w:rPr>
                <w:color w:val="auto"/>
                <w:sz w:val="10"/>
                <w:szCs w:val="10"/>
              </w:rPr>
            </w:pPr>
            <w:r w:rsidRPr="00F9037E">
              <w:rPr>
                <w:color w:val="auto"/>
                <w:sz w:val="10"/>
                <w:szCs w:val="10"/>
              </w:rPr>
              <w:t>102.200</w:t>
            </w:r>
          </w:p>
        </w:tc>
        <w:tc>
          <w:tcPr>
            <w:tcW w:w="567" w:type="dxa"/>
            <w:shd w:val="clear" w:color="auto" w:fill="auto"/>
            <w:vAlign w:val="center"/>
          </w:tcPr>
          <w:p w14:paraId="22736C90" w14:textId="77777777" w:rsidR="00D34C6F" w:rsidRPr="00F9037E" w:rsidRDefault="00D34C6F" w:rsidP="00C05C97">
            <w:pPr>
              <w:spacing w:before="120" w:after="120"/>
              <w:jc w:val="center"/>
              <w:rPr>
                <w:color w:val="auto"/>
                <w:sz w:val="10"/>
                <w:szCs w:val="10"/>
              </w:rPr>
            </w:pPr>
            <w:r w:rsidRPr="00F9037E">
              <w:rPr>
                <w:color w:val="auto"/>
                <w:sz w:val="10"/>
                <w:szCs w:val="10"/>
              </w:rPr>
              <w:t>53.400</w:t>
            </w:r>
          </w:p>
        </w:tc>
        <w:tc>
          <w:tcPr>
            <w:tcW w:w="708" w:type="dxa"/>
            <w:shd w:val="clear" w:color="auto" w:fill="auto"/>
            <w:vAlign w:val="center"/>
          </w:tcPr>
          <w:p w14:paraId="4118A488" w14:textId="77777777" w:rsidR="00D34C6F" w:rsidRPr="00F9037E" w:rsidRDefault="00D34C6F" w:rsidP="00C05C97">
            <w:pPr>
              <w:spacing w:before="120" w:after="120"/>
              <w:jc w:val="center"/>
              <w:rPr>
                <w:color w:val="auto"/>
                <w:sz w:val="10"/>
                <w:szCs w:val="10"/>
              </w:rPr>
            </w:pPr>
            <w:r w:rsidRPr="00F9037E">
              <w:rPr>
                <w:color w:val="auto"/>
                <w:sz w:val="10"/>
                <w:szCs w:val="10"/>
              </w:rPr>
              <w:t>47.450</w:t>
            </w:r>
          </w:p>
        </w:tc>
        <w:tc>
          <w:tcPr>
            <w:tcW w:w="567" w:type="dxa"/>
            <w:shd w:val="clear" w:color="auto" w:fill="auto"/>
            <w:vAlign w:val="center"/>
          </w:tcPr>
          <w:p w14:paraId="696CD589" w14:textId="77777777" w:rsidR="00D34C6F" w:rsidRPr="00F9037E" w:rsidRDefault="00D34C6F" w:rsidP="00C05C97">
            <w:pPr>
              <w:spacing w:before="120" w:after="120"/>
              <w:jc w:val="center"/>
              <w:rPr>
                <w:color w:val="auto"/>
                <w:sz w:val="10"/>
                <w:szCs w:val="10"/>
              </w:rPr>
            </w:pPr>
            <w:r w:rsidRPr="00F9037E">
              <w:rPr>
                <w:color w:val="auto"/>
                <w:sz w:val="10"/>
                <w:szCs w:val="10"/>
              </w:rPr>
              <w:t>42.235</w:t>
            </w:r>
          </w:p>
        </w:tc>
        <w:tc>
          <w:tcPr>
            <w:tcW w:w="567" w:type="dxa"/>
            <w:shd w:val="clear" w:color="auto" w:fill="auto"/>
            <w:vAlign w:val="center"/>
          </w:tcPr>
          <w:p w14:paraId="0F48EAB3" w14:textId="7C94B35F" w:rsidR="00D34C6F" w:rsidRPr="00F9037E" w:rsidRDefault="00D34C6F" w:rsidP="00C05C97">
            <w:pPr>
              <w:spacing w:before="120" w:after="120"/>
              <w:jc w:val="center"/>
              <w:rPr>
                <w:color w:val="auto"/>
                <w:sz w:val="10"/>
                <w:szCs w:val="10"/>
              </w:rPr>
            </w:pPr>
          </w:p>
        </w:tc>
        <w:tc>
          <w:tcPr>
            <w:tcW w:w="629" w:type="dxa"/>
            <w:vAlign w:val="center"/>
          </w:tcPr>
          <w:p w14:paraId="7B608727" w14:textId="77777777" w:rsidR="00D34C6F" w:rsidRPr="00F9037E" w:rsidRDefault="00D34C6F" w:rsidP="00C05C97">
            <w:pPr>
              <w:spacing w:before="120" w:after="120"/>
              <w:jc w:val="center"/>
              <w:rPr>
                <w:color w:val="auto"/>
                <w:sz w:val="10"/>
                <w:szCs w:val="10"/>
              </w:rPr>
            </w:pPr>
          </w:p>
        </w:tc>
        <w:tc>
          <w:tcPr>
            <w:tcW w:w="567" w:type="dxa"/>
            <w:vAlign w:val="center"/>
          </w:tcPr>
          <w:p w14:paraId="412DD0DD" w14:textId="77777777" w:rsidR="00D34C6F" w:rsidRPr="00F9037E" w:rsidRDefault="00D34C6F" w:rsidP="00C05C97">
            <w:pPr>
              <w:spacing w:before="120" w:after="120"/>
              <w:jc w:val="center"/>
              <w:rPr>
                <w:color w:val="auto"/>
                <w:sz w:val="10"/>
                <w:szCs w:val="10"/>
              </w:rPr>
            </w:pPr>
          </w:p>
        </w:tc>
        <w:tc>
          <w:tcPr>
            <w:tcW w:w="567" w:type="dxa"/>
            <w:vAlign w:val="center"/>
          </w:tcPr>
          <w:p w14:paraId="15B28521"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7CAA0A77" w14:textId="77777777" w:rsidR="00D34C6F" w:rsidRPr="00F9037E" w:rsidRDefault="00D34C6F" w:rsidP="00C05C97">
            <w:pPr>
              <w:spacing w:before="120" w:after="120"/>
              <w:jc w:val="center"/>
              <w:rPr>
                <w:color w:val="auto"/>
                <w:sz w:val="10"/>
                <w:szCs w:val="10"/>
              </w:rPr>
            </w:pPr>
            <w:r w:rsidRPr="00F9037E">
              <w:rPr>
                <w:color w:val="auto"/>
                <w:sz w:val="10"/>
                <w:szCs w:val="10"/>
              </w:rPr>
              <w:t>119.400</w:t>
            </w:r>
          </w:p>
        </w:tc>
        <w:tc>
          <w:tcPr>
            <w:tcW w:w="709" w:type="dxa"/>
            <w:shd w:val="clear" w:color="auto" w:fill="auto"/>
            <w:vAlign w:val="center"/>
          </w:tcPr>
          <w:p w14:paraId="22608260" w14:textId="77777777" w:rsidR="00D34C6F" w:rsidRPr="00F9037E" w:rsidRDefault="00D34C6F" w:rsidP="00C05C97">
            <w:pPr>
              <w:spacing w:before="120" w:after="120"/>
              <w:jc w:val="center"/>
              <w:rPr>
                <w:color w:val="auto"/>
                <w:sz w:val="10"/>
                <w:szCs w:val="10"/>
              </w:rPr>
            </w:pPr>
            <w:r w:rsidRPr="00F9037E">
              <w:rPr>
                <w:color w:val="auto"/>
                <w:sz w:val="10"/>
                <w:szCs w:val="10"/>
              </w:rPr>
              <w:t>119.400</w:t>
            </w:r>
          </w:p>
        </w:tc>
        <w:tc>
          <w:tcPr>
            <w:tcW w:w="708" w:type="dxa"/>
            <w:shd w:val="clear" w:color="auto" w:fill="auto"/>
            <w:vAlign w:val="center"/>
          </w:tcPr>
          <w:p w14:paraId="6B765C30" w14:textId="77777777" w:rsidR="00D34C6F" w:rsidRPr="00F9037E" w:rsidRDefault="00D34C6F" w:rsidP="00C05C97">
            <w:pPr>
              <w:spacing w:before="120" w:after="120"/>
              <w:jc w:val="center"/>
              <w:rPr>
                <w:color w:val="auto"/>
                <w:sz w:val="10"/>
                <w:szCs w:val="10"/>
              </w:rPr>
            </w:pPr>
            <w:r w:rsidRPr="00F9037E">
              <w:rPr>
                <w:color w:val="auto"/>
                <w:sz w:val="10"/>
                <w:szCs w:val="10"/>
              </w:rPr>
              <w:t>109.701</w:t>
            </w:r>
          </w:p>
        </w:tc>
        <w:tc>
          <w:tcPr>
            <w:tcW w:w="709" w:type="dxa"/>
            <w:shd w:val="clear" w:color="auto" w:fill="auto"/>
            <w:vAlign w:val="center"/>
          </w:tcPr>
          <w:p w14:paraId="36BB89EF" w14:textId="77777777" w:rsidR="00D34C6F" w:rsidRPr="00F9037E" w:rsidRDefault="00D34C6F" w:rsidP="00C05C97">
            <w:pPr>
              <w:spacing w:before="120" w:after="120"/>
              <w:jc w:val="center"/>
              <w:rPr>
                <w:color w:val="auto"/>
                <w:sz w:val="10"/>
                <w:szCs w:val="10"/>
              </w:rPr>
            </w:pPr>
            <w:r w:rsidRPr="00F9037E">
              <w:rPr>
                <w:color w:val="auto"/>
                <w:sz w:val="10"/>
                <w:szCs w:val="10"/>
              </w:rPr>
              <w:t>84.075</w:t>
            </w:r>
          </w:p>
        </w:tc>
        <w:tc>
          <w:tcPr>
            <w:tcW w:w="567" w:type="dxa"/>
            <w:shd w:val="clear" w:color="auto" w:fill="auto"/>
            <w:vAlign w:val="center"/>
          </w:tcPr>
          <w:p w14:paraId="53A77043" w14:textId="77777777" w:rsidR="00D34C6F" w:rsidRPr="00F9037E" w:rsidRDefault="00D34C6F" w:rsidP="00C05C97">
            <w:pPr>
              <w:spacing w:before="120" w:after="120"/>
              <w:jc w:val="center"/>
              <w:rPr>
                <w:color w:val="auto"/>
                <w:sz w:val="10"/>
                <w:szCs w:val="10"/>
              </w:rPr>
            </w:pPr>
            <w:r w:rsidRPr="00F9037E">
              <w:rPr>
                <w:color w:val="auto"/>
                <w:sz w:val="10"/>
                <w:szCs w:val="10"/>
              </w:rPr>
              <w:t>63.056</w:t>
            </w:r>
          </w:p>
        </w:tc>
        <w:tc>
          <w:tcPr>
            <w:tcW w:w="647" w:type="dxa"/>
            <w:shd w:val="clear" w:color="auto" w:fill="auto"/>
            <w:vAlign w:val="center"/>
          </w:tcPr>
          <w:p w14:paraId="598A9D65" w14:textId="77777777" w:rsidR="00D34C6F" w:rsidRPr="00F9037E" w:rsidRDefault="00D34C6F" w:rsidP="00C05C97">
            <w:pPr>
              <w:spacing w:before="120" w:after="120"/>
              <w:jc w:val="center"/>
              <w:rPr>
                <w:color w:val="auto"/>
                <w:sz w:val="10"/>
                <w:szCs w:val="10"/>
              </w:rPr>
            </w:pPr>
            <w:r w:rsidRPr="00F9037E">
              <w:rPr>
                <w:color w:val="auto"/>
                <w:sz w:val="10"/>
                <w:szCs w:val="10"/>
              </w:rPr>
              <w:t>53.400</w:t>
            </w:r>
          </w:p>
        </w:tc>
        <w:tc>
          <w:tcPr>
            <w:tcW w:w="567" w:type="dxa"/>
            <w:shd w:val="clear" w:color="auto" w:fill="auto"/>
            <w:vAlign w:val="center"/>
          </w:tcPr>
          <w:p w14:paraId="35C50A7A" w14:textId="77777777" w:rsidR="00D34C6F" w:rsidRPr="00F9037E" w:rsidRDefault="00D34C6F" w:rsidP="00C05C97">
            <w:pPr>
              <w:spacing w:before="120" w:after="120"/>
              <w:jc w:val="center"/>
              <w:rPr>
                <w:color w:val="auto"/>
                <w:sz w:val="10"/>
                <w:szCs w:val="10"/>
              </w:rPr>
            </w:pPr>
            <w:r w:rsidRPr="00F9037E">
              <w:rPr>
                <w:color w:val="auto"/>
                <w:sz w:val="10"/>
                <w:szCs w:val="10"/>
              </w:rPr>
              <w:t>47.450</w:t>
            </w:r>
          </w:p>
        </w:tc>
        <w:tc>
          <w:tcPr>
            <w:tcW w:w="567" w:type="dxa"/>
            <w:shd w:val="clear" w:color="auto" w:fill="auto"/>
            <w:noWrap/>
            <w:vAlign w:val="center"/>
          </w:tcPr>
          <w:p w14:paraId="632FBB8A" w14:textId="6FB24D4D" w:rsidR="00D34C6F" w:rsidRPr="00F9037E" w:rsidRDefault="00D34C6F" w:rsidP="00C05C97">
            <w:pPr>
              <w:spacing w:before="120" w:after="120"/>
              <w:jc w:val="center"/>
              <w:rPr>
                <w:b/>
                <w:color w:val="auto"/>
                <w:sz w:val="10"/>
                <w:szCs w:val="10"/>
              </w:rPr>
            </w:pPr>
          </w:p>
        </w:tc>
        <w:tc>
          <w:tcPr>
            <w:tcW w:w="567" w:type="dxa"/>
            <w:vAlign w:val="center"/>
          </w:tcPr>
          <w:p w14:paraId="393A9971" w14:textId="77777777" w:rsidR="00D34C6F" w:rsidRPr="00F9037E" w:rsidRDefault="00D34C6F" w:rsidP="00C05C97">
            <w:pPr>
              <w:spacing w:before="120" w:after="120"/>
              <w:jc w:val="center"/>
              <w:rPr>
                <w:b/>
                <w:color w:val="auto"/>
                <w:sz w:val="10"/>
                <w:szCs w:val="10"/>
              </w:rPr>
            </w:pPr>
          </w:p>
        </w:tc>
        <w:tc>
          <w:tcPr>
            <w:tcW w:w="567" w:type="dxa"/>
            <w:vAlign w:val="center"/>
          </w:tcPr>
          <w:p w14:paraId="181D44A4" w14:textId="77777777" w:rsidR="00D34C6F" w:rsidRPr="00F9037E" w:rsidRDefault="00D34C6F" w:rsidP="00C05C97">
            <w:pPr>
              <w:spacing w:before="120" w:after="120"/>
              <w:jc w:val="center"/>
              <w:rPr>
                <w:b/>
                <w:color w:val="auto"/>
                <w:sz w:val="10"/>
                <w:szCs w:val="10"/>
              </w:rPr>
            </w:pPr>
          </w:p>
        </w:tc>
        <w:tc>
          <w:tcPr>
            <w:tcW w:w="567" w:type="dxa"/>
            <w:vAlign w:val="center"/>
          </w:tcPr>
          <w:p w14:paraId="35DF1115" w14:textId="77777777" w:rsidR="00D34C6F" w:rsidRPr="00F9037E" w:rsidRDefault="00D34C6F" w:rsidP="00C05C97">
            <w:pPr>
              <w:spacing w:before="120" w:after="120"/>
              <w:jc w:val="center"/>
              <w:rPr>
                <w:b/>
                <w:color w:val="auto"/>
                <w:sz w:val="10"/>
                <w:szCs w:val="10"/>
              </w:rPr>
            </w:pPr>
          </w:p>
        </w:tc>
        <w:tc>
          <w:tcPr>
            <w:tcW w:w="567" w:type="dxa"/>
            <w:vAlign w:val="center"/>
          </w:tcPr>
          <w:p w14:paraId="499F33BC" w14:textId="77777777" w:rsidR="00D34C6F" w:rsidRPr="00F9037E" w:rsidRDefault="00D34C6F" w:rsidP="00C05C97">
            <w:pPr>
              <w:spacing w:before="120" w:after="120"/>
              <w:jc w:val="center"/>
              <w:rPr>
                <w:b/>
                <w:color w:val="auto"/>
                <w:sz w:val="10"/>
                <w:szCs w:val="10"/>
              </w:rPr>
            </w:pPr>
          </w:p>
        </w:tc>
      </w:tr>
      <w:tr w:rsidR="00D34C6F" w:rsidRPr="00F9037E" w14:paraId="7DCE8F66" w14:textId="77777777" w:rsidTr="00C05C97">
        <w:trPr>
          <w:trHeight w:val="465"/>
          <w:jc w:val="center"/>
        </w:trPr>
        <w:tc>
          <w:tcPr>
            <w:tcW w:w="662" w:type="dxa"/>
            <w:shd w:val="clear" w:color="auto" w:fill="auto"/>
            <w:vAlign w:val="center"/>
          </w:tcPr>
          <w:p w14:paraId="75D92E7C" w14:textId="77777777" w:rsidR="00D34C6F" w:rsidRPr="00F9037E" w:rsidRDefault="00D34C6F" w:rsidP="00C05C97">
            <w:pPr>
              <w:spacing w:before="120" w:after="120"/>
              <w:rPr>
                <w:color w:val="auto"/>
                <w:sz w:val="12"/>
                <w:szCs w:val="12"/>
              </w:rPr>
            </w:pPr>
            <w:r w:rsidRPr="00F9037E">
              <w:rPr>
                <w:color w:val="auto"/>
                <w:sz w:val="12"/>
                <w:szCs w:val="12"/>
              </w:rPr>
              <w:t>Japan</w:t>
            </w:r>
          </w:p>
        </w:tc>
        <w:tc>
          <w:tcPr>
            <w:tcW w:w="824" w:type="dxa"/>
            <w:shd w:val="clear" w:color="auto" w:fill="auto"/>
            <w:vAlign w:val="center"/>
          </w:tcPr>
          <w:p w14:paraId="27D93DC4" w14:textId="77777777" w:rsidR="00D34C6F" w:rsidRPr="00F9037E" w:rsidRDefault="00D34C6F" w:rsidP="00C05C97">
            <w:pPr>
              <w:spacing w:before="120" w:after="120"/>
              <w:rPr>
                <w:color w:val="auto"/>
                <w:sz w:val="12"/>
                <w:szCs w:val="12"/>
              </w:rPr>
            </w:pPr>
            <w:r w:rsidRPr="00F9037E">
              <w:rPr>
                <w:color w:val="auto"/>
                <w:sz w:val="12"/>
                <w:szCs w:val="12"/>
              </w:rPr>
              <w:t>Ginger – protected</w:t>
            </w:r>
          </w:p>
        </w:tc>
        <w:tc>
          <w:tcPr>
            <w:tcW w:w="708" w:type="dxa"/>
            <w:shd w:val="clear" w:color="auto" w:fill="auto"/>
            <w:vAlign w:val="center"/>
          </w:tcPr>
          <w:p w14:paraId="54233F46" w14:textId="77777777" w:rsidR="00D34C6F" w:rsidRPr="00F9037E" w:rsidRDefault="00D34C6F" w:rsidP="00C05C97">
            <w:pPr>
              <w:spacing w:before="120" w:after="120"/>
              <w:jc w:val="center"/>
              <w:rPr>
                <w:color w:val="auto"/>
                <w:sz w:val="10"/>
                <w:szCs w:val="10"/>
              </w:rPr>
            </w:pPr>
            <w:r w:rsidRPr="00F9037E">
              <w:rPr>
                <w:color w:val="auto"/>
                <w:sz w:val="10"/>
                <w:szCs w:val="10"/>
              </w:rPr>
              <w:t>22.900</w:t>
            </w:r>
          </w:p>
        </w:tc>
        <w:tc>
          <w:tcPr>
            <w:tcW w:w="709" w:type="dxa"/>
            <w:shd w:val="clear" w:color="auto" w:fill="auto"/>
            <w:vAlign w:val="center"/>
          </w:tcPr>
          <w:p w14:paraId="673F4DAC" w14:textId="77777777" w:rsidR="00D34C6F" w:rsidRPr="00F9037E" w:rsidRDefault="00D34C6F" w:rsidP="00C05C97">
            <w:pPr>
              <w:spacing w:before="120" w:after="120"/>
              <w:jc w:val="center"/>
              <w:rPr>
                <w:color w:val="auto"/>
                <w:sz w:val="10"/>
                <w:szCs w:val="10"/>
              </w:rPr>
            </w:pPr>
            <w:r w:rsidRPr="00F9037E">
              <w:rPr>
                <w:color w:val="auto"/>
                <w:sz w:val="10"/>
                <w:szCs w:val="10"/>
              </w:rPr>
              <w:t>22.900</w:t>
            </w:r>
          </w:p>
        </w:tc>
        <w:tc>
          <w:tcPr>
            <w:tcW w:w="709" w:type="dxa"/>
            <w:shd w:val="clear" w:color="auto" w:fill="auto"/>
            <w:vAlign w:val="center"/>
          </w:tcPr>
          <w:p w14:paraId="0293B93F" w14:textId="77777777" w:rsidR="00D34C6F" w:rsidRPr="00F9037E" w:rsidRDefault="00D34C6F" w:rsidP="00C05C97">
            <w:pPr>
              <w:spacing w:before="120" w:after="120"/>
              <w:jc w:val="center"/>
              <w:rPr>
                <w:color w:val="auto"/>
                <w:sz w:val="10"/>
                <w:szCs w:val="10"/>
              </w:rPr>
            </w:pPr>
            <w:r w:rsidRPr="00F9037E">
              <w:rPr>
                <w:color w:val="auto"/>
                <w:sz w:val="10"/>
                <w:szCs w:val="10"/>
              </w:rPr>
              <w:t>14.800</w:t>
            </w:r>
          </w:p>
        </w:tc>
        <w:tc>
          <w:tcPr>
            <w:tcW w:w="567" w:type="dxa"/>
            <w:shd w:val="clear" w:color="auto" w:fill="auto"/>
            <w:vAlign w:val="center"/>
          </w:tcPr>
          <w:p w14:paraId="78365FBA" w14:textId="77777777" w:rsidR="00D34C6F" w:rsidRPr="00F9037E" w:rsidRDefault="00D34C6F" w:rsidP="00C05C97">
            <w:pPr>
              <w:spacing w:before="120" w:after="120"/>
              <w:jc w:val="center"/>
              <w:rPr>
                <w:color w:val="auto"/>
                <w:sz w:val="10"/>
                <w:szCs w:val="10"/>
              </w:rPr>
            </w:pPr>
            <w:r w:rsidRPr="00F9037E">
              <w:rPr>
                <w:color w:val="auto"/>
                <w:sz w:val="10"/>
                <w:szCs w:val="10"/>
              </w:rPr>
              <w:t>14.800</w:t>
            </w:r>
          </w:p>
        </w:tc>
        <w:tc>
          <w:tcPr>
            <w:tcW w:w="709" w:type="dxa"/>
            <w:shd w:val="clear" w:color="auto" w:fill="auto"/>
            <w:vAlign w:val="center"/>
          </w:tcPr>
          <w:p w14:paraId="59036B77" w14:textId="77777777" w:rsidR="00D34C6F" w:rsidRPr="00F9037E" w:rsidRDefault="00D34C6F" w:rsidP="00C05C97">
            <w:pPr>
              <w:spacing w:before="120" w:after="120"/>
              <w:jc w:val="center"/>
              <w:rPr>
                <w:color w:val="auto"/>
                <w:sz w:val="10"/>
                <w:szCs w:val="10"/>
              </w:rPr>
            </w:pPr>
            <w:r w:rsidRPr="00F9037E">
              <w:rPr>
                <w:color w:val="auto"/>
                <w:sz w:val="10"/>
                <w:szCs w:val="10"/>
              </w:rPr>
              <w:t>12.900</w:t>
            </w:r>
          </w:p>
        </w:tc>
        <w:tc>
          <w:tcPr>
            <w:tcW w:w="567" w:type="dxa"/>
            <w:shd w:val="clear" w:color="auto" w:fill="auto"/>
            <w:vAlign w:val="center"/>
          </w:tcPr>
          <w:p w14:paraId="733E9F9A" w14:textId="77777777" w:rsidR="00D34C6F" w:rsidRPr="00F9037E" w:rsidRDefault="00D34C6F" w:rsidP="00C05C97">
            <w:pPr>
              <w:spacing w:before="120" w:after="120"/>
              <w:jc w:val="center"/>
              <w:rPr>
                <w:color w:val="auto"/>
                <w:sz w:val="10"/>
                <w:szCs w:val="10"/>
              </w:rPr>
            </w:pPr>
            <w:r w:rsidRPr="00F9037E">
              <w:rPr>
                <w:color w:val="auto"/>
                <w:sz w:val="10"/>
                <w:szCs w:val="10"/>
              </w:rPr>
              <w:t>8.300</w:t>
            </w:r>
          </w:p>
        </w:tc>
        <w:tc>
          <w:tcPr>
            <w:tcW w:w="708" w:type="dxa"/>
            <w:shd w:val="clear" w:color="auto" w:fill="auto"/>
            <w:vAlign w:val="center"/>
          </w:tcPr>
          <w:p w14:paraId="447DBBF3" w14:textId="77777777" w:rsidR="00D34C6F" w:rsidRPr="00F9037E" w:rsidRDefault="00D34C6F" w:rsidP="00C05C97">
            <w:pPr>
              <w:spacing w:before="120" w:after="120"/>
              <w:jc w:val="center"/>
              <w:rPr>
                <w:color w:val="auto"/>
                <w:sz w:val="10"/>
                <w:szCs w:val="10"/>
              </w:rPr>
            </w:pPr>
            <w:r w:rsidRPr="00F9037E">
              <w:rPr>
                <w:color w:val="auto"/>
                <w:sz w:val="10"/>
                <w:szCs w:val="10"/>
              </w:rPr>
              <w:t>7.770</w:t>
            </w:r>
          </w:p>
        </w:tc>
        <w:tc>
          <w:tcPr>
            <w:tcW w:w="567" w:type="dxa"/>
            <w:shd w:val="clear" w:color="auto" w:fill="auto"/>
            <w:vAlign w:val="center"/>
          </w:tcPr>
          <w:p w14:paraId="26A02D6C" w14:textId="77777777" w:rsidR="00D34C6F" w:rsidRPr="00F9037E" w:rsidRDefault="00D34C6F" w:rsidP="00C05C97">
            <w:pPr>
              <w:spacing w:before="120" w:after="120"/>
              <w:jc w:val="center"/>
              <w:rPr>
                <w:color w:val="auto"/>
                <w:sz w:val="10"/>
                <w:szCs w:val="10"/>
              </w:rPr>
            </w:pPr>
            <w:r w:rsidRPr="00F9037E">
              <w:rPr>
                <w:color w:val="auto"/>
                <w:sz w:val="10"/>
                <w:szCs w:val="10"/>
              </w:rPr>
              <w:t>6.558</w:t>
            </w:r>
          </w:p>
        </w:tc>
        <w:tc>
          <w:tcPr>
            <w:tcW w:w="567" w:type="dxa"/>
            <w:shd w:val="clear" w:color="auto" w:fill="auto"/>
            <w:vAlign w:val="center"/>
          </w:tcPr>
          <w:p w14:paraId="69FB6166" w14:textId="264C84AD" w:rsidR="00D34C6F" w:rsidRPr="00F9037E" w:rsidRDefault="00D34C6F" w:rsidP="00C05C97">
            <w:pPr>
              <w:spacing w:before="120" w:after="120"/>
              <w:jc w:val="center"/>
              <w:rPr>
                <w:color w:val="auto"/>
                <w:sz w:val="10"/>
                <w:szCs w:val="10"/>
              </w:rPr>
            </w:pPr>
          </w:p>
        </w:tc>
        <w:tc>
          <w:tcPr>
            <w:tcW w:w="629" w:type="dxa"/>
            <w:vAlign w:val="center"/>
          </w:tcPr>
          <w:p w14:paraId="6BD465BC" w14:textId="77777777" w:rsidR="00D34C6F" w:rsidRPr="00F9037E" w:rsidRDefault="00D34C6F" w:rsidP="00C05C97">
            <w:pPr>
              <w:spacing w:before="120" w:after="120"/>
              <w:jc w:val="center"/>
              <w:rPr>
                <w:color w:val="auto"/>
                <w:sz w:val="10"/>
                <w:szCs w:val="10"/>
              </w:rPr>
            </w:pPr>
          </w:p>
        </w:tc>
        <w:tc>
          <w:tcPr>
            <w:tcW w:w="567" w:type="dxa"/>
            <w:vAlign w:val="center"/>
          </w:tcPr>
          <w:p w14:paraId="4E4FDBC6" w14:textId="77777777" w:rsidR="00D34C6F" w:rsidRPr="00F9037E" w:rsidRDefault="00D34C6F" w:rsidP="00C05C97">
            <w:pPr>
              <w:spacing w:before="120" w:after="120"/>
              <w:jc w:val="center"/>
              <w:rPr>
                <w:color w:val="auto"/>
                <w:sz w:val="10"/>
                <w:szCs w:val="10"/>
              </w:rPr>
            </w:pPr>
          </w:p>
        </w:tc>
        <w:tc>
          <w:tcPr>
            <w:tcW w:w="567" w:type="dxa"/>
            <w:vAlign w:val="center"/>
          </w:tcPr>
          <w:p w14:paraId="68AF2C25"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233D72E4" w14:textId="77777777" w:rsidR="00D34C6F" w:rsidRPr="00F9037E" w:rsidRDefault="00D34C6F" w:rsidP="00C05C97">
            <w:pPr>
              <w:spacing w:before="120" w:after="120"/>
              <w:jc w:val="center"/>
              <w:rPr>
                <w:color w:val="auto"/>
                <w:sz w:val="10"/>
                <w:szCs w:val="10"/>
              </w:rPr>
            </w:pPr>
            <w:r w:rsidRPr="00F9037E">
              <w:rPr>
                <w:color w:val="auto"/>
                <w:sz w:val="10"/>
                <w:szCs w:val="10"/>
              </w:rPr>
              <w:t>22.900</w:t>
            </w:r>
          </w:p>
        </w:tc>
        <w:tc>
          <w:tcPr>
            <w:tcW w:w="709" w:type="dxa"/>
            <w:shd w:val="clear" w:color="auto" w:fill="auto"/>
            <w:vAlign w:val="center"/>
          </w:tcPr>
          <w:p w14:paraId="076D5A71" w14:textId="77777777" w:rsidR="00D34C6F" w:rsidRPr="00F9037E" w:rsidRDefault="00D34C6F" w:rsidP="00C05C97">
            <w:pPr>
              <w:spacing w:before="120" w:after="120"/>
              <w:jc w:val="center"/>
              <w:rPr>
                <w:color w:val="auto"/>
                <w:sz w:val="10"/>
                <w:szCs w:val="10"/>
              </w:rPr>
            </w:pPr>
            <w:r w:rsidRPr="00F9037E">
              <w:rPr>
                <w:color w:val="auto"/>
                <w:sz w:val="10"/>
                <w:szCs w:val="10"/>
              </w:rPr>
              <w:t>22.900</w:t>
            </w:r>
          </w:p>
        </w:tc>
        <w:tc>
          <w:tcPr>
            <w:tcW w:w="708" w:type="dxa"/>
            <w:shd w:val="clear" w:color="auto" w:fill="auto"/>
            <w:vAlign w:val="center"/>
          </w:tcPr>
          <w:p w14:paraId="09334AB7" w14:textId="77777777" w:rsidR="00D34C6F" w:rsidRPr="00F9037E" w:rsidRDefault="00D34C6F" w:rsidP="00C05C97">
            <w:pPr>
              <w:spacing w:before="120" w:after="120"/>
              <w:jc w:val="center"/>
              <w:rPr>
                <w:color w:val="auto"/>
                <w:sz w:val="10"/>
                <w:szCs w:val="10"/>
              </w:rPr>
            </w:pPr>
            <w:r w:rsidRPr="00F9037E">
              <w:rPr>
                <w:color w:val="auto"/>
                <w:sz w:val="10"/>
                <w:szCs w:val="10"/>
              </w:rPr>
              <w:t>14.471</w:t>
            </w:r>
          </w:p>
        </w:tc>
        <w:tc>
          <w:tcPr>
            <w:tcW w:w="709" w:type="dxa"/>
            <w:shd w:val="clear" w:color="auto" w:fill="auto"/>
            <w:vAlign w:val="center"/>
          </w:tcPr>
          <w:p w14:paraId="0FC601A9" w14:textId="77777777" w:rsidR="00D34C6F" w:rsidRPr="00F9037E" w:rsidRDefault="00D34C6F" w:rsidP="00C05C97">
            <w:pPr>
              <w:spacing w:before="120" w:after="120"/>
              <w:jc w:val="center"/>
              <w:rPr>
                <w:color w:val="auto"/>
                <w:sz w:val="10"/>
                <w:szCs w:val="10"/>
              </w:rPr>
            </w:pPr>
            <w:r w:rsidRPr="00F9037E">
              <w:rPr>
                <w:color w:val="auto"/>
                <w:sz w:val="10"/>
                <w:szCs w:val="10"/>
              </w:rPr>
              <w:t>11.100</w:t>
            </w:r>
          </w:p>
        </w:tc>
        <w:tc>
          <w:tcPr>
            <w:tcW w:w="567" w:type="dxa"/>
            <w:shd w:val="clear" w:color="auto" w:fill="auto"/>
            <w:vAlign w:val="center"/>
          </w:tcPr>
          <w:p w14:paraId="3A3A6632" w14:textId="77777777" w:rsidR="00D34C6F" w:rsidRPr="00F9037E" w:rsidRDefault="00D34C6F" w:rsidP="00C05C97">
            <w:pPr>
              <w:spacing w:before="120" w:after="120"/>
              <w:jc w:val="center"/>
              <w:rPr>
                <w:color w:val="auto"/>
                <w:sz w:val="10"/>
                <w:szCs w:val="10"/>
              </w:rPr>
            </w:pPr>
            <w:r w:rsidRPr="00F9037E">
              <w:rPr>
                <w:color w:val="auto"/>
                <w:sz w:val="10"/>
                <w:szCs w:val="10"/>
              </w:rPr>
              <w:t>8.325</w:t>
            </w:r>
          </w:p>
        </w:tc>
        <w:tc>
          <w:tcPr>
            <w:tcW w:w="647" w:type="dxa"/>
            <w:shd w:val="clear" w:color="auto" w:fill="auto"/>
            <w:vAlign w:val="center"/>
          </w:tcPr>
          <w:p w14:paraId="6D6F4FAC" w14:textId="77777777" w:rsidR="00D34C6F" w:rsidRPr="00F9037E" w:rsidRDefault="00D34C6F" w:rsidP="00C05C97">
            <w:pPr>
              <w:spacing w:before="120" w:after="120"/>
              <w:jc w:val="center"/>
              <w:rPr>
                <w:color w:val="auto"/>
                <w:sz w:val="10"/>
                <w:szCs w:val="10"/>
              </w:rPr>
            </w:pPr>
            <w:r w:rsidRPr="00F9037E">
              <w:rPr>
                <w:color w:val="auto"/>
                <w:sz w:val="10"/>
                <w:szCs w:val="10"/>
              </w:rPr>
              <w:t>8.300</w:t>
            </w:r>
          </w:p>
        </w:tc>
        <w:tc>
          <w:tcPr>
            <w:tcW w:w="567" w:type="dxa"/>
            <w:shd w:val="clear" w:color="auto" w:fill="auto"/>
            <w:vAlign w:val="center"/>
          </w:tcPr>
          <w:p w14:paraId="62506C93" w14:textId="77777777" w:rsidR="00D34C6F" w:rsidRPr="00F9037E" w:rsidRDefault="00D34C6F" w:rsidP="00C05C97">
            <w:pPr>
              <w:spacing w:before="120" w:after="120"/>
              <w:jc w:val="center"/>
              <w:rPr>
                <w:color w:val="auto"/>
                <w:sz w:val="10"/>
                <w:szCs w:val="10"/>
              </w:rPr>
            </w:pPr>
            <w:r w:rsidRPr="00F9037E">
              <w:rPr>
                <w:color w:val="auto"/>
                <w:sz w:val="10"/>
                <w:szCs w:val="10"/>
              </w:rPr>
              <w:t>7.036</w:t>
            </w:r>
          </w:p>
        </w:tc>
        <w:tc>
          <w:tcPr>
            <w:tcW w:w="567" w:type="dxa"/>
            <w:shd w:val="clear" w:color="auto" w:fill="auto"/>
            <w:noWrap/>
            <w:vAlign w:val="center"/>
          </w:tcPr>
          <w:p w14:paraId="42621D3E" w14:textId="608AA482" w:rsidR="00D34C6F" w:rsidRPr="00F9037E" w:rsidRDefault="00D34C6F" w:rsidP="00C05C97">
            <w:pPr>
              <w:spacing w:before="120" w:after="120"/>
              <w:jc w:val="center"/>
              <w:rPr>
                <w:b/>
                <w:color w:val="auto"/>
                <w:sz w:val="10"/>
                <w:szCs w:val="10"/>
              </w:rPr>
            </w:pPr>
          </w:p>
        </w:tc>
        <w:tc>
          <w:tcPr>
            <w:tcW w:w="567" w:type="dxa"/>
            <w:vAlign w:val="center"/>
          </w:tcPr>
          <w:p w14:paraId="4908A532" w14:textId="77777777" w:rsidR="00D34C6F" w:rsidRPr="00F9037E" w:rsidRDefault="00D34C6F" w:rsidP="00C05C97">
            <w:pPr>
              <w:spacing w:before="120" w:after="120"/>
              <w:jc w:val="center"/>
              <w:rPr>
                <w:b/>
                <w:color w:val="auto"/>
                <w:sz w:val="10"/>
                <w:szCs w:val="10"/>
              </w:rPr>
            </w:pPr>
          </w:p>
        </w:tc>
        <w:tc>
          <w:tcPr>
            <w:tcW w:w="567" w:type="dxa"/>
            <w:vAlign w:val="center"/>
          </w:tcPr>
          <w:p w14:paraId="6BB6488D" w14:textId="77777777" w:rsidR="00D34C6F" w:rsidRPr="00F9037E" w:rsidRDefault="00D34C6F" w:rsidP="00C05C97">
            <w:pPr>
              <w:spacing w:before="120" w:after="120"/>
              <w:jc w:val="center"/>
              <w:rPr>
                <w:b/>
                <w:color w:val="auto"/>
                <w:sz w:val="10"/>
                <w:szCs w:val="10"/>
              </w:rPr>
            </w:pPr>
          </w:p>
        </w:tc>
        <w:tc>
          <w:tcPr>
            <w:tcW w:w="567" w:type="dxa"/>
            <w:vAlign w:val="center"/>
          </w:tcPr>
          <w:p w14:paraId="4B0A3DD0" w14:textId="77777777" w:rsidR="00D34C6F" w:rsidRPr="00F9037E" w:rsidRDefault="00D34C6F" w:rsidP="00C05C97">
            <w:pPr>
              <w:spacing w:before="120" w:after="120"/>
              <w:jc w:val="center"/>
              <w:rPr>
                <w:b/>
                <w:color w:val="auto"/>
                <w:sz w:val="10"/>
                <w:szCs w:val="10"/>
              </w:rPr>
            </w:pPr>
          </w:p>
        </w:tc>
        <w:tc>
          <w:tcPr>
            <w:tcW w:w="567" w:type="dxa"/>
            <w:vAlign w:val="center"/>
          </w:tcPr>
          <w:p w14:paraId="62F22050" w14:textId="77777777" w:rsidR="00D34C6F" w:rsidRPr="00F9037E" w:rsidRDefault="00D34C6F" w:rsidP="00C05C97">
            <w:pPr>
              <w:spacing w:before="120" w:after="120"/>
              <w:jc w:val="center"/>
              <w:rPr>
                <w:b/>
                <w:color w:val="auto"/>
                <w:sz w:val="10"/>
                <w:szCs w:val="10"/>
              </w:rPr>
            </w:pPr>
          </w:p>
        </w:tc>
      </w:tr>
      <w:tr w:rsidR="00D34C6F" w:rsidRPr="00F9037E" w14:paraId="3BAD8D44" w14:textId="77777777" w:rsidTr="00C05C97">
        <w:trPr>
          <w:trHeight w:val="270"/>
          <w:jc w:val="center"/>
        </w:trPr>
        <w:tc>
          <w:tcPr>
            <w:tcW w:w="662" w:type="dxa"/>
            <w:shd w:val="clear" w:color="auto" w:fill="auto"/>
            <w:vAlign w:val="center"/>
          </w:tcPr>
          <w:p w14:paraId="7860434C" w14:textId="77777777" w:rsidR="00D34C6F" w:rsidRPr="00F9037E" w:rsidRDefault="00D34C6F" w:rsidP="00C05C97">
            <w:pPr>
              <w:spacing w:before="120" w:after="120"/>
              <w:rPr>
                <w:color w:val="auto"/>
                <w:sz w:val="12"/>
                <w:szCs w:val="12"/>
              </w:rPr>
            </w:pPr>
            <w:r w:rsidRPr="00F9037E">
              <w:rPr>
                <w:color w:val="auto"/>
                <w:sz w:val="12"/>
                <w:szCs w:val="12"/>
              </w:rPr>
              <w:t>Japan</w:t>
            </w:r>
          </w:p>
        </w:tc>
        <w:tc>
          <w:tcPr>
            <w:tcW w:w="824" w:type="dxa"/>
            <w:shd w:val="clear" w:color="auto" w:fill="auto"/>
            <w:vAlign w:val="center"/>
          </w:tcPr>
          <w:p w14:paraId="2002B592" w14:textId="77777777" w:rsidR="00D34C6F" w:rsidRPr="00F9037E" w:rsidRDefault="00D34C6F" w:rsidP="00C05C97">
            <w:pPr>
              <w:spacing w:before="120" w:after="120"/>
              <w:rPr>
                <w:color w:val="auto"/>
                <w:sz w:val="12"/>
                <w:szCs w:val="12"/>
              </w:rPr>
            </w:pPr>
            <w:r w:rsidRPr="00F9037E">
              <w:rPr>
                <w:color w:val="auto"/>
                <w:sz w:val="12"/>
                <w:szCs w:val="12"/>
              </w:rPr>
              <w:t>Melon</w:t>
            </w:r>
          </w:p>
        </w:tc>
        <w:tc>
          <w:tcPr>
            <w:tcW w:w="708" w:type="dxa"/>
            <w:shd w:val="clear" w:color="auto" w:fill="auto"/>
            <w:vAlign w:val="center"/>
          </w:tcPr>
          <w:p w14:paraId="22FC585D" w14:textId="77777777" w:rsidR="00D34C6F" w:rsidRPr="00F9037E" w:rsidRDefault="00D34C6F" w:rsidP="00C05C97">
            <w:pPr>
              <w:spacing w:before="120" w:after="120"/>
              <w:jc w:val="center"/>
              <w:rPr>
                <w:color w:val="auto"/>
                <w:sz w:val="10"/>
                <w:szCs w:val="10"/>
              </w:rPr>
            </w:pPr>
            <w:r w:rsidRPr="00F9037E">
              <w:rPr>
                <w:color w:val="auto"/>
                <w:sz w:val="10"/>
                <w:szCs w:val="10"/>
              </w:rPr>
              <w:t>194.100</w:t>
            </w:r>
          </w:p>
        </w:tc>
        <w:tc>
          <w:tcPr>
            <w:tcW w:w="709" w:type="dxa"/>
            <w:shd w:val="clear" w:color="auto" w:fill="auto"/>
            <w:vAlign w:val="center"/>
          </w:tcPr>
          <w:p w14:paraId="45D6B5B6" w14:textId="77777777" w:rsidR="00D34C6F" w:rsidRPr="00F9037E" w:rsidRDefault="00D34C6F" w:rsidP="00C05C97">
            <w:pPr>
              <w:spacing w:before="120" w:after="120"/>
              <w:jc w:val="center"/>
              <w:rPr>
                <w:color w:val="auto"/>
                <w:sz w:val="10"/>
                <w:szCs w:val="10"/>
              </w:rPr>
            </w:pPr>
            <w:r w:rsidRPr="00F9037E">
              <w:rPr>
                <w:color w:val="auto"/>
                <w:sz w:val="10"/>
                <w:szCs w:val="10"/>
              </w:rPr>
              <w:t>203.900</w:t>
            </w:r>
          </w:p>
        </w:tc>
        <w:tc>
          <w:tcPr>
            <w:tcW w:w="709" w:type="dxa"/>
            <w:shd w:val="clear" w:color="auto" w:fill="auto"/>
            <w:vAlign w:val="center"/>
          </w:tcPr>
          <w:p w14:paraId="5905DD5C" w14:textId="77777777" w:rsidR="00D34C6F" w:rsidRPr="00F9037E" w:rsidRDefault="00D34C6F" w:rsidP="00C05C97">
            <w:pPr>
              <w:spacing w:before="120" w:after="120"/>
              <w:jc w:val="center"/>
              <w:rPr>
                <w:color w:val="auto"/>
                <w:sz w:val="10"/>
                <w:szCs w:val="10"/>
              </w:rPr>
            </w:pPr>
            <w:r w:rsidRPr="00F9037E">
              <w:rPr>
                <w:color w:val="auto"/>
                <w:sz w:val="10"/>
                <w:szCs w:val="10"/>
              </w:rPr>
              <w:t>182.200</w:t>
            </w:r>
          </w:p>
        </w:tc>
        <w:tc>
          <w:tcPr>
            <w:tcW w:w="567" w:type="dxa"/>
            <w:shd w:val="clear" w:color="auto" w:fill="auto"/>
            <w:vAlign w:val="center"/>
          </w:tcPr>
          <w:p w14:paraId="5109EEE2" w14:textId="77777777" w:rsidR="00D34C6F" w:rsidRPr="00F9037E" w:rsidRDefault="00D34C6F" w:rsidP="00C05C97">
            <w:pPr>
              <w:spacing w:before="120" w:after="120"/>
              <w:jc w:val="center"/>
              <w:rPr>
                <w:color w:val="auto"/>
                <w:sz w:val="10"/>
                <w:szCs w:val="10"/>
              </w:rPr>
            </w:pPr>
            <w:r w:rsidRPr="00F9037E">
              <w:rPr>
                <w:color w:val="auto"/>
                <w:sz w:val="10"/>
                <w:szCs w:val="10"/>
              </w:rPr>
              <w:t>182.200</w:t>
            </w:r>
          </w:p>
        </w:tc>
        <w:tc>
          <w:tcPr>
            <w:tcW w:w="709" w:type="dxa"/>
            <w:shd w:val="clear" w:color="auto" w:fill="auto"/>
            <w:vAlign w:val="center"/>
          </w:tcPr>
          <w:p w14:paraId="051E337D" w14:textId="77777777" w:rsidR="00D34C6F" w:rsidRPr="00F9037E" w:rsidRDefault="00D34C6F" w:rsidP="00C05C97">
            <w:pPr>
              <w:spacing w:before="120" w:after="120"/>
              <w:jc w:val="center"/>
              <w:rPr>
                <w:color w:val="auto"/>
                <w:sz w:val="10"/>
                <w:szCs w:val="10"/>
              </w:rPr>
            </w:pPr>
            <w:r w:rsidRPr="00F9037E">
              <w:rPr>
                <w:color w:val="auto"/>
                <w:sz w:val="10"/>
                <w:szCs w:val="10"/>
              </w:rPr>
              <w:t>168.000</w:t>
            </w:r>
          </w:p>
        </w:tc>
        <w:tc>
          <w:tcPr>
            <w:tcW w:w="567" w:type="dxa"/>
            <w:shd w:val="clear" w:color="auto" w:fill="auto"/>
            <w:vAlign w:val="center"/>
          </w:tcPr>
          <w:p w14:paraId="72A9FEA6" w14:textId="77777777" w:rsidR="00D34C6F" w:rsidRPr="00F9037E" w:rsidRDefault="00D34C6F" w:rsidP="00C05C97">
            <w:pPr>
              <w:spacing w:before="120" w:after="120"/>
              <w:jc w:val="center"/>
              <w:rPr>
                <w:color w:val="auto"/>
                <w:sz w:val="10"/>
                <w:szCs w:val="10"/>
              </w:rPr>
            </w:pPr>
            <w:r w:rsidRPr="00F9037E">
              <w:rPr>
                <w:color w:val="auto"/>
                <w:sz w:val="10"/>
                <w:szCs w:val="10"/>
              </w:rPr>
              <w:t>90.800</w:t>
            </w:r>
          </w:p>
        </w:tc>
        <w:tc>
          <w:tcPr>
            <w:tcW w:w="708" w:type="dxa"/>
            <w:shd w:val="clear" w:color="auto" w:fill="auto"/>
            <w:vAlign w:val="center"/>
          </w:tcPr>
          <w:p w14:paraId="7E9B2801" w14:textId="77777777" w:rsidR="00D34C6F" w:rsidRPr="00F9037E" w:rsidRDefault="00D34C6F" w:rsidP="00C05C97">
            <w:pPr>
              <w:spacing w:before="120" w:after="120"/>
              <w:jc w:val="center"/>
              <w:rPr>
                <w:color w:val="auto"/>
                <w:sz w:val="10"/>
                <w:szCs w:val="10"/>
              </w:rPr>
            </w:pPr>
            <w:r w:rsidRPr="00F9037E">
              <w:rPr>
                <w:color w:val="auto"/>
                <w:sz w:val="10"/>
                <w:szCs w:val="10"/>
              </w:rPr>
              <w:t>77.600</w:t>
            </w:r>
          </w:p>
        </w:tc>
        <w:tc>
          <w:tcPr>
            <w:tcW w:w="567" w:type="dxa"/>
            <w:shd w:val="clear" w:color="auto" w:fill="auto"/>
            <w:vAlign w:val="center"/>
          </w:tcPr>
          <w:p w14:paraId="215A9864" w14:textId="77777777" w:rsidR="00D34C6F" w:rsidRPr="00F9037E" w:rsidRDefault="00D34C6F" w:rsidP="00C05C97">
            <w:pPr>
              <w:spacing w:before="120" w:after="120"/>
              <w:jc w:val="center"/>
              <w:rPr>
                <w:color w:val="auto"/>
                <w:sz w:val="10"/>
                <w:szCs w:val="10"/>
              </w:rPr>
            </w:pPr>
            <w:r w:rsidRPr="00F9037E">
              <w:rPr>
                <w:color w:val="auto"/>
                <w:sz w:val="10"/>
                <w:szCs w:val="10"/>
              </w:rPr>
              <w:t>67.936</w:t>
            </w:r>
          </w:p>
        </w:tc>
        <w:tc>
          <w:tcPr>
            <w:tcW w:w="567" w:type="dxa"/>
            <w:shd w:val="clear" w:color="auto" w:fill="auto"/>
            <w:vAlign w:val="center"/>
          </w:tcPr>
          <w:p w14:paraId="2B94E8B4" w14:textId="41D5E9E4" w:rsidR="00D34C6F" w:rsidRPr="00F9037E" w:rsidRDefault="00D34C6F" w:rsidP="00C05C97">
            <w:pPr>
              <w:spacing w:before="120" w:after="120"/>
              <w:jc w:val="center"/>
              <w:rPr>
                <w:color w:val="auto"/>
                <w:sz w:val="10"/>
                <w:szCs w:val="10"/>
              </w:rPr>
            </w:pPr>
          </w:p>
        </w:tc>
        <w:tc>
          <w:tcPr>
            <w:tcW w:w="629" w:type="dxa"/>
            <w:vAlign w:val="center"/>
          </w:tcPr>
          <w:p w14:paraId="0AB019F6" w14:textId="77777777" w:rsidR="00D34C6F" w:rsidRPr="00F9037E" w:rsidRDefault="00D34C6F" w:rsidP="00C05C97">
            <w:pPr>
              <w:spacing w:before="120" w:after="120"/>
              <w:jc w:val="center"/>
              <w:rPr>
                <w:color w:val="auto"/>
                <w:sz w:val="10"/>
                <w:szCs w:val="10"/>
              </w:rPr>
            </w:pPr>
          </w:p>
        </w:tc>
        <w:tc>
          <w:tcPr>
            <w:tcW w:w="567" w:type="dxa"/>
            <w:vAlign w:val="center"/>
          </w:tcPr>
          <w:p w14:paraId="20E09A4E" w14:textId="77777777" w:rsidR="00D34C6F" w:rsidRPr="00F9037E" w:rsidRDefault="00D34C6F" w:rsidP="00C05C97">
            <w:pPr>
              <w:spacing w:before="120" w:after="120"/>
              <w:jc w:val="center"/>
              <w:rPr>
                <w:color w:val="auto"/>
                <w:sz w:val="10"/>
                <w:szCs w:val="10"/>
              </w:rPr>
            </w:pPr>
          </w:p>
        </w:tc>
        <w:tc>
          <w:tcPr>
            <w:tcW w:w="567" w:type="dxa"/>
            <w:vAlign w:val="center"/>
          </w:tcPr>
          <w:p w14:paraId="638C750E"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1E73884F" w14:textId="77777777" w:rsidR="00D34C6F" w:rsidRPr="00F9037E" w:rsidRDefault="00D34C6F" w:rsidP="00C05C97">
            <w:pPr>
              <w:spacing w:before="120" w:after="120"/>
              <w:jc w:val="center"/>
              <w:rPr>
                <w:color w:val="auto"/>
                <w:sz w:val="10"/>
                <w:szCs w:val="10"/>
              </w:rPr>
            </w:pPr>
            <w:r w:rsidRPr="00F9037E">
              <w:rPr>
                <w:color w:val="auto"/>
                <w:sz w:val="10"/>
                <w:szCs w:val="10"/>
              </w:rPr>
              <w:t>194.100</w:t>
            </w:r>
          </w:p>
        </w:tc>
        <w:tc>
          <w:tcPr>
            <w:tcW w:w="709" w:type="dxa"/>
            <w:shd w:val="clear" w:color="auto" w:fill="auto"/>
            <w:vAlign w:val="center"/>
          </w:tcPr>
          <w:p w14:paraId="5140F998" w14:textId="77777777" w:rsidR="00D34C6F" w:rsidRPr="00F9037E" w:rsidRDefault="00D34C6F" w:rsidP="00C05C97">
            <w:pPr>
              <w:spacing w:before="120" w:after="120"/>
              <w:jc w:val="center"/>
              <w:rPr>
                <w:color w:val="auto"/>
                <w:sz w:val="10"/>
                <w:szCs w:val="10"/>
              </w:rPr>
            </w:pPr>
            <w:r w:rsidRPr="00F9037E">
              <w:rPr>
                <w:color w:val="auto"/>
                <w:sz w:val="10"/>
                <w:szCs w:val="10"/>
              </w:rPr>
              <w:t>203.900</w:t>
            </w:r>
          </w:p>
        </w:tc>
        <w:tc>
          <w:tcPr>
            <w:tcW w:w="708" w:type="dxa"/>
            <w:shd w:val="clear" w:color="auto" w:fill="auto"/>
            <w:vAlign w:val="center"/>
          </w:tcPr>
          <w:p w14:paraId="44B40D37" w14:textId="77777777" w:rsidR="00D34C6F" w:rsidRPr="00F9037E" w:rsidRDefault="00D34C6F" w:rsidP="00C05C97">
            <w:pPr>
              <w:spacing w:before="120" w:after="120"/>
              <w:jc w:val="center"/>
              <w:rPr>
                <w:color w:val="auto"/>
                <w:sz w:val="10"/>
                <w:szCs w:val="10"/>
              </w:rPr>
            </w:pPr>
            <w:r w:rsidRPr="00F9037E">
              <w:rPr>
                <w:color w:val="auto"/>
                <w:sz w:val="10"/>
                <w:szCs w:val="10"/>
              </w:rPr>
              <w:t>182.200</w:t>
            </w:r>
          </w:p>
        </w:tc>
        <w:tc>
          <w:tcPr>
            <w:tcW w:w="709" w:type="dxa"/>
            <w:shd w:val="clear" w:color="auto" w:fill="auto"/>
            <w:vAlign w:val="center"/>
          </w:tcPr>
          <w:p w14:paraId="4A6BDE62" w14:textId="77777777" w:rsidR="00D34C6F" w:rsidRPr="00F9037E" w:rsidRDefault="00D34C6F" w:rsidP="00C05C97">
            <w:pPr>
              <w:spacing w:before="120" w:after="120"/>
              <w:jc w:val="center"/>
              <w:rPr>
                <w:color w:val="auto"/>
                <w:sz w:val="10"/>
                <w:szCs w:val="10"/>
              </w:rPr>
            </w:pPr>
            <w:r w:rsidRPr="00F9037E">
              <w:rPr>
                <w:color w:val="auto"/>
                <w:sz w:val="10"/>
                <w:szCs w:val="10"/>
              </w:rPr>
              <w:t>136.650</w:t>
            </w:r>
          </w:p>
        </w:tc>
        <w:tc>
          <w:tcPr>
            <w:tcW w:w="567" w:type="dxa"/>
            <w:shd w:val="clear" w:color="auto" w:fill="auto"/>
            <w:vAlign w:val="center"/>
          </w:tcPr>
          <w:p w14:paraId="273F228E" w14:textId="77777777" w:rsidR="00D34C6F" w:rsidRPr="00F9037E" w:rsidRDefault="00D34C6F" w:rsidP="00C05C97">
            <w:pPr>
              <w:spacing w:before="120" w:after="120"/>
              <w:jc w:val="center"/>
              <w:rPr>
                <w:color w:val="auto"/>
                <w:sz w:val="10"/>
                <w:szCs w:val="10"/>
              </w:rPr>
            </w:pPr>
            <w:r w:rsidRPr="00F9037E">
              <w:rPr>
                <w:color w:val="auto"/>
                <w:sz w:val="10"/>
                <w:szCs w:val="10"/>
              </w:rPr>
              <w:t>91.100</w:t>
            </w:r>
          </w:p>
        </w:tc>
        <w:tc>
          <w:tcPr>
            <w:tcW w:w="647" w:type="dxa"/>
            <w:shd w:val="clear" w:color="auto" w:fill="auto"/>
            <w:vAlign w:val="center"/>
          </w:tcPr>
          <w:p w14:paraId="3C1D69F8" w14:textId="77777777" w:rsidR="00D34C6F" w:rsidRPr="00F9037E" w:rsidRDefault="00D34C6F" w:rsidP="00C05C97">
            <w:pPr>
              <w:spacing w:before="120" w:after="120"/>
              <w:jc w:val="center"/>
              <w:rPr>
                <w:color w:val="auto"/>
                <w:sz w:val="10"/>
                <w:szCs w:val="10"/>
              </w:rPr>
            </w:pPr>
            <w:r w:rsidRPr="00F9037E">
              <w:rPr>
                <w:color w:val="auto"/>
                <w:sz w:val="10"/>
                <w:szCs w:val="10"/>
              </w:rPr>
              <w:t>81.720</w:t>
            </w:r>
          </w:p>
        </w:tc>
        <w:tc>
          <w:tcPr>
            <w:tcW w:w="567" w:type="dxa"/>
            <w:shd w:val="clear" w:color="auto" w:fill="auto"/>
            <w:vAlign w:val="center"/>
          </w:tcPr>
          <w:p w14:paraId="4F771467" w14:textId="77777777" w:rsidR="00D34C6F" w:rsidRPr="00F9037E" w:rsidRDefault="00D34C6F" w:rsidP="00C05C97">
            <w:pPr>
              <w:spacing w:before="120" w:after="120"/>
              <w:jc w:val="center"/>
              <w:rPr>
                <w:color w:val="auto"/>
                <w:sz w:val="10"/>
                <w:szCs w:val="10"/>
              </w:rPr>
            </w:pPr>
            <w:r w:rsidRPr="00F9037E">
              <w:rPr>
                <w:color w:val="auto"/>
                <w:sz w:val="10"/>
                <w:szCs w:val="10"/>
              </w:rPr>
              <w:t>73.548</w:t>
            </w:r>
          </w:p>
        </w:tc>
        <w:tc>
          <w:tcPr>
            <w:tcW w:w="567" w:type="dxa"/>
            <w:shd w:val="clear" w:color="auto" w:fill="auto"/>
            <w:noWrap/>
            <w:vAlign w:val="center"/>
          </w:tcPr>
          <w:p w14:paraId="26568DEF" w14:textId="467AA16D" w:rsidR="00D34C6F" w:rsidRPr="00F9037E" w:rsidRDefault="00D34C6F" w:rsidP="00C05C97">
            <w:pPr>
              <w:spacing w:before="120" w:after="120"/>
              <w:jc w:val="center"/>
              <w:rPr>
                <w:b/>
                <w:color w:val="auto"/>
                <w:sz w:val="10"/>
                <w:szCs w:val="10"/>
              </w:rPr>
            </w:pPr>
          </w:p>
        </w:tc>
        <w:tc>
          <w:tcPr>
            <w:tcW w:w="567" w:type="dxa"/>
            <w:vAlign w:val="center"/>
          </w:tcPr>
          <w:p w14:paraId="618FCD7C" w14:textId="77777777" w:rsidR="00D34C6F" w:rsidRPr="00F9037E" w:rsidRDefault="00D34C6F" w:rsidP="00C05C97">
            <w:pPr>
              <w:spacing w:before="120" w:after="120"/>
              <w:jc w:val="center"/>
              <w:rPr>
                <w:b/>
                <w:color w:val="auto"/>
                <w:sz w:val="10"/>
                <w:szCs w:val="10"/>
              </w:rPr>
            </w:pPr>
          </w:p>
        </w:tc>
        <w:tc>
          <w:tcPr>
            <w:tcW w:w="567" w:type="dxa"/>
            <w:vAlign w:val="center"/>
          </w:tcPr>
          <w:p w14:paraId="64CAE8B5" w14:textId="77777777" w:rsidR="00D34C6F" w:rsidRPr="00F9037E" w:rsidRDefault="00D34C6F" w:rsidP="00C05C97">
            <w:pPr>
              <w:spacing w:before="120" w:after="120"/>
              <w:jc w:val="center"/>
              <w:rPr>
                <w:b/>
                <w:color w:val="auto"/>
                <w:sz w:val="10"/>
                <w:szCs w:val="10"/>
              </w:rPr>
            </w:pPr>
          </w:p>
        </w:tc>
        <w:tc>
          <w:tcPr>
            <w:tcW w:w="567" w:type="dxa"/>
            <w:vAlign w:val="center"/>
          </w:tcPr>
          <w:p w14:paraId="574E5FB7" w14:textId="77777777" w:rsidR="00D34C6F" w:rsidRPr="00F9037E" w:rsidRDefault="00D34C6F" w:rsidP="00C05C97">
            <w:pPr>
              <w:spacing w:before="120" w:after="120"/>
              <w:jc w:val="center"/>
              <w:rPr>
                <w:b/>
                <w:color w:val="auto"/>
                <w:sz w:val="10"/>
                <w:szCs w:val="10"/>
              </w:rPr>
            </w:pPr>
          </w:p>
        </w:tc>
        <w:tc>
          <w:tcPr>
            <w:tcW w:w="567" w:type="dxa"/>
            <w:vAlign w:val="center"/>
          </w:tcPr>
          <w:p w14:paraId="74BAC1E6" w14:textId="77777777" w:rsidR="00D34C6F" w:rsidRPr="00F9037E" w:rsidRDefault="00D34C6F" w:rsidP="00C05C97">
            <w:pPr>
              <w:spacing w:before="120" w:after="120"/>
              <w:jc w:val="center"/>
              <w:rPr>
                <w:b/>
                <w:color w:val="auto"/>
                <w:sz w:val="10"/>
                <w:szCs w:val="10"/>
              </w:rPr>
            </w:pPr>
          </w:p>
        </w:tc>
      </w:tr>
      <w:tr w:rsidR="00D34C6F" w:rsidRPr="00F9037E" w14:paraId="55A99994" w14:textId="77777777" w:rsidTr="00C05C97">
        <w:trPr>
          <w:trHeight w:val="690"/>
          <w:jc w:val="center"/>
        </w:trPr>
        <w:tc>
          <w:tcPr>
            <w:tcW w:w="662" w:type="dxa"/>
            <w:shd w:val="clear" w:color="auto" w:fill="auto"/>
            <w:vAlign w:val="center"/>
          </w:tcPr>
          <w:p w14:paraId="0C113529" w14:textId="77777777" w:rsidR="00D34C6F" w:rsidRPr="00F9037E" w:rsidRDefault="00D34C6F" w:rsidP="00C05C97">
            <w:pPr>
              <w:spacing w:before="120" w:after="120"/>
              <w:rPr>
                <w:color w:val="auto"/>
                <w:sz w:val="12"/>
                <w:szCs w:val="12"/>
              </w:rPr>
            </w:pPr>
            <w:r w:rsidRPr="00F9037E">
              <w:rPr>
                <w:color w:val="auto"/>
                <w:sz w:val="12"/>
                <w:szCs w:val="12"/>
              </w:rPr>
              <w:t>Japan</w:t>
            </w:r>
          </w:p>
        </w:tc>
        <w:tc>
          <w:tcPr>
            <w:tcW w:w="824" w:type="dxa"/>
            <w:shd w:val="clear" w:color="auto" w:fill="auto"/>
            <w:vAlign w:val="center"/>
          </w:tcPr>
          <w:p w14:paraId="0B311601" w14:textId="77777777" w:rsidR="00D34C6F" w:rsidRPr="00F9037E" w:rsidRDefault="00D34C6F" w:rsidP="00C05C97">
            <w:pPr>
              <w:spacing w:before="120" w:after="120"/>
              <w:rPr>
                <w:color w:val="auto"/>
                <w:sz w:val="12"/>
                <w:szCs w:val="12"/>
              </w:rPr>
            </w:pPr>
            <w:r w:rsidRPr="00F9037E">
              <w:rPr>
                <w:color w:val="auto"/>
                <w:sz w:val="12"/>
                <w:szCs w:val="12"/>
              </w:rPr>
              <w:t>Peppers (green and hot)</w:t>
            </w:r>
          </w:p>
        </w:tc>
        <w:tc>
          <w:tcPr>
            <w:tcW w:w="708" w:type="dxa"/>
            <w:shd w:val="clear" w:color="auto" w:fill="auto"/>
            <w:vAlign w:val="center"/>
          </w:tcPr>
          <w:p w14:paraId="7525C900" w14:textId="77777777" w:rsidR="00D34C6F" w:rsidRPr="00F9037E" w:rsidRDefault="00D34C6F" w:rsidP="00C05C97">
            <w:pPr>
              <w:spacing w:before="120" w:after="120"/>
              <w:jc w:val="center"/>
              <w:rPr>
                <w:color w:val="auto"/>
                <w:sz w:val="10"/>
                <w:szCs w:val="10"/>
              </w:rPr>
            </w:pPr>
            <w:r w:rsidRPr="00F9037E">
              <w:rPr>
                <w:color w:val="auto"/>
                <w:sz w:val="10"/>
                <w:szCs w:val="10"/>
              </w:rPr>
              <w:t>189.900</w:t>
            </w:r>
          </w:p>
        </w:tc>
        <w:tc>
          <w:tcPr>
            <w:tcW w:w="709" w:type="dxa"/>
            <w:shd w:val="clear" w:color="auto" w:fill="auto"/>
            <w:vAlign w:val="center"/>
          </w:tcPr>
          <w:p w14:paraId="459CFE62" w14:textId="77777777" w:rsidR="00D34C6F" w:rsidRPr="00F9037E" w:rsidRDefault="00D34C6F" w:rsidP="00C05C97">
            <w:pPr>
              <w:spacing w:before="120" w:after="120"/>
              <w:jc w:val="center"/>
              <w:rPr>
                <w:color w:val="auto"/>
                <w:sz w:val="10"/>
                <w:szCs w:val="10"/>
              </w:rPr>
            </w:pPr>
            <w:r w:rsidRPr="00F9037E">
              <w:rPr>
                <w:color w:val="auto"/>
                <w:sz w:val="10"/>
                <w:szCs w:val="10"/>
              </w:rPr>
              <w:t>200.700</w:t>
            </w:r>
          </w:p>
        </w:tc>
        <w:tc>
          <w:tcPr>
            <w:tcW w:w="709" w:type="dxa"/>
            <w:shd w:val="clear" w:color="auto" w:fill="auto"/>
            <w:vAlign w:val="center"/>
          </w:tcPr>
          <w:p w14:paraId="32D7D955" w14:textId="77777777" w:rsidR="00D34C6F" w:rsidRPr="00F9037E" w:rsidRDefault="00D34C6F" w:rsidP="00C05C97">
            <w:pPr>
              <w:spacing w:before="120" w:after="120"/>
              <w:jc w:val="center"/>
              <w:rPr>
                <w:color w:val="auto"/>
                <w:sz w:val="10"/>
                <w:szCs w:val="10"/>
              </w:rPr>
            </w:pPr>
            <w:r w:rsidRPr="00F9037E">
              <w:rPr>
                <w:color w:val="auto"/>
                <w:sz w:val="10"/>
                <w:szCs w:val="10"/>
              </w:rPr>
              <w:t>169.400</w:t>
            </w:r>
          </w:p>
        </w:tc>
        <w:tc>
          <w:tcPr>
            <w:tcW w:w="567" w:type="dxa"/>
            <w:shd w:val="clear" w:color="auto" w:fill="auto"/>
            <w:vAlign w:val="center"/>
          </w:tcPr>
          <w:p w14:paraId="1DB962A7" w14:textId="77777777" w:rsidR="00D34C6F" w:rsidRPr="00F9037E" w:rsidRDefault="00D34C6F" w:rsidP="00C05C97">
            <w:pPr>
              <w:spacing w:before="120" w:after="120"/>
              <w:jc w:val="center"/>
              <w:rPr>
                <w:color w:val="auto"/>
                <w:sz w:val="10"/>
                <w:szCs w:val="10"/>
              </w:rPr>
            </w:pPr>
            <w:r w:rsidRPr="00F9037E">
              <w:rPr>
                <w:color w:val="auto"/>
                <w:sz w:val="10"/>
                <w:szCs w:val="10"/>
              </w:rPr>
              <w:t>162.300</w:t>
            </w:r>
          </w:p>
        </w:tc>
        <w:tc>
          <w:tcPr>
            <w:tcW w:w="709" w:type="dxa"/>
            <w:shd w:val="clear" w:color="auto" w:fill="auto"/>
            <w:vAlign w:val="center"/>
          </w:tcPr>
          <w:p w14:paraId="6C0A7329" w14:textId="77777777" w:rsidR="00D34C6F" w:rsidRPr="00F9037E" w:rsidRDefault="00D34C6F" w:rsidP="00C05C97">
            <w:pPr>
              <w:spacing w:before="120" w:after="120"/>
              <w:jc w:val="center"/>
              <w:rPr>
                <w:color w:val="auto"/>
                <w:sz w:val="10"/>
                <w:szCs w:val="10"/>
              </w:rPr>
            </w:pPr>
            <w:r w:rsidRPr="00F9037E">
              <w:rPr>
                <w:color w:val="auto"/>
                <w:sz w:val="10"/>
                <w:szCs w:val="10"/>
              </w:rPr>
              <w:t>134.400</w:t>
            </w:r>
          </w:p>
        </w:tc>
        <w:tc>
          <w:tcPr>
            <w:tcW w:w="567" w:type="dxa"/>
            <w:shd w:val="clear" w:color="auto" w:fill="auto"/>
            <w:vAlign w:val="center"/>
          </w:tcPr>
          <w:p w14:paraId="67F0EB92" w14:textId="77777777" w:rsidR="00D34C6F" w:rsidRPr="00F9037E" w:rsidRDefault="00D34C6F" w:rsidP="00C05C97">
            <w:pPr>
              <w:spacing w:before="120" w:after="120"/>
              <w:jc w:val="center"/>
              <w:rPr>
                <w:color w:val="auto"/>
                <w:sz w:val="10"/>
                <w:szCs w:val="10"/>
              </w:rPr>
            </w:pPr>
            <w:r w:rsidRPr="00F9037E">
              <w:rPr>
                <w:color w:val="auto"/>
                <w:sz w:val="10"/>
                <w:szCs w:val="10"/>
              </w:rPr>
              <w:t>81.100</w:t>
            </w:r>
          </w:p>
        </w:tc>
        <w:tc>
          <w:tcPr>
            <w:tcW w:w="708" w:type="dxa"/>
            <w:shd w:val="clear" w:color="auto" w:fill="auto"/>
            <w:vAlign w:val="center"/>
          </w:tcPr>
          <w:p w14:paraId="208A2DA9" w14:textId="77777777" w:rsidR="00D34C6F" w:rsidRPr="00F9037E" w:rsidRDefault="00D34C6F" w:rsidP="00C05C97">
            <w:pPr>
              <w:spacing w:before="120" w:after="120"/>
              <w:jc w:val="center"/>
              <w:rPr>
                <w:color w:val="auto"/>
                <w:sz w:val="10"/>
                <w:szCs w:val="10"/>
              </w:rPr>
            </w:pPr>
            <w:r w:rsidRPr="00F9037E">
              <w:rPr>
                <w:color w:val="auto"/>
                <w:sz w:val="10"/>
                <w:szCs w:val="10"/>
              </w:rPr>
              <w:t>68.260</w:t>
            </w:r>
          </w:p>
        </w:tc>
        <w:tc>
          <w:tcPr>
            <w:tcW w:w="567" w:type="dxa"/>
            <w:shd w:val="clear" w:color="auto" w:fill="auto"/>
            <w:vAlign w:val="center"/>
          </w:tcPr>
          <w:p w14:paraId="70067C44" w14:textId="77777777" w:rsidR="00D34C6F" w:rsidRPr="00F9037E" w:rsidRDefault="00D34C6F" w:rsidP="00C05C97">
            <w:pPr>
              <w:spacing w:before="120" w:after="120"/>
              <w:jc w:val="center"/>
              <w:rPr>
                <w:color w:val="auto"/>
                <w:sz w:val="10"/>
                <w:szCs w:val="10"/>
              </w:rPr>
            </w:pPr>
            <w:r w:rsidRPr="00F9037E">
              <w:rPr>
                <w:color w:val="auto"/>
                <w:sz w:val="10"/>
                <w:szCs w:val="10"/>
              </w:rPr>
              <w:t>61.101</w:t>
            </w:r>
          </w:p>
        </w:tc>
        <w:tc>
          <w:tcPr>
            <w:tcW w:w="567" w:type="dxa"/>
            <w:shd w:val="clear" w:color="auto" w:fill="auto"/>
            <w:vAlign w:val="center"/>
          </w:tcPr>
          <w:p w14:paraId="43DA2EAB" w14:textId="698FA504" w:rsidR="00D34C6F" w:rsidRPr="00F9037E" w:rsidRDefault="00D34C6F" w:rsidP="00C05C97">
            <w:pPr>
              <w:spacing w:before="120" w:after="120"/>
              <w:jc w:val="center"/>
              <w:rPr>
                <w:color w:val="auto"/>
                <w:sz w:val="10"/>
                <w:szCs w:val="10"/>
              </w:rPr>
            </w:pPr>
          </w:p>
        </w:tc>
        <w:tc>
          <w:tcPr>
            <w:tcW w:w="629" w:type="dxa"/>
            <w:vAlign w:val="center"/>
          </w:tcPr>
          <w:p w14:paraId="243D3A9A" w14:textId="77777777" w:rsidR="00D34C6F" w:rsidRPr="00F9037E" w:rsidRDefault="00D34C6F" w:rsidP="00C05C97">
            <w:pPr>
              <w:spacing w:before="120" w:after="120"/>
              <w:jc w:val="center"/>
              <w:rPr>
                <w:color w:val="auto"/>
                <w:sz w:val="10"/>
                <w:szCs w:val="10"/>
              </w:rPr>
            </w:pPr>
          </w:p>
        </w:tc>
        <w:tc>
          <w:tcPr>
            <w:tcW w:w="567" w:type="dxa"/>
            <w:vAlign w:val="center"/>
          </w:tcPr>
          <w:p w14:paraId="5BFDEFAC" w14:textId="77777777" w:rsidR="00D34C6F" w:rsidRPr="00F9037E" w:rsidRDefault="00D34C6F" w:rsidP="00C05C97">
            <w:pPr>
              <w:spacing w:before="120" w:after="120"/>
              <w:jc w:val="center"/>
              <w:rPr>
                <w:color w:val="auto"/>
                <w:sz w:val="10"/>
                <w:szCs w:val="10"/>
              </w:rPr>
            </w:pPr>
          </w:p>
        </w:tc>
        <w:tc>
          <w:tcPr>
            <w:tcW w:w="567" w:type="dxa"/>
            <w:vAlign w:val="center"/>
          </w:tcPr>
          <w:p w14:paraId="37E08F7F"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3CEDD833" w14:textId="77777777" w:rsidR="00D34C6F" w:rsidRPr="00F9037E" w:rsidRDefault="00D34C6F" w:rsidP="00C05C97">
            <w:pPr>
              <w:spacing w:before="120" w:after="120"/>
              <w:jc w:val="center"/>
              <w:rPr>
                <w:color w:val="auto"/>
                <w:sz w:val="10"/>
                <w:szCs w:val="10"/>
              </w:rPr>
            </w:pPr>
            <w:r w:rsidRPr="00F9037E">
              <w:rPr>
                <w:color w:val="auto"/>
                <w:sz w:val="10"/>
                <w:szCs w:val="10"/>
              </w:rPr>
              <w:t>187.200</w:t>
            </w:r>
          </w:p>
        </w:tc>
        <w:tc>
          <w:tcPr>
            <w:tcW w:w="709" w:type="dxa"/>
            <w:shd w:val="clear" w:color="auto" w:fill="auto"/>
            <w:vAlign w:val="center"/>
          </w:tcPr>
          <w:p w14:paraId="0B8BE6EF" w14:textId="77777777" w:rsidR="00D34C6F" w:rsidRPr="00F9037E" w:rsidRDefault="00D34C6F" w:rsidP="00C05C97">
            <w:pPr>
              <w:spacing w:before="120" w:after="120"/>
              <w:jc w:val="center"/>
              <w:rPr>
                <w:color w:val="auto"/>
                <w:sz w:val="10"/>
                <w:szCs w:val="10"/>
              </w:rPr>
            </w:pPr>
            <w:r w:rsidRPr="00F9037E">
              <w:rPr>
                <w:color w:val="auto"/>
                <w:sz w:val="10"/>
                <w:szCs w:val="10"/>
              </w:rPr>
              <w:t>200.700</w:t>
            </w:r>
          </w:p>
        </w:tc>
        <w:tc>
          <w:tcPr>
            <w:tcW w:w="708" w:type="dxa"/>
            <w:shd w:val="clear" w:color="auto" w:fill="auto"/>
            <w:vAlign w:val="center"/>
          </w:tcPr>
          <w:p w14:paraId="11272077" w14:textId="77777777" w:rsidR="00D34C6F" w:rsidRPr="00F9037E" w:rsidRDefault="00D34C6F" w:rsidP="00C05C97">
            <w:pPr>
              <w:spacing w:before="120" w:after="120"/>
              <w:jc w:val="center"/>
              <w:rPr>
                <w:color w:val="auto"/>
                <w:sz w:val="10"/>
                <w:szCs w:val="10"/>
              </w:rPr>
            </w:pPr>
            <w:r w:rsidRPr="00F9037E">
              <w:rPr>
                <w:color w:val="auto"/>
                <w:sz w:val="10"/>
                <w:szCs w:val="10"/>
              </w:rPr>
              <w:t>156.700</w:t>
            </w:r>
          </w:p>
        </w:tc>
        <w:tc>
          <w:tcPr>
            <w:tcW w:w="709" w:type="dxa"/>
            <w:shd w:val="clear" w:color="auto" w:fill="auto"/>
            <w:vAlign w:val="center"/>
          </w:tcPr>
          <w:p w14:paraId="25152D34" w14:textId="77777777" w:rsidR="00D34C6F" w:rsidRPr="00F9037E" w:rsidRDefault="00D34C6F" w:rsidP="00C05C97">
            <w:pPr>
              <w:spacing w:before="120" w:after="120"/>
              <w:jc w:val="center"/>
              <w:rPr>
                <w:color w:val="auto"/>
                <w:sz w:val="10"/>
                <w:szCs w:val="10"/>
              </w:rPr>
            </w:pPr>
            <w:r w:rsidRPr="00F9037E">
              <w:rPr>
                <w:color w:val="auto"/>
                <w:sz w:val="10"/>
                <w:szCs w:val="10"/>
              </w:rPr>
              <w:t>121.725</w:t>
            </w:r>
          </w:p>
        </w:tc>
        <w:tc>
          <w:tcPr>
            <w:tcW w:w="567" w:type="dxa"/>
            <w:shd w:val="clear" w:color="auto" w:fill="auto"/>
            <w:vAlign w:val="center"/>
          </w:tcPr>
          <w:p w14:paraId="3873F1AB" w14:textId="77777777" w:rsidR="00D34C6F" w:rsidRPr="00F9037E" w:rsidRDefault="00D34C6F" w:rsidP="00C05C97">
            <w:pPr>
              <w:spacing w:before="120" w:after="120"/>
              <w:jc w:val="center"/>
              <w:rPr>
                <w:color w:val="auto"/>
                <w:sz w:val="10"/>
                <w:szCs w:val="10"/>
              </w:rPr>
            </w:pPr>
            <w:r w:rsidRPr="00F9037E">
              <w:rPr>
                <w:color w:val="auto"/>
                <w:sz w:val="10"/>
                <w:szCs w:val="10"/>
              </w:rPr>
              <w:t>81.149</w:t>
            </w:r>
          </w:p>
        </w:tc>
        <w:tc>
          <w:tcPr>
            <w:tcW w:w="647" w:type="dxa"/>
            <w:shd w:val="clear" w:color="auto" w:fill="auto"/>
            <w:vAlign w:val="center"/>
          </w:tcPr>
          <w:p w14:paraId="530AF56D" w14:textId="77777777" w:rsidR="00D34C6F" w:rsidRPr="00F9037E" w:rsidRDefault="00D34C6F" w:rsidP="00C05C97">
            <w:pPr>
              <w:spacing w:before="120" w:after="120"/>
              <w:jc w:val="center"/>
              <w:rPr>
                <w:color w:val="auto"/>
                <w:sz w:val="10"/>
                <w:szCs w:val="10"/>
              </w:rPr>
            </w:pPr>
            <w:r w:rsidRPr="00F9037E">
              <w:rPr>
                <w:color w:val="auto"/>
                <w:sz w:val="10"/>
                <w:szCs w:val="10"/>
              </w:rPr>
              <w:t>72.990</w:t>
            </w:r>
          </w:p>
        </w:tc>
        <w:tc>
          <w:tcPr>
            <w:tcW w:w="567" w:type="dxa"/>
            <w:shd w:val="clear" w:color="auto" w:fill="auto"/>
            <w:vAlign w:val="center"/>
          </w:tcPr>
          <w:p w14:paraId="66763B4D" w14:textId="77777777" w:rsidR="00D34C6F" w:rsidRPr="00F9037E" w:rsidRDefault="00D34C6F" w:rsidP="00C05C97">
            <w:pPr>
              <w:spacing w:before="120" w:after="120"/>
              <w:jc w:val="center"/>
              <w:rPr>
                <w:color w:val="auto"/>
                <w:sz w:val="10"/>
                <w:szCs w:val="10"/>
              </w:rPr>
            </w:pPr>
            <w:r w:rsidRPr="00F9037E">
              <w:rPr>
                <w:color w:val="auto"/>
                <w:sz w:val="10"/>
                <w:szCs w:val="10"/>
              </w:rPr>
              <w:t>65.691</w:t>
            </w:r>
          </w:p>
        </w:tc>
        <w:tc>
          <w:tcPr>
            <w:tcW w:w="567" w:type="dxa"/>
            <w:shd w:val="clear" w:color="auto" w:fill="auto"/>
            <w:noWrap/>
            <w:vAlign w:val="center"/>
          </w:tcPr>
          <w:p w14:paraId="60CDD79B" w14:textId="46BA832A" w:rsidR="00D34C6F" w:rsidRPr="00F9037E" w:rsidRDefault="00D34C6F" w:rsidP="00C05C97">
            <w:pPr>
              <w:spacing w:before="120" w:after="120"/>
              <w:jc w:val="center"/>
              <w:rPr>
                <w:b/>
                <w:color w:val="auto"/>
                <w:sz w:val="10"/>
                <w:szCs w:val="10"/>
              </w:rPr>
            </w:pPr>
          </w:p>
        </w:tc>
        <w:tc>
          <w:tcPr>
            <w:tcW w:w="567" w:type="dxa"/>
            <w:vAlign w:val="center"/>
          </w:tcPr>
          <w:p w14:paraId="53D53EF5" w14:textId="77777777" w:rsidR="00D34C6F" w:rsidRPr="00F9037E" w:rsidRDefault="00D34C6F" w:rsidP="00C05C97">
            <w:pPr>
              <w:spacing w:before="120" w:after="120"/>
              <w:jc w:val="center"/>
              <w:rPr>
                <w:b/>
                <w:color w:val="auto"/>
                <w:sz w:val="10"/>
                <w:szCs w:val="10"/>
              </w:rPr>
            </w:pPr>
          </w:p>
        </w:tc>
        <w:tc>
          <w:tcPr>
            <w:tcW w:w="567" w:type="dxa"/>
            <w:vAlign w:val="center"/>
          </w:tcPr>
          <w:p w14:paraId="36DD1B31" w14:textId="77777777" w:rsidR="00D34C6F" w:rsidRPr="00F9037E" w:rsidRDefault="00D34C6F" w:rsidP="00C05C97">
            <w:pPr>
              <w:spacing w:before="120" w:after="120"/>
              <w:jc w:val="center"/>
              <w:rPr>
                <w:b/>
                <w:color w:val="auto"/>
                <w:sz w:val="10"/>
                <w:szCs w:val="10"/>
              </w:rPr>
            </w:pPr>
          </w:p>
        </w:tc>
        <w:tc>
          <w:tcPr>
            <w:tcW w:w="567" w:type="dxa"/>
            <w:vAlign w:val="center"/>
          </w:tcPr>
          <w:p w14:paraId="5B68E6A3" w14:textId="77777777" w:rsidR="00D34C6F" w:rsidRPr="00F9037E" w:rsidRDefault="00D34C6F" w:rsidP="00C05C97">
            <w:pPr>
              <w:spacing w:before="120" w:after="120"/>
              <w:jc w:val="center"/>
              <w:rPr>
                <w:b/>
                <w:color w:val="auto"/>
                <w:sz w:val="10"/>
                <w:szCs w:val="10"/>
              </w:rPr>
            </w:pPr>
          </w:p>
        </w:tc>
        <w:tc>
          <w:tcPr>
            <w:tcW w:w="567" w:type="dxa"/>
            <w:vAlign w:val="center"/>
          </w:tcPr>
          <w:p w14:paraId="6264F220" w14:textId="77777777" w:rsidR="00D34C6F" w:rsidRPr="00F9037E" w:rsidRDefault="00D34C6F" w:rsidP="00C05C97">
            <w:pPr>
              <w:spacing w:before="120" w:after="120"/>
              <w:jc w:val="center"/>
              <w:rPr>
                <w:b/>
                <w:color w:val="auto"/>
                <w:sz w:val="10"/>
                <w:szCs w:val="10"/>
              </w:rPr>
            </w:pPr>
          </w:p>
        </w:tc>
      </w:tr>
      <w:tr w:rsidR="00D34C6F" w:rsidRPr="00F9037E" w14:paraId="10F3D946" w14:textId="77777777" w:rsidTr="00C05C97">
        <w:trPr>
          <w:trHeight w:val="465"/>
          <w:jc w:val="center"/>
        </w:trPr>
        <w:tc>
          <w:tcPr>
            <w:tcW w:w="662" w:type="dxa"/>
            <w:shd w:val="clear" w:color="auto" w:fill="auto"/>
            <w:vAlign w:val="center"/>
          </w:tcPr>
          <w:p w14:paraId="6675A871" w14:textId="77777777" w:rsidR="00D34C6F" w:rsidRPr="00F9037E" w:rsidRDefault="00D34C6F" w:rsidP="00C05C97">
            <w:pPr>
              <w:spacing w:before="120" w:after="120"/>
              <w:rPr>
                <w:color w:val="auto"/>
                <w:sz w:val="12"/>
                <w:szCs w:val="12"/>
              </w:rPr>
            </w:pPr>
            <w:r w:rsidRPr="00F9037E">
              <w:rPr>
                <w:color w:val="auto"/>
                <w:sz w:val="12"/>
                <w:szCs w:val="12"/>
              </w:rPr>
              <w:t>Japan</w:t>
            </w:r>
          </w:p>
        </w:tc>
        <w:tc>
          <w:tcPr>
            <w:tcW w:w="824" w:type="dxa"/>
            <w:shd w:val="clear" w:color="auto" w:fill="auto"/>
            <w:vAlign w:val="center"/>
          </w:tcPr>
          <w:p w14:paraId="4ACBE38C" w14:textId="77777777" w:rsidR="00D34C6F" w:rsidRPr="00F9037E" w:rsidRDefault="00D34C6F" w:rsidP="00C05C97">
            <w:pPr>
              <w:spacing w:before="120" w:after="120"/>
              <w:rPr>
                <w:color w:val="auto"/>
                <w:sz w:val="12"/>
                <w:szCs w:val="12"/>
              </w:rPr>
            </w:pPr>
            <w:r w:rsidRPr="00F9037E">
              <w:rPr>
                <w:color w:val="auto"/>
                <w:sz w:val="12"/>
                <w:szCs w:val="12"/>
              </w:rPr>
              <w:t>Watermelon</w:t>
            </w:r>
          </w:p>
        </w:tc>
        <w:tc>
          <w:tcPr>
            <w:tcW w:w="708" w:type="dxa"/>
            <w:shd w:val="clear" w:color="auto" w:fill="auto"/>
            <w:vAlign w:val="center"/>
          </w:tcPr>
          <w:p w14:paraId="0AE54C4D" w14:textId="77777777" w:rsidR="00D34C6F" w:rsidRPr="00F9037E" w:rsidRDefault="00D34C6F" w:rsidP="00C05C97">
            <w:pPr>
              <w:spacing w:before="120" w:after="120"/>
              <w:jc w:val="center"/>
              <w:rPr>
                <w:color w:val="auto"/>
                <w:sz w:val="10"/>
                <w:szCs w:val="10"/>
              </w:rPr>
            </w:pPr>
            <w:r w:rsidRPr="00F9037E">
              <w:rPr>
                <w:color w:val="auto"/>
                <w:sz w:val="10"/>
                <w:szCs w:val="10"/>
              </w:rPr>
              <w:t>126.300</w:t>
            </w:r>
          </w:p>
        </w:tc>
        <w:tc>
          <w:tcPr>
            <w:tcW w:w="709" w:type="dxa"/>
            <w:shd w:val="clear" w:color="auto" w:fill="auto"/>
            <w:vAlign w:val="center"/>
          </w:tcPr>
          <w:p w14:paraId="19ACE2AB" w14:textId="77777777" w:rsidR="00D34C6F" w:rsidRPr="00F9037E" w:rsidRDefault="00D34C6F" w:rsidP="00C05C97">
            <w:pPr>
              <w:spacing w:before="120" w:after="120"/>
              <w:jc w:val="center"/>
              <w:rPr>
                <w:color w:val="auto"/>
                <w:sz w:val="10"/>
                <w:szCs w:val="10"/>
              </w:rPr>
            </w:pPr>
            <w:r w:rsidRPr="00F9037E">
              <w:rPr>
                <w:color w:val="auto"/>
                <w:sz w:val="10"/>
                <w:szCs w:val="10"/>
              </w:rPr>
              <w:t>96.200</w:t>
            </w:r>
          </w:p>
        </w:tc>
        <w:tc>
          <w:tcPr>
            <w:tcW w:w="709" w:type="dxa"/>
            <w:shd w:val="clear" w:color="auto" w:fill="auto"/>
            <w:vAlign w:val="center"/>
          </w:tcPr>
          <w:p w14:paraId="1880728B" w14:textId="77777777" w:rsidR="00D34C6F" w:rsidRPr="00F9037E" w:rsidRDefault="00D34C6F" w:rsidP="00C05C97">
            <w:pPr>
              <w:spacing w:before="120" w:after="120"/>
              <w:jc w:val="center"/>
              <w:rPr>
                <w:color w:val="auto"/>
                <w:sz w:val="10"/>
                <w:szCs w:val="10"/>
              </w:rPr>
            </w:pPr>
            <w:r w:rsidRPr="00F9037E">
              <w:rPr>
                <w:color w:val="auto"/>
                <w:sz w:val="10"/>
                <w:szCs w:val="10"/>
              </w:rPr>
              <w:t>94.200</w:t>
            </w:r>
          </w:p>
        </w:tc>
        <w:tc>
          <w:tcPr>
            <w:tcW w:w="567" w:type="dxa"/>
            <w:shd w:val="clear" w:color="auto" w:fill="auto"/>
            <w:vAlign w:val="center"/>
          </w:tcPr>
          <w:p w14:paraId="12B70FB9" w14:textId="77777777" w:rsidR="00D34C6F" w:rsidRPr="00F9037E" w:rsidRDefault="00D34C6F" w:rsidP="00C05C97">
            <w:pPr>
              <w:spacing w:before="120" w:after="120"/>
              <w:jc w:val="center"/>
              <w:rPr>
                <w:color w:val="auto"/>
                <w:sz w:val="10"/>
                <w:szCs w:val="10"/>
              </w:rPr>
            </w:pPr>
            <w:r w:rsidRPr="00F9037E">
              <w:rPr>
                <w:color w:val="auto"/>
                <w:sz w:val="10"/>
                <w:szCs w:val="10"/>
              </w:rPr>
              <w:t>43.300</w:t>
            </w:r>
          </w:p>
        </w:tc>
        <w:tc>
          <w:tcPr>
            <w:tcW w:w="709" w:type="dxa"/>
            <w:shd w:val="clear" w:color="auto" w:fill="auto"/>
            <w:vAlign w:val="center"/>
          </w:tcPr>
          <w:p w14:paraId="13E2DBCA" w14:textId="77777777" w:rsidR="00D34C6F" w:rsidRPr="00F9037E" w:rsidRDefault="00D34C6F" w:rsidP="00C05C97">
            <w:pPr>
              <w:spacing w:before="120" w:after="120"/>
              <w:jc w:val="center"/>
              <w:rPr>
                <w:color w:val="auto"/>
                <w:sz w:val="10"/>
                <w:szCs w:val="10"/>
              </w:rPr>
            </w:pPr>
            <w:r w:rsidRPr="00F9037E">
              <w:rPr>
                <w:color w:val="auto"/>
                <w:sz w:val="10"/>
                <w:szCs w:val="10"/>
              </w:rPr>
              <w:t>23.700</w:t>
            </w:r>
          </w:p>
        </w:tc>
        <w:tc>
          <w:tcPr>
            <w:tcW w:w="567" w:type="dxa"/>
            <w:shd w:val="clear" w:color="auto" w:fill="auto"/>
            <w:vAlign w:val="center"/>
          </w:tcPr>
          <w:p w14:paraId="011694FA" w14:textId="77777777" w:rsidR="00D34C6F" w:rsidRPr="00F9037E" w:rsidRDefault="00D34C6F" w:rsidP="00C05C97">
            <w:pPr>
              <w:spacing w:before="120" w:after="120"/>
              <w:jc w:val="center"/>
              <w:rPr>
                <w:color w:val="auto"/>
                <w:sz w:val="10"/>
                <w:szCs w:val="10"/>
              </w:rPr>
            </w:pPr>
            <w:r w:rsidRPr="00F9037E">
              <w:rPr>
                <w:color w:val="auto"/>
                <w:sz w:val="10"/>
                <w:szCs w:val="10"/>
              </w:rPr>
              <w:t>15.400</w:t>
            </w:r>
          </w:p>
        </w:tc>
        <w:tc>
          <w:tcPr>
            <w:tcW w:w="708" w:type="dxa"/>
            <w:shd w:val="clear" w:color="auto" w:fill="auto"/>
            <w:vAlign w:val="center"/>
          </w:tcPr>
          <w:p w14:paraId="5A5DDDF6" w14:textId="77777777" w:rsidR="00D34C6F" w:rsidRPr="00F9037E" w:rsidRDefault="00D34C6F" w:rsidP="00C05C97">
            <w:pPr>
              <w:spacing w:before="120" w:after="120"/>
              <w:jc w:val="center"/>
              <w:rPr>
                <w:color w:val="auto"/>
                <w:sz w:val="10"/>
                <w:szCs w:val="10"/>
              </w:rPr>
            </w:pPr>
            <w:r w:rsidRPr="00F9037E">
              <w:rPr>
                <w:color w:val="auto"/>
                <w:sz w:val="10"/>
                <w:szCs w:val="10"/>
              </w:rPr>
              <w:t>13.870</w:t>
            </w:r>
          </w:p>
        </w:tc>
        <w:tc>
          <w:tcPr>
            <w:tcW w:w="567" w:type="dxa"/>
            <w:shd w:val="clear" w:color="auto" w:fill="auto"/>
            <w:vAlign w:val="center"/>
          </w:tcPr>
          <w:p w14:paraId="5E190779" w14:textId="77777777" w:rsidR="00D34C6F" w:rsidRPr="00F9037E" w:rsidRDefault="00D34C6F" w:rsidP="00C05C97">
            <w:pPr>
              <w:spacing w:before="120" w:after="120"/>
              <w:jc w:val="center"/>
              <w:rPr>
                <w:color w:val="auto"/>
                <w:sz w:val="10"/>
                <w:szCs w:val="10"/>
              </w:rPr>
            </w:pPr>
            <w:r w:rsidRPr="00F9037E">
              <w:rPr>
                <w:color w:val="auto"/>
                <w:sz w:val="10"/>
                <w:szCs w:val="10"/>
              </w:rPr>
              <w:t>12.075</w:t>
            </w:r>
          </w:p>
        </w:tc>
        <w:tc>
          <w:tcPr>
            <w:tcW w:w="567" w:type="dxa"/>
            <w:shd w:val="clear" w:color="auto" w:fill="auto"/>
            <w:vAlign w:val="center"/>
          </w:tcPr>
          <w:p w14:paraId="0140A1D9" w14:textId="7C46ADA2" w:rsidR="00D34C6F" w:rsidRPr="00F9037E" w:rsidRDefault="00D34C6F" w:rsidP="00C05C97">
            <w:pPr>
              <w:spacing w:before="120" w:after="120"/>
              <w:jc w:val="center"/>
              <w:rPr>
                <w:color w:val="auto"/>
                <w:sz w:val="10"/>
                <w:szCs w:val="10"/>
              </w:rPr>
            </w:pPr>
          </w:p>
        </w:tc>
        <w:tc>
          <w:tcPr>
            <w:tcW w:w="629" w:type="dxa"/>
            <w:vAlign w:val="center"/>
          </w:tcPr>
          <w:p w14:paraId="278DC319" w14:textId="77777777" w:rsidR="00D34C6F" w:rsidRPr="00F9037E" w:rsidRDefault="00D34C6F" w:rsidP="00C05C97">
            <w:pPr>
              <w:spacing w:before="120" w:after="120"/>
              <w:jc w:val="center"/>
              <w:rPr>
                <w:color w:val="auto"/>
                <w:sz w:val="10"/>
                <w:szCs w:val="10"/>
              </w:rPr>
            </w:pPr>
          </w:p>
        </w:tc>
        <w:tc>
          <w:tcPr>
            <w:tcW w:w="567" w:type="dxa"/>
            <w:vAlign w:val="center"/>
          </w:tcPr>
          <w:p w14:paraId="04825195" w14:textId="77777777" w:rsidR="00D34C6F" w:rsidRPr="00F9037E" w:rsidRDefault="00D34C6F" w:rsidP="00C05C97">
            <w:pPr>
              <w:spacing w:before="120" w:after="120"/>
              <w:jc w:val="center"/>
              <w:rPr>
                <w:color w:val="auto"/>
                <w:sz w:val="10"/>
                <w:szCs w:val="10"/>
              </w:rPr>
            </w:pPr>
          </w:p>
        </w:tc>
        <w:tc>
          <w:tcPr>
            <w:tcW w:w="567" w:type="dxa"/>
            <w:vAlign w:val="center"/>
          </w:tcPr>
          <w:p w14:paraId="1680624A"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56475F99" w14:textId="77777777" w:rsidR="00D34C6F" w:rsidRPr="00F9037E" w:rsidRDefault="00D34C6F" w:rsidP="00C05C97">
            <w:pPr>
              <w:spacing w:before="120" w:after="120"/>
              <w:jc w:val="center"/>
              <w:rPr>
                <w:color w:val="auto"/>
                <w:sz w:val="10"/>
                <w:szCs w:val="10"/>
              </w:rPr>
            </w:pPr>
            <w:r w:rsidRPr="00F9037E">
              <w:rPr>
                <w:color w:val="auto"/>
                <w:sz w:val="10"/>
                <w:szCs w:val="10"/>
              </w:rPr>
              <w:t>129.000</w:t>
            </w:r>
          </w:p>
        </w:tc>
        <w:tc>
          <w:tcPr>
            <w:tcW w:w="709" w:type="dxa"/>
            <w:shd w:val="clear" w:color="auto" w:fill="auto"/>
            <w:vAlign w:val="center"/>
          </w:tcPr>
          <w:p w14:paraId="0B2B674F" w14:textId="77777777" w:rsidR="00D34C6F" w:rsidRPr="00F9037E" w:rsidRDefault="00D34C6F" w:rsidP="00C05C97">
            <w:pPr>
              <w:spacing w:before="120" w:after="120"/>
              <w:jc w:val="center"/>
              <w:rPr>
                <w:color w:val="auto"/>
                <w:sz w:val="10"/>
                <w:szCs w:val="10"/>
              </w:rPr>
            </w:pPr>
            <w:r w:rsidRPr="00F9037E">
              <w:rPr>
                <w:color w:val="auto"/>
                <w:sz w:val="10"/>
                <w:szCs w:val="10"/>
              </w:rPr>
              <w:t>98.900</w:t>
            </w:r>
          </w:p>
        </w:tc>
        <w:tc>
          <w:tcPr>
            <w:tcW w:w="708" w:type="dxa"/>
            <w:shd w:val="clear" w:color="auto" w:fill="auto"/>
            <w:vAlign w:val="center"/>
          </w:tcPr>
          <w:p w14:paraId="1B270117" w14:textId="77777777" w:rsidR="00D34C6F" w:rsidRPr="00F9037E" w:rsidRDefault="00D34C6F" w:rsidP="00C05C97">
            <w:pPr>
              <w:spacing w:before="120" w:after="120"/>
              <w:jc w:val="center"/>
              <w:rPr>
                <w:color w:val="auto"/>
                <w:sz w:val="10"/>
                <w:szCs w:val="10"/>
              </w:rPr>
            </w:pPr>
            <w:r w:rsidRPr="00F9037E">
              <w:rPr>
                <w:color w:val="auto"/>
                <w:sz w:val="10"/>
                <w:szCs w:val="10"/>
              </w:rPr>
              <w:t>94.200</w:t>
            </w:r>
          </w:p>
        </w:tc>
        <w:tc>
          <w:tcPr>
            <w:tcW w:w="709" w:type="dxa"/>
            <w:shd w:val="clear" w:color="auto" w:fill="auto"/>
            <w:vAlign w:val="center"/>
          </w:tcPr>
          <w:p w14:paraId="42619C75" w14:textId="77777777" w:rsidR="00D34C6F" w:rsidRPr="00F9037E" w:rsidRDefault="00D34C6F" w:rsidP="00C05C97">
            <w:pPr>
              <w:spacing w:before="120" w:after="120"/>
              <w:jc w:val="center"/>
              <w:rPr>
                <w:color w:val="auto"/>
                <w:sz w:val="10"/>
                <w:szCs w:val="10"/>
              </w:rPr>
            </w:pPr>
            <w:r w:rsidRPr="00F9037E">
              <w:rPr>
                <w:color w:val="auto"/>
                <w:sz w:val="10"/>
                <w:szCs w:val="10"/>
              </w:rPr>
              <w:t>32.475</w:t>
            </w:r>
          </w:p>
        </w:tc>
        <w:tc>
          <w:tcPr>
            <w:tcW w:w="567" w:type="dxa"/>
            <w:shd w:val="clear" w:color="auto" w:fill="auto"/>
            <w:vAlign w:val="center"/>
          </w:tcPr>
          <w:p w14:paraId="35BC0AD2" w14:textId="77777777" w:rsidR="00D34C6F" w:rsidRPr="00F9037E" w:rsidRDefault="00D34C6F" w:rsidP="00C05C97">
            <w:pPr>
              <w:spacing w:before="120" w:after="120"/>
              <w:jc w:val="center"/>
              <w:rPr>
                <w:color w:val="auto"/>
                <w:sz w:val="10"/>
                <w:szCs w:val="10"/>
              </w:rPr>
            </w:pPr>
            <w:r w:rsidRPr="00F9037E">
              <w:rPr>
                <w:color w:val="auto"/>
                <w:sz w:val="10"/>
                <w:szCs w:val="10"/>
              </w:rPr>
              <w:t>21.650</w:t>
            </w:r>
          </w:p>
        </w:tc>
        <w:tc>
          <w:tcPr>
            <w:tcW w:w="647" w:type="dxa"/>
            <w:shd w:val="clear" w:color="auto" w:fill="auto"/>
            <w:vAlign w:val="center"/>
          </w:tcPr>
          <w:p w14:paraId="09F7FDB9" w14:textId="77777777" w:rsidR="00D34C6F" w:rsidRPr="00F9037E" w:rsidRDefault="00D34C6F" w:rsidP="00C05C97">
            <w:pPr>
              <w:spacing w:before="120" w:after="120"/>
              <w:jc w:val="center"/>
              <w:rPr>
                <w:color w:val="auto"/>
                <w:sz w:val="10"/>
                <w:szCs w:val="10"/>
              </w:rPr>
            </w:pPr>
            <w:r w:rsidRPr="00F9037E">
              <w:rPr>
                <w:color w:val="auto"/>
                <w:sz w:val="10"/>
                <w:szCs w:val="10"/>
              </w:rPr>
              <w:t>14.500</w:t>
            </w:r>
          </w:p>
        </w:tc>
        <w:tc>
          <w:tcPr>
            <w:tcW w:w="567" w:type="dxa"/>
            <w:shd w:val="clear" w:color="auto" w:fill="auto"/>
            <w:vAlign w:val="center"/>
          </w:tcPr>
          <w:p w14:paraId="09CD571C" w14:textId="77777777" w:rsidR="00D34C6F" w:rsidRPr="00F9037E" w:rsidRDefault="00D34C6F" w:rsidP="00C05C97">
            <w:pPr>
              <w:spacing w:before="120" w:after="120"/>
              <w:jc w:val="center"/>
              <w:rPr>
                <w:color w:val="auto"/>
                <w:sz w:val="10"/>
                <w:szCs w:val="10"/>
              </w:rPr>
            </w:pPr>
            <w:r w:rsidRPr="00F9037E">
              <w:rPr>
                <w:color w:val="auto"/>
                <w:sz w:val="10"/>
                <w:szCs w:val="10"/>
              </w:rPr>
              <w:t>13.050</w:t>
            </w:r>
          </w:p>
        </w:tc>
        <w:tc>
          <w:tcPr>
            <w:tcW w:w="567" w:type="dxa"/>
            <w:shd w:val="clear" w:color="auto" w:fill="auto"/>
            <w:noWrap/>
            <w:vAlign w:val="center"/>
          </w:tcPr>
          <w:p w14:paraId="259389CA" w14:textId="3E8015B7" w:rsidR="00D34C6F" w:rsidRPr="00F9037E" w:rsidRDefault="00D34C6F" w:rsidP="00C05C97">
            <w:pPr>
              <w:spacing w:before="120" w:after="120"/>
              <w:jc w:val="center"/>
              <w:rPr>
                <w:b/>
                <w:color w:val="auto"/>
                <w:sz w:val="10"/>
                <w:szCs w:val="10"/>
              </w:rPr>
            </w:pPr>
          </w:p>
        </w:tc>
        <w:tc>
          <w:tcPr>
            <w:tcW w:w="567" w:type="dxa"/>
            <w:vAlign w:val="center"/>
          </w:tcPr>
          <w:p w14:paraId="2819E233" w14:textId="77777777" w:rsidR="00D34C6F" w:rsidRPr="00F9037E" w:rsidRDefault="00D34C6F" w:rsidP="00C05C97">
            <w:pPr>
              <w:spacing w:before="120" w:after="120"/>
              <w:jc w:val="center"/>
              <w:rPr>
                <w:b/>
                <w:color w:val="auto"/>
                <w:sz w:val="10"/>
                <w:szCs w:val="10"/>
              </w:rPr>
            </w:pPr>
          </w:p>
        </w:tc>
        <w:tc>
          <w:tcPr>
            <w:tcW w:w="567" w:type="dxa"/>
            <w:vAlign w:val="center"/>
          </w:tcPr>
          <w:p w14:paraId="040793E0" w14:textId="77777777" w:rsidR="00D34C6F" w:rsidRPr="00F9037E" w:rsidRDefault="00D34C6F" w:rsidP="00C05C97">
            <w:pPr>
              <w:spacing w:before="120" w:after="120"/>
              <w:jc w:val="center"/>
              <w:rPr>
                <w:b/>
                <w:color w:val="auto"/>
                <w:sz w:val="10"/>
                <w:szCs w:val="10"/>
              </w:rPr>
            </w:pPr>
          </w:p>
        </w:tc>
        <w:tc>
          <w:tcPr>
            <w:tcW w:w="567" w:type="dxa"/>
            <w:vAlign w:val="center"/>
          </w:tcPr>
          <w:p w14:paraId="31C0A795" w14:textId="77777777" w:rsidR="00D34C6F" w:rsidRPr="00F9037E" w:rsidRDefault="00D34C6F" w:rsidP="00C05C97">
            <w:pPr>
              <w:spacing w:before="120" w:after="120"/>
              <w:jc w:val="center"/>
              <w:rPr>
                <w:b/>
                <w:color w:val="auto"/>
                <w:sz w:val="10"/>
                <w:szCs w:val="10"/>
              </w:rPr>
            </w:pPr>
          </w:p>
        </w:tc>
        <w:tc>
          <w:tcPr>
            <w:tcW w:w="567" w:type="dxa"/>
            <w:vAlign w:val="center"/>
          </w:tcPr>
          <w:p w14:paraId="46E9C33D" w14:textId="77777777" w:rsidR="00D34C6F" w:rsidRPr="00F9037E" w:rsidRDefault="00D34C6F" w:rsidP="00C05C97">
            <w:pPr>
              <w:spacing w:before="120" w:after="120"/>
              <w:jc w:val="center"/>
              <w:rPr>
                <w:b/>
                <w:color w:val="auto"/>
                <w:sz w:val="10"/>
                <w:szCs w:val="10"/>
              </w:rPr>
            </w:pPr>
          </w:p>
        </w:tc>
      </w:tr>
      <w:tr w:rsidR="00D34C6F" w:rsidRPr="00F9037E" w14:paraId="05A9816E" w14:textId="77777777" w:rsidTr="00C05C97">
        <w:trPr>
          <w:trHeight w:val="270"/>
          <w:jc w:val="center"/>
        </w:trPr>
        <w:tc>
          <w:tcPr>
            <w:tcW w:w="662" w:type="dxa"/>
            <w:shd w:val="clear" w:color="auto" w:fill="auto"/>
            <w:vAlign w:val="center"/>
          </w:tcPr>
          <w:p w14:paraId="75E30B4C" w14:textId="77777777" w:rsidR="00D34C6F" w:rsidRPr="00F9037E" w:rsidRDefault="00D34C6F" w:rsidP="00C05C97">
            <w:pPr>
              <w:spacing w:before="120" w:after="120"/>
              <w:rPr>
                <w:color w:val="auto"/>
                <w:sz w:val="12"/>
                <w:szCs w:val="12"/>
              </w:rPr>
            </w:pPr>
            <w:r w:rsidRPr="00F9037E">
              <w:rPr>
                <w:color w:val="auto"/>
                <w:sz w:val="12"/>
                <w:szCs w:val="12"/>
              </w:rPr>
              <w:t>Malta</w:t>
            </w:r>
          </w:p>
        </w:tc>
        <w:tc>
          <w:tcPr>
            <w:tcW w:w="824" w:type="dxa"/>
            <w:shd w:val="clear" w:color="auto" w:fill="auto"/>
            <w:vAlign w:val="center"/>
          </w:tcPr>
          <w:p w14:paraId="22355DA5" w14:textId="77777777" w:rsidR="00D34C6F" w:rsidRPr="00F9037E" w:rsidRDefault="00D34C6F" w:rsidP="00C05C97">
            <w:pPr>
              <w:spacing w:before="120" w:after="120"/>
              <w:rPr>
                <w:color w:val="auto"/>
                <w:sz w:val="12"/>
                <w:szCs w:val="12"/>
              </w:rPr>
            </w:pPr>
            <w:r w:rsidRPr="00F9037E">
              <w:rPr>
                <w:color w:val="auto"/>
                <w:sz w:val="12"/>
                <w:szCs w:val="12"/>
              </w:rPr>
              <w:t>Cucumber</w:t>
            </w:r>
          </w:p>
        </w:tc>
        <w:tc>
          <w:tcPr>
            <w:tcW w:w="708" w:type="dxa"/>
            <w:shd w:val="clear" w:color="auto" w:fill="auto"/>
            <w:vAlign w:val="center"/>
          </w:tcPr>
          <w:p w14:paraId="7456404E" w14:textId="52CDDCAE"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2BEDE779" w14:textId="77777777" w:rsidR="00D34C6F" w:rsidRPr="00F9037E" w:rsidRDefault="00D34C6F" w:rsidP="00C05C97">
            <w:pPr>
              <w:spacing w:before="120" w:after="120"/>
              <w:jc w:val="center"/>
              <w:rPr>
                <w:color w:val="auto"/>
                <w:sz w:val="10"/>
                <w:szCs w:val="10"/>
              </w:rPr>
            </w:pPr>
            <w:r w:rsidRPr="00F9037E">
              <w:rPr>
                <w:color w:val="auto"/>
                <w:sz w:val="10"/>
                <w:szCs w:val="10"/>
              </w:rPr>
              <w:t>0.096</w:t>
            </w:r>
          </w:p>
        </w:tc>
        <w:tc>
          <w:tcPr>
            <w:tcW w:w="709" w:type="dxa"/>
            <w:shd w:val="clear" w:color="auto" w:fill="auto"/>
            <w:vAlign w:val="center"/>
          </w:tcPr>
          <w:p w14:paraId="60D5DF9A" w14:textId="3E97D8D3"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7EFFE33" w14:textId="6265F9C8"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1CF7A98B" w14:textId="7D2C5368"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4300A1E" w14:textId="2888B03F"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22010BD3" w14:textId="1EDE3748"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D2F58D9" w14:textId="4DFB8931"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3C704357" w14:textId="45CAF3F1" w:rsidR="00D34C6F" w:rsidRPr="00F9037E" w:rsidRDefault="00D34C6F" w:rsidP="00C05C97">
            <w:pPr>
              <w:spacing w:before="120" w:after="120"/>
              <w:jc w:val="center"/>
              <w:rPr>
                <w:color w:val="auto"/>
                <w:sz w:val="10"/>
                <w:szCs w:val="10"/>
              </w:rPr>
            </w:pPr>
          </w:p>
        </w:tc>
        <w:tc>
          <w:tcPr>
            <w:tcW w:w="629" w:type="dxa"/>
            <w:vAlign w:val="center"/>
          </w:tcPr>
          <w:p w14:paraId="39D43786" w14:textId="77777777" w:rsidR="00D34C6F" w:rsidRPr="00F9037E" w:rsidRDefault="00D34C6F" w:rsidP="00C05C97">
            <w:pPr>
              <w:spacing w:before="120" w:after="120"/>
              <w:jc w:val="center"/>
              <w:rPr>
                <w:color w:val="auto"/>
                <w:sz w:val="10"/>
                <w:szCs w:val="10"/>
              </w:rPr>
            </w:pPr>
          </w:p>
        </w:tc>
        <w:tc>
          <w:tcPr>
            <w:tcW w:w="567" w:type="dxa"/>
            <w:vAlign w:val="center"/>
          </w:tcPr>
          <w:p w14:paraId="1D62DE22" w14:textId="77777777" w:rsidR="00D34C6F" w:rsidRPr="00F9037E" w:rsidRDefault="00D34C6F" w:rsidP="00C05C97">
            <w:pPr>
              <w:spacing w:before="120" w:after="120"/>
              <w:jc w:val="center"/>
              <w:rPr>
                <w:color w:val="auto"/>
                <w:sz w:val="10"/>
                <w:szCs w:val="10"/>
              </w:rPr>
            </w:pPr>
          </w:p>
        </w:tc>
        <w:tc>
          <w:tcPr>
            <w:tcW w:w="567" w:type="dxa"/>
            <w:vAlign w:val="center"/>
          </w:tcPr>
          <w:p w14:paraId="74F078A5"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485137EB" w14:textId="15FD47E9"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6EDB1473" w14:textId="77777777" w:rsidR="00D34C6F" w:rsidRPr="00F9037E" w:rsidRDefault="00D34C6F" w:rsidP="00C05C97">
            <w:pPr>
              <w:spacing w:before="120" w:after="120"/>
              <w:jc w:val="center"/>
              <w:rPr>
                <w:color w:val="auto"/>
                <w:sz w:val="10"/>
                <w:szCs w:val="10"/>
              </w:rPr>
            </w:pPr>
            <w:r w:rsidRPr="00F9037E">
              <w:rPr>
                <w:color w:val="auto"/>
                <w:sz w:val="10"/>
                <w:szCs w:val="10"/>
              </w:rPr>
              <w:t>0.127</w:t>
            </w:r>
          </w:p>
        </w:tc>
        <w:tc>
          <w:tcPr>
            <w:tcW w:w="708" w:type="dxa"/>
            <w:shd w:val="clear" w:color="auto" w:fill="auto"/>
            <w:vAlign w:val="center"/>
          </w:tcPr>
          <w:p w14:paraId="65AC7710" w14:textId="30BC6394"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2460813F" w14:textId="4644E581"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254B1EF6" w14:textId="5C255D4E"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4DEF8B5F" w14:textId="20795234"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79C2AAB4" w14:textId="695358B3"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3C1BAA83" w14:textId="3D7EB3A1" w:rsidR="00D34C6F" w:rsidRPr="00F9037E" w:rsidRDefault="00D34C6F" w:rsidP="00C05C97">
            <w:pPr>
              <w:spacing w:before="120" w:after="120"/>
              <w:jc w:val="center"/>
              <w:rPr>
                <w:b/>
                <w:color w:val="auto"/>
                <w:sz w:val="10"/>
                <w:szCs w:val="10"/>
              </w:rPr>
            </w:pPr>
          </w:p>
        </w:tc>
        <w:tc>
          <w:tcPr>
            <w:tcW w:w="567" w:type="dxa"/>
            <w:vAlign w:val="center"/>
          </w:tcPr>
          <w:p w14:paraId="0C692575" w14:textId="77777777" w:rsidR="00D34C6F" w:rsidRPr="00F9037E" w:rsidRDefault="00D34C6F" w:rsidP="00C05C97">
            <w:pPr>
              <w:spacing w:before="120" w:after="120"/>
              <w:jc w:val="center"/>
              <w:rPr>
                <w:b/>
                <w:color w:val="auto"/>
                <w:sz w:val="10"/>
                <w:szCs w:val="10"/>
              </w:rPr>
            </w:pPr>
          </w:p>
        </w:tc>
        <w:tc>
          <w:tcPr>
            <w:tcW w:w="567" w:type="dxa"/>
            <w:vAlign w:val="center"/>
          </w:tcPr>
          <w:p w14:paraId="38CEA005" w14:textId="77777777" w:rsidR="00D34C6F" w:rsidRPr="00F9037E" w:rsidRDefault="00D34C6F" w:rsidP="00C05C97">
            <w:pPr>
              <w:spacing w:before="120" w:after="120"/>
              <w:jc w:val="center"/>
              <w:rPr>
                <w:b/>
                <w:color w:val="auto"/>
                <w:sz w:val="10"/>
                <w:szCs w:val="10"/>
              </w:rPr>
            </w:pPr>
          </w:p>
        </w:tc>
        <w:tc>
          <w:tcPr>
            <w:tcW w:w="567" w:type="dxa"/>
            <w:vAlign w:val="center"/>
          </w:tcPr>
          <w:p w14:paraId="69DDA13A" w14:textId="77777777" w:rsidR="00D34C6F" w:rsidRPr="00F9037E" w:rsidRDefault="00D34C6F" w:rsidP="00C05C97">
            <w:pPr>
              <w:spacing w:before="120" w:after="120"/>
              <w:jc w:val="center"/>
              <w:rPr>
                <w:b/>
                <w:color w:val="auto"/>
                <w:sz w:val="10"/>
                <w:szCs w:val="10"/>
              </w:rPr>
            </w:pPr>
          </w:p>
        </w:tc>
        <w:tc>
          <w:tcPr>
            <w:tcW w:w="567" w:type="dxa"/>
            <w:vAlign w:val="center"/>
          </w:tcPr>
          <w:p w14:paraId="767F1DDC" w14:textId="77777777" w:rsidR="00D34C6F" w:rsidRPr="00F9037E" w:rsidRDefault="00D34C6F" w:rsidP="00C05C97">
            <w:pPr>
              <w:spacing w:before="120" w:after="120"/>
              <w:jc w:val="center"/>
              <w:rPr>
                <w:b/>
                <w:color w:val="auto"/>
                <w:sz w:val="10"/>
                <w:szCs w:val="10"/>
              </w:rPr>
            </w:pPr>
          </w:p>
        </w:tc>
      </w:tr>
      <w:tr w:rsidR="00D34C6F" w:rsidRPr="00F9037E" w14:paraId="15C2B33B" w14:textId="77777777" w:rsidTr="00C05C97">
        <w:trPr>
          <w:trHeight w:val="270"/>
          <w:jc w:val="center"/>
        </w:trPr>
        <w:tc>
          <w:tcPr>
            <w:tcW w:w="662" w:type="dxa"/>
            <w:shd w:val="clear" w:color="auto" w:fill="auto"/>
            <w:vAlign w:val="center"/>
          </w:tcPr>
          <w:p w14:paraId="52D6F9DB" w14:textId="77777777" w:rsidR="00D34C6F" w:rsidRPr="00F9037E" w:rsidRDefault="00D34C6F" w:rsidP="00C05C97">
            <w:pPr>
              <w:spacing w:before="120" w:after="120"/>
              <w:rPr>
                <w:color w:val="auto"/>
                <w:sz w:val="12"/>
                <w:szCs w:val="12"/>
              </w:rPr>
            </w:pPr>
            <w:r w:rsidRPr="00F9037E">
              <w:rPr>
                <w:color w:val="auto"/>
                <w:sz w:val="12"/>
                <w:szCs w:val="12"/>
              </w:rPr>
              <w:t>Malta</w:t>
            </w:r>
          </w:p>
        </w:tc>
        <w:tc>
          <w:tcPr>
            <w:tcW w:w="824" w:type="dxa"/>
            <w:shd w:val="clear" w:color="auto" w:fill="auto"/>
            <w:vAlign w:val="center"/>
          </w:tcPr>
          <w:p w14:paraId="1C3C166F" w14:textId="77777777" w:rsidR="00D34C6F" w:rsidRPr="00F9037E" w:rsidRDefault="00D34C6F" w:rsidP="00C05C97">
            <w:pPr>
              <w:spacing w:before="120" w:after="120"/>
              <w:rPr>
                <w:color w:val="auto"/>
                <w:sz w:val="12"/>
                <w:szCs w:val="12"/>
              </w:rPr>
            </w:pPr>
            <w:r w:rsidRPr="00F9037E">
              <w:rPr>
                <w:color w:val="auto"/>
                <w:sz w:val="12"/>
                <w:szCs w:val="12"/>
              </w:rPr>
              <w:t>Eggplant</w:t>
            </w:r>
          </w:p>
        </w:tc>
        <w:tc>
          <w:tcPr>
            <w:tcW w:w="708" w:type="dxa"/>
            <w:shd w:val="clear" w:color="auto" w:fill="auto"/>
            <w:vAlign w:val="center"/>
          </w:tcPr>
          <w:p w14:paraId="48356BED" w14:textId="40BDF0D8"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447A4780" w14:textId="77777777" w:rsidR="00D34C6F" w:rsidRPr="00F9037E" w:rsidRDefault="00D34C6F" w:rsidP="00C05C97">
            <w:pPr>
              <w:spacing w:before="120" w:after="120"/>
              <w:jc w:val="center"/>
              <w:rPr>
                <w:color w:val="auto"/>
                <w:sz w:val="10"/>
                <w:szCs w:val="10"/>
              </w:rPr>
            </w:pPr>
            <w:r w:rsidRPr="00F9037E">
              <w:rPr>
                <w:color w:val="auto"/>
                <w:sz w:val="10"/>
                <w:szCs w:val="10"/>
              </w:rPr>
              <w:t>0.128</w:t>
            </w:r>
          </w:p>
        </w:tc>
        <w:tc>
          <w:tcPr>
            <w:tcW w:w="709" w:type="dxa"/>
            <w:shd w:val="clear" w:color="auto" w:fill="auto"/>
            <w:vAlign w:val="center"/>
          </w:tcPr>
          <w:p w14:paraId="2215E2A0" w14:textId="51CD61A3"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3CA3E7E5" w14:textId="4F279BE1"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770418E0" w14:textId="3D93F5A2"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733B3DA9" w14:textId="70431B18"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42B97900" w14:textId="5973605A"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063D189" w14:textId="3A444778"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706A5B1E" w14:textId="68769A36" w:rsidR="00D34C6F" w:rsidRPr="00F9037E" w:rsidRDefault="00D34C6F" w:rsidP="00C05C97">
            <w:pPr>
              <w:spacing w:before="120" w:after="120"/>
              <w:jc w:val="center"/>
              <w:rPr>
                <w:color w:val="auto"/>
                <w:sz w:val="10"/>
                <w:szCs w:val="10"/>
              </w:rPr>
            </w:pPr>
          </w:p>
        </w:tc>
        <w:tc>
          <w:tcPr>
            <w:tcW w:w="629" w:type="dxa"/>
            <w:vAlign w:val="center"/>
          </w:tcPr>
          <w:p w14:paraId="3B3692BF" w14:textId="77777777" w:rsidR="00D34C6F" w:rsidRPr="00F9037E" w:rsidRDefault="00D34C6F" w:rsidP="00C05C97">
            <w:pPr>
              <w:spacing w:before="120" w:after="120"/>
              <w:jc w:val="center"/>
              <w:rPr>
                <w:color w:val="auto"/>
                <w:sz w:val="10"/>
                <w:szCs w:val="10"/>
              </w:rPr>
            </w:pPr>
          </w:p>
        </w:tc>
        <w:tc>
          <w:tcPr>
            <w:tcW w:w="567" w:type="dxa"/>
            <w:vAlign w:val="center"/>
          </w:tcPr>
          <w:p w14:paraId="37A8852D" w14:textId="77777777" w:rsidR="00D34C6F" w:rsidRPr="00F9037E" w:rsidRDefault="00D34C6F" w:rsidP="00C05C97">
            <w:pPr>
              <w:spacing w:before="120" w:after="120"/>
              <w:jc w:val="center"/>
              <w:rPr>
                <w:color w:val="auto"/>
                <w:sz w:val="10"/>
                <w:szCs w:val="10"/>
              </w:rPr>
            </w:pPr>
          </w:p>
        </w:tc>
        <w:tc>
          <w:tcPr>
            <w:tcW w:w="567" w:type="dxa"/>
            <w:vAlign w:val="center"/>
          </w:tcPr>
          <w:p w14:paraId="5709D661"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2F722892" w14:textId="2906FEBB"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498B4101" w14:textId="77777777" w:rsidR="00D34C6F" w:rsidRPr="00F9037E" w:rsidRDefault="00D34C6F" w:rsidP="00C05C97">
            <w:pPr>
              <w:spacing w:before="120" w:after="120"/>
              <w:jc w:val="center"/>
              <w:rPr>
                <w:color w:val="auto"/>
                <w:sz w:val="10"/>
                <w:szCs w:val="10"/>
              </w:rPr>
            </w:pPr>
            <w:r w:rsidRPr="00F9037E">
              <w:rPr>
                <w:color w:val="auto"/>
                <w:sz w:val="10"/>
                <w:szCs w:val="10"/>
              </w:rPr>
              <w:t>0.170</w:t>
            </w:r>
          </w:p>
        </w:tc>
        <w:tc>
          <w:tcPr>
            <w:tcW w:w="708" w:type="dxa"/>
            <w:shd w:val="clear" w:color="auto" w:fill="auto"/>
            <w:vAlign w:val="center"/>
          </w:tcPr>
          <w:p w14:paraId="7E49A6A4" w14:textId="0C67221B"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6A8AD544" w14:textId="6B9414F0"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B247CEC" w14:textId="2AF41EB2"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71D96729" w14:textId="724A4E87"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3C5792CB" w14:textId="27B39644"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06A75C2D" w14:textId="2F9886E5" w:rsidR="00D34C6F" w:rsidRPr="00F9037E" w:rsidRDefault="00D34C6F" w:rsidP="00C05C97">
            <w:pPr>
              <w:spacing w:before="120" w:after="120"/>
              <w:jc w:val="center"/>
              <w:rPr>
                <w:b/>
                <w:color w:val="auto"/>
                <w:sz w:val="10"/>
                <w:szCs w:val="10"/>
              </w:rPr>
            </w:pPr>
          </w:p>
        </w:tc>
        <w:tc>
          <w:tcPr>
            <w:tcW w:w="567" w:type="dxa"/>
            <w:vAlign w:val="center"/>
          </w:tcPr>
          <w:p w14:paraId="5D87E970" w14:textId="77777777" w:rsidR="00D34C6F" w:rsidRPr="00F9037E" w:rsidRDefault="00D34C6F" w:rsidP="00C05C97">
            <w:pPr>
              <w:spacing w:before="120" w:after="120"/>
              <w:jc w:val="center"/>
              <w:rPr>
                <w:b/>
                <w:color w:val="auto"/>
                <w:sz w:val="10"/>
                <w:szCs w:val="10"/>
              </w:rPr>
            </w:pPr>
          </w:p>
        </w:tc>
        <w:tc>
          <w:tcPr>
            <w:tcW w:w="567" w:type="dxa"/>
            <w:vAlign w:val="center"/>
          </w:tcPr>
          <w:p w14:paraId="42134547" w14:textId="77777777" w:rsidR="00D34C6F" w:rsidRPr="00F9037E" w:rsidRDefault="00D34C6F" w:rsidP="00C05C97">
            <w:pPr>
              <w:spacing w:before="120" w:after="120"/>
              <w:jc w:val="center"/>
              <w:rPr>
                <w:b/>
                <w:color w:val="auto"/>
                <w:sz w:val="10"/>
                <w:szCs w:val="10"/>
              </w:rPr>
            </w:pPr>
          </w:p>
        </w:tc>
        <w:tc>
          <w:tcPr>
            <w:tcW w:w="567" w:type="dxa"/>
            <w:vAlign w:val="center"/>
          </w:tcPr>
          <w:p w14:paraId="78559B97" w14:textId="77777777" w:rsidR="00D34C6F" w:rsidRPr="00F9037E" w:rsidRDefault="00D34C6F" w:rsidP="00C05C97">
            <w:pPr>
              <w:spacing w:before="120" w:after="120"/>
              <w:jc w:val="center"/>
              <w:rPr>
                <w:b/>
                <w:color w:val="auto"/>
                <w:sz w:val="10"/>
                <w:szCs w:val="10"/>
              </w:rPr>
            </w:pPr>
          </w:p>
        </w:tc>
        <w:tc>
          <w:tcPr>
            <w:tcW w:w="567" w:type="dxa"/>
            <w:vAlign w:val="center"/>
          </w:tcPr>
          <w:p w14:paraId="073EF827" w14:textId="77777777" w:rsidR="00D34C6F" w:rsidRPr="00F9037E" w:rsidRDefault="00D34C6F" w:rsidP="00C05C97">
            <w:pPr>
              <w:spacing w:before="120" w:after="120"/>
              <w:jc w:val="center"/>
              <w:rPr>
                <w:b/>
                <w:color w:val="auto"/>
                <w:sz w:val="10"/>
                <w:szCs w:val="10"/>
              </w:rPr>
            </w:pPr>
          </w:p>
        </w:tc>
      </w:tr>
      <w:tr w:rsidR="00D34C6F" w:rsidRPr="00F9037E" w14:paraId="0C170A8B" w14:textId="77777777" w:rsidTr="00C05C97">
        <w:trPr>
          <w:trHeight w:val="270"/>
          <w:jc w:val="center"/>
        </w:trPr>
        <w:tc>
          <w:tcPr>
            <w:tcW w:w="662" w:type="dxa"/>
            <w:shd w:val="clear" w:color="auto" w:fill="auto"/>
            <w:vAlign w:val="center"/>
          </w:tcPr>
          <w:p w14:paraId="6962A7B6" w14:textId="77777777" w:rsidR="00D34C6F" w:rsidRPr="00F9037E" w:rsidRDefault="00D34C6F" w:rsidP="00C05C97">
            <w:pPr>
              <w:spacing w:before="120" w:after="120"/>
              <w:rPr>
                <w:color w:val="auto"/>
                <w:sz w:val="12"/>
                <w:szCs w:val="12"/>
              </w:rPr>
            </w:pPr>
            <w:r w:rsidRPr="00F9037E">
              <w:rPr>
                <w:color w:val="auto"/>
                <w:sz w:val="12"/>
                <w:szCs w:val="12"/>
              </w:rPr>
              <w:t>Malta</w:t>
            </w:r>
          </w:p>
        </w:tc>
        <w:tc>
          <w:tcPr>
            <w:tcW w:w="824" w:type="dxa"/>
            <w:shd w:val="clear" w:color="auto" w:fill="auto"/>
            <w:vAlign w:val="center"/>
          </w:tcPr>
          <w:p w14:paraId="08C8E3B0" w14:textId="77777777" w:rsidR="00D34C6F" w:rsidRPr="00F9037E" w:rsidRDefault="00D34C6F" w:rsidP="00C05C97">
            <w:pPr>
              <w:spacing w:before="120" w:after="120"/>
              <w:rPr>
                <w:color w:val="auto"/>
                <w:sz w:val="12"/>
                <w:szCs w:val="12"/>
              </w:rPr>
            </w:pPr>
            <w:r w:rsidRPr="00F9037E">
              <w:rPr>
                <w:color w:val="auto"/>
                <w:sz w:val="12"/>
                <w:szCs w:val="12"/>
              </w:rPr>
              <w:t>Strawberry</w:t>
            </w:r>
          </w:p>
        </w:tc>
        <w:tc>
          <w:tcPr>
            <w:tcW w:w="708" w:type="dxa"/>
            <w:shd w:val="clear" w:color="auto" w:fill="auto"/>
            <w:vAlign w:val="center"/>
          </w:tcPr>
          <w:p w14:paraId="1DD38000" w14:textId="097BD104"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55E24828" w14:textId="77777777" w:rsidR="00D34C6F" w:rsidRPr="00F9037E" w:rsidRDefault="00D34C6F" w:rsidP="00C05C97">
            <w:pPr>
              <w:spacing w:before="120" w:after="120"/>
              <w:jc w:val="center"/>
              <w:rPr>
                <w:color w:val="auto"/>
                <w:sz w:val="10"/>
                <w:szCs w:val="10"/>
              </w:rPr>
            </w:pPr>
            <w:r w:rsidRPr="00F9037E">
              <w:rPr>
                <w:color w:val="auto"/>
                <w:sz w:val="10"/>
                <w:szCs w:val="10"/>
              </w:rPr>
              <w:t>0.160</w:t>
            </w:r>
          </w:p>
        </w:tc>
        <w:tc>
          <w:tcPr>
            <w:tcW w:w="709" w:type="dxa"/>
            <w:shd w:val="clear" w:color="auto" w:fill="auto"/>
            <w:vAlign w:val="center"/>
          </w:tcPr>
          <w:p w14:paraId="64F6FD4C" w14:textId="6E0E476A"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7260337C" w14:textId="34D699DB"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6FA404F2" w14:textId="27D93310"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25E9D25" w14:textId="5288B1BF"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02BF5735" w14:textId="6117CA6C"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18139AB" w14:textId="68BD697F"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58DFC14" w14:textId="45852C4A" w:rsidR="00D34C6F" w:rsidRPr="00F9037E" w:rsidRDefault="00D34C6F" w:rsidP="00C05C97">
            <w:pPr>
              <w:spacing w:before="120" w:after="120"/>
              <w:jc w:val="center"/>
              <w:rPr>
                <w:color w:val="auto"/>
                <w:sz w:val="10"/>
                <w:szCs w:val="10"/>
              </w:rPr>
            </w:pPr>
          </w:p>
        </w:tc>
        <w:tc>
          <w:tcPr>
            <w:tcW w:w="629" w:type="dxa"/>
            <w:vAlign w:val="center"/>
          </w:tcPr>
          <w:p w14:paraId="430C6EDC" w14:textId="77777777" w:rsidR="00D34C6F" w:rsidRPr="00F9037E" w:rsidRDefault="00D34C6F" w:rsidP="00C05C97">
            <w:pPr>
              <w:spacing w:before="120" w:after="120"/>
              <w:jc w:val="center"/>
              <w:rPr>
                <w:color w:val="auto"/>
                <w:sz w:val="10"/>
                <w:szCs w:val="10"/>
              </w:rPr>
            </w:pPr>
          </w:p>
        </w:tc>
        <w:tc>
          <w:tcPr>
            <w:tcW w:w="567" w:type="dxa"/>
            <w:vAlign w:val="center"/>
          </w:tcPr>
          <w:p w14:paraId="4F05D326" w14:textId="77777777" w:rsidR="00D34C6F" w:rsidRPr="00F9037E" w:rsidRDefault="00D34C6F" w:rsidP="00C05C97">
            <w:pPr>
              <w:spacing w:before="120" w:after="120"/>
              <w:jc w:val="center"/>
              <w:rPr>
                <w:color w:val="auto"/>
                <w:sz w:val="10"/>
                <w:szCs w:val="10"/>
              </w:rPr>
            </w:pPr>
          </w:p>
        </w:tc>
        <w:tc>
          <w:tcPr>
            <w:tcW w:w="567" w:type="dxa"/>
            <w:vAlign w:val="center"/>
          </w:tcPr>
          <w:p w14:paraId="2D8241DB"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79253B5B" w14:textId="2100F61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2463193B" w14:textId="77777777" w:rsidR="00D34C6F" w:rsidRPr="00F9037E" w:rsidRDefault="00D34C6F" w:rsidP="00C05C97">
            <w:pPr>
              <w:spacing w:before="120" w:after="120"/>
              <w:jc w:val="center"/>
              <w:rPr>
                <w:color w:val="auto"/>
                <w:sz w:val="10"/>
                <w:szCs w:val="10"/>
              </w:rPr>
            </w:pPr>
            <w:r w:rsidRPr="00F9037E">
              <w:rPr>
                <w:color w:val="auto"/>
                <w:sz w:val="10"/>
                <w:szCs w:val="10"/>
              </w:rPr>
              <w:t>0.212</w:t>
            </w:r>
          </w:p>
        </w:tc>
        <w:tc>
          <w:tcPr>
            <w:tcW w:w="708" w:type="dxa"/>
            <w:shd w:val="clear" w:color="auto" w:fill="auto"/>
            <w:vAlign w:val="center"/>
          </w:tcPr>
          <w:p w14:paraId="08CBB9FD" w14:textId="3CED96B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0AAAD251" w14:textId="01BBB377"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65311C4" w14:textId="18E08C90"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4BDD69B7" w14:textId="797D29DB"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82D5F56" w14:textId="51BBBA95"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4FAF0F27" w14:textId="29F1C1EB" w:rsidR="00D34C6F" w:rsidRPr="00F9037E" w:rsidRDefault="00D34C6F" w:rsidP="00C05C97">
            <w:pPr>
              <w:spacing w:before="120" w:after="120"/>
              <w:jc w:val="center"/>
              <w:rPr>
                <w:b/>
                <w:color w:val="auto"/>
                <w:sz w:val="10"/>
                <w:szCs w:val="10"/>
              </w:rPr>
            </w:pPr>
          </w:p>
        </w:tc>
        <w:tc>
          <w:tcPr>
            <w:tcW w:w="567" w:type="dxa"/>
            <w:vAlign w:val="center"/>
          </w:tcPr>
          <w:p w14:paraId="09E52BC1" w14:textId="77777777" w:rsidR="00D34C6F" w:rsidRPr="00F9037E" w:rsidRDefault="00D34C6F" w:rsidP="00C05C97">
            <w:pPr>
              <w:spacing w:before="120" w:after="120"/>
              <w:jc w:val="center"/>
              <w:rPr>
                <w:b/>
                <w:color w:val="auto"/>
                <w:sz w:val="10"/>
                <w:szCs w:val="10"/>
              </w:rPr>
            </w:pPr>
          </w:p>
        </w:tc>
        <w:tc>
          <w:tcPr>
            <w:tcW w:w="567" w:type="dxa"/>
            <w:vAlign w:val="center"/>
          </w:tcPr>
          <w:p w14:paraId="37CC43C3" w14:textId="77777777" w:rsidR="00D34C6F" w:rsidRPr="00F9037E" w:rsidRDefault="00D34C6F" w:rsidP="00C05C97">
            <w:pPr>
              <w:spacing w:before="120" w:after="120"/>
              <w:jc w:val="center"/>
              <w:rPr>
                <w:b/>
                <w:color w:val="auto"/>
                <w:sz w:val="10"/>
                <w:szCs w:val="10"/>
              </w:rPr>
            </w:pPr>
          </w:p>
        </w:tc>
        <w:tc>
          <w:tcPr>
            <w:tcW w:w="567" w:type="dxa"/>
            <w:vAlign w:val="center"/>
          </w:tcPr>
          <w:p w14:paraId="32504F9B" w14:textId="77777777" w:rsidR="00D34C6F" w:rsidRPr="00F9037E" w:rsidRDefault="00D34C6F" w:rsidP="00C05C97">
            <w:pPr>
              <w:spacing w:before="120" w:after="120"/>
              <w:jc w:val="center"/>
              <w:rPr>
                <w:b/>
                <w:color w:val="auto"/>
                <w:sz w:val="10"/>
                <w:szCs w:val="10"/>
              </w:rPr>
            </w:pPr>
          </w:p>
        </w:tc>
        <w:tc>
          <w:tcPr>
            <w:tcW w:w="567" w:type="dxa"/>
            <w:vAlign w:val="center"/>
          </w:tcPr>
          <w:p w14:paraId="4E0AB6E3" w14:textId="77777777" w:rsidR="00D34C6F" w:rsidRPr="00F9037E" w:rsidRDefault="00D34C6F" w:rsidP="00C05C97">
            <w:pPr>
              <w:spacing w:before="120" w:after="120"/>
              <w:jc w:val="center"/>
              <w:rPr>
                <w:b/>
                <w:color w:val="auto"/>
                <w:sz w:val="10"/>
                <w:szCs w:val="10"/>
              </w:rPr>
            </w:pPr>
          </w:p>
        </w:tc>
      </w:tr>
      <w:tr w:rsidR="00D34C6F" w:rsidRPr="00F9037E" w14:paraId="188E0C05" w14:textId="77777777" w:rsidTr="00C05C97">
        <w:trPr>
          <w:trHeight w:val="270"/>
          <w:jc w:val="center"/>
        </w:trPr>
        <w:tc>
          <w:tcPr>
            <w:tcW w:w="662" w:type="dxa"/>
            <w:shd w:val="clear" w:color="auto" w:fill="auto"/>
            <w:vAlign w:val="center"/>
          </w:tcPr>
          <w:p w14:paraId="6AFC356F" w14:textId="77777777" w:rsidR="00D34C6F" w:rsidRPr="00F9037E" w:rsidRDefault="00D34C6F" w:rsidP="00C05C97">
            <w:pPr>
              <w:spacing w:before="120" w:after="120"/>
              <w:rPr>
                <w:color w:val="auto"/>
                <w:sz w:val="12"/>
                <w:szCs w:val="12"/>
              </w:rPr>
            </w:pPr>
            <w:r w:rsidRPr="00F9037E">
              <w:rPr>
                <w:color w:val="auto"/>
                <w:sz w:val="12"/>
                <w:szCs w:val="12"/>
              </w:rPr>
              <w:t>Malta</w:t>
            </w:r>
          </w:p>
        </w:tc>
        <w:tc>
          <w:tcPr>
            <w:tcW w:w="824" w:type="dxa"/>
            <w:shd w:val="clear" w:color="auto" w:fill="auto"/>
            <w:vAlign w:val="center"/>
          </w:tcPr>
          <w:p w14:paraId="689AD357" w14:textId="77777777" w:rsidR="00D34C6F" w:rsidRPr="00F9037E" w:rsidRDefault="00D34C6F" w:rsidP="00C05C97">
            <w:pPr>
              <w:spacing w:before="120" w:after="120"/>
              <w:rPr>
                <w:color w:val="auto"/>
                <w:sz w:val="12"/>
                <w:szCs w:val="12"/>
              </w:rPr>
            </w:pPr>
            <w:r w:rsidRPr="00F9037E">
              <w:rPr>
                <w:color w:val="auto"/>
                <w:sz w:val="12"/>
                <w:szCs w:val="12"/>
              </w:rPr>
              <w:t>Tomatoes</w:t>
            </w:r>
          </w:p>
        </w:tc>
        <w:tc>
          <w:tcPr>
            <w:tcW w:w="708" w:type="dxa"/>
            <w:shd w:val="clear" w:color="auto" w:fill="auto"/>
            <w:vAlign w:val="center"/>
          </w:tcPr>
          <w:p w14:paraId="16AA9FBA" w14:textId="3AA91B6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2ABE645C" w14:textId="77777777" w:rsidR="00D34C6F" w:rsidRPr="00F9037E" w:rsidRDefault="00D34C6F" w:rsidP="00C05C97">
            <w:pPr>
              <w:spacing w:before="120" w:after="120"/>
              <w:jc w:val="center"/>
              <w:rPr>
                <w:color w:val="auto"/>
                <w:sz w:val="10"/>
                <w:szCs w:val="10"/>
              </w:rPr>
            </w:pPr>
            <w:r w:rsidRPr="00F9037E">
              <w:rPr>
                <w:color w:val="auto"/>
                <w:sz w:val="10"/>
                <w:szCs w:val="10"/>
              </w:rPr>
              <w:t>0.475</w:t>
            </w:r>
          </w:p>
        </w:tc>
        <w:tc>
          <w:tcPr>
            <w:tcW w:w="709" w:type="dxa"/>
            <w:shd w:val="clear" w:color="auto" w:fill="auto"/>
            <w:vAlign w:val="center"/>
          </w:tcPr>
          <w:p w14:paraId="651CE354" w14:textId="048D1FC1"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2049F96A" w14:textId="3507E0B8"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50F22090" w14:textId="0A44AFC4"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73D811F8" w14:textId="0817992B"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4336593F" w14:textId="0C5BCB7C"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70A8CFF" w14:textId="389A04C0"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ACFD494" w14:textId="07B51624" w:rsidR="00D34C6F" w:rsidRPr="00F9037E" w:rsidRDefault="00D34C6F" w:rsidP="00C05C97">
            <w:pPr>
              <w:spacing w:before="120" w:after="120"/>
              <w:jc w:val="center"/>
              <w:rPr>
                <w:color w:val="auto"/>
                <w:sz w:val="10"/>
                <w:szCs w:val="10"/>
              </w:rPr>
            </w:pPr>
          </w:p>
        </w:tc>
        <w:tc>
          <w:tcPr>
            <w:tcW w:w="629" w:type="dxa"/>
            <w:vAlign w:val="center"/>
          </w:tcPr>
          <w:p w14:paraId="621ADF3F" w14:textId="77777777" w:rsidR="00D34C6F" w:rsidRPr="00F9037E" w:rsidRDefault="00D34C6F" w:rsidP="00C05C97">
            <w:pPr>
              <w:spacing w:before="120" w:after="120"/>
              <w:jc w:val="center"/>
              <w:rPr>
                <w:color w:val="auto"/>
                <w:sz w:val="10"/>
                <w:szCs w:val="10"/>
              </w:rPr>
            </w:pPr>
          </w:p>
        </w:tc>
        <w:tc>
          <w:tcPr>
            <w:tcW w:w="567" w:type="dxa"/>
            <w:vAlign w:val="center"/>
          </w:tcPr>
          <w:p w14:paraId="3BF3578B" w14:textId="77777777" w:rsidR="00D34C6F" w:rsidRPr="00F9037E" w:rsidRDefault="00D34C6F" w:rsidP="00C05C97">
            <w:pPr>
              <w:spacing w:before="120" w:after="120"/>
              <w:jc w:val="center"/>
              <w:rPr>
                <w:color w:val="auto"/>
                <w:sz w:val="10"/>
                <w:szCs w:val="10"/>
              </w:rPr>
            </w:pPr>
          </w:p>
        </w:tc>
        <w:tc>
          <w:tcPr>
            <w:tcW w:w="567" w:type="dxa"/>
            <w:vAlign w:val="center"/>
          </w:tcPr>
          <w:p w14:paraId="0172394E"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160D1598" w14:textId="491F1521"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0F021ACD" w14:textId="77777777" w:rsidR="00D34C6F" w:rsidRPr="00F9037E" w:rsidRDefault="00D34C6F" w:rsidP="00C05C97">
            <w:pPr>
              <w:spacing w:before="120" w:after="120"/>
              <w:jc w:val="center"/>
              <w:rPr>
                <w:color w:val="auto"/>
                <w:sz w:val="10"/>
                <w:szCs w:val="10"/>
              </w:rPr>
            </w:pPr>
            <w:r w:rsidRPr="00F9037E">
              <w:rPr>
                <w:color w:val="auto"/>
                <w:sz w:val="10"/>
                <w:szCs w:val="10"/>
              </w:rPr>
              <w:t>0.594</w:t>
            </w:r>
          </w:p>
        </w:tc>
        <w:tc>
          <w:tcPr>
            <w:tcW w:w="708" w:type="dxa"/>
            <w:shd w:val="clear" w:color="auto" w:fill="auto"/>
            <w:vAlign w:val="center"/>
          </w:tcPr>
          <w:p w14:paraId="5ECADA63" w14:textId="487A79B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2728FB18" w14:textId="1D9C3C72"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A3591E5" w14:textId="0DC7A886"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242AF7A7" w14:textId="3F98DE9E"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F6B8601" w14:textId="66A1273E"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7B00A103" w14:textId="4F6B592D" w:rsidR="00D34C6F" w:rsidRPr="00F9037E" w:rsidRDefault="00D34C6F" w:rsidP="00C05C97">
            <w:pPr>
              <w:spacing w:before="120" w:after="120"/>
              <w:jc w:val="center"/>
              <w:rPr>
                <w:b/>
                <w:color w:val="auto"/>
                <w:sz w:val="10"/>
                <w:szCs w:val="10"/>
              </w:rPr>
            </w:pPr>
          </w:p>
        </w:tc>
        <w:tc>
          <w:tcPr>
            <w:tcW w:w="567" w:type="dxa"/>
            <w:vAlign w:val="center"/>
          </w:tcPr>
          <w:p w14:paraId="622DE952" w14:textId="77777777" w:rsidR="00D34C6F" w:rsidRPr="00F9037E" w:rsidRDefault="00D34C6F" w:rsidP="00C05C97">
            <w:pPr>
              <w:spacing w:before="120" w:after="120"/>
              <w:jc w:val="center"/>
              <w:rPr>
                <w:b/>
                <w:color w:val="auto"/>
                <w:sz w:val="10"/>
                <w:szCs w:val="10"/>
              </w:rPr>
            </w:pPr>
          </w:p>
        </w:tc>
        <w:tc>
          <w:tcPr>
            <w:tcW w:w="567" w:type="dxa"/>
            <w:vAlign w:val="center"/>
          </w:tcPr>
          <w:p w14:paraId="165CEB19" w14:textId="77777777" w:rsidR="00D34C6F" w:rsidRPr="00F9037E" w:rsidRDefault="00D34C6F" w:rsidP="00C05C97">
            <w:pPr>
              <w:spacing w:before="120" w:after="120"/>
              <w:jc w:val="center"/>
              <w:rPr>
                <w:b/>
                <w:color w:val="auto"/>
                <w:sz w:val="10"/>
                <w:szCs w:val="10"/>
              </w:rPr>
            </w:pPr>
          </w:p>
        </w:tc>
        <w:tc>
          <w:tcPr>
            <w:tcW w:w="567" w:type="dxa"/>
            <w:vAlign w:val="center"/>
          </w:tcPr>
          <w:p w14:paraId="05B3DEAD" w14:textId="77777777" w:rsidR="00D34C6F" w:rsidRPr="00F9037E" w:rsidRDefault="00D34C6F" w:rsidP="00C05C97">
            <w:pPr>
              <w:spacing w:before="120" w:after="120"/>
              <w:jc w:val="center"/>
              <w:rPr>
                <w:b/>
                <w:color w:val="auto"/>
                <w:sz w:val="10"/>
                <w:szCs w:val="10"/>
              </w:rPr>
            </w:pPr>
          </w:p>
        </w:tc>
        <w:tc>
          <w:tcPr>
            <w:tcW w:w="567" w:type="dxa"/>
            <w:vAlign w:val="center"/>
          </w:tcPr>
          <w:p w14:paraId="607235FD" w14:textId="77777777" w:rsidR="00D34C6F" w:rsidRPr="00F9037E" w:rsidRDefault="00D34C6F" w:rsidP="00C05C97">
            <w:pPr>
              <w:spacing w:before="120" w:after="120"/>
              <w:jc w:val="center"/>
              <w:rPr>
                <w:b/>
                <w:color w:val="auto"/>
                <w:sz w:val="10"/>
                <w:szCs w:val="10"/>
              </w:rPr>
            </w:pPr>
          </w:p>
        </w:tc>
      </w:tr>
      <w:tr w:rsidR="00D34C6F" w:rsidRPr="00F9037E" w14:paraId="1C55DF95" w14:textId="77777777" w:rsidTr="00C05C97">
        <w:trPr>
          <w:trHeight w:val="465"/>
          <w:jc w:val="center"/>
        </w:trPr>
        <w:tc>
          <w:tcPr>
            <w:tcW w:w="662" w:type="dxa"/>
            <w:shd w:val="clear" w:color="auto" w:fill="auto"/>
            <w:vAlign w:val="center"/>
          </w:tcPr>
          <w:p w14:paraId="1C6FDEE1" w14:textId="77777777" w:rsidR="00D34C6F" w:rsidRPr="00F9037E" w:rsidRDefault="00D34C6F" w:rsidP="00C05C97">
            <w:pPr>
              <w:spacing w:before="120" w:after="120"/>
              <w:rPr>
                <w:color w:val="auto"/>
                <w:sz w:val="12"/>
                <w:szCs w:val="12"/>
              </w:rPr>
            </w:pPr>
            <w:r w:rsidRPr="00F9037E">
              <w:rPr>
                <w:color w:val="auto"/>
                <w:sz w:val="12"/>
                <w:szCs w:val="12"/>
              </w:rPr>
              <w:t>New Zealand</w:t>
            </w:r>
          </w:p>
        </w:tc>
        <w:tc>
          <w:tcPr>
            <w:tcW w:w="824" w:type="dxa"/>
            <w:shd w:val="clear" w:color="auto" w:fill="auto"/>
            <w:vAlign w:val="center"/>
          </w:tcPr>
          <w:p w14:paraId="0AC62706" w14:textId="77777777" w:rsidR="00D34C6F" w:rsidRPr="00F9037E" w:rsidRDefault="00D34C6F" w:rsidP="00C05C97">
            <w:pPr>
              <w:spacing w:before="120" w:after="120"/>
              <w:rPr>
                <w:color w:val="auto"/>
                <w:sz w:val="12"/>
                <w:szCs w:val="12"/>
              </w:rPr>
            </w:pPr>
            <w:r w:rsidRPr="00F9037E">
              <w:rPr>
                <w:color w:val="auto"/>
                <w:sz w:val="12"/>
                <w:szCs w:val="12"/>
              </w:rPr>
              <w:t>Nursery material</w:t>
            </w:r>
          </w:p>
        </w:tc>
        <w:tc>
          <w:tcPr>
            <w:tcW w:w="708" w:type="dxa"/>
            <w:shd w:val="clear" w:color="auto" w:fill="auto"/>
            <w:vAlign w:val="center"/>
          </w:tcPr>
          <w:p w14:paraId="6ED3B704" w14:textId="77777777" w:rsidR="00D34C6F" w:rsidRPr="00F9037E" w:rsidRDefault="00D34C6F" w:rsidP="00C05C97">
            <w:pPr>
              <w:spacing w:before="120" w:after="120"/>
              <w:jc w:val="center"/>
              <w:rPr>
                <w:color w:val="auto"/>
                <w:sz w:val="10"/>
                <w:szCs w:val="10"/>
              </w:rPr>
            </w:pPr>
            <w:r w:rsidRPr="00F9037E">
              <w:rPr>
                <w:color w:val="auto"/>
                <w:sz w:val="10"/>
                <w:szCs w:val="10"/>
              </w:rPr>
              <w:t>1.085</w:t>
            </w:r>
          </w:p>
        </w:tc>
        <w:tc>
          <w:tcPr>
            <w:tcW w:w="709" w:type="dxa"/>
            <w:shd w:val="clear" w:color="auto" w:fill="auto"/>
            <w:vAlign w:val="center"/>
          </w:tcPr>
          <w:p w14:paraId="4B210A3D" w14:textId="77777777" w:rsidR="00D34C6F" w:rsidRPr="00F9037E" w:rsidRDefault="00D34C6F" w:rsidP="00C05C97">
            <w:pPr>
              <w:spacing w:before="120" w:after="120"/>
              <w:jc w:val="center"/>
              <w:rPr>
                <w:color w:val="auto"/>
                <w:sz w:val="10"/>
                <w:szCs w:val="10"/>
              </w:rPr>
            </w:pPr>
            <w:r w:rsidRPr="00F9037E">
              <w:rPr>
                <w:color w:val="auto"/>
                <w:sz w:val="10"/>
                <w:szCs w:val="10"/>
              </w:rPr>
              <w:t>1.085</w:t>
            </w:r>
          </w:p>
        </w:tc>
        <w:tc>
          <w:tcPr>
            <w:tcW w:w="709" w:type="dxa"/>
            <w:shd w:val="clear" w:color="auto" w:fill="auto"/>
            <w:vAlign w:val="center"/>
          </w:tcPr>
          <w:p w14:paraId="4D92B4AE" w14:textId="64490383"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02A4DFB" w14:textId="6018B592"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41FE56B2" w14:textId="2EFA7AFB"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550D390" w14:textId="5A4CB9F6"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18D1208B" w14:textId="4C86F6D8"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29DA372F" w14:textId="70B8AC8F"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3383D2E0" w14:textId="77C0DFF5" w:rsidR="00D34C6F" w:rsidRPr="00F9037E" w:rsidRDefault="00D34C6F" w:rsidP="00C05C97">
            <w:pPr>
              <w:spacing w:before="120" w:after="120"/>
              <w:jc w:val="center"/>
              <w:rPr>
                <w:color w:val="auto"/>
                <w:sz w:val="10"/>
                <w:szCs w:val="10"/>
              </w:rPr>
            </w:pPr>
          </w:p>
        </w:tc>
        <w:tc>
          <w:tcPr>
            <w:tcW w:w="629" w:type="dxa"/>
            <w:vAlign w:val="center"/>
          </w:tcPr>
          <w:p w14:paraId="633DBC2E" w14:textId="77777777" w:rsidR="00D34C6F" w:rsidRPr="00F9037E" w:rsidRDefault="00D34C6F" w:rsidP="00C05C97">
            <w:pPr>
              <w:spacing w:before="120" w:after="120"/>
              <w:jc w:val="center"/>
              <w:rPr>
                <w:color w:val="auto"/>
                <w:sz w:val="10"/>
                <w:szCs w:val="10"/>
              </w:rPr>
            </w:pPr>
          </w:p>
        </w:tc>
        <w:tc>
          <w:tcPr>
            <w:tcW w:w="567" w:type="dxa"/>
            <w:vAlign w:val="center"/>
          </w:tcPr>
          <w:p w14:paraId="526924A0" w14:textId="77777777" w:rsidR="00D34C6F" w:rsidRPr="00F9037E" w:rsidRDefault="00D34C6F" w:rsidP="00C05C97">
            <w:pPr>
              <w:spacing w:before="120" w:after="120"/>
              <w:jc w:val="center"/>
              <w:rPr>
                <w:color w:val="auto"/>
                <w:sz w:val="10"/>
                <w:szCs w:val="10"/>
              </w:rPr>
            </w:pPr>
          </w:p>
        </w:tc>
        <w:tc>
          <w:tcPr>
            <w:tcW w:w="567" w:type="dxa"/>
            <w:vAlign w:val="center"/>
          </w:tcPr>
          <w:p w14:paraId="26AEE7E4"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1F02E089" w14:textId="3D5CBD81"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4C6C9EEB" w14:textId="77777777" w:rsidR="00D34C6F" w:rsidRPr="00F9037E" w:rsidRDefault="00D34C6F" w:rsidP="00C05C97">
            <w:pPr>
              <w:spacing w:before="120" w:after="120"/>
              <w:jc w:val="center"/>
              <w:rPr>
                <w:color w:val="auto"/>
                <w:sz w:val="10"/>
                <w:szCs w:val="10"/>
              </w:rPr>
            </w:pPr>
            <w:r w:rsidRPr="00F9037E">
              <w:rPr>
                <w:color w:val="auto"/>
                <w:sz w:val="10"/>
                <w:szCs w:val="10"/>
              </w:rPr>
              <w:t>0</w:t>
            </w:r>
          </w:p>
        </w:tc>
        <w:tc>
          <w:tcPr>
            <w:tcW w:w="708" w:type="dxa"/>
            <w:shd w:val="clear" w:color="auto" w:fill="auto"/>
            <w:vAlign w:val="center"/>
          </w:tcPr>
          <w:p w14:paraId="7E196B38" w14:textId="29DECF50"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303338FC" w14:textId="63C3F48C"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381DD5EB" w14:textId="6F897972"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6BA45EF4" w14:textId="0804FB69"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BDB9487" w14:textId="422D9B53"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51DDC972" w14:textId="6AAC911F" w:rsidR="00D34C6F" w:rsidRPr="00F9037E" w:rsidRDefault="00D34C6F" w:rsidP="00C05C97">
            <w:pPr>
              <w:spacing w:before="120" w:after="120"/>
              <w:jc w:val="center"/>
              <w:rPr>
                <w:b/>
                <w:color w:val="auto"/>
                <w:sz w:val="10"/>
                <w:szCs w:val="10"/>
              </w:rPr>
            </w:pPr>
          </w:p>
        </w:tc>
        <w:tc>
          <w:tcPr>
            <w:tcW w:w="567" w:type="dxa"/>
            <w:vAlign w:val="center"/>
          </w:tcPr>
          <w:p w14:paraId="4486026A" w14:textId="77777777" w:rsidR="00D34C6F" w:rsidRPr="00F9037E" w:rsidRDefault="00D34C6F" w:rsidP="00C05C97">
            <w:pPr>
              <w:spacing w:before="120" w:after="120"/>
              <w:jc w:val="center"/>
              <w:rPr>
                <w:b/>
                <w:color w:val="auto"/>
                <w:sz w:val="10"/>
                <w:szCs w:val="10"/>
              </w:rPr>
            </w:pPr>
          </w:p>
        </w:tc>
        <w:tc>
          <w:tcPr>
            <w:tcW w:w="567" w:type="dxa"/>
            <w:vAlign w:val="center"/>
          </w:tcPr>
          <w:p w14:paraId="64177AD7" w14:textId="77777777" w:rsidR="00D34C6F" w:rsidRPr="00F9037E" w:rsidRDefault="00D34C6F" w:rsidP="00C05C97">
            <w:pPr>
              <w:spacing w:before="120" w:after="120"/>
              <w:jc w:val="center"/>
              <w:rPr>
                <w:b/>
                <w:color w:val="auto"/>
                <w:sz w:val="10"/>
                <w:szCs w:val="10"/>
              </w:rPr>
            </w:pPr>
          </w:p>
        </w:tc>
        <w:tc>
          <w:tcPr>
            <w:tcW w:w="567" w:type="dxa"/>
            <w:vAlign w:val="center"/>
          </w:tcPr>
          <w:p w14:paraId="73D07E3E" w14:textId="77777777" w:rsidR="00D34C6F" w:rsidRPr="00F9037E" w:rsidRDefault="00D34C6F" w:rsidP="00C05C97">
            <w:pPr>
              <w:spacing w:before="120" w:after="120"/>
              <w:jc w:val="center"/>
              <w:rPr>
                <w:b/>
                <w:color w:val="auto"/>
                <w:sz w:val="10"/>
                <w:szCs w:val="10"/>
              </w:rPr>
            </w:pPr>
          </w:p>
        </w:tc>
        <w:tc>
          <w:tcPr>
            <w:tcW w:w="567" w:type="dxa"/>
            <w:vAlign w:val="center"/>
          </w:tcPr>
          <w:p w14:paraId="2087FF32" w14:textId="77777777" w:rsidR="00D34C6F" w:rsidRPr="00F9037E" w:rsidRDefault="00D34C6F" w:rsidP="00C05C97">
            <w:pPr>
              <w:spacing w:before="120" w:after="120"/>
              <w:jc w:val="center"/>
              <w:rPr>
                <w:b/>
                <w:color w:val="auto"/>
                <w:sz w:val="10"/>
                <w:szCs w:val="10"/>
              </w:rPr>
            </w:pPr>
          </w:p>
        </w:tc>
      </w:tr>
      <w:tr w:rsidR="00D34C6F" w:rsidRPr="00F9037E" w14:paraId="0F52D6F8" w14:textId="77777777" w:rsidTr="00C05C97">
        <w:trPr>
          <w:trHeight w:val="465"/>
          <w:jc w:val="center"/>
        </w:trPr>
        <w:tc>
          <w:tcPr>
            <w:tcW w:w="662" w:type="dxa"/>
            <w:shd w:val="clear" w:color="auto" w:fill="auto"/>
            <w:vAlign w:val="center"/>
          </w:tcPr>
          <w:p w14:paraId="256F165F" w14:textId="77777777" w:rsidR="00D34C6F" w:rsidRPr="00F9037E" w:rsidRDefault="00D34C6F" w:rsidP="00C05C97">
            <w:pPr>
              <w:spacing w:before="120" w:after="120"/>
              <w:rPr>
                <w:color w:val="auto"/>
                <w:sz w:val="12"/>
                <w:szCs w:val="12"/>
              </w:rPr>
            </w:pPr>
            <w:r w:rsidRPr="00F9037E">
              <w:rPr>
                <w:color w:val="auto"/>
                <w:sz w:val="12"/>
                <w:szCs w:val="12"/>
              </w:rPr>
              <w:t>New Zealand</w:t>
            </w:r>
          </w:p>
        </w:tc>
        <w:tc>
          <w:tcPr>
            <w:tcW w:w="824" w:type="dxa"/>
            <w:shd w:val="clear" w:color="auto" w:fill="auto"/>
            <w:vAlign w:val="center"/>
          </w:tcPr>
          <w:p w14:paraId="31B9F9AD" w14:textId="77777777" w:rsidR="00D34C6F" w:rsidRPr="00F9037E" w:rsidRDefault="00D34C6F" w:rsidP="00C05C97">
            <w:pPr>
              <w:spacing w:before="120" w:after="120"/>
              <w:rPr>
                <w:color w:val="auto"/>
                <w:sz w:val="12"/>
                <w:szCs w:val="12"/>
              </w:rPr>
            </w:pPr>
            <w:r w:rsidRPr="00F9037E">
              <w:rPr>
                <w:color w:val="auto"/>
                <w:sz w:val="12"/>
                <w:szCs w:val="12"/>
              </w:rPr>
              <w:t>Strawberry fruit</w:t>
            </w:r>
          </w:p>
        </w:tc>
        <w:tc>
          <w:tcPr>
            <w:tcW w:w="708" w:type="dxa"/>
            <w:shd w:val="clear" w:color="auto" w:fill="auto"/>
            <w:vAlign w:val="center"/>
          </w:tcPr>
          <w:p w14:paraId="46AC4068" w14:textId="77777777" w:rsidR="00D34C6F" w:rsidRPr="00F9037E" w:rsidRDefault="00D34C6F" w:rsidP="00C05C97">
            <w:pPr>
              <w:spacing w:before="120" w:after="120"/>
              <w:jc w:val="center"/>
              <w:rPr>
                <w:color w:val="auto"/>
                <w:sz w:val="10"/>
                <w:szCs w:val="10"/>
              </w:rPr>
            </w:pPr>
            <w:r w:rsidRPr="00F9037E">
              <w:rPr>
                <w:color w:val="auto"/>
                <w:sz w:val="10"/>
                <w:szCs w:val="10"/>
              </w:rPr>
              <w:t>42.000</w:t>
            </w:r>
          </w:p>
        </w:tc>
        <w:tc>
          <w:tcPr>
            <w:tcW w:w="709" w:type="dxa"/>
            <w:shd w:val="clear" w:color="auto" w:fill="auto"/>
            <w:vAlign w:val="center"/>
          </w:tcPr>
          <w:p w14:paraId="592FB876" w14:textId="77777777" w:rsidR="00D34C6F" w:rsidRPr="00F9037E" w:rsidRDefault="00D34C6F" w:rsidP="00C05C97">
            <w:pPr>
              <w:spacing w:before="120" w:after="120"/>
              <w:jc w:val="center"/>
              <w:rPr>
                <w:color w:val="auto"/>
                <w:sz w:val="10"/>
                <w:szCs w:val="10"/>
              </w:rPr>
            </w:pPr>
            <w:r w:rsidRPr="00F9037E">
              <w:rPr>
                <w:color w:val="auto"/>
                <w:sz w:val="10"/>
                <w:szCs w:val="10"/>
              </w:rPr>
              <w:t>42.000</w:t>
            </w:r>
          </w:p>
        </w:tc>
        <w:tc>
          <w:tcPr>
            <w:tcW w:w="709" w:type="dxa"/>
            <w:shd w:val="clear" w:color="auto" w:fill="auto"/>
            <w:vAlign w:val="center"/>
          </w:tcPr>
          <w:p w14:paraId="16C4692D" w14:textId="77777777" w:rsidR="00D34C6F" w:rsidRPr="00F9037E" w:rsidRDefault="00D34C6F" w:rsidP="00C05C97">
            <w:pPr>
              <w:spacing w:before="120" w:after="120"/>
              <w:jc w:val="center"/>
              <w:rPr>
                <w:color w:val="auto"/>
                <w:sz w:val="10"/>
                <w:szCs w:val="10"/>
              </w:rPr>
            </w:pPr>
            <w:r w:rsidRPr="00F9037E">
              <w:rPr>
                <w:color w:val="auto"/>
                <w:sz w:val="10"/>
                <w:szCs w:val="10"/>
              </w:rPr>
              <w:t>24.78</w:t>
            </w:r>
          </w:p>
        </w:tc>
        <w:tc>
          <w:tcPr>
            <w:tcW w:w="567" w:type="dxa"/>
            <w:shd w:val="clear" w:color="auto" w:fill="auto"/>
            <w:vAlign w:val="center"/>
          </w:tcPr>
          <w:p w14:paraId="0803A2D1" w14:textId="79484785"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0E89D9A3" w14:textId="64ECC3C8"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96EEE0C" w14:textId="6A1FC345"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0FAF262B" w14:textId="5F931252"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D57F100" w14:textId="2832AEFB"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1C55B60" w14:textId="3B6F88D5" w:rsidR="00D34C6F" w:rsidRPr="00F9037E" w:rsidRDefault="00D34C6F" w:rsidP="00C05C97">
            <w:pPr>
              <w:spacing w:before="120" w:after="120"/>
              <w:jc w:val="center"/>
              <w:rPr>
                <w:color w:val="auto"/>
                <w:sz w:val="10"/>
                <w:szCs w:val="10"/>
              </w:rPr>
            </w:pPr>
          </w:p>
        </w:tc>
        <w:tc>
          <w:tcPr>
            <w:tcW w:w="629" w:type="dxa"/>
            <w:vAlign w:val="center"/>
          </w:tcPr>
          <w:p w14:paraId="4B4F4B90" w14:textId="77777777" w:rsidR="00D34C6F" w:rsidRPr="00F9037E" w:rsidRDefault="00D34C6F" w:rsidP="00C05C97">
            <w:pPr>
              <w:spacing w:before="120" w:after="120"/>
              <w:jc w:val="center"/>
              <w:rPr>
                <w:color w:val="auto"/>
                <w:sz w:val="10"/>
                <w:szCs w:val="10"/>
              </w:rPr>
            </w:pPr>
          </w:p>
        </w:tc>
        <w:tc>
          <w:tcPr>
            <w:tcW w:w="567" w:type="dxa"/>
            <w:vAlign w:val="center"/>
          </w:tcPr>
          <w:p w14:paraId="3C12BD69" w14:textId="77777777" w:rsidR="00D34C6F" w:rsidRPr="00F9037E" w:rsidRDefault="00D34C6F" w:rsidP="00C05C97">
            <w:pPr>
              <w:spacing w:before="120" w:after="120"/>
              <w:jc w:val="center"/>
              <w:rPr>
                <w:color w:val="auto"/>
                <w:sz w:val="10"/>
                <w:szCs w:val="10"/>
              </w:rPr>
            </w:pPr>
          </w:p>
        </w:tc>
        <w:tc>
          <w:tcPr>
            <w:tcW w:w="567" w:type="dxa"/>
            <w:vAlign w:val="center"/>
          </w:tcPr>
          <w:p w14:paraId="35F946C7"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371D0DC5" w14:textId="77777777" w:rsidR="00D34C6F" w:rsidRPr="00F9037E" w:rsidRDefault="00D34C6F" w:rsidP="00C05C97">
            <w:pPr>
              <w:spacing w:before="120" w:after="120"/>
              <w:jc w:val="center"/>
              <w:rPr>
                <w:color w:val="auto"/>
                <w:sz w:val="10"/>
                <w:szCs w:val="10"/>
              </w:rPr>
            </w:pPr>
            <w:r w:rsidRPr="00F9037E">
              <w:rPr>
                <w:color w:val="auto"/>
                <w:sz w:val="10"/>
                <w:szCs w:val="10"/>
              </w:rPr>
              <w:t>42.000</w:t>
            </w:r>
          </w:p>
        </w:tc>
        <w:tc>
          <w:tcPr>
            <w:tcW w:w="709" w:type="dxa"/>
            <w:shd w:val="clear" w:color="auto" w:fill="auto"/>
            <w:vAlign w:val="center"/>
          </w:tcPr>
          <w:p w14:paraId="70A6115C" w14:textId="77777777" w:rsidR="00D34C6F" w:rsidRPr="00F9037E" w:rsidRDefault="00D34C6F" w:rsidP="00C05C97">
            <w:pPr>
              <w:spacing w:before="120" w:after="120"/>
              <w:jc w:val="center"/>
              <w:rPr>
                <w:color w:val="auto"/>
                <w:sz w:val="10"/>
                <w:szCs w:val="10"/>
              </w:rPr>
            </w:pPr>
            <w:r w:rsidRPr="00F9037E">
              <w:rPr>
                <w:color w:val="auto"/>
                <w:sz w:val="10"/>
                <w:szCs w:val="10"/>
              </w:rPr>
              <w:t>34.000</w:t>
            </w:r>
          </w:p>
        </w:tc>
        <w:tc>
          <w:tcPr>
            <w:tcW w:w="708" w:type="dxa"/>
            <w:shd w:val="clear" w:color="auto" w:fill="auto"/>
            <w:vAlign w:val="center"/>
          </w:tcPr>
          <w:p w14:paraId="2DF4EB9C" w14:textId="77777777" w:rsidR="00D34C6F" w:rsidRPr="00F9037E" w:rsidRDefault="00D34C6F" w:rsidP="00C05C97">
            <w:pPr>
              <w:spacing w:before="120" w:after="120"/>
              <w:jc w:val="center"/>
              <w:rPr>
                <w:color w:val="auto"/>
                <w:sz w:val="10"/>
                <w:szCs w:val="10"/>
              </w:rPr>
            </w:pPr>
            <w:r w:rsidRPr="00F9037E">
              <w:rPr>
                <w:color w:val="auto"/>
                <w:sz w:val="10"/>
                <w:szCs w:val="10"/>
              </w:rPr>
              <w:t>12.000</w:t>
            </w:r>
          </w:p>
        </w:tc>
        <w:tc>
          <w:tcPr>
            <w:tcW w:w="709" w:type="dxa"/>
            <w:shd w:val="clear" w:color="auto" w:fill="auto"/>
            <w:vAlign w:val="center"/>
          </w:tcPr>
          <w:p w14:paraId="27FF9CCF" w14:textId="40E12F51"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42F8293" w14:textId="19E10B66"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7DB0FEEA" w14:textId="697EFAC7"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A305C16" w14:textId="4767A35F"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7C495BE1" w14:textId="6DF34FBF" w:rsidR="00D34C6F" w:rsidRPr="00F9037E" w:rsidRDefault="00D34C6F" w:rsidP="00C05C97">
            <w:pPr>
              <w:spacing w:before="120" w:after="120"/>
              <w:jc w:val="center"/>
              <w:rPr>
                <w:b/>
                <w:color w:val="auto"/>
                <w:sz w:val="10"/>
                <w:szCs w:val="10"/>
              </w:rPr>
            </w:pPr>
          </w:p>
        </w:tc>
        <w:tc>
          <w:tcPr>
            <w:tcW w:w="567" w:type="dxa"/>
            <w:vAlign w:val="center"/>
          </w:tcPr>
          <w:p w14:paraId="2556C72B" w14:textId="77777777" w:rsidR="00D34C6F" w:rsidRPr="00F9037E" w:rsidRDefault="00D34C6F" w:rsidP="00C05C97">
            <w:pPr>
              <w:spacing w:before="120" w:after="120"/>
              <w:jc w:val="center"/>
              <w:rPr>
                <w:b/>
                <w:color w:val="auto"/>
                <w:sz w:val="10"/>
                <w:szCs w:val="10"/>
              </w:rPr>
            </w:pPr>
          </w:p>
        </w:tc>
        <w:tc>
          <w:tcPr>
            <w:tcW w:w="567" w:type="dxa"/>
            <w:vAlign w:val="center"/>
          </w:tcPr>
          <w:p w14:paraId="0D237CFD" w14:textId="77777777" w:rsidR="00D34C6F" w:rsidRPr="00F9037E" w:rsidRDefault="00D34C6F" w:rsidP="00C05C97">
            <w:pPr>
              <w:spacing w:before="120" w:after="120"/>
              <w:jc w:val="center"/>
              <w:rPr>
                <w:b/>
                <w:color w:val="auto"/>
                <w:sz w:val="10"/>
                <w:szCs w:val="10"/>
              </w:rPr>
            </w:pPr>
          </w:p>
        </w:tc>
        <w:tc>
          <w:tcPr>
            <w:tcW w:w="567" w:type="dxa"/>
            <w:vAlign w:val="center"/>
          </w:tcPr>
          <w:p w14:paraId="257EAA83" w14:textId="77777777" w:rsidR="00D34C6F" w:rsidRPr="00F9037E" w:rsidRDefault="00D34C6F" w:rsidP="00C05C97">
            <w:pPr>
              <w:spacing w:before="120" w:after="120"/>
              <w:jc w:val="center"/>
              <w:rPr>
                <w:b/>
                <w:color w:val="auto"/>
                <w:sz w:val="10"/>
                <w:szCs w:val="10"/>
              </w:rPr>
            </w:pPr>
          </w:p>
        </w:tc>
        <w:tc>
          <w:tcPr>
            <w:tcW w:w="567" w:type="dxa"/>
            <w:vAlign w:val="center"/>
          </w:tcPr>
          <w:p w14:paraId="07602AB3" w14:textId="77777777" w:rsidR="00D34C6F" w:rsidRPr="00F9037E" w:rsidRDefault="00D34C6F" w:rsidP="00C05C97">
            <w:pPr>
              <w:spacing w:before="120" w:after="120"/>
              <w:jc w:val="center"/>
              <w:rPr>
                <w:b/>
                <w:color w:val="auto"/>
                <w:sz w:val="10"/>
                <w:szCs w:val="10"/>
              </w:rPr>
            </w:pPr>
          </w:p>
        </w:tc>
      </w:tr>
      <w:tr w:rsidR="00D34C6F" w:rsidRPr="00F9037E" w14:paraId="0A954134" w14:textId="77777777" w:rsidTr="00C05C97">
        <w:trPr>
          <w:trHeight w:val="465"/>
          <w:jc w:val="center"/>
        </w:trPr>
        <w:tc>
          <w:tcPr>
            <w:tcW w:w="662" w:type="dxa"/>
            <w:shd w:val="clear" w:color="auto" w:fill="auto"/>
            <w:vAlign w:val="center"/>
          </w:tcPr>
          <w:p w14:paraId="780D9592" w14:textId="77777777" w:rsidR="00D34C6F" w:rsidRPr="00220275" w:rsidRDefault="00D34C6F" w:rsidP="00C05C97">
            <w:pPr>
              <w:spacing w:before="120" w:after="120"/>
              <w:rPr>
                <w:color w:val="auto"/>
                <w:sz w:val="12"/>
                <w:szCs w:val="12"/>
              </w:rPr>
            </w:pPr>
            <w:r w:rsidRPr="00220275">
              <w:rPr>
                <w:color w:val="auto"/>
                <w:sz w:val="12"/>
                <w:szCs w:val="12"/>
              </w:rPr>
              <w:lastRenderedPageBreak/>
              <w:t>New Zealand</w:t>
            </w:r>
          </w:p>
        </w:tc>
        <w:tc>
          <w:tcPr>
            <w:tcW w:w="824" w:type="dxa"/>
            <w:shd w:val="clear" w:color="auto" w:fill="auto"/>
            <w:vAlign w:val="center"/>
          </w:tcPr>
          <w:p w14:paraId="3C300C0F" w14:textId="77777777" w:rsidR="00D34C6F" w:rsidRPr="00220275" w:rsidRDefault="00D34C6F" w:rsidP="00C05C97">
            <w:pPr>
              <w:spacing w:before="120" w:after="120"/>
              <w:rPr>
                <w:color w:val="auto"/>
                <w:sz w:val="12"/>
                <w:szCs w:val="12"/>
              </w:rPr>
            </w:pPr>
            <w:r w:rsidRPr="00220275">
              <w:rPr>
                <w:color w:val="auto"/>
                <w:sz w:val="12"/>
                <w:szCs w:val="12"/>
              </w:rPr>
              <w:t>Strawberry runners</w:t>
            </w:r>
          </w:p>
        </w:tc>
        <w:tc>
          <w:tcPr>
            <w:tcW w:w="708" w:type="dxa"/>
            <w:shd w:val="clear" w:color="auto" w:fill="auto"/>
            <w:vAlign w:val="center"/>
          </w:tcPr>
          <w:p w14:paraId="1A4B6568" w14:textId="77777777" w:rsidR="00D34C6F" w:rsidRPr="00B87B95" w:rsidRDefault="00D34C6F" w:rsidP="00C05C97">
            <w:pPr>
              <w:spacing w:before="120" w:after="120"/>
              <w:jc w:val="center"/>
              <w:rPr>
                <w:color w:val="auto"/>
                <w:sz w:val="10"/>
                <w:szCs w:val="10"/>
              </w:rPr>
            </w:pPr>
            <w:r w:rsidRPr="00B87B95">
              <w:rPr>
                <w:color w:val="auto"/>
                <w:sz w:val="10"/>
                <w:szCs w:val="10"/>
              </w:rPr>
              <w:t>10.000</w:t>
            </w:r>
          </w:p>
        </w:tc>
        <w:tc>
          <w:tcPr>
            <w:tcW w:w="709" w:type="dxa"/>
            <w:shd w:val="clear" w:color="auto" w:fill="auto"/>
            <w:vAlign w:val="center"/>
          </w:tcPr>
          <w:p w14:paraId="597E04F8" w14:textId="77777777" w:rsidR="00D34C6F" w:rsidRPr="00B87B95" w:rsidRDefault="00D34C6F" w:rsidP="00C05C97">
            <w:pPr>
              <w:spacing w:before="120" w:after="120"/>
              <w:jc w:val="center"/>
              <w:rPr>
                <w:color w:val="auto"/>
                <w:sz w:val="10"/>
                <w:szCs w:val="10"/>
              </w:rPr>
            </w:pPr>
            <w:r w:rsidRPr="00B87B95">
              <w:rPr>
                <w:color w:val="auto"/>
                <w:sz w:val="10"/>
                <w:szCs w:val="10"/>
              </w:rPr>
              <w:t>10.000</w:t>
            </w:r>
          </w:p>
        </w:tc>
        <w:tc>
          <w:tcPr>
            <w:tcW w:w="709" w:type="dxa"/>
            <w:shd w:val="clear" w:color="auto" w:fill="auto"/>
            <w:vAlign w:val="center"/>
          </w:tcPr>
          <w:p w14:paraId="52919527" w14:textId="77777777" w:rsidR="00D34C6F" w:rsidRPr="00563BC0" w:rsidRDefault="00D34C6F" w:rsidP="00C05C97">
            <w:pPr>
              <w:spacing w:before="120" w:after="120"/>
              <w:jc w:val="center"/>
              <w:rPr>
                <w:color w:val="auto"/>
                <w:sz w:val="10"/>
                <w:szCs w:val="10"/>
              </w:rPr>
            </w:pPr>
            <w:r w:rsidRPr="00563BC0">
              <w:rPr>
                <w:color w:val="auto"/>
                <w:sz w:val="10"/>
                <w:szCs w:val="10"/>
              </w:rPr>
              <w:t>5.720</w:t>
            </w:r>
          </w:p>
        </w:tc>
        <w:tc>
          <w:tcPr>
            <w:tcW w:w="567" w:type="dxa"/>
            <w:shd w:val="clear" w:color="auto" w:fill="auto"/>
            <w:vAlign w:val="center"/>
          </w:tcPr>
          <w:p w14:paraId="3613EB0F" w14:textId="2A47433B" w:rsidR="00D34C6F" w:rsidRPr="00563BC0" w:rsidRDefault="00D34C6F" w:rsidP="00C05C97">
            <w:pPr>
              <w:spacing w:before="120" w:after="120"/>
              <w:jc w:val="center"/>
              <w:rPr>
                <w:color w:val="auto"/>
                <w:sz w:val="10"/>
                <w:szCs w:val="10"/>
              </w:rPr>
            </w:pPr>
          </w:p>
        </w:tc>
        <w:tc>
          <w:tcPr>
            <w:tcW w:w="709" w:type="dxa"/>
            <w:shd w:val="clear" w:color="auto" w:fill="auto"/>
            <w:vAlign w:val="center"/>
          </w:tcPr>
          <w:p w14:paraId="352D7BE3" w14:textId="0AEAF70B" w:rsidR="00D34C6F" w:rsidRPr="00563BC0" w:rsidRDefault="00D34C6F" w:rsidP="00C05C97">
            <w:pPr>
              <w:spacing w:before="120" w:after="120"/>
              <w:jc w:val="center"/>
              <w:rPr>
                <w:color w:val="auto"/>
                <w:sz w:val="10"/>
                <w:szCs w:val="10"/>
              </w:rPr>
            </w:pPr>
          </w:p>
        </w:tc>
        <w:tc>
          <w:tcPr>
            <w:tcW w:w="567" w:type="dxa"/>
            <w:shd w:val="clear" w:color="auto" w:fill="auto"/>
            <w:vAlign w:val="center"/>
          </w:tcPr>
          <w:p w14:paraId="2CF67A59" w14:textId="731414D8" w:rsidR="00D34C6F" w:rsidRPr="00563BC0" w:rsidRDefault="00D34C6F" w:rsidP="00C05C97">
            <w:pPr>
              <w:spacing w:before="120" w:after="120"/>
              <w:jc w:val="center"/>
              <w:rPr>
                <w:color w:val="auto"/>
                <w:sz w:val="10"/>
                <w:szCs w:val="10"/>
              </w:rPr>
            </w:pPr>
          </w:p>
        </w:tc>
        <w:tc>
          <w:tcPr>
            <w:tcW w:w="708" w:type="dxa"/>
            <w:shd w:val="clear" w:color="auto" w:fill="auto"/>
            <w:vAlign w:val="center"/>
          </w:tcPr>
          <w:p w14:paraId="06C07BBB" w14:textId="647096FB" w:rsidR="00D34C6F" w:rsidRPr="00563BC0" w:rsidRDefault="00D34C6F" w:rsidP="00C05C97">
            <w:pPr>
              <w:spacing w:before="120" w:after="120"/>
              <w:jc w:val="center"/>
              <w:rPr>
                <w:color w:val="auto"/>
                <w:sz w:val="10"/>
                <w:szCs w:val="10"/>
              </w:rPr>
            </w:pPr>
          </w:p>
        </w:tc>
        <w:tc>
          <w:tcPr>
            <w:tcW w:w="567" w:type="dxa"/>
            <w:shd w:val="clear" w:color="auto" w:fill="auto"/>
            <w:vAlign w:val="center"/>
          </w:tcPr>
          <w:p w14:paraId="21576EC8" w14:textId="4E5D0668" w:rsidR="00D34C6F" w:rsidRPr="00563BC0" w:rsidRDefault="00D34C6F" w:rsidP="00C05C97">
            <w:pPr>
              <w:spacing w:before="120" w:after="120"/>
              <w:jc w:val="center"/>
              <w:rPr>
                <w:color w:val="auto"/>
                <w:sz w:val="10"/>
                <w:szCs w:val="10"/>
              </w:rPr>
            </w:pPr>
          </w:p>
        </w:tc>
        <w:tc>
          <w:tcPr>
            <w:tcW w:w="567" w:type="dxa"/>
            <w:shd w:val="clear" w:color="auto" w:fill="auto"/>
            <w:vAlign w:val="center"/>
          </w:tcPr>
          <w:p w14:paraId="3241AAD3" w14:textId="61CB9AD9" w:rsidR="00D34C6F" w:rsidRPr="000F08B5" w:rsidRDefault="00D34C6F" w:rsidP="00C05C97">
            <w:pPr>
              <w:spacing w:before="120" w:after="120"/>
              <w:jc w:val="center"/>
              <w:rPr>
                <w:color w:val="auto"/>
                <w:sz w:val="10"/>
                <w:szCs w:val="10"/>
              </w:rPr>
            </w:pPr>
          </w:p>
        </w:tc>
        <w:tc>
          <w:tcPr>
            <w:tcW w:w="629" w:type="dxa"/>
            <w:vAlign w:val="center"/>
          </w:tcPr>
          <w:p w14:paraId="1C433506" w14:textId="77777777" w:rsidR="00D34C6F" w:rsidRPr="000F08B5" w:rsidRDefault="00D34C6F" w:rsidP="00C05C97">
            <w:pPr>
              <w:spacing w:before="120" w:after="120"/>
              <w:jc w:val="center"/>
              <w:rPr>
                <w:color w:val="auto"/>
                <w:sz w:val="10"/>
                <w:szCs w:val="10"/>
              </w:rPr>
            </w:pPr>
          </w:p>
        </w:tc>
        <w:tc>
          <w:tcPr>
            <w:tcW w:w="567" w:type="dxa"/>
            <w:vAlign w:val="center"/>
          </w:tcPr>
          <w:p w14:paraId="5955EEE3" w14:textId="77777777" w:rsidR="00D34C6F" w:rsidRPr="00365366" w:rsidRDefault="00D34C6F" w:rsidP="00C05C97">
            <w:pPr>
              <w:spacing w:before="120" w:after="120"/>
              <w:jc w:val="center"/>
              <w:rPr>
                <w:color w:val="auto"/>
                <w:sz w:val="10"/>
                <w:szCs w:val="10"/>
              </w:rPr>
            </w:pPr>
          </w:p>
        </w:tc>
        <w:tc>
          <w:tcPr>
            <w:tcW w:w="567" w:type="dxa"/>
            <w:vAlign w:val="center"/>
          </w:tcPr>
          <w:p w14:paraId="50BA4DC9"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1646F143" w14:textId="77777777" w:rsidR="00D34C6F" w:rsidRPr="00F9037E" w:rsidRDefault="00D34C6F" w:rsidP="00C05C97">
            <w:pPr>
              <w:spacing w:before="120" w:after="120"/>
              <w:jc w:val="center"/>
              <w:rPr>
                <w:color w:val="auto"/>
                <w:sz w:val="10"/>
                <w:szCs w:val="10"/>
              </w:rPr>
            </w:pPr>
            <w:r w:rsidRPr="00F9037E">
              <w:rPr>
                <w:color w:val="auto"/>
                <w:sz w:val="10"/>
                <w:szCs w:val="10"/>
              </w:rPr>
              <w:t>8.000</w:t>
            </w:r>
          </w:p>
        </w:tc>
        <w:tc>
          <w:tcPr>
            <w:tcW w:w="709" w:type="dxa"/>
            <w:shd w:val="clear" w:color="auto" w:fill="auto"/>
            <w:vAlign w:val="center"/>
          </w:tcPr>
          <w:p w14:paraId="3AA257A1" w14:textId="77777777" w:rsidR="00D34C6F" w:rsidRPr="00F9037E" w:rsidRDefault="00D34C6F" w:rsidP="00C05C97">
            <w:pPr>
              <w:spacing w:before="120" w:after="120"/>
              <w:jc w:val="center"/>
              <w:rPr>
                <w:color w:val="auto"/>
                <w:sz w:val="10"/>
                <w:szCs w:val="10"/>
              </w:rPr>
            </w:pPr>
            <w:r w:rsidRPr="00F9037E">
              <w:rPr>
                <w:color w:val="auto"/>
                <w:sz w:val="10"/>
                <w:szCs w:val="10"/>
              </w:rPr>
              <w:t>8.000</w:t>
            </w:r>
          </w:p>
        </w:tc>
        <w:tc>
          <w:tcPr>
            <w:tcW w:w="708" w:type="dxa"/>
            <w:shd w:val="clear" w:color="auto" w:fill="auto"/>
            <w:vAlign w:val="center"/>
          </w:tcPr>
          <w:p w14:paraId="01088F7D" w14:textId="77777777" w:rsidR="00D34C6F" w:rsidRPr="00F9037E" w:rsidRDefault="00D34C6F" w:rsidP="00C05C97">
            <w:pPr>
              <w:spacing w:before="120" w:after="120"/>
              <w:jc w:val="center"/>
              <w:rPr>
                <w:color w:val="auto"/>
                <w:sz w:val="10"/>
                <w:szCs w:val="10"/>
              </w:rPr>
            </w:pPr>
            <w:r w:rsidRPr="00F9037E">
              <w:rPr>
                <w:color w:val="auto"/>
                <w:sz w:val="10"/>
                <w:szCs w:val="10"/>
              </w:rPr>
              <w:t>6.234</w:t>
            </w:r>
          </w:p>
        </w:tc>
        <w:tc>
          <w:tcPr>
            <w:tcW w:w="709" w:type="dxa"/>
            <w:shd w:val="clear" w:color="auto" w:fill="auto"/>
            <w:vAlign w:val="center"/>
          </w:tcPr>
          <w:p w14:paraId="40755346" w14:textId="5B005338"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70088C5B" w14:textId="368563C3"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12FD61E4" w14:textId="3650F034"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DA131C9" w14:textId="5A1BD5DA"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4BFFAA36" w14:textId="78E7F9AA" w:rsidR="00D34C6F" w:rsidRPr="00F9037E" w:rsidRDefault="00D34C6F" w:rsidP="00C05C97">
            <w:pPr>
              <w:spacing w:before="120" w:after="120"/>
              <w:jc w:val="center"/>
              <w:rPr>
                <w:b/>
                <w:color w:val="auto"/>
                <w:sz w:val="10"/>
                <w:szCs w:val="10"/>
              </w:rPr>
            </w:pPr>
          </w:p>
        </w:tc>
        <w:tc>
          <w:tcPr>
            <w:tcW w:w="567" w:type="dxa"/>
            <w:vAlign w:val="center"/>
          </w:tcPr>
          <w:p w14:paraId="2A31AA51" w14:textId="77777777" w:rsidR="00D34C6F" w:rsidRPr="00F9037E" w:rsidRDefault="00D34C6F" w:rsidP="00C05C97">
            <w:pPr>
              <w:spacing w:before="120" w:after="120"/>
              <w:jc w:val="center"/>
              <w:rPr>
                <w:b/>
                <w:color w:val="auto"/>
                <w:sz w:val="10"/>
                <w:szCs w:val="10"/>
              </w:rPr>
            </w:pPr>
          </w:p>
        </w:tc>
        <w:tc>
          <w:tcPr>
            <w:tcW w:w="567" w:type="dxa"/>
            <w:vAlign w:val="center"/>
          </w:tcPr>
          <w:p w14:paraId="4E5FB0F4" w14:textId="77777777" w:rsidR="00D34C6F" w:rsidRPr="00F9037E" w:rsidRDefault="00D34C6F" w:rsidP="00C05C97">
            <w:pPr>
              <w:spacing w:before="120" w:after="120"/>
              <w:jc w:val="center"/>
              <w:rPr>
                <w:b/>
                <w:color w:val="auto"/>
                <w:sz w:val="10"/>
                <w:szCs w:val="10"/>
              </w:rPr>
            </w:pPr>
          </w:p>
        </w:tc>
        <w:tc>
          <w:tcPr>
            <w:tcW w:w="567" w:type="dxa"/>
            <w:vAlign w:val="center"/>
          </w:tcPr>
          <w:p w14:paraId="48145E13" w14:textId="77777777" w:rsidR="00D34C6F" w:rsidRPr="00F9037E" w:rsidRDefault="00D34C6F" w:rsidP="00C05C97">
            <w:pPr>
              <w:spacing w:before="120" w:after="120"/>
              <w:jc w:val="center"/>
              <w:rPr>
                <w:b/>
                <w:color w:val="auto"/>
                <w:sz w:val="10"/>
                <w:szCs w:val="10"/>
              </w:rPr>
            </w:pPr>
          </w:p>
        </w:tc>
        <w:tc>
          <w:tcPr>
            <w:tcW w:w="567" w:type="dxa"/>
            <w:vAlign w:val="center"/>
          </w:tcPr>
          <w:p w14:paraId="5069EC26" w14:textId="77777777" w:rsidR="00D34C6F" w:rsidRPr="00F9037E" w:rsidRDefault="00D34C6F" w:rsidP="00C05C97">
            <w:pPr>
              <w:spacing w:before="120" w:after="120"/>
              <w:jc w:val="center"/>
              <w:rPr>
                <w:b/>
                <w:color w:val="auto"/>
                <w:sz w:val="10"/>
                <w:szCs w:val="10"/>
              </w:rPr>
            </w:pPr>
          </w:p>
        </w:tc>
      </w:tr>
      <w:tr w:rsidR="00D34C6F" w:rsidRPr="00F9037E" w14:paraId="0CB59F80" w14:textId="77777777" w:rsidTr="00C05C97">
        <w:trPr>
          <w:trHeight w:val="465"/>
          <w:jc w:val="center"/>
        </w:trPr>
        <w:tc>
          <w:tcPr>
            <w:tcW w:w="662" w:type="dxa"/>
            <w:shd w:val="clear" w:color="auto" w:fill="auto"/>
            <w:vAlign w:val="center"/>
          </w:tcPr>
          <w:p w14:paraId="1AF321BD" w14:textId="77777777" w:rsidR="00D34C6F" w:rsidRPr="00F9037E" w:rsidRDefault="00D34C6F" w:rsidP="00C05C97">
            <w:pPr>
              <w:spacing w:before="120" w:after="120"/>
              <w:rPr>
                <w:color w:val="auto"/>
                <w:sz w:val="12"/>
                <w:szCs w:val="12"/>
              </w:rPr>
            </w:pPr>
            <w:r w:rsidRPr="00F9037E">
              <w:rPr>
                <w:color w:val="auto"/>
                <w:sz w:val="12"/>
                <w:szCs w:val="12"/>
              </w:rPr>
              <w:t>Poland</w:t>
            </w:r>
          </w:p>
        </w:tc>
        <w:tc>
          <w:tcPr>
            <w:tcW w:w="824" w:type="dxa"/>
            <w:shd w:val="clear" w:color="auto" w:fill="auto"/>
            <w:vAlign w:val="center"/>
          </w:tcPr>
          <w:p w14:paraId="7C620BD3" w14:textId="77777777" w:rsidR="00D34C6F" w:rsidRPr="00F9037E" w:rsidRDefault="00D34C6F" w:rsidP="00C05C97">
            <w:pPr>
              <w:spacing w:before="120" w:after="120"/>
              <w:rPr>
                <w:color w:val="auto"/>
                <w:sz w:val="12"/>
                <w:szCs w:val="12"/>
              </w:rPr>
            </w:pPr>
            <w:r w:rsidRPr="00F9037E">
              <w:rPr>
                <w:color w:val="auto"/>
                <w:sz w:val="12"/>
                <w:szCs w:val="12"/>
              </w:rPr>
              <w:t>Strawberry Runners</w:t>
            </w:r>
          </w:p>
        </w:tc>
        <w:tc>
          <w:tcPr>
            <w:tcW w:w="708" w:type="dxa"/>
            <w:shd w:val="clear" w:color="auto" w:fill="auto"/>
            <w:vAlign w:val="center"/>
          </w:tcPr>
          <w:p w14:paraId="586C9862" w14:textId="77777777" w:rsidR="00D34C6F" w:rsidRPr="00F9037E" w:rsidRDefault="00D34C6F" w:rsidP="00C05C97">
            <w:pPr>
              <w:spacing w:before="120" w:after="120"/>
              <w:jc w:val="center"/>
              <w:rPr>
                <w:color w:val="auto"/>
                <w:sz w:val="10"/>
                <w:szCs w:val="10"/>
              </w:rPr>
            </w:pPr>
            <w:r w:rsidRPr="00F9037E">
              <w:rPr>
                <w:color w:val="auto"/>
                <w:sz w:val="10"/>
                <w:szCs w:val="10"/>
              </w:rPr>
              <w:t>40.000</w:t>
            </w:r>
          </w:p>
        </w:tc>
        <w:tc>
          <w:tcPr>
            <w:tcW w:w="709" w:type="dxa"/>
            <w:shd w:val="clear" w:color="auto" w:fill="auto"/>
            <w:vAlign w:val="center"/>
          </w:tcPr>
          <w:p w14:paraId="591ED5D2" w14:textId="77777777" w:rsidR="00D34C6F" w:rsidRPr="00F9037E" w:rsidRDefault="00D34C6F" w:rsidP="00C05C97">
            <w:pPr>
              <w:spacing w:before="120" w:after="120"/>
              <w:jc w:val="center"/>
              <w:rPr>
                <w:color w:val="auto"/>
                <w:sz w:val="10"/>
                <w:szCs w:val="10"/>
              </w:rPr>
            </w:pPr>
            <w:r w:rsidRPr="00F9037E">
              <w:rPr>
                <w:color w:val="auto"/>
                <w:sz w:val="10"/>
                <w:szCs w:val="10"/>
              </w:rPr>
              <w:t>40.000</w:t>
            </w:r>
          </w:p>
        </w:tc>
        <w:tc>
          <w:tcPr>
            <w:tcW w:w="709" w:type="dxa"/>
            <w:shd w:val="clear" w:color="auto" w:fill="auto"/>
            <w:vAlign w:val="center"/>
          </w:tcPr>
          <w:p w14:paraId="0EFDBA8D" w14:textId="77777777" w:rsidR="00D34C6F" w:rsidRPr="00F9037E" w:rsidRDefault="00D34C6F" w:rsidP="00C05C97">
            <w:pPr>
              <w:spacing w:before="120" w:after="120"/>
              <w:jc w:val="center"/>
              <w:rPr>
                <w:color w:val="auto"/>
                <w:sz w:val="10"/>
                <w:szCs w:val="10"/>
              </w:rPr>
            </w:pPr>
            <w:r w:rsidRPr="00F9037E">
              <w:rPr>
                <w:color w:val="auto"/>
                <w:sz w:val="10"/>
                <w:szCs w:val="10"/>
              </w:rPr>
              <w:t>25.000</w:t>
            </w:r>
          </w:p>
        </w:tc>
        <w:tc>
          <w:tcPr>
            <w:tcW w:w="567" w:type="dxa"/>
            <w:shd w:val="clear" w:color="auto" w:fill="auto"/>
            <w:vAlign w:val="center"/>
          </w:tcPr>
          <w:p w14:paraId="36EA5DDC" w14:textId="77777777" w:rsidR="00D34C6F" w:rsidRPr="00F9037E" w:rsidRDefault="00D34C6F" w:rsidP="00C05C97">
            <w:pPr>
              <w:spacing w:before="120" w:after="120"/>
              <w:jc w:val="center"/>
              <w:rPr>
                <w:color w:val="auto"/>
                <w:sz w:val="10"/>
                <w:szCs w:val="10"/>
              </w:rPr>
            </w:pPr>
            <w:r w:rsidRPr="00F9037E">
              <w:rPr>
                <w:color w:val="auto"/>
                <w:sz w:val="10"/>
                <w:szCs w:val="10"/>
              </w:rPr>
              <w:t>12.000</w:t>
            </w:r>
          </w:p>
        </w:tc>
        <w:tc>
          <w:tcPr>
            <w:tcW w:w="709" w:type="dxa"/>
            <w:shd w:val="clear" w:color="auto" w:fill="auto"/>
            <w:vAlign w:val="center"/>
          </w:tcPr>
          <w:p w14:paraId="581F81F5" w14:textId="7661D70E"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BC98751" w14:textId="22842E4C"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0D591D2C" w14:textId="43F0D6FA"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2EC0E64B" w14:textId="09740599"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394FA5C3" w14:textId="43076AB7" w:rsidR="00D34C6F" w:rsidRPr="00F9037E" w:rsidRDefault="00D34C6F" w:rsidP="00C05C97">
            <w:pPr>
              <w:spacing w:before="120" w:after="120"/>
              <w:jc w:val="center"/>
              <w:rPr>
                <w:color w:val="auto"/>
                <w:sz w:val="10"/>
                <w:szCs w:val="10"/>
              </w:rPr>
            </w:pPr>
          </w:p>
        </w:tc>
        <w:tc>
          <w:tcPr>
            <w:tcW w:w="629" w:type="dxa"/>
            <w:vAlign w:val="center"/>
          </w:tcPr>
          <w:p w14:paraId="3F96ED80" w14:textId="77777777" w:rsidR="00D34C6F" w:rsidRPr="00F9037E" w:rsidRDefault="00D34C6F" w:rsidP="00C05C97">
            <w:pPr>
              <w:spacing w:before="120" w:after="120"/>
              <w:jc w:val="center"/>
              <w:rPr>
                <w:color w:val="auto"/>
                <w:sz w:val="10"/>
                <w:szCs w:val="10"/>
              </w:rPr>
            </w:pPr>
          </w:p>
        </w:tc>
        <w:tc>
          <w:tcPr>
            <w:tcW w:w="567" w:type="dxa"/>
            <w:vAlign w:val="center"/>
          </w:tcPr>
          <w:p w14:paraId="1C22222A" w14:textId="77777777" w:rsidR="00D34C6F" w:rsidRPr="00F9037E" w:rsidRDefault="00D34C6F" w:rsidP="00C05C97">
            <w:pPr>
              <w:spacing w:before="120" w:after="120"/>
              <w:jc w:val="center"/>
              <w:rPr>
                <w:color w:val="auto"/>
                <w:sz w:val="10"/>
                <w:szCs w:val="10"/>
              </w:rPr>
            </w:pPr>
          </w:p>
        </w:tc>
        <w:tc>
          <w:tcPr>
            <w:tcW w:w="567" w:type="dxa"/>
            <w:vAlign w:val="center"/>
          </w:tcPr>
          <w:p w14:paraId="648576DA"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6F2D81FA" w14:textId="77777777" w:rsidR="00D34C6F" w:rsidRPr="00F9037E" w:rsidRDefault="00D34C6F" w:rsidP="00C05C97">
            <w:pPr>
              <w:spacing w:before="120" w:after="120"/>
              <w:jc w:val="center"/>
              <w:rPr>
                <w:color w:val="auto"/>
                <w:sz w:val="10"/>
                <w:szCs w:val="10"/>
              </w:rPr>
            </w:pPr>
            <w:r w:rsidRPr="00F9037E">
              <w:rPr>
                <w:color w:val="auto"/>
                <w:sz w:val="10"/>
                <w:szCs w:val="10"/>
              </w:rPr>
              <w:t>40.000</w:t>
            </w:r>
          </w:p>
        </w:tc>
        <w:tc>
          <w:tcPr>
            <w:tcW w:w="709" w:type="dxa"/>
            <w:shd w:val="clear" w:color="auto" w:fill="auto"/>
            <w:vAlign w:val="center"/>
          </w:tcPr>
          <w:p w14:paraId="3FE04C88" w14:textId="77777777" w:rsidR="00D34C6F" w:rsidRPr="00F9037E" w:rsidRDefault="00D34C6F" w:rsidP="00C05C97">
            <w:pPr>
              <w:spacing w:before="120" w:after="120"/>
              <w:jc w:val="center"/>
              <w:rPr>
                <w:color w:val="auto"/>
                <w:sz w:val="10"/>
                <w:szCs w:val="10"/>
              </w:rPr>
            </w:pPr>
            <w:r w:rsidRPr="00F9037E">
              <w:rPr>
                <w:color w:val="auto"/>
                <w:sz w:val="10"/>
                <w:szCs w:val="10"/>
              </w:rPr>
              <w:t>40.000</w:t>
            </w:r>
          </w:p>
        </w:tc>
        <w:tc>
          <w:tcPr>
            <w:tcW w:w="708" w:type="dxa"/>
            <w:shd w:val="clear" w:color="auto" w:fill="auto"/>
            <w:vAlign w:val="center"/>
          </w:tcPr>
          <w:p w14:paraId="1AE4C8DD" w14:textId="77777777" w:rsidR="00D34C6F" w:rsidRPr="00F9037E" w:rsidRDefault="00D34C6F" w:rsidP="00C05C97">
            <w:pPr>
              <w:spacing w:before="120" w:after="120"/>
              <w:jc w:val="center"/>
              <w:rPr>
                <w:color w:val="auto"/>
                <w:sz w:val="10"/>
                <w:szCs w:val="10"/>
              </w:rPr>
            </w:pPr>
            <w:r w:rsidRPr="00F9037E">
              <w:rPr>
                <w:color w:val="auto"/>
                <w:sz w:val="10"/>
                <w:szCs w:val="10"/>
              </w:rPr>
              <w:t>24.500</w:t>
            </w:r>
          </w:p>
        </w:tc>
        <w:tc>
          <w:tcPr>
            <w:tcW w:w="709" w:type="dxa"/>
            <w:shd w:val="clear" w:color="auto" w:fill="auto"/>
            <w:vAlign w:val="center"/>
          </w:tcPr>
          <w:p w14:paraId="55FA7663" w14:textId="0E95C7CC"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49CA556" w14:textId="231EA45E"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087F80E7" w14:textId="69947A05"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E80DB49" w14:textId="001A03C9"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5069504B" w14:textId="010FF410" w:rsidR="00D34C6F" w:rsidRPr="00F9037E" w:rsidRDefault="00D34C6F" w:rsidP="00C05C97">
            <w:pPr>
              <w:spacing w:before="120" w:after="120"/>
              <w:jc w:val="center"/>
              <w:rPr>
                <w:b/>
                <w:color w:val="auto"/>
                <w:sz w:val="10"/>
                <w:szCs w:val="10"/>
              </w:rPr>
            </w:pPr>
          </w:p>
        </w:tc>
        <w:tc>
          <w:tcPr>
            <w:tcW w:w="567" w:type="dxa"/>
            <w:vAlign w:val="center"/>
          </w:tcPr>
          <w:p w14:paraId="733A1FBD" w14:textId="77777777" w:rsidR="00D34C6F" w:rsidRPr="00F9037E" w:rsidRDefault="00D34C6F" w:rsidP="00C05C97">
            <w:pPr>
              <w:spacing w:before="120" w:after="120"/>
              <w:jc w:val="center"/>
              <w:rPr>
                <w:b/>
                <w:color w:val="auto"/>
                <w:sz w:val="10"/>
                <w:szCs w:val="10"/>
              </w:rPr>
            </w:pPr>
          </w:p>
        </w:tc>
        <w:tc>
          <w:tcPr>
            <w:tcW w:w="567" w:type="dxa"/>
            <w:vAlign w:val="center"/>
          </w:tcPr>
          <w:p w14:paraId="17E09557" w14:textId="77777777" w:rsidR="00D34C6F" w:rsidRPr="00F9037E" w:rsidRDefault="00D34C6F" w:rsidP="00C05C97">
            <w:pPr>
              <w:spacing w:before="120" w:after="120"/>
              <w:jc w:val="center"/>
              <w:rPr>
                <w:b/>
                <w:color w:val="auto"/>
                <w:sz w:val="10"/>
                <w:szCs w:val="10"/>
              </w:rPr>
            </w:pPr>
          </w:p>
        </w:tc>
        <w:tc>
          <w:tcPr>
            <w:tcW w:w="567" w:type="dxa"/>
            <w:vAlign w:val="center"/>
          </w:tcPr>
          <w:p w14:paraId="1DCDF1DD" w14:textId="77777777" w:rsidR="00D34C6F" w:rsidRPr="00F9037E" w:rsidRDefault="00D34C6F" w:rsidP="00C05C97">
            <w:pPr>
              <w:spacing w:before="120" w:after="120"/>
              <w:jc w:val="center"/>
              <w:rPr>
                <w:b/>
                <w:color w:val="auto"/>
                <w:sz w:val="10"/>
                <w:szCs w:val="10"/>
              </w:rPr>
            </w:pPr>
          </w:p>
        </w:tc>
        <w:tc>
          <w:tcPr>
            <w:tcW w:w="567" w:type="dxa"/>
            <w:vAlign w:val="center"/>
          </w:tcPr>
          <w:p w14:paraId="00C47B2A" w14:textId="77777777" w:rsidR="00D34C6F" w:rsidRPr="00F9037E" w:rsidRDefault="00D34C6F" w:rsidP="00C05C97">
            <w:pPr>
              <w:spacing w:before="120" w:after="120"/>
              <w:jc w:val="center"/>
              <w:rPr>
                <w:b/>
                <w:color w:val="auto"/>
                <w:sz w:val="10"/>
                <w:szCs w:val="10"/>
              </w:rPr>
            </w:pPr>
          </w:p>
        </w:tc>
      </w:tr>
      <w:tr w:rsidR="00D34C6F" w:rsidRPr="00F9037E" w14:paraId="55587164" w14:textId="77777777" w:rsidTr="00C05C97">
        <w:trPr>
          <w:trHeight w:val="270"/>
          <w:jc w:val="center"/>
        </w:trPr>
        <w:tc>
          <w:tcPr>
            <w:tcW w:w="662" w:type="dxa"/>
            <w:shd w:val="clear" w:color="auto" w:fill="auto"/>
            <w:vAlign w:val="center"/>
          </w:tcPr>
          <w:p w14:paraId="2EB4AF8B" w14:textId="77777777" w:rsidR="00D34C6F" w:rsidRPr="00F9037E" w:rsidRDefault="00D34C6F" w:rsidP="00C05C97">
            <w:pPr>
              <w:spacing w:before="120" w:after="120"/>
              <w:rPr>
                <w:color w:val="auto"/>
                <w:sz w:val="12"/>
                <w:szCs w:val="12"/>
              </w:rPr>
            </w:pPr>
            <w:r w:rsidRPr="00F9037E">
              <w:rPr>
                <w:color w:val="auto"/>
                <w:sz w:val="12"/>
                <w:szCs w:val="12"/>
              </w:rPr>
              <w:t>Portugal</w:t>
            </w:r>
          </w:p>
        </w:tc>
        <w:tc>
          <w:tcPr>
            <w:tcW w:w="824" w:type="dxa"/>
            <w:shd w:val="clear" w:color="auto" w:fill="auto"/>
            <w:vAlign w:val="center"/>
          </w:tcPr>
          <w:p w14:paraId="64BF35C2" w14:textId="77777777" w:rsidR="00D34C6F" w:rsidRPr="00F9037E" w:rsidRDefault="00D34C6F" w:rsidP="00C05C97">
            <w:pPr>
              <w:spacing w:before="120" w:after="120"/>
              <w:rPr>
                <w:color w:val="auto"/>
                <w:sz w:val="12"/>
                <w:szCs w:val="12"/>
              </w:rPr>
            </w:pPr>
            <w:r w:rsidRPr="00F9037E">
              <w:rPr>
                <w:color w:val="auto"/>
                <w:sz w:val="12"/>
                <w:szCs w:val="12"/>
              </w:rPr>
              <w:t>Cut flowers</w:t>
            </w:r>
          </w:p>
        </w:tc>
        <w:tc>
          <w:tcPr>
            <w:tcW w:w="708" w:type="dxa"/>
            <w:shd w:val="clear" w:color="auto" w:fill="auto"/>
            <w:vAlign w:val="center"/>
          </w:tcPr>
          <w:p w14:paraId="167E35E6" w14:textId="77777777" w:rsidR="00D34C6F" w:rsidRPr="00F9037E" w:rsidRDefault="00D34C6F" w:rsidP="00C05C97">
            <w:pPr>
              <w:spacing w:before="120" w:after="120"/>
              <w:jc w:val="center"/>
              <w:rPr>
                <w:color w:val="auto"/>
                <w:sz w:val="10"/>
                <w:szCs w:val="10"/>
              </w:rPr>
            </w:pPr>
            <w:r w:rsidRPr="00F9037E">
              <w:rPr>
                <w:color w:val="auto"/>
                <w:sz w:val="10"/>
                <w:szCs w:val="10"/>
              </w:rPr>
              <w:t>130.000</w:t>
            </w:r>
          </w:p>
        </w:tc>
        <w:tc>
          <w:tcPr>
            <w:tcW w:w="709" w:type="dxa"/>
            <w:shd w:val="clear" w:color="auto" w:fill="auto"/>
            <w:vAlign w:val="center"/>
          </w:tcPr>
          <w:p w14:paraId="02E66F42" w14:textId="77777777" w:rsidR="00D34C6F" w:rsidRPr="00F9037E" w:rsidRDefault="00D34C6F" w:rsidP="00C05C97">
            <w:pPr>
              <w:spacing w:before="120" w:after="120"/>
              <w:jc w:val="center"/>
              <w:rPr>
                <w:color w:val="auto"/>
                <w:sz w:val="10"/>
                <w:szCs w:val="10"/>
              </w:rPr>
            </w:pPr>
            <w:r w:rsidRPr="00F9037E">
              <w:rPr>
                <w:color w:val="auto"/>
                <w:sz w:val="10"/>
                <w:szCs w:val="10"/>
              </w:rPr>
              <w:t>8.750</w:t>
            </w:r>
          </w:p>
        </w:tc>
        <w:tc>
          <w:tcPr>
            <w:tcW w:w="709" w:type="dxa"/>
            <w:shd w:val="clear" w:color="auto" w:fill="auto"/>
            <w:vAlign w:val="center"/>
          </w:tcPr>
          <w:p w14:paraId="5D46DB04" w14:textId="5C12CC93"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24D1076" w14:textId="583F058B"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617D277A" w14:textId="04C4985D"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9605E66" w14:textId="0515ECB9"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211228D4" w14:textId="35272CE1"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0B50237" w14:textId="3AF18C01"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B22D078" w14:textId="5F94DB27" w:rsidR="00D34C6F" w:rsidRPr="00F9037E" w:rsidRDefault="00D34C6F" w:rsidP="00C05C97">
            <w:pPr>
              <w:spacing w:before="120" w:after="120"/>
              <w:jc w:val="center"/>
              <w:rPr>
                <w:color w:val="auto"/>
                <w:sz w:val="10"/>
                <w:szCs w:val="10"/>
              </w:rPr>
            </w:pPr>
          </w:p>
        </w:tc>
        <w:tc>
          <w:tcPr>
            <w:tcW w:w="629" w:type="dxa"/>
            <w:vAlign w:val="center"/>
          </w:tcPr>
          <w:p w14:paraId="11A4794B" w14:textId="77777777" w:rsidR="00D34C6F" w:rsidRPr="00F9037E" w:rsidRDefault="00D34C6F" w:rsidP="00C05C97">
            <w:pPr>
              <w:spacing w:before="120" w:after="120"/>
              <w:jc w:val="center"/>
              <w:rPr>
                <w:color w:val="auto"/>
                <w:sz w:val="10"/>
                <w:szCs w:val="10"/>
              </w:rPr>
            </w:pPr>
          </w:p>
        </w:tc>
        <w:tc>
          <w:tcPr>
            <w:tcW w:w="567" w:type="dxa"/>
            <w:vAlign w:val="center"/>
          </w:tcPr>
          <w:p w14:paraId="6DCDE2B9" w14:textId="77777777" w:rsidR="00D34C6F" w:rsidRPr="00F9037E" w:rsidRDefault="00D34C6F" w:rsidP="00C05C97">
            <w:pPr>
              <w:spacing w:before="120" w:after="120"/>
              <w:jc w:val="center"/>
              <w:rPr>
                <w:color w:val="auto"/>
                <w:sz w:val="10"/>
                <w:szCs w:val="10"/>
              </w:rPr>
            </w:pPr>
          </w:p>
        </w:tc>
        <w:tc>
          <w:tcPr>
            <w:tcW w:w="567" w:type="dxa"/>
            <w:vAlign w:val="center"/>
          </w:tcPr>
          <w:p w14:paraId="0E7FC10E"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561DF4A6" w14:textId="77777777" w:rsidR="00D34C6F" w:rsidRPr="00F9037E" w:rsidRDefault="00D34C6F" w:rsidP="00C05C97">
            <w:pPr>
              <w:spacing w:before="120" w:after="120"/>
              <w:jc w:val="center"/>
              <w:rPr>
                <w:color w:val="auto"/>
                <w:sz w:val="10"/>
                <w:szCs w:val="10"/>
              </w:rPr>
            </w:pPr>
            <w:r w:rsidRPr="00F9037E">
              <w:rPr>
                <w:color w:val="auto"/>
                <w:sz w:val="10"/>
                <w:szCs w:val="10"/>
              </w:rPr>
              <w:t>50.000</w:t>
            </w:r>
          </w:p>
        </w:tc>
        <w:tc>
          <w:tcPr>
            <w:tcW w:w="709" w:type="dxa"/>
            <w:shd w:val="clear" w:color="auto" w:fill="auto"/>
            <w:vAlign w:val="center"/>
          </w:tcPr>
          <w:p w14:paraId="563F77D8" w14:textId="77777777" w:rsidR="00D34C6F" w:rsidRPr="00F9037E" w:rsidRDefault="00D34C6F" w:rsidP="00C05C97">
            <w:pPr>
              <w:spacing w:before="120" w:after="120"/>
              <w:jc w:val="center"/>
              <w:rPr>
                <w:color w:val="auto"/>
                <w:sz w:val="10"/>
                <w:szCs w:val="10"/>
              </w:rPr>
            </w:pPr>
            <w:r w:rsidRPr="00F9037E">
              <w:rPr>
                <w:color w:val="auto"/>
                <w:sz w:val="10"/>
                <w:szCs w:val="10"/>
              </w:rPr>
              <w:t>8.750</w:t>
            </w:r>
          </w:p>
        </w:tc>
        <w:tc>
          <w:tcPr>
            <w:tcW w:w="708" w:type="dxa"/>
            <w:shd w:val="clear" w:color="auto" w:fill="auto"/>
            <w:vAlign w:val="center"/>
          </w:tcPr>
          <w:p w14:paraId="5BE576C1" w14:textId="6CA84A5F"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0D09A96D" w14:textId="0F3A0B3C"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6B56FDF" w14:textId="40CDC5DA"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39919D79" w14:textId="312C19DB"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2252EE2B" w14:textId="03E8C25A"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6287BED6" w14:textId="1374975E" w:rsidR="00D34C6F" w:rsidRPr="00F9037E" w:rsidRDefault="00D34C6F" w:rsidP="00C05C97">
            <w:pPr>
              <w:spacing w:before="120" w:after="120"/>
              <w:jc w:val="center"/>
              <w:rPr>
                <w:b/>
                <w:color w:val="auto"/>
                <w:sz w:val="10"/>
                <w:szCs w:val="10"/>
              </w:rPr>
            </w:pPr>
          </w:p>
        </w:tc>
        <w:tc>
          <w:tcPr>
            <w:tcW w:w="567" w:type="dxa"/>
            <w:vAlign w:val="center"/>
          </w:tcPr>
          <w:p w14:paraId="0CB10212" w14:textId="77777777" w:rsidR="00D34C6F" w:rsidRPr="00F9037E" w:rsidRDefault="00D34C6F" w:rsidP="00C05C97">
            <w:pPr>
              <w:spacing w:before="120" w:after="120"/>
              <w:jc w:val="center"/>
              <w:rPr>
                <w:b/>
                <w:color w:val="auto"/>
                <w:sz w:val="10"/>
                <w:szCs w:val="10"/>
              </w:rPr>
            </w:pPr>
          </w:p>
        </w:tc>
        <w:tc>
          <w:tcPr>
            <w:tcW w:w="567" w:type="dxa"/>
            <w:vAlign w:val="center"/>
          </w:tcPr>
          <w:p w14:paraId="7DA91658" w14:textId="77777777" w:rsidR="00D34C6F" w:rsidRPr="00F9037E" w:rsidRDefault="00D34C6F" w:rsidP="00C05C97">
            <w:pPr>
              <w:spacing w:before="120" w:after="120"/>
              <w:jc w:val="center"/>
              <w:rPr>
                <w:b/>
                <w:color w:val="auto"/>
                <w:sz w:val="10"/>
                <w:szCs w:val="10"/>
              </w:rPr>
            </w:pPr>
          </w:p>
        </w:tc>
        <w:tc>
          <w:tcPr>
            <w:tcW w:w="567" w:type="dxa"/>
            <w:vAlign w:val="center"/>
          </w:tcPr>
          <w:p w14:paraId="5ACB3BCF" w14:textId="77777777" w:rsidR="00D34C6F" w:rsidRPr="00F9037E" w:rsidRDefault="00D34C6F" w:rsidP="00C05C97">
            <w:pPr>
              <w:spacing w:before="120" w:after="120"/>
              <w:jc w:val="center"/>
              <w:rPr>
                <w:b/>
                <w:color w:val="auto"/>
                <w:sz w:val="10"/>
                <w:szCs w:val="10"/>
              </w:rPr>
            </w:pPr>
          </w:p>
        </w:tc>
        <w:tc>
          <w:tcPr>
            <w:tcW w:w="567" w:type="dxa"/>
            <w:vAlign w:val="center"/>
          </w:tcPr>
          <w:p w14:paraId="41C24832" w14:textId="77777777" w:rsidR="00D34C6F" w:rsidRPr="00F9037E" w:rsidRDefault="00D34C6F" w:rsidP="00C05C97">
            <w:pPr>
              <w:spacing w:before="120" w:after="120"/>
              <w:jc w:val="center"/>
              <w:rPr>
                <w:b/>
                <w:color w:val="auto"/>
                <w:sz w:val="10"/>
                <w:szCs w:val="10"/>
              </w:rPr>
            </w:pPr>
          </w:p>
        </w:tc>
      </w:tr>
      <w:tr w:rsidR="00D34C6F" w:rsidRPr="00F9037E" w14:paraId="3B95E54C" w14:textId="77777777" w:rsidTr="00C05C97">
        <w:trPr>
          <w:trHeight w:val="465"/>
          <w:jc w:val="center"/>
        </w:trPr>
        <w:tc>
          <w:tcPr>
            <w:tcW w:w="662" w:type="dxa"/>
            <w:shd w:val="clear" w:color="auto" w:fill="auto"/>
            <w:vAlign w:val="center"/>
          </w:tcPr>
          <w:p w14:paraId="3D02F141" w14:textId="77777777" w:rsidR="00D34C6F" w:rsidRPr="00F9037E" w:rsidRDefault="00D34C6F" w:rsidP="00C05C97">
            <w:pPr>
              <w:spacing w:before="120" w:after="120"/>
              <w:rPr>
                <w:color w:val="auto"/>
                <w:sz w:val="12"/>
                <w:szCs w:val="12"/>
              </w:rPr>
            </w:pPr>
            <w:r w:rsidRPr="00F9037E">
              <w:rPr>
                <w:color w:val="auto"/>
                <w:sz w:val="12"/>
                <w:szCs w:val="12"/>
              </w:rPr>
              <w:t>Spain</w:t>
            </w:r>
          </w:p>
        </w:tc>
        <w:tc>
          <w:tcPr>
            <w:tcW w:w="824" w:type="dxa"/>
            <w:shd w:val="clear" w:color="auto" w:fill="auto"/>
            <w:vAlign w:val="center"/>
          </w:tcPr>
          <w:p w14:paraId="34EE21FB" w14:textId="77777777" w:rsidR="00D34C6F" w:rsidRPr="00F9037E" w:rsidRDefault="00D34C6F" w:rsidP="00C05C97">
            <w:pPr>
              <w:spacing w:before="120" w:after="120"/>
              <w:rPr>
                <w:color w:val="auto"/>
                <w:sz w:val="12"/>
                <w:szCs w:val="12"/>
              </w:rPr>
            </w:pPr>
            <w:r w:rsidRPr="00F9037E">
              <w:rPr>
                <w:color w:val="auto"/>
                <w:sz w:val="12"/>
                <w:szCs w:val="12"/>
              </w:rPr>
              <w:t>Cut Flowers – Cadiz</w:t>
            </w:r>
          </w:p>
        </w:tc>
        <w:tc>
          <w:tcPr>
            <w:tcW w:w="708" w:type="dxa"/>
            <w:shd w:val="clear" w:color="auto" w:fill="auto"/>
            <w:vAlign w:val="center"/>
          </w:tcPr>
          <w:p w14:paraId="2E9A6C15" w14:textId="77777777" w:rsidR="00D34C6F" w:rsidRPr="00F9037E" w:rsidRDefault="00D34C6F" w:rsidP="00C05C97">
            <w:pPr>
              <w:spacing w:before="120" w:after="120"/>
              <w:jc w:val="center"/>
              <w:rPr>
                <w:color w:val="auto"/>
                <w:sz w:val="10"/>
                <w:szCs w:val="10"/>
              </w:rPr>
            </w:pPr>
            <w:r w:rsidRPr="00F9037E">
              <w:rPr>
                <w:color w:val="auto"/>
                <w:sz w:val="10"/>
                <w:szCs w:val="10"/>
              </w:rPr>
              <w:t>53.000</w:t>
            </w:r>
          </w:p>
        </w:tc>
        <w:tc>
          <w:tcPr>
            <w:tcW w:w="709" w:type="dxa"/>
            <w:shd w:val="clear" w:color="auto" w:fill="auto"/>
            <w:vAlign w:val="center"/>
          </w:tcPr>
          <w:p w14:paraId="7531298F" w14:textId="77777777" w:rsidR="00D34C6F" w:rsidRPr="00F9037E" w:rsidRDefault="00D34C6F" w:rsidP="00C05C97">
            <w:pPr>
              <w:spacing w:before="120" w:after="120"/>
              <w:jc w:val="center"/>
              <w:rPr>
                <w:color w:val="auto"/>
                <w:sz w:val="10"/>
                <w:szCs w:val="10"/>
              </w:rPr>
            </w:pPr>
            <w:r w:rsidRPr="00F9037E">
              <w:rPr>
                <w:color w:val="auto"/>
                <w:sz w:val="10"/>
                <w:szCs w:val="10"/>
              </w:rPr>
              <w:t>53.000</w:t>
            </w:r>
          </w:p>
        </w:tc>
        <w:tc>
          <w:tcPr>
            <w:tcW w:w="709" w:type="dxa"/>
            <w:shd w:val="clear" w:color="auto" w:fill="auto"/>
            <w:vAlign w:val="center"/>
          </w:tcPr>
          <w:p w14:paraId="7A143B2C" w14:textId="77777777" w:rsidR="00D34C6F" w:rsidRPr="00F9037E" w:rsidRDefault="00D34C6F" w:rsidP="00C05C97">
            <w:pPr>
              <w:spacing w:before="120" w:after="120"/>
              <w:jc w:val="center"/>
              <w:rPr>
                <w:color w:val="auto"/>
                <w:sz w:val="10"/>
                <w:szCs w:val="10"/>
              </w:rPr>
            </w:pPr>
            <w:r w:rsidRPr="00F9037E">
              <w:rPr>
                <w:color w:val="auto"/>
                <w:sz w:val="10"/>
                <w:szCs w:val="10"/>
              </w:rPr>
              <w:t>35.000</w:t>
            </w:r>
          </w:p>
        </w:tc>
        <w:tc>
          <w:tcPr>
            <w:tcW w:w="567" w:type="dxa"/>
            <w:shd w:val="clear" w:color="auto" w:fill="auto"/>
            <w:vAlign w:val="center"/>
          </w:tcPr>
          <w:p w14:paraId="752EFA4C" w14:textId="7ADFAC1D"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2645246E" w14:textId="71DAD2DD"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5935C50" w14:textId="72D84B90"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4149466C" w14:textId="6ED7C713"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331F8383" w14:textId="66FD162A"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B05101B" w14:textId="1648499D" w:rsidR="00D34C6F" w:rsidRPr="00F9037E" w:rsidRDefault="00D34C6F" w:rsidP="00C05C97">
            <w:pPr>
              <w:spacing w:before="120" w:after="120"/>
              <w:jc w:val="center"/>
              <w:rPr>
                <w:color w:val="auto"/>
                <w:sz w:val="10"/>
                <w:szCs w:val="10"/>
              </w:rPr>
            </w:pPr>
          </w:p>
        </w:tc>
        <w:tc>
          <w:tcPr>
            <w:tcW w:w="629" w:type="dxa"/>
            <w:vAlign w:val="center"/>
          </w:tcPr>
          <w:p w14:paraId="6C47BBA4" w14:textId="77777777" w:rsidR="00D34C6F" w:rsidRPr="00F9037E" w:rsidRDefault="00D34C6F" w:rsidP="00C05C97">
            <w:pPr>
              <w:spacing w:before="120" w:after="120"/>
              <w:jc w:val="center"/>
              <w:rPr>
                <w:color w:val="auto"/>
                <w:sz w:val="10"/>
                <w:szCs w:val="10"/>
              </w:rPr>
            </w:pPr>
          </w:p>
        </w:tc>
        <w:tc>
          <w:tcPr>
            <w:tcW w:w="567" w:type="dxa"/>
            <w:vAlign w:val="center"/>
          </w:tcPr>
          <w:p w14:paraId="16F668A2" w14:textId="77777777" w:rsidR="00D34C6F" w:rsidRPr="00F9037E" w:rsidRDefault="00D34C6F" w:rsidP="00C05C97">
            <w:pPr>
              <w:spacing w:before="120" w:after="120"/>
              <w:jc w:val="center"/>
              <w:rPr>
                <w:color w:val="auto"/>
                <w:sz w:val="10"/>
                <w:szCs w:val="10"/>
              </w:rPr>
            </w:pPr>
          </w:p>
        </w:tc>
        <w:tc>
          <w:tcPr>
            <w:tcW w:w="567" w:type="dxa"/>
            <w:vAlign w:val="center"/>
          </w:tcPr>
          <w:p w14:paraId="0618D19E"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012E47CF" w14:textId="77777777" w:rsidR="00D34C6F" w:rsidRPr="00F9037E" w:rsidRDefault="00D34C6F" w:rsidP="00C05C97">
            <w:pPr>
              <w:spacing w:before="120" w:after="120"/>
              <w:jc w:val="center"/>
              <w:rPr>
                <w:color w:val="auto"/>
                <w:sz w:val="10"/>
                <w:szCs w:val="10"/>
              </w:rPr>
            </w:pPr>
            <w:r w:rsidRPr="00F9037E">
              <w:rPr>
                <w:color w:val="auto"/>
                <w:sz w:val="10"/>
                <w:szCs w:val="10"/>
              </w:rPr>
              <w:t>53.000</w:t>
            </w:r>
          </w:p>
        </w:tc>
        <w:tc>
          <w:tcPr>
            <w:tcW w:w="709" w:type="dxa"/>
            <w:shd w:val="clear" w:color="auto" w:fill="auto"/>
            <w:vAlign w:val="center"/>
          </w:tcPr>
          <w:p w14:paraId="67858685" w14:textId="77777777" w:rsidR="00D34C6F" w:rsidRPr="00F9037E" w:rsidRDefault="00D34C6F" w:rsidP="00C05C97">
            <w:pPr>
              <w:spacing w:before="120" w:after="120"/>
              <w:jc w:val="center"/>
              <w:rPr>
                <w:color w:val="auto"/>
                <w:sz w:val="10"/>
                <w:szCs w:val="10"/>
              </w:rPr>
            </w:pPr>
            <w:r w:rsidRPr="00F9037E">
              <w:rPr>
                <w:color w:val="auto"/>
                <w:sz w:val="10"/>
                <w:szCs w:val="10"/>
              </w:rPr>
              <w:t>42.000</w:t>
            </w:r>
          </w:p>
        </w:tc>
        <w:tc>
          <w:tcPr>
            <w:tcW w:w="708" w:type="dxa"/>
            <w:shd w:val="clear" w:color="auto" w:fill="auto"/>
            <w:vAlign w:val="center"/>
          </w:tcPr>
          <w:p w14:paraId="0886909C" w14:textId="6E3CC54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2D666C04" w14:textId="2C692C4E"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D4AA9E6" w14:textId="59D57B62"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4464AB3B" w14:textId="6DEB50A4"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509C5A2" w14:textId="77818EF3"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42EFB177" w14:textId="4055E55B" w:rsidR="00D34C6F" w:rsidRPr="00F9037E" w:rsidRDefault="00D34C6F" w:rsidP="00C05C97">
            <w:pPr>
              <w:spacing w:before="120" w:after="120"/>
              <w:jc w:val="center"/>
              <w:rPr>
                <w:b/>
                <w:color w:val="auto"/>
                <w:sz w:val="10"/>
                <w:szCs w:val="10"/>
              </w:rPr>
            </w:pPr>
          </w:p>
        </w:tc>
        <w:tc>
          <w:tcPr>
            <w:tcW w:w="567" w:type="dxa"/>
            <w:vAlign w:val="center"/>
          </w:tcPr>
          <w:p w14:paraId="0078055D" w14:textId="77777777" w:rsidR="00D34C6F" w:rsidRPr="00F9037E" w:rsidRDefault="00D34C6F" w:rsidP="00C05C97">
            <w:pPr>
              <w:spacing w:before="120" w:after="120"/>
              <w:jc w:val="center"/>
              <w:rPr>
                <w:b/>
                <w:color w:val="auto"/>
                <w:sz w:val="10"/>
                <w:szCs w:val="10"/>
              </w:rPr>
            </w:pPr>
          </w:p>
        </w:tc>
        <w:tc>
          <w:tcPr>
            <w:tcW w:w="567" w:type="dxa"/>
            <w:vAlign w:val="center"/>
          </w:tcPr>
          <w:p w14:paraId="1772802D" w14:textId="77777777" w:rsidR="00D34C6F" w:rsidRPr="00F9037E" w:rsidRDefault="00D34C6F" w:rsidP="00C05C97">
            <w:pPr>
              <w:spacing w:before="120" w:after="120"/>
              <w:jc w:val="center"/>
              <w:rPr>
                <w:b/>
                <w:color w:val="auto"/>
                <w:sz w:val="10"/>
                <w:szCs w:val="10"/>
              </w:rPr>
            </w:pPr>
          </w:p>
        </w:tc>
        <w:tc>
          <w:tcPr>
            <w:tcW w:w="567" w:type="dxa"/>
            <w:vAlign w:val="center"/>
          </w:tcPr>
          <w:p w14:paraId="1EAC0B74" w14:textId="77777777" w:rsidR="00D34C6F" w:rsidRPr="00F9037E" w:rsidRDefault="00D34C6F" w:rsidP="00C05C97">
            <w:pPr>
              <w:spacing w:before="120" w:after="120"/>
              <w:jc w:val="center"/>
              <w:rPr>
                <w:b/>
                <w:color w:val="auto"/>
                <w:sz w:val="10"/>
                <w:szCs w:val="10"/>
              </w:rPr>
            </w:pPr>
          </w:p>
        </w:tc>
        <w:tc>
          <w:tcPr>
            <w:tcW w:w="567" w:type="dxa"/>
            <w:vAlign w:val="center"/>
          </w:tcPr>
          <w:p w14:paraId="49401C99" w14:textId="77777777" w:rsidR="00D34C6F" w:rsidRPr="00F9037E" w:rsidRDefault="00D34C6F" w:rsidP="00C05C97">
            <w:pPr>
              <w:spacing w:before="120" w:after="120"/>
              <w:jc w:val="center"/>
              <w:rPr>
                <w:b/>
                <w:color w:val="auto"/>
                <w:sz w:val="10"/>
                <w:szCs w:val="10"/>
              </w:rPr>
            </w:pPr>
          </w:p>
        </w:tc>
      </w:tr>
      <w:tr w:rsidR="00D34C6F" w:rsidRPr="00F9037E" w14:paraId="4AE0649F" w14:textId="77777777" w:rsidTr="00C05C97">
        <w:trPr>
          <w:trHeight w:val="270"/>
          <w:jc w:val="center"/>
        </w:trPr>
        <w:tc>
          <w:tcPr>
            <w:tcW w:w="662" w:type="dxa"/>
            <w:vMerge w:val="restart"/>
            <w:shd w:val="clear" w:color="auto" w:fill="auto"/>
            <w:vAlign w:val="center"/>
          </w:tcPr>
          <w:p w14:paraId="008A7053" w14:textId="77777777" w:rsidR="00D34C6F" w:rsidRPr="00F9037E" w:rsidRDefault="00D34C6F" w:rsidP="00C05C97">
            <w:pPr>
              <w:spacing w:before="120" w:after="120"/>
              <w:rPr>
                <w:color w:val="auto"/>
                <w:sz w:val="12"/>
                <w:szCs w:val="12"/>
              </w:rPr>
            </w:pPr>
            <w:r w:rsidRPr="00F9037E">
              <w:rPr>
                <w:color w:val="auto"/>
                <w:sz w:val="12"/>
                <w:szCs w:val="12"/>
              </w:rPr>
              <w:t>Spain</w:t>
            </w:r>
          </w:p>
        </w:tc>
        <w:tc>
          <w:tcPr>
            <w:tcW w:w="824" w:type="dxa"/>
            <w:vMerge w:val="restart"/>
            <w:shd w:val="clear" w:color="auto" w:fill="auto"/>
            <w:vAlign w:val="center"/>
          </w:tcPr>
          <w:p w14:paraId="5A03E037" w14:textId="77777777" w:rsidR="00D34C6F" w:rsidRPr="00F9037E" w:rsidRDefault="00D34C6F" w:rsidP="00C05C97">
            <w:pPr>
              <w:spacing w:before="120" w:after="120"/>
              <w:rPr>
                <w:color w:val="auto"/>
                <w:sz w:val="12"/>
                <w:szCs w:val="12"/>
              </w:rPr>
            </w:pPr>
            <w:r w:rsidRPr="00F9037E">
              <w:rPr>
                <w:color w:val="auto"/>
                <w:sz w:val="12"/>
                <w:szCs w:val="12"/>
              </w:rPr>
              <w:t>Cut Flowers – Catalonia</w:t>
            </w:r>
          </w:p>
        </w:tc>
        <w:tc>
          <w:tcPr>
            <w:tcW w:w="708" w:type="dxa"/>
            <w:vMerge w:val="restart"/>
            <w:shd w:val="clear" w:color="auto" w:fill="auto"/>
            <w:vAlign w:val="center"/>
          </w:tcPr>
          <w:p w14:paraId="61BD836F" w14:textId="77777777" w:rsidR="00D34C6F" w:rsidRPr="00F9037E" w:rsidRDefault="00D34C6F" w:rsidP="00C05C97">
            <w:pPr>
              <w:spacing w:before="120" w:after="120"/>
              <w:jc w:val="center"/>
              <w:rPr>
                <w:color w:val="auto"/>
                <w:sz w:val="10"/>
                <w:szCs w:val="10"/>
              </w:rPr>
            </w:pPr>
            <w:r w:rsidRPr="00F9037E">
              <w:rPr>
                <w:color w:val="auto"/>
                <w:sz w:val="10"/>
                <w:szCs w:val="10"/>
              </w:rPr>
              <w:t>20.000</w:t>
            </w:r>
          </w:p>
        </w:tc>
        <w:tc>
          <w:tcPr>
            <w:tcW w:w="709" w:type="dxa"/>
            <w:vMerge w:val="restart"/>
            <w:shd w:val="clear" w:color="auto" w:fill="auto"/>
            <w:vAlign w:val="center"/>
          </w:tcPr>
          <w:p w14:paraId="3E681C61" w14:textId="77777777" w:rsidR="00D34C6F" w:rsidRPr="00F9037E" w:rsidRDefault="00D34C6F" w:rsidP="00C05C97">
            <w:pPr>
              <w:spacing w:before="120" w:after="120"/>
              <w:jc w:val="center"/>
              <w:rPr>
                <w:color w:val="auto"/>
                <w:sz w:val="10"/>
                <w:szCs w:val="10"/>
              </w:rPr>
            </w:pPr>
            <w:r w:rsidRPr="00F9037E">
              <w:rPr>
                <w:color w:val="auto"/>
                <w:sz w:val="10"/>
                <w:szCs w:val="10"/>
              </w:rPr>
              <w:t>18.600</w:t>
            </w:r>
          </w:p>
        </w:tc>
        <w:tc>
          <w:tcPr>
            <w:tcW w:w="709" w:type="dxa"/>
            <w:vMerge w:val="restart"/>
            <w:shd w:val="clear" w:color="auto" w:fill="auto"/>
            <w:vAlign w:val="center"/>
          </w:tcPr>
          <w:p w14:paraId="3B159406" w14:textId="77777777" w:rsidR="00D34C6F" w:rsidRPr="00F9037E" w:rsidRDefault="00D34C6F" w:rsidP="00C05C97">
            <w:pPr>
              <w:spacing w:before="120" w:after="120"/>
              <w:jc w:val="center"/>
              <w:rPr>
                <w:color w:val="auto"/>
                <w:sz w:val="10"/>
                <w:szCs w:val="10"/>
              </w:rPr>
            </w:pPr>
            <w:r w:rsidRPr="00F9037E">
              <w:rPr>
                <w:color w:val="auto"/>
                <w:sz w:val="10"/>
                <w:szCs w:val="10"/>
              </w:rPr>
              <w:t>12.840</w:t>
            </w:r>
          </w:p>
        </w:tc>
        <w:tc>
          <w:tcPr>
            <w:tcW w:w="567" w:type="dxa"/>
            <w:shd w:val="clear" w:color="auto" w:fill="auto"/>
            <w:vAlign w:val="center"/>
          </w:tcPr>
          <w:p w14:paraId="45DC7B67" w14:textId="77777777" w:rsidR="00D34C6F" w:rsidRPr="00F9037E" w:rsidRDefault="00D34C6F" w:rsidP="00C05C97">
            <w:pPr>
              <w:spacing w:before="120" w:after="120"/>
              <w:jc w:val="center"/>
              <w:rPr>
                <w:color w:val="auto"/>
                <w:sz w:val="10"/>
                <w:szCs w:val="10"/>
              </w:rPr>
            </w:pPr>
            <w:r w:rsidRPr="00F9037E">
              <w:rPr>
                <w:color w:val="auto"/>
                <w:sz w:val="10"/>
                <w:szCs w:val="10"/>
              </w:rPr>
              <w:t>17</w:t>
            </w:r>
          </w:p>
        </w:tc>
        <w:tc>
          <w:tcPr>
            <w:tcW w:w="709" w:type="dxa"/>
            <w:vMerge w:val="restart"/>
            <w:shd w:val="clear" w:color="auto" w:fill="auto"/>
            <w:vAlign w:val="center"/>
          </w:tcPr>
          <w:p w14:paraId="3676F45D" w14:textId="3A4CAF3F" w:rsidR="00D34C6F" w:rsidRPr="00F9037E" w:rsidRDefault="00D34C6F" w:rsidP="00C05C97">
            <w:pPr>
              <w:spacing w:before="120" w:after="120"/>
              <w:jc w:val="center"/>
              <w:rPr>
                <w:color w:val="auto"/>
                <w:sz w:val="10"/>
                <w:szCs w:val="10"/>
              </w:rPr>
            </w:pPr>
          </w:p>
        </w:tc>
        <w:tc>
          <w:tcPr>
            <w:tcW w:w="567" w:type="dxa"/>
            <w:vMerge w:val="restart"/>
            <w:shd w:val="clear" w:color="auto" w:fill="auto"/>
            <w:vAlign w:val="center"/>
          </w:tcPr>
          <w:p w14:paraId="0C895460" w14:textId="2AEBDFE6"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0B76B062" w14:textId="35F9567E" w:rsidR="00D34C6F" w:rsidRPr="00F9037E" w:rsidRDefault="00D34C6F" w:rsidP="00C05C97">
            <w:pPr>
              <w:spacing w:before="120" w:after="120"/>
              <w:jc w:val="center"/>
              <w:rPr>
                <w:color w:val="auto"/>
                <w:sz w:val="10"/>
                <w:szCs w:val="10"/>
              </w:rPr>
            </w:pPr>
          </w:p>
        </w:tc>
        <w:tc>
          <w:tcPr>
            <w:tcW w:w="567" w:type="dxa"/>
            <w:vMerge w:val="restart"/>
            <w:shd w:val="clear" w:color="auto" w:fill="auto"/>
            <w:vAlign w:val="center"/>
          </w:tcPr>
          <w:p w14:paraId="63595A58" w14:textId="3977F4BE"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75EBCB64" w14:textId="49F4F61D" w:rsidR="00D34C6F" w:rsidRPr="00F9037E" w:rsidRDefault="00D34C6F" w:rsidP="00C05C97">
            <w:pPr>
              <w:spacing w:before="120" w:after="120"/>
              <w:jc w:val="center"/>
              <w:rPr>
                <w:color w:val="auto"/>
                <w:sz w:val="10"/>
                <w:szCs w:val="10"/>
              </w:rPr>
            </w:pPr>
          </w:p>
        </w:tc>
        <w:tc>
          <w:tcPr>
            <w:tcW w:w="629" w:type="dxa"/>
            <w:vAlign w:val="center"/>
          </w:tcPr>
          <w:p w14:paraId="71E6AAF8" w14:textId="77777777" w:rsidR="00D34C6F" w:rsidRPr="00F9037E" w:rsidRDefault="00D34C6F" w:rsidP="00C05C97">
            <w:pPr>
              <w:spacing w:before="120" w:after="120"/>
              <w:jc w:val="center"/>
              <w:rPr>
                <w:color w:val="auto"/>
                <w:sz w:val="10"/>
                <w:szCs w:val="10"/>
              </w:rPr>
            </w:pPr>
          </w:p>
        </w:tc>
        <w:tc>
          <w:tcPr>
            <w:tcW w:w="567" w:type="dxa"/>
            <w:vAlign w:val="center"/>
          </w:tcPr>
          <w:p w14:paraId="3939DECF" w14:textId="77777777" w:rsidR="00D34C6F" w:rsidRPr="00F9037E" w:rsidRDefault="00D34C6F" w:rsidP="00C05C97">
            <w:pPr>
              <w:spacing w:before="120" w:after="120"/>
              <w:jc w:val="center"/>
              <w:rPr>
                <w:color w:val="auto"/>
                <w:sz w:val="10"/>
                <w:szCs w:val="10"/>
              </w:rPr>
            </w:pPr>
          </w:p>
        </w:tc>
        <w:tc>
          <w:tcPr>
            <w:tcW w:w="567" w:type="dxa"/>
            <w:vAlign w:val="center"/>
          </w:tcPr>
          <w:p w14:paraId="7C2588A2" w14:textId="77777777" w:rsidR="00D34C6F" w:rsidRPr="00F9037E" w:rsidRDefault="00D34C6F" w:rsidP="00C05C97">
            <w:pPr>
              <w:spacing w:before="120" w:after="120"/>
              <w:jc w:val="center"/>
              <w:rPr>
                <w:color w:val="auto"/>
                <w:sz w:val="10"/>
                <w:szCs w:val="10"/>
              </w:rPr>
            </w:pPr>
          </w:p>
        </w:tc>
        <w:tc>
          <w:tcPr>
            <w:tcW w:w="709" w:type="dxa"/>
            <w:vMerge w:val="restart"/>
            <w:shd w:val="clear" w:color="auto" w:fill="auto"/>
            <w:vAlign w:val="center"/>
          </w:tcPr>
          <w:p w14:paraId="46F79C19" w14:textId="77777777" w:rsidR="00D34C6F" w:rsidRPr="00F9037E" w:rsidRDefault="00D34C6F" w:rsidP="00C05C97">
            <w:pPr>
              <w:spacing w:before="120" w:after="120"/>
              <w:jc w:val="center"/>
              <w:rPr>
                <w:color w:val="auto"/>
                <w:sz w:val="10"/>
                <w:szCs w:val="10"/>
              </w:rPr>
            </w:pPr>
            <w:r w:rsidRPr="00F9037E">
              <w:rPr>
                <w:color w:val="auto"/>
                <w:sz w:val="10"/>
                <w:szCs w:val="10"/>
              </w:rPr>
              <w:t>20.000</w:t>
            </w:r>
          </w:p>
        </w:tc>
        <w:tc>
          <w:tcPr>
            <w:tcW w:w="709" w:type="dxa"/>
            <w:shd w:val="clear" w:color="auto" w:fill="auto"/>
            <w:vAlign w:val="center"/>
          </w:tcPr>
          <w:p w14:paraId="242C3EA1" w14:textId="77777777" w:rsidR="00D34C6F" w:rsidRPr="00F9037E" w:rsidRDefault="00D34C6F" w:rsidP="00C05C97">
            <w:pPr>
              <w:spacing w:before="120" w:after="120"/>
              <w:jc w:val="center"/>
              <w:rPr>
                <w:color w:val="auto"/>
                <w:sz w:val="10"/>
                <w:szCs w:val="10"/>
              </w:rPr>
            </w:pPr>
            <w:r w:rsidRPr="00F9037E">
              <w:rPr>
                <w:color w:val="auto"/>
                <w:sz w:val="10"/>
                <w:szCs w:val="10"/>
              </w:rPr>
              <w:t>15.000</w:t>
            </w:r>
          </w:p>
        </w:tc>
        <w:tc>
          <w:tcPr>
            <w:tcW w:w="708" w:type="dxa"/>
            <w:shd w:val="clear" w:color="auto" w:fill="auto"/>
            <w:vAlign w:val="center"/>
          </w:tcPr>
          <w:p w14:paraId="506B6E45" w14:textId="77777777" w:rsidR="00D34C6F" w:rsidRPr="00F9037E" w:rsidRDefault="00D34C6F" w:rsidP="00C05C97">
            <w:pPr>
              <w:spacing w:before="120" w:after="120"/>
              <w:jc w:val="center"/>
              <w:rPr>
                <w:color w:val="auto"/>
                <w:sz w:val="10"/>
                <w:szCs w:val="10"/>
              </w:rPr>
            </w:pPr>
            <w:r w:rsidRPr="00F9037E">
              <w:rPr>
                <w:color w:val="auto"/>
                <w:sz w:val="10"/>
                <w:szCs w:val="10"/>
              </w:rPr>
              <w:t>43.490</w:t>
            </w:r>
          </w:p>
        </w:tc>
        <w:tc>
          <w:tcPr>
            <w:tcW w:w="709" w:type="dxa"/>
            <w:shd w:val="clear" w:color="auto" w:fill="auto"/>
            <w:vAlign w:val="center"/>
          </w:tcPr>
          <w:p w14:paraId="4472275B" w14:textId="55928F40"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A5CA32D" w14:textId="728E667C" w:rsidR="00D34C6F" w:rsidRPr="00F9037E" w:rsidRDefault="00D34C6F" w:rsidP="00C05C97">
            <w:pPr>
              <w:spacing w:before="120" w:after="120"/>
              <w:jc w:val="center"/>
              <w:rPr>
                <w:color w:val="auto"/>
                <w:sz w:val="10"/>
                <w:szCs w:val="10"/>
              </w:rPr>
            </w:pPr>
          </w:p>
        </w:tc>
        <w:tc>
          <w:tcPr>
            <w:tcW w:w="647" w:type="dxa"/>
            <w:vMerge w:val="restart"/>
            <w:shd w:val="clear" w:color="auto" w:fill="auto"/>
            <w:vAlign w:val="center"/>
          </w:tcPr>
          <w:p w14:paraId="7EECDC5F" w14:textId="5BFE93E3" w:rsidR="00D34C6F" w:rsidRPr="00F9037E" w:rsidRDefault="00D34C6F" w:rsidP="00C05C97">
            <w:pPr>
              <w:spacing w:before="120" w:after="120"/>
              <w:jc w:val="center"/>
              <w:rPr>
                <w:color w:val="auto"/>
                <w:sz w:val="10"/>
                <w:szCs w:val="10"/>
              </w:rPr>
            </w:pPr>
          </w:p>
        </w:tc>
        <w:tc>
          <w:tcPr>
            <w:tcW w:w="567" w:type="dxa"/>
            <w:vMerge w:val="restart"/>
            <w:shd w:val="clear" w:color="auto" w:fill="auto"/>
            <w:vAlign w:val="center"/>
          </w:tcPr>
          <w:p w14:paraId="5FCF1F59" w14:textId="507C5A6F"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27F27678" w14:textId="4DA62E8A" w:rsidR="00D34C6F" w:rsidRPr="00F9037E" w:rsidRDefault="00D34C6F" w:rsidP="00C05C97">
            <w:pPr>
              <w:spacing w:before="120" w:after="120"/>
              <w:jc w:val="center"/>
              <w:rPr>
                <w:b/>
                <w:color w:val="auto"/>
                <w:sz w:val="10"/>
                <w:szCs w:val="10"/>
              </w:rPr>
            </w:pPr>
          </w:p>
        </w:tc>
        <w:tc>
          <w:tcPr>
            <w:tcW w:w="567" w:type="dxa"/>
            <w:vAlign w:val="center"/>
          </w:tcPr>
          <w:p w14:paraId="1BB7AAF8" w14:textId="77777777" w:rsidR="00D34C6F" w:rsidRPr="00F9037E" w:rsidRDefault="00D34C6F" w:rsidP="00C05C97">
            <w:pPr>
              <w:spacing w:before="120" w:after="120"/>
              <w:jc w:val="center"/>
              <w:rPr>
                <w:b/>
                <w:color w:val="auto"/>
                <w:sz w:val="10"/>
                <w:szCs w:val="10"/>
              </w:rPr>
            </w:pPr>
          </w:p>
        </w:tc>
        <w:tc>
          <w:tcPr>
            <w:tcW w:w="567" w:type="dxa"/>
            <w:vAlign w:val="center"/>
          </w:tcPr>
          <w:p w14:paraId="7026A99B" w14:textId="77777777" w:rsidR="00D34C6F" w:rsidRPr="00F9037E" w:rsidRDefault="00D34C6F" w:rsidP="00C05C97">
            <w:pPr>
              <w:spacing w:before="120" w:after="120"/>
              <w:jc w:val="center"/>
              <w:rPr>
                <w:b/>
                <w:color w:val="auto"/>
                <w:sz w:val="10"/>
                <w:szCs w:val="10"/>
              </w:rPr>
            </w:pPr>
          </w:p>
        </w:tc>
        <w:tc>
          <w:tcPr>
            <w:tcW w:w="567" w:type="dxa"/>
            <w:vAlign w:val="center"/>
          </w:tcPr>
          <w:p w14:paraId="1645A462" w14:textId="77777777" w:rsidR="00D34C6F" w:rsidRPr="00F9037E" w:rsidRDefault="00D34C6F" w:rsidP="00C05C97">
            <w:pPr>
              <w:spacing w:before="120" w:after="120"/>
              <w:jc w:val="center"/>
              <w:rPr>
                <w:b/>
                <w:color w:val="auto"/>
                <w:sz w:val="10"/>
                <w:szCs w:val="10"/>
              </w:rPr>
            </w:pPr>
          </w:p>
        </w:tc>
        <w:tc>
          <w:tcPr>
            <w:tcW w:w="567" w:type="dxa"/>
            <w:vAlign w:val="center"/>
          </w:tcPr>
          <w:p w14:paraId="08C00DDC" w14:textId="77777777" w:rsidR="00D34C6F" w:rsidRPr="00F9037E" w:rsidRDefault="00D34C6F" w:rsidP="00C05C97">
            <w:pPr>
              <w:spacing w:before="120" w:after="120"/>
              <w:jc w:val="center"/>
              <w:rPr>
                <w:b/>
                <w:color w:val="auto"/>
                <w:sz w:val="10"/>
                <w:szCs w:val="10"/>
              </w:rPr>
            </w:pPr>
          </w:p>
        </w:tc>
      </w:tr>
      <w:tr w:rsidR="00D34C6F" w:rsidRPr="00F9037E" w14:paraId="4B1A9CFE" w14:textId="77777777" w:rsidTr="00C05C97">
        <w:trPr>
          <w:trHeight w:val="465"/>
          <w:jc w:val="center"/>
        </w:trPr>
        <w:tc>
          <w:tcPr>
            <w:tcW w:w="662" w:type="dxa"/>
            <w:vMerge/>
            <w:shd w:val="clear" w:color="auto" w:fill="auto"/>
            <w:vAlign w:val="center"/>
          </w:tcPr>
          <w:p w14:paraId="1D810E57" w14:textId="77777777" w:rsidR="00D34C6F" w:rsidRPr="00F9037E" w:rsidRDefault="00D34C6F" w:rsidP="00C05C97">
            <w:pPr>
              <w:spacing w:before="120" w:after="120"/>
              <w:rPr>
                <w:color w:val="auto"/>
                <w:sz w:val="12"/>
                <w:szCs w:val="12"/>
              </w:rPr>
            </w:pPr>
          </w:p>
        </w:tc>
        <w:tc>
          <w:tcPr>
            <w:tcW w:w="824" w:type="dxa"/>
            <w:vMerge/>
            <w:shd w:val="clear" w:color="auto" w:fill="auto"/>
            <w:vAlign w:val="center"/>
          </w:tcPr>
          <w:p w14:paraId="7B0FECA1" w14:textId="77777777" w:rsidR="00D34C6F" w:rsidRPr="00F9037E" w:rsidRDefault="00D34C6F" w:rsidP="00C05C97">
            <w:pPr>
              <w:spacing w:before="120" w:after="120"/>
              <w:rPr>
                <w:color w:val="auto"/>
                <w:sz w:val="12"/>
                <w:szCs w:val="12"/>
              </w:rPr>
            </w:pPr>
          </w:p>
        </w:tc>
        <w:tc>
          <w:tcPr>
            <w:tcW w:w="708" w:type="dxa"/>
            <w:vMerge/>
            <w:shd w:val="clear" w:color="auto" w:fill="auto"/>
            <w:vAlign w:val="center"/>
          </w:tcPr>
          <w:p w14:paraId="2CF5D234" w14:textId="77777777" w:rsidR="00D34C6F" w:rsidRPr="00F9037E" w:rsidRDefault="00D34C6F" w:rsidP="00C05C97">
            <w:pPr>
              <w:spacing w:before="120" w:after="120"/>
              <w:jc w:val="center"/>
              <w:rPr>
                <w:color w:val="auto"/>
                <w:sz w:val="10"/>
                <w:szCs w:val="10"/>
              </w:rPr>
            </w:pPr>
          </w:p>
        </w:tc>
        <w:tc>
          <w:tcPr>
            <w:tcW w:w="709" w:type="dxa"/>
            <w:vMerge/>
            <w:shd w:val="clear" w:color="auto" w:fill="auto"/>
            <w:vAlign w:val="center"/>
          </w:tcPr>
          <w:p w14:paraId="6D8DD627" w14:textId="77777777" w:rsidR="00D34C6F" w:rsidRPr="00F9037E" w:rsidRDefault="00D34C6F" w:rsidP="00C05C97">
            <w:pPr>
              <w:spacing w:before="120" w:after="120"/>
              <w:jc w:val="center"/>
              <w:rPr>
                <w:color w:val="auto"/>
                <w:sz w:val="10"/>
                <w:szCs w:val="10"/>
              </w:rPr>
            </w:pPr>
          </w:p>
        </w:tc>
        <w:tc>
          <w:tcPr>
            <w:tcW w:w="709" w:type="dxa"/>
            <w:vMerge/>
            <w:shd w:val="clear" w:color="auto" w:fill="auto"/>
            <w:vAlign w:val="center"/>
          </w:tcPr>
          <w:p w14:paraId="755D7805" w14:textId="77777777"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DD260B6" w14:textId="77777777" w:rsidR="00D34C6F" w:rsidRPr="00F9037E" w:rsidRDefault="00D34C6F" w:rsidP="00C05C97">
            <w:pPr>
              <w:spacing w:before="120" w:after="120"/>
              <w:jc w:val="center"/>
              <w:rPr>
                <w:color w:val="auto"/>
                <w:sz w:val="10"/>
                <w:szCs w:val="10"/>
              </w:rPr>
            </w:pPr>
            <w:r w:rsidRPr="00F9037E">
              <w:rPr>
                <w:color w:val="auto"/>
                <w:sz w:val="10"/>
                <w:szCs w:val="10"/>
              </w:rPr>
              <w:t>(+</w:t>
            </w:r>
            <w:proofErr w:type="spellStart"/>
            <w:r w:rsidRPr="00F9037E">
              <w:rPr>
                <w:color w:val="auto"/>
                <w:sz w:val="10"/>
                <w:szCs w:val="10"/>
              </w:rPr>
              <w:t>Andalucia</w:t>
            </w:r>
            <w:proofErr w:type="spellEnd"/>
            <w:r w:rsidRPr="00F9037E">
              <w:rPr>
                <w:color w:val="auto"/>
                <w:sz w:val="10"/>
                <w:szCs w:val="10"/>
              </w:rPr>
              <w:t>)</w:t>
            </w:r>
          </w:p>
        </w:tc>
        <w:tc>
          <w:tcPr>
            <w:tcW w:w="709" w:type="dxa"/>
            <w:vMerge/>
            <w:shd w:val="clear" w:color="auto" w:fill="auto"/>
            <w:vAlign w:val="center"/>
          </w:tcPr>
          <w:p w14:paraId="2AD4FA90" w14:textId="77777777" w:rsidR="00D34C6F" w:rsidRPr="00F9037E" w:rsidRDefault="00D34C6F" w:rsidP="00C05C97">
            <w:pPr>
              <w:spacing w:before="120" w:after="120"/>
              <w:jc w:val="center"/>
              <w:rPr>
                <w:color w:val="auto"/>
                <w:sz w:val="10"/>
                <w:szCs w:val="10"/>
              </w:rPr>
            </w:pPr>
          </w:p>
        </w:tc>
        <w:tc>
          <w:tcPr>
            <w:tcW w:w="567" w:type="dxa"/>
            <w:vMerge/>
            <w:shd w:val="clear" w:color="auto" w:fill="auto"/>
            <w:vAlign w:val="center"/>
          </w:tcPr>
          <w:p w14:paraId="479D34FD" w14:textId="77777777"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75069D1B" w14:textId="7B543248" w:rsidR="00D34C6F" w:rsidRPr="00F9037E" w:rsidRDefault="00D34C6F" w:rsidP="00C05C97">
            <w:pPr>
              <w:spacing w:before="120" w:after="120"/>
              <w:jc w:val="center"/>
              <w:rPr>
                <w:color w:val="auto"/>
                <w:sz w:val="10"/>
                <w:szCs w:val="10"/>
              </w:rPr>
            </w:pPr>
          </w:p>
        </w:tc>
        <w:tc>
          <w:tcPr>
            <w:tcW w:w="567" w:type="dxa"/>
            <w:vMerge/>
            <w:shd w:val="clear" w:color="auto" w:fill="auto"/>
            <w:vAlign w:val="center"/>
          </w:tcPr>
          <w:p w14:paraId="19C614CA" w14:textId="77777777"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F184626" w14:textId="6819DF4D" w:rsidR="00D34C6F" w:rsidRPr="00F9037E" w:rsidRDefault="00D34C6F" w:rsidP="00C05C97">
            <w:pPr>
              <w:spacing w:before="120" w:after="120"/>
              <w:jc w:val="center"/>
              <w:rPr>
                <w:color w:val="auto"/>
                <w:sz w:val="10"/>
                <w:szCs w:val="10"/>
              </w:rPr>
            </w:pPr>
          </w:p>
        </w:tc>
        <w:tc>
          <w:tcPr>
            <w:tcW w:w="629" w:type="dxa"/>
            <w:vAlign w:val="center"/>
          </w:tcPr>
          <w:p w14:paraId="4148058F" w14:textId="77777777" w:rsidR="00D34C6F" w:rsidRPr="00F9037E" w:rsidRDefault="00D34C6F" w:rsidP="00C05C97">
            <w:pPr>
              <w:spacing w:before="120" w:after="120"/>
              <w:jc w:val="center"/>
              <w:rPr>
                <w:color w:val="auto"/>
                <w:sz w:val="10"/>
                <w:szCs w:val="10"/>
              </w:rPr>
            </w:pPr>
          </w:p>
        </w:tc>
        <w:tc>
          <w:tcPr>
            <w:tcW w:w="567" w:type="dxa"/>
            <w:vAlign w:val="center"/>
          </w:tcPr>
          <w:p w14:paraId="030A0C0E" w14:textId="77777777" w:rsidR="00D34C6F" w:rsidRPr="00F9037E" w:rsidRDefault="00D34C6F" w:rsidP="00C05C97">
            <w:pPr>
              <w:spacing w:before="120" w:after="120"/>
              <w:jc w:val="center"/>
              <w:rPr>
                <w:color w:val="auto"/>
                <w:sz w:val="10"/>
                <w:szCs w:val="10"/>
              </w:rPr>
            </w:pPr>
          </w:p>
        </w:tc>
        <w:tc>
          <w:tcPr>
            <w:tcW w:w="567" w:type="dxa"/>
            <w:vAlign w:val="center"/>
          </w:tcPr>
          <w:p w14:paraId="337D250B" w14:textId="77777777" w:rsidR="00D34C6F" w:rsidRPr="00F9037E" w:rsidRDefault="00D34C6F" w:rsidP="00C05C97">
            <w:pPr>
              <w:spacing w:before="120" w:after="120"/>
              <w:jc w:val="center"/>
              <w:rPr>
                <w:color w:val="auto"/>
                <w:sz w:val="10"/>
                <w:szCs w:val="10"/>
              </w:rPr>
            </w:pPr>
          </w:p>
        </w:tc>
        <w:tc>
          <w:tcPr>
            <w:tcW w:w="709" w:type="dxa"/>
            <w:vMerge/>
            <w:shd w:val="clear" w:color="auto" w:fill="auto"/>
            <w:vAlign w:val="center"/>
          </w:tcPr>
          <w:p w14:paraId="6302D410"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7E8E5C13" w14:textId="4398836F"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366F452E" w14:textId="77777777" w:rsidR="00D34C6F" w:rsidRPr="00F9037E" w:rsidRDefault="00D34C6F" w:rsidP="00C05C97">
            <w:pPr>
              <w:spacing w:before="120" w:after="120"/>
              <w:jc w:val="center"/>
              <w:rPr>
                <w:color w:val="auto"/>
                <w:sz w:val="10"/>
                <w:szCs w:val="10"/>
              </w:rPr>
            </w:pPr>
            <w:r w:rsidRPr="00F9037E">
              <w:rPr>
                <w:color w:val="auto"/>
                <w:sz w:val="10"/>
                <w:szCs w:val="10"/>
              </w:rPr>
              <w:t>(+</w:t>
            </w:r>
            <w:proofErr w:type="spellStart"/>
            <w:r w:rsidRPr="00F9037E">
              <w:rPr>
                <w:color w:val="auto"/>
                <w:sz w:val="10"/>
                <w:szCs w:val="10"/>
              </w:rPr>
              <w:t>Andalucia</w:t>
            </w:r>
            <w:proofErr w:type="spellEnd"/>
            <w:r w:rsidRPr="00F9037E">
              <w:rPr>
                <w:color w:val="auto"/>
                <w:sz w:val="10"/>
                <w:szCs w:val="10"/>
              </w:rPr>
              <w:t>)</w:t>
            </w:r>
          </w:p>
        </w:tc>
        <w:tc>
          <w:tcPr>
            <w:tcW w:w="709" w:type="dxa"/>
            <w:shd w:val="clear" w:color="auto" w:fill="auto"/>
            <w:vAlign w:val="center"/>
          </w:tcPr>
          <w:p w14:paraId="65BDCE59" w14:textId="4CF719D5"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3DA227F7" w14:textId="3EA6D86C" w:rsidR="00D34C6F" w:rsidRPr="00F9037E" w:rsidRDefault="00D34C6F" w:rsidP="00C05C97">
            <w:pPr>
              <w:spacing w:before="120" w:after="120"/>
              <w:jc w:val="center"/>
              <w:rPr>
                <w:color w:val="auto"/>
                <w:sz w:val="10"/>
                <w:szCs w:val="10"/>
              </w:rPr>
            </w:pPr>
          </w:p>
        </w:tc>
        <w:tc>
          <w:tcPr>
            <w:tcW w:w="647" w:type="dxa"/>
            <w:vMerge/>
            <w:shd w:val="clear" w:color="auto" w:fill="auto"/>
            <w:vAlign w:val="center"/>
          </w:tcPr>
          <w:p w14:paraId="10E3FD55" w14:textId="77777777" w:rsidR="00D34C6F" w:rsidRPr="00F9037E" w:rsidRDefault="00D34C6F" w:rsidP="00C05C97">
            <w:pPr>
              <w:spacing w:before="120" w:after="120"/>
              <w:jc w:val="center"/>
              <w:rPr>
                <w:color w:val="auto"/>
                <w:sz w:val="10"/>
                <w:szCs w:val="10"/>
              </w:rPr>
            </w:pPr>
          </w:p>
        </w:tc>
        <w:tc>
          <w:tcPr>
            <w:tcW w:w="567" w:type="dxa"/>
            <w:vMerge/>
            <w:shd w:val="clear" w:color="auto" w:fill="auto"/>
            <w:vAlign w:val="center"/>
          </w:tcPr>
          <w:p w14:paraId="157A6E1D" w14:textId="77777777"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14DF05E9" w14:textId="21C96B1F" w:rsidR="00D34C6F" w:rsidRPr="00F9037E" w:rsidRDefault="00D34C6F" w:rsidP="00C05C97">
            <w:pPr>
              <w:spacing w:before="120" w:after="120"/>
              <w:jc w:val="center"/>
              <w:rPr>
                <w:b/>
                <w:color w:val="auto"/>
                <w:sz w:val="10"/>
                <w:szCs w:val="10"/>
              </w:rPr>
            </w:pPr>
          </w:p>
        </w:tc>
        <w:tc>
          <w:tcPr>
            <w:tcW w:w="567" w:type="dxa"/>
            <w:vAlign w:val="center"/>
          </w:tcPr>
          <w:p w14:paraId="4AF27809" w14:textId="77777777" w:rsidR="00D34C6F" w:rsidRPr="00F9037E" w:rsidRDefault="00D34C6F" w:rsidP="00C05C97">
            <w:pPr>
              <w:spacing w:before="120" w:after="120"/>
              <w:jc w:val="center"/>
              <w:rPr>
                <w:b/>
                <w:color w:val="auto"/>
                <w:sz w:val="10"/>
                <w:szCs w:val="10"/>
              </w:rPr>
            </w:pPr>
          </w:p>
        </w:tc>
        <w:tc>
          <w:tcPr>
            <w:tcW w:w="567" w:type="dxa"/>
            <w:vAlign w:val="center"/>
          </w:tcPr>
          <w:p w14:paraId="52F3DA8B" w14:textId="77777777" w:rsidR="00D34C6F" w:rsidRPr="00F9037E" w:rsidRDefault="00D34C6F" w:rsidP="00C05C97">
            <w:pPr>
              <w:spacing w:before="120" w:after="120"/>
              <w:jc w:val="center"/>
              <w:rPr>
                <w:b/>
                <w:color w:val="auto"/>
                <w:sz w:val="10"/>
                <w:szCs w:val="10"/>
              </w:rPr>
            </w:pPr>
          </w:p>
        </w:tc>
        <w:tc>
          <w:tcPr>
            <w:tcW w:w="567" w:type="dxa"/>
            <w:vAlign w:val="center"/>
          </w:tcPr>
          <w:p w14:paraId="7013E833" w14:textId="77777777" w:rsidR="00D34C6F" w:rsidRPr="00F9037E" w:rsidRDefault="00D34C6F" w:rsidP="00C05C97">
            <w:pPr>
              <w:spacing w:before="120" w:after="120"/>
              <w:jc w:val="center"/>
              <w:rPr>
                <w:b/>
                <w:color w:val="auto"/>
                <w:sz w:val="10"/>
                <w:szCs w:val="10"/>
              </w:rPr>
            </w:pPr>
          </w:p>
        </w:tc>
        <w:tc>
          <w:tcPr>
            <w:tcW w:w="567" w:type="dxa"/>
            <w:vAlign w:val="center"/>
          </w:tcPr>
          <w:p w14:paraId="46BFE756" w14:textId="77777777" w:rsidR="00D34C6F" w:rsidRPr="00F9037E" w:rsidRDefault="00D34C6F" w:rsidP="00C05C97">
            <w:pPr>
              <w:spacing w:before="120" w:after="120"/>
              <w:jc w:val="center"/>
              <w:rPr>
                <w:b/>
                <w:color w:val="auto"/>
                <w:sz w:val="10"/>
                <w:szCs w:val="10"/>
              </w:rPr>
            </w:pPr>
          </w:p>
        </w:tc>
      </w:tr>
      <w:tr w:rsidR="00D34C6F" w:rsidRPr="00F9037E" w14:paraId="25EF9E95" w14:textId="77777777" w:rsidTr="00C05C97">
        <w:trPr>
          <w:trHeight w:val="270"/>
          <w:jc w:val="center"/>
        </w:trPr>
        <w:tc>
          <w:tcPr>
            <w:tcW w:w="662" w:type="dxa"/>
            <w:shd w:val="clear" w:color="auto" w:fill="auto"/>
            <w:vAlign w:val="center"/>
          </w:tcPr>
          <w:p w14:paraId="57059271" w14:textId="77777777" w:rsidR="00D34C6F" w:rsidRPr="00F9037E" w:rsidRDefault="00D34C6F" w:rsidP="00C05C97">
            <w:pPr>
              <w:spacing w:before="120" w:after="120"/>
              <w:rPr>
                <w:color w:val="auto"/>
                <w:sz w:val="12"/>
                <w:szCs w:val="12"/>
              </w:rPr>
            </w:pPr>
            <w:r w:rsidRPr="00F9037E">
              <w:rPr>
                <w:color w:val="auto"/>
                <w:sz w:val="12"/>
                <w:szCs w:val="12"/>
              </w:rPr>
              <w:t>Spain</w:t>
            </w:r>
          </w:p>
        </w:tc>
        <w:tc>
          <w:tcPr>
            <w:tcW w:w="824" w:type="dxa"/>
            <w:shd w:val="clear" w:color="auto" w:fill="auto"/>
            <w:vAlign w:val="center"/>
          </w:tcPr>
          <w:p w14:paraId="0BCFCE8C" w14:textId="77777777" w:rsidR="00D34C6F" w:rsidRPr="00F9037E" w:rsidRDefault="00D34C6F" w:rsidP="00C05C97">
            <w:pPr>
              <w:spacing w:before="120" w:after="120"/>
              <w:rPr>
                <w:color w:val="auto"/>
                <w:sz w:val="12"/>
                <w:szCs w:val="12"/>
              </w:rPr>
            </w:pPr>
            <w:r w:rsidRPr="00F9037E">
              <w:rPr>
                <w:color w:val="auto"/>
                <w:sz w:val="12"/>
                <w:szCs w:val="12"/>
              </w:rPr>
              <w:t>Pepper</w:t>
            </w:r>
          </w:p>
        </w:tc>
        <w:tc>
          <w:tcPr>
            <w:tcW w:w="708" w:type="dxa"/>
            <w:shd w:val="clear" w:color="auto" w:fill="auto"/>
            <w:vAlign w:val="center"/>
          </w:tcPr>
          <w:p w14:paraId="3E338E00" w14:textId="77777777" w:rsidR="00D34C6F" w:rsidRPr="00F9037E" w:rsidRDefault="00D34C6F" w:rsidP="00C05C97">
            <w:pPr>
              <w:spacing w:before="120" w:after="120"/>
              <w:jc w:val="center"/>
              <w:rPr>
                <w:color w:val="auto"/>
                <w:sz w:val="10"/>
                <w:szCs w:val="10"/>
              </w:rPr>
            </w:pPr>
            <w:r w:rsidRPr="00F9037E">
              <w:rPr>
                <w:color w:val="auto"/>
                <w:sz w:val="10"/>
                <w:szCs w:val="10"/>
              </w:rPr>
              <w:t>200.000</w:t>
            </w:r>
          </w:p>
        </w:tc>
        <w:tc>
          <w:tcPr>
            <w:tcW w:w="709" w:type="dxa"/>
            <w:shd w:val="clear" w:color="auto" w:fill="auto"/>
            <w:vAlign w:val="center"/>
          </w:tcPr>
          <w:p w14:paraId="5ADB783B" w14:textId="77777777" w:rsidR="00D34C6F" w:rsidRPr="00F9037E" w:rsidRDefault="00D34C6F" w:rsidP="00C05C97">
            <w:pPr>
              <w:spacing w:before="120" w:after="120"/>
              <w:jc w:val="center"/>
              <w:rPr>
                <w:color w:val="auto"/>
                <w:sz w:val="10"/>
                <w:szCs w:val="10"/>
              </w:rPr>
            </w:pPr>
            <w:r w:rsidRPr="00F9037E">
              <w:rPr>
                <w:color w:val="auto"/>
                <w:sz w:val="10"/>
                <w:szCs w:val="10"/>
              </w:rPr>
              <w:t>155.000</w:t>
            </w:r>
          </w:p>
        </w:tc>
        <w:tc>
          <w:tcPr>
            <w:tcW w:w="709" w:type="dxa"/>
            <w:shd w:val="clear" w:color="auto" w:fill="auto"/>
            <w:vAlign w:val="center"/>
          </w:tcPr>
          <w:p w14:paraId="30A04E4B" w14:textId="77777777" w:rsidR="00D34C6F" w:rsidRPr="00F9037E" w:rsidRDefault="00D34C6F" w:rsidP="00C05C97">
            <w:pPr>
              <w:spacing w:before="120" w:after="120"/>
              <w:jc w:val="center"/>
              <w:rPr>
                <w:color w:val="auto"/>
                <w:sz w:val="10"/>
                <w:szCs w:val="10"/>
              </w:rPr>
            </w:pPr>
            <w:r w:rsidRPr="00F9037E">
              <w:rPr>
                <w:color w:val="auto"/>
                <w:sz w:val="10"/>
                <w:szCs w:val="10"/>
              </w:rPr>
              <w:t>45.000</w:t>
            </w:r>
          </w:p>
        </w:tc>
        <w:tc>
          <w:tcPr>
            <w:tcW w:w="567" w:type="dxa"/>
            <w:shd w:val="clear" w:color="auto" w:fill="auto"/>
            <w:vAlign w:val="center"/>
          </w:tcPr>
          <w:p w14:paraId="10E86B71" w14:textId="471F4D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3F6E7982" w14:textId="16EBB9D5"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C38578E" w14:textId="6C44CD8F"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6883A891" w14:textId="268ED518"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DE6B58B" w14:textId="5091D402"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36CF5A6E" w14:textId="057F25D9" w:rsidR="00D34C6F" w:rsidRPr="00F9037E" w:rsidRDefault="00D34C6F" w:rsidP="00C05C97">
            <w:pPr>
              <w:spacing w:before="120" w:after="120"/>
              <w:jc w:val="center"/>
              <w:rPr>
                <w:color w:val="auto"/>
                <w:sz w:val="10"/>
                <w:szCs w:val="10"/>
              </w:rPr>
            </w:pPr>
          </w:p>
        </w:tc>
        <w:tc>
          <w:tcPr>
            <w:tcW w:w="629" w:type="dxa"/>
            <w:vAlign w:val="center"/>
          </w:tcPr>
          <w:p w14:paraId="4BCD0BFF" w14:textId="77777777" w:rsidR="00D34C6F" w:rsidRPr="00F9037E" w:rsidRDefault="00D34C6F" w:rsidP="00C05C97">
            <w:pPr>
              <w:spacing w:before="120" w:after="120"/>
              <w:jc w:val="center"/>
              <w:rPr>
                <w:color w:val="auto"/>
                <w:sz w:val="10"/>
                <w:szCs w:val="10"/>
              </w:rPr>
            </w:pPr>
          </w:p>
        </w:tc>
        <w:tc>
          <w:tcPr>
            <w:tcW w:w="567" w:type="dxa"/>
            <w:vAlign w:val="center"/>
          </w:tcPr>
          <w:p w14:paraId="14520DE8" w14:textId="77777777" w:rsidR="00D34C6F" w:rsidRPr="00F9037E" w:rsidRDefault="00D34C6F" w:rsidP="00C05C97">
            <w:pPr>
              <w:spacing w:before="120" w:after="120"/>
              <w:jc w:val="center"/>
              <w:rPr>
                <w:color w:val="auto"/>
                <w:sz w:val="10"/>
                <w:szCs w:val="10"/>
              </w:rPr>
            </w:pPr>
          </w:p>
        </w:tc>
        <w:tc>
          <w:tcPr>
            <w:tcW w:w="567" w:type="dxa"/>
            <w:vAlign w:val="center"/>
          </w:tcPr>
          <w:p w14:paraId="2AEC2FB6"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41EF15F6" w14:textId="77777777" w:rsidR="00D34C6F" w:rsidRPr="00F9037E" w:rsidRDefault="00D34C6F" w:rsidP="00C05C97">
            <w:pPr>
              <w:spacing w:before="120" w:after="120"/>
              <w:jc w:val="center"/>
              <w:rPr>
                <w:color w:val="auto"/>
                <w:sz w:val="10"/>
                <w:szCs w:val="10"/>
              </w:rPr>
            </w:pPr>
            <w:r w:rsidRPr="00F9037E">
              <w:rPr>
                <w:color w:val="auto"/>
                <w:sz w:val="10"/>
                <w:szCs w:val="10"/>
              </w:rPr>
              <w:t>200.000</w:t>
            </w:r>
          </w:p>
        </w:tc>
        <w:tc>
          <w:tcPr>
            <w:tcW w:w="709" w:type="dxa"/>
            <w:shd w:val="clear" w:color="auto" w:fill="auto"/>
            <w:vAlign w:val="center"/>
          </w:tcPr>
          <w:p w14:paraId="0C2A44BA" w14:textId="77777777" w:rsidR="00D34C6F" w:rsidRPr="00F9037E" w:rsidRDefault="00D34C6F" w:rsidP="00C05C97">
            <w:pPr>
              <w:spacing w:before="120" w:after="120"/>
              <w:jc w:val="center"/>
              <w:rPr>
                <w:color w:val="auto"/>
                <w:sz w:val="10"/>
                <w:szCs w:val="10"/>
              </w:rPr>
            </w:pPr>
            <w:r w:rsidRPr="00F9037E">
              <w:rPr>
                <w:color w:val="auto"/>
                <w:sz w:val="10"/>
                <w:szCs w:val="10"/>
              </w:rPr>
              <w:t>155.000</w:t>
            </w:r>
          </w:p>
        </w:tc>
        <w:tc>
          <w:tcPr>
            <w:tcW w:w="708" w:type="dxa"/>
            <w:shd w:val="clear" w:color="auto" w:fill="auto"/>
            <w:vAlign w:val="center"/>
          </w:tcPr>
          <w:p w14:paraId="4C9B5C8D" w14:textId="77777777" w:rsidR="00D34C6F" w:rsidRPr="00F9037E" w:rsidRDefault="00D34C6F" w:rsidP="00C05C97">
            <w:pPr>
              <w:spacing w:before="120" w:after="120"/>
              <w:jc w:val="center"/>
              <w:rPr>
                <w:color w:val="auto"/>
                <w:sz w:val="10"/>
                <w:szCs w:val="10"/>
              </w:rPr>
            </w:pPr>
            <w:r w:rsidRPr="00F9037E">
              <w:rPr>
                <w:color w:val="auto"/>
                <w:sz w:val="10"/>
                <w:szCs w:val="10"/>
              </w:rPr>
              <w:t>45.000</w:t>
            </w:r>
          </w:p>
        </w:tc>
        <w:tc>
          <w:tcPr>
            <w:tcW w:w="709" w:type="dxa"/>
            <w:shd w:val="clear" w:color="auto" w:fill="auto"/>
            <w:vAlign w:val="center"/>
          </w:tcPr>
          <w:p w14:paraId="7F3A63E9" w14:textId="79DBB67E"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7E17E7EA" w14:textId="7CF4F69B"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7628E907" w14:textId="5CA59BA8"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A809679" w14:textId="585165E7"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52196D35" w14:textId="45BF4202" w:rsidR="00D34C6F" w:rsidRPr="00F9037E" w:rsidRDefault="00D34C6F" w:rsidP="00C05C97">
            <w:pPr>
              <w:spacing w:before="120" w:after="120"/>
              <w:jc w:val="center"/>
              <w:rPr>
                <w:b/>
                <w:color w:val="auto"/>
                <w:sz w:val="10"/>
                <w:szCs w:val="10"/>
              </w:rPr>
            </w:pPr>
          </w:p>
        </w:tc>
        <w:tc>
          <w:tcPr>
            <w:tcW w:w="567" w:type="dxa"/>
            <w:vAlign w:val="center"/>
          </w:tcPr>
          <w:p w14:paraId="347F6E82" w14:textId="77777777" w:rsidR="00D34C6F" w:rsidRPr="00F9037E" w:rsidRDefault="00D34C6F" w:rsidP="00C05C97">
            <w:pPr>
              <w:spacing w:before="120" w:after="120"/>
              <w:jc w:val="center"/>
              <w:rPr>
                <w:b/>
                <w:color w:val="auto"/>
                <w:sz w:val="10"/>
                <w:szCs w:val="10"/>
              </w:rPr>
            </w:pPr>
          </w:p>
        </w:tc>
        <w:tc>
          <w:tcPr>
            <w:tcW w:w="567" w:type="dxa"/>
            <w:vAlign w:val="center"/>
          </w:tcPr>
          <w:p w14:paraId="17BF4C6B" w14:textId="77777777" w:rsidR="00D34C6F" w:rsidRPr="00F9037E" w:rsidRDefault="00D34C6F" w:rsidP="00C05C97">
            <w:pPr>
              <w:spacing w:before="120" w:after="120"/>
              <w:jc w:val="center"/>
              <w:rPr>
                <w:b/>
                <w:color w:val="auto"/>
                <w:sz w:val="10"/>
                <w:szCs w:val="10"/>
              </w:rPr>
            </w:pPr>
          </w:p>
        </w:tc>
        <w:tc>
          <w:tcPr>
            <w:tcW w:w="567" w:type="dxa"/>
            <w:vAlign w:val="center"/>
          </w:tcPr>
          <w:p w14:paraId="20E35A86" w14:textId="77777777" w:rsidR="00D34C6F" w:rsidRPr="00F9037E" w:rsidRDefault="00D34C6F" w:rsidP="00C05C97">
            <w:pPr>
              <w:spacing w:before="120" w:after="120"/>
              <w:jc w:val="center"/>
              <w:rPr>
                <w:b/>
                <w:color w:val="auto"/>
                <w:sz w:val="10"/>
                <w:szCs w:val="10"/>
              </w:rPr>
            </w:pPr>
          </w:p>
        </w:tc>
        <w:tc>
          <w:tcPr>
            <w:tcW w:w="567" w:type="dxa"/>
            <w:vAlign w:val="center"/>
          </w:tcPr>
          <w:p w14:paraId="4D147C41" w14:textId="77777777" w:rsidR="00D34C6F" w:rsidRPr="00F9037E" w:rsidRDefault="00D34C6F" w:rsidP="00C05C97">
            <w:pPr>
              <w:spacing w:before="120" w:after="120"/>
              <w:jc w:val="center"/>
              <w:rPr>
                <w:b/>
                <w:color w:val="auto"/>
                <w:sz w:val="10"/>
                <w:szCs w:val="10"/>
              </w:rPr>
            </w:pPr>
          </w:p>
        </w:tc>
      </w:tr>
      <w:tr w:rsidR="00D34C6F" w:rsidRPr="00F9037E" w14:paraId="5C81C644" w14:textId="77777777" w:rsidTr="00C05C97">
        <w:trPr>
          <w:trHeight w:val="465"/>
          <w:jc w:val="center"/>
        </w:trPr>
        <w:tc>
          <w:tcPr>
            <w:tcW w:w="662" w:type="dxa"/>
            <w:shd w:val="clear" w:color="auto" w:fill="auto"/>
            <w:vAlign w:val="center"/>
          </w:tcPr>
          <w:p w14:paraId="74A39337" w14:textId="77777777" w:rsidR="00D34C6F" w:rsidRPr="00F9037E" w:rsidRDefault="00D34C6F" w:rsidP="00C05C97">
            <w:pPr>
              <w:spacing w:before="120" w:after="120"/>
              <w:rPr>
                <w:color w:val="auto"/>
                <w:sz w:val="12"/>
                <w:szCs w:val="12"/>
              </w:rPr>
            </w:pPr>
            <w:r w:rsidRPr="00F9037E">
              <w:rPr>
                <w:color w:val="auto"/>
                <w:sz w:val="12"/>
                <w:szCs w:val="12"/>
              </w:rPr>
              <w:t>Spain</w:t>
            </w:r>
          </w:p>
        </w:tc>
        <w:tc>
          <w:tcPr>
            <w:tcW w:w="824" w:type="dxa"/>
            <w:shd w:val="clear" w:color="auto" w:fill="auto"/>
            <w:vAlign w:val="center"/>
          </w:tcPr>
          <w:p w14:paraId="4253A40F" w14:textId="77777777" w:rsidR="00D34C6F" w:rsidRPr="00F9037E" w:rsidRDefault="00D34C6F" w:rsidP="00C05C97">
            <w:pPr>
              <w:spacing w:before="120" w:after="120"/>
              <w:rPr>
                <w:color w:val="auto"/>
                <w:sz w:val="12"/>
                <w:szCs w:val="12"/>
              </w:rPr>
            </w:pPr>
            <w:r w:rsidRPr="00F9037E">
              <w:rPr>
                <w:color w:val="auto"/>
                <w:sz w:val="12"/>
                <w:szCs w:val="12"/>
              </w:rPr>
              <w:t>Strawberry Fruit</w:t>
            </w:r>
          </w:p>
        </w:tc>
        <w:tc>
          <w:tcPr>
            <w:tcW w:w="708" w:type="dxa"/>
            <w:shd w:val="clear" w:color="auto" w:fill="auto"/>
            <w:vAlign w:val="center"/>
          </w:tcPr>
          <w:p w14:paraId="1DC9AFB0" w14:textId="77777777" w:rsidR="00D34C6F" w:rsidRPr="00F9037E" w:rsidRDefault="00D34C6F" w:rsidP="00C05C97">
            <w:pPr>
              <w:spacing w:before="120" w:after="120"/>
              <w:jc w:val="center"/>
              <w:rPr>
                <w:color w:val="auto"/>
                <w:sz w:val="10"/>
                <w:szCs w:val="10"/>
              </w:rPr>
            </w:pPr>
            <w:r w:rsidRPr="00F9037E">
              <w:rPr>
                <w:color w:val="auto"/>
                <w:sz w:val="10"/>
                <w:szCs w:val="10"/>
              </w:rPr>
              <w:t>556.000</w:t>
            </w:r>
          </w:p>
        </w:tc>
        <w:tc>
          <w:tcPr>
            <w:tcW w:w="709" w:type="dxa"/>
            <w:shd w:val="clear" w:color="auto" w:fill="auto"/>
            <w:vAlign w:val="center"/>
          </w:tcPr>
          <w:p w14:paraId="5D65BD6A" w14:textId="77777777" w:rsidR="00D34C6F" w:rsidRPr="00F9037E" w:rsidRDefault="00D34C6F" w:rsidP="00C05C97">
            <w:pPr>
              <w:spacing w:before="120" w:after="120"/>
              <w:jc w:val="center"/>
              <w:rPr>
                <w:color w:val="auto"/>
                <w:sz w:val="10"/>
                <w:szCs w:val="10"/>
              </w:rPr>
            </w:pPr>
            <w:r w:rsidRPr="00F9037E">
              <w:rPr>
                <w:color w:val="auto"/>
                <w:sz w:val="10"/>
                <w:szCs w:val="10"/>
              </w:rPr>
              <w:t>499.290</w:t>
            </w:r>
          </w:p>
        </w:tc>
        <w:tc>
          <w:tcPr>
            <w:tcW w:w="709" w:type="dxa"/>
            <w:shd w:val="clear" w:color="auto" w:fill="auto"/>
            <w:vAlign w:val="center"/>
          </w:tcPr>
          <w:p w14:paraId="23207A7B" w14:textId="77777777" w:rsidR="00D34C6F" w:rsidRPr="00F9037E" w:rsidRDefault="00D34C6F" w:rsidP="00C05C97">
            <w:pPr>
              <w:spacing w:before="120" w:after="120"/>
              <w:jc w:val="center"/>
              <w:rPr>
                <w:color w:val="auto"/>
                <w:sz w:val="10"/>
                <w:szCs w:val="10"/>
              </w:rPr>
            </w:pPr>
            <w:r w:rsidRPr="00F9037E">
              <w:rPr>
                <w:color w:val="auto"/>
                <w:sz w:val="10"/>
                <w:szCs w:val="10"/>
              </w:rPr>
              <w:t>80.000</w:t>
            </w:r>
          </w:p>
        </w:tc>
        <w:tc>
          <w:tcPr>
            <w:tcW w:w="567" w:type="dxa"/>
            <w:shd w:val="clear" w:color="auto" w:fill="auto"/>
            <w:vAlign w:val="center"/>
          </w:tcPr>
          <w:p w14:paraId="30077489" w14:textId="55542091"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290E79EC" w14:textId="17722C5A"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2B681785" w14:textId="121C2BBA"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535B196A" w14:textId="5DC6266E"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8EAD803" w14:textId="15BD3C14"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46DE97F" w14:textId="17B6973F" w:rsidR="00D34C6F" w:rsidRPr="00F9037E" w:rsidRDefault="00D34C6F" w:rsidP="00C05C97">
            <w:pPr>
              <w:spacing w:before="120" w:after="120"/>
              <w:jc w:val="center"/>
              <w:rPr>
                <w:color w:val="auto"/>
                <w:sz w:val="10"/>
                <w:szCs w:val="10"/>
              </w:rPr>
            </w:pPr>
          </w:p>
        </w:tc>
        <w:tc>
          <w:tcPr>
            <w:tcW w:w="629" w:type="dxa"/>
            <w:vAlign w:val="center"/>
          </w:tcPr>
          <w:p w14:paraId="57A37105" w14:textId="77777777" w:rsidR="00D34C6F" w:rsidRPr="00F9037E" w:rsidRDefault="00D34C6F" w:rsidP="00C05C97">
            <w:pPr>
              <w:spacing w:before="120" w:after="120"/>
              <w:jc w:val="center"/>
              <w:rPr>
                <w:color w:val="auto"/>
                <w:sz w:val="10"/>
                <w:szCs w:val="10"/>
              </w:rPr>
            </w:pPr>
          </w:p>
        </w:tc>
        <w:tc>
          <w:tcPr>
            <w:tcW w:w="567" w:type="dxa"/>
            <w:vAlign w:val="center"/>
          </w:tcPr>
          <w:p w14:paraId="3433BC63" w14:textId="77777777" w:rsidR="00D34C6F" w:rsidRPr="00F9037E" w:rsidRDefault="00D34C6F" w:rsidP="00C05C97">
            <w:pPr>
              <w:spacing w:before="120" w:after="120"/>
              <w:jc w:val="center"/>
              <w:rPr>
                <w:color w:val="auto"/>
                <w:sz w:val="10"/>
                <w:szCs w:val="10"/>
              </w:rPr>
            </w:pPr>
          </w:p>
        </w:tc>
        <w:tc>
          <w:tcPr>
            <w:tcW w:w="567" w:type="dxa"/>
            <w:vAlign w:val="center"/>
          </w:tcPr>
          <w:p w14:paraId="3FCEE733"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7F886312" w14:textId="77777777" w:rsidR="00D34C6F" w:rsidRPr="00F9037E" w:rsidRDefault="00D34C6F" w:rsidP="00C05C97">
            <w:pPr>
              <w:spacing w:before="120" w:after="120"/>
              <w:jc w:val="center"/>
              <w:rPr>
                <w:color w:val="auto"/>
                <w:sz w:val="10"/>
                <w:szCs w:val="10"/>
              </w:rPr>
            </w:pPr>
            <w:r w:rsidRPr="00F9037E">
              <w:rPr>
                <w:color w:val="auto"/>
                <w:sz w:val="10"/>
                <w:szCs w:val="10"/>
              </w:rPr>
              <w:t>556.000</w:t>
            </w:r>
          </w:p>
        </w:tc>
        <w:tc>
          <w:tcPr>
            <w:tcW w:w="709" w:type="dxa"/>
            <w:shd w:val="clear" w:color="auto" w:fill="auto"/>
            <w:vAlign w:val="center"/>
          </w:tcPr>
          <w:p w14:paraId="2E4D97AF" w14:textId="77777777" w:rsidR="00D34C6F" w:rsidRPr="00F9037E" w:rsidRDefault="00D34C6F" w:rsidP="00C05C97">
            <w:pPr>
              <w:spacing w:before="120" w:after="120"/>
              <w:jc w:val="center"/>
              <w:rPr>
                <w:color w:val="auto"/>
                <w:sz w:val="10"/>
                <w:szCs w:val="10"/>
              </w:rPr>
            </w:pPr>
            <w:r w:rsidRPr="00F9037E">
              <w:rPr>
                <w:color w:val="auto"/>
                <w:sz w:val="10"/>
                <w:szCs w:val="10"/>
              </w:rPr>
              <w:t>499.290</w:t>
            </w:r>
          </w:p>
        </w:tc>
        <w:tc>
          <w:tcPr>
            <w:tcW w:w="708" w:type="dxa"/>
            <w:shd w:val="clear" w:color="auto" w:fill="auto"/>
            <w:vAlign w:val="center"/>
          </w:tcPr>
          <w:p w14:paraId="71C0EF03" w14:textId="77777777" w:rsidR="00D34C6F" w:rsidRPr="00F9037E" w:rsidRDefault="00D34C6F" w:rsidP="00C05C97">
            <w:pPr>
              <w:spacing w:before="120" w:after="120"/>
              <w:jc w:val="center"/>
              <w:rPr>
                <w:color w:val="auto"/>
                <w:sz w:val="10"/>
                <w:szCs w:val="10"/>
              </w:rPr>
            </w:pPr>
            <w:r w:rsidRPr="00F9037E">
              <w:rPr>
                <w:color w:val="auto"/>
                <w:sz w:val="10"/>
                <w:szCs w:val="10"/>
              </w:rPr>
              <w:t>0.0796</w:t>
            </w:r>
          </w:p>
        </w:tc>
        <w:tc>
          <w:tcPr>
            <w:tcW w:w="709" w:type="dxa"/>
            <w:shd w:val="clear" w:color="auto" w:fill="auto"/>
            <w:vAlign w:val="center"/>
          </w:tcPr>
          <w:p w14:paraId="119E2926" w14:textId="52D50668"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7B9D4F5F" w14:textId="5163984D"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5CFAF508" w14:textId="74D6979D"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2297281F" w14:textId="67835379"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1BEAFC8A" w14:textId="3426494F" w:rsidR="00D34C6F" w:rsidRPr="00F9037E" w:rsidRDefault="00D34C6F" w:rsidP="00C05C97">
            <w:pPr>
              <w:spacing w:before="120" w:after="120"/>
              <w:jc w:val="center"/>
              <w:rPr>
                <w:b/>
                <w:color w:val="auto"/>
                <w:sz w:val="10"/>
                <w:szCs w:val="10"/>
              </w:rPr>
            </w:pPr>
          </w:p>
        </w:tc>
        <w:tc>
          <w:tcPr>
            <w:tcW w:w="567" w:type="dxa"/>
            <w:vAlign w:val="center"/>
          </w:tcPr>
          <w:p w14:paraId="20E6F45B" w14:textId="77777777" w:rsidR="00D34C6F" w:rsidRPr="00F9037E" w:rsidRDefault="00D34C6F" w:rsidP="00C05C97">
            <w:pPr>
              <w:spacing w:before="120" w:after="120"/>
              <w:jc w:val="center"/>
              <w:rPr>
                <w:b/>
                <w:color w:val="auto"/>
                <w:sz w:val="10"/>
                <w:szCs w:val="10"/>
              </w:rPr>
            </w:pPr>
          </w:p>
        </w:tc>
        <w:tc>
          <w:tcPr>
            <w:tcW w:w="567" w:type="dxa"/>
            <w:vAlign w:val="center"/>
          </w:tcPr>
          <w:p w14:paraId="5738FFB4" w14:textId="77777777" w:rsidR="00D34C6F" w:rsidRPr="00F9037E" w:rsidRDefault="00D34C6F" w:rsidP="00C05C97">
            <w:pPr>
              <w:spacing w:before="120" w:after="120"/>
              <w:jc w:val="center"/>
              <w:rPr>
                <w:b/>
                <w:color w:val="auto"/>
                <w:sz w:val="10"/>
                <w:szCs w:val="10"/>
              </w:rPr>
            </w:pPr>
          </w:p>
        </w:tc>
        <w:tc>
          <w:tcPr>
            <w:tcW w:w="567" w:type="dxa"/>
            <w:vAlign w:val="center"/>
          </w:tcPr>
          <w:p w14:paraId="40B68285" w14:textId="77777777" w:rsidR="00D34C6F" w:rsidRPr="00F9037E" w:rsidRDefault="00D34C6F" w:rsidP="00C05C97">
            <w:pPr>
              <w:spacing w:before="120" w:after="120"/>
              <w:jc w:val="center"/>
              <w:rPr>
                <w:b/>
                <w:color w:val="auto"/>
                <w:sz w:val="10"/>
                <w:szCs w:val="10"/>
              </w:rPr>
            </w:pPr>
          </w:p>
        </w:tc>
        <w:tc>
          <w:tcPr>
            <w:tcW w:w="567" w:type="dxa"/>
            <w:vAlign w:val="center"/>
          </w:tcPr>
          <w:p w14:paraId="34B9F1E6" w14:textId="77777777" w:rsidR="00D34C6F" w:rsidRPr="00F9037E" w:rsidRDefault="00D34C6F" w:rsidP="00C05C97">
            <w:pPr>
              <w:spacing w:before="120" w:after="120"/>
              <w:jc w:val="center"/>
              <w:rPr>
                <w:b/>
                <w:color w:val="auto"/>
                <w:sz w:val="10"/>
                <w:szCs w:val="10"/>
              </w:rPr>
            </w:pPr>
          </w:p>
        </w:tc>
      </w:tr>
      <w:tr w:rsidR="00D34C6F" w:rsidRPr="00F9037E" w14:paraId="00130860" w14:textId="77777777" w:rsidTr="00C05C97">
        <w:trPr>
          <w:trHeight w:val="465"/>
          <w:jc w:val="center"/>
        </w:trPr>
        <w:tc>
          <w:tcPr>
            <w:tcW w:w="662" w:type="dxa"/>
            <w:shd w:val="clear" w:color="auto" w:fill="auto"/>
            <w:vAlign w:val="center"/>
          </w:tcPr>
          <w:p w14:paraId="79A00401" w14:textId="77777777" w:rsidR="00D34C6F" w:rsidRPr="00F9037E" w:rsidRDefault="00D34C6F" w:rsidP="00C05C97">
            <w:pPr>
              <w:spacing w:before="120" w:after="120"/>
              <w:rPr>
                <w:color w:val="auto"/>
                <w:sz w:val="12"/>
                <w:szCs w:val="12"/>
              </w:rPr>
            </w:pPr>
            <w:r w:rsidRPr="00F9037E">
              <w:rPr>
                <w:color w:val="auto"/>
                <w:sz w:val="12"/>
                <w:szCs w:val="12"/>
              </w:rPr>
              <w:t>Spain</w:t>
            </w:r>
          </w:p>
        </w:tc>
        <w:tc>
          <w:tcPr>
            <w:tcW w:w="824" w:type="dxa"/>
            <w:shd w:val="clear" w:color="auto" w:fill="auto"/>
            <w:vAlign w:val="center"/>
          </w:tcPr>
          <w:p w14:paraId="0AC68A62" w14:textId="77777777" w:rsidR="00D34C6F" w:rsidRPr="00F9037E" w:rsidRDefault="00D34C6F" w:rsidP="00C05C97">
            <w:pPr>
              <w:spacing w:before="120" w:after="120"/>
              <w:rPr>
                <w:color w:val="auto"/>
                <w:sz w:val="12"/>
                <w:szCs w:val="12"/>
              </w:rPr>
            </w:pPr>
            <w:r w:rsidRPr="00F9037E">
              <w:rPr>
                <w:color w:val="auto"/>
                <w:sz w:val="12"/>
                <w:szCs w:val="12"/>
              </w:rPr>
              <w:t>Strawberry Runners</w:t>
            </w:r>
          </w:p>
        </w:tc>
        <w:tc>
          <w:tcPr>
            <w:tcW w:w="708" w:type="dxa"/>
            <w:shd w:val="clear" w:color="auto" w:fill="auto"/>
            <w:vAlign w:val="center"/>
          </w:tcPr>
          <w:p w14:paraId="7DB79A5A" w14:textId="77777777" w:rsidR="00D34C6F" w:rsidRPr="00F9037E" w:rsidRDefault="00D34C6F" w:rsidP="00C05C97">
            <w:pPr>
              <w:spacing w:before="120" w:after="120"/>
              <w:jc w:val="center"/>
              <w:rPr>
                <w:color w:val="auto"/>
                <w:sz w:val="10"/>
                <w:szCs w:val="10"/>
              </w:rPr>
            </w:pPr>
            <w:r w:rsidRPr="00F9037E">
              <w:rPr>
                <w:color w:val="auto"/>
                <w:sz w:val="10"/>
                <w:szCs w:val="10"/>
              </w:rPr>
              <w:t>230.000</w:t>
            </w:r>
          </w:p>
        </w:tc>
        <w:tc>
          <w:tcPr>
            <w:tcW w:w="709" w:type="dxa"/>
            <w:shd w:val="clear" w:color="auto" w:fill="auto"/>
            <w:vAlign w:val="center"/>
          </w:tcPr>
          <w:p w14:paraId="07A97D36" w14:textId="77777777" w:rsidR="00D34C6F" w:rsidRPr="00F9037E" w:rsidRDefault="00D34C6F" w:rsidP="00C05C97">
            <w:pPr>
              <w:spacing w:before="120" w:after="120"/>
              <w:jc w:val="center"/>
              <w:rPr>
                <w:color w:val="auto"/>
                <w:sz w:val="10"/>
                <w:szCs w:val="10"/>
              </w:rPr>
            </w:pPr>
            <w:r w:rsidRPr="00F9037E">
              <w:rPr>
                <w:color w:val="auto"/>
                <w:sz w:val="10"/>
                <w:szCs w:val="10"/>
              </w:rPr>
              <w:t>230.000</w:t>
            </w:r>
          </w:p>
        </w:tc>
        <w:tc>
          <w:tcPr>
            <w:tcW w:w="709" w:type="dxa"/>
            <w:shd w:val="clear" w:color="auto" w:fill="auto"/>
            <w:vAlign w:val="center"/>
          </w:tcPr>
          <w:p w14:paraId="0C3546AE" w14:textId="77777777" w:rsidR="00D34C6F" w:rsidRPr="00F9037E" w:rsidRDefault="00D34C6F" w:rsidP="00C05C97">
            <w:pPr>
              <w:spacing w:before="120" w:after="120"/>
              <w:jc w:val="center"/>
              <w:rPr>
                <w:color w:val="auto"/>
                <w:sz w:val="10"/>
                <w:szCs w:val="10"/>
              </w:rPr>
            </w:pPr>
            <w:r w:rsidRPr="00F9037E">
              <w:rPr>
                <w:color w:val="auto"/>
                <w:sz w:val="10"/>
                <w:szCs w:val="10"/>
              </w:rPr>
              <w:t>230.000</w:t>
            </w:r>
          </w:p>
        </w:tc>
        <w:tc>
          <w:tcPr>
            <w:tcW w:w="567" w:type="dxa"/>
            <w:shd w:val="clear" w:color="auto" w:fill="auto"/>
            <w:vAlign w:val="center"/>
          </w:tcPr>
          <w:p w14:paraId="72E52E51" w14:textId="77777777" w:rsidR="00D34C6F" w:rsidRPr="00F9037E" w:rsidRDefault="00D34C6F" w:rsidP="00C05C97">
            <w:pPr>
              <w:spacing w:before="120" w:after="120"/>
              <w:jc w:val="center"/>
              <w:rPr>
                <w:color w:val="auto"/>
                <w:sz w:val="10"/>
                <w:szCs w:val="10"/>
              </w:rPr>
            </w:pPr>
            <w:r w:rsidRPr="00F9037E">
              <w:rPr>
                <w:color w:val="auto"/>
                <w:sz w:val="10"/>
                <w:szCs w:val="10"/>
              </w:rPr>
              <w:t>215.000</w:t>
            </w:r>
          </w:p>
        </w:tc>
        <w:tc>
          <w:tcPr>
            <w:tcW w:w="709" w:type="dxa"/>
            <w:shd w:val="clear" w:color="auto" w:fill="auto"/>
            <w:vAlign w:val="center"/>
          </w:tcPr>
          <w:p w14:paraId="5D2EC09A" w14:textId="3BD73B4F"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59FB26E" w14:textId="4B0B16D9"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3A8D01AC" w14:textId="037851CF"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E8609E9" w14:textId="39E736E9"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737151A" w14:textId="763251C6" w:rsidR="00D34C6F" w:rsidRPr="00F9037E" w:rsidRDefault="00D34C6F" w:rsidP="00C05C97">
            <w:pPr>
              <w:spacing w:before="120" w:after="120"/>
              <w:jc w:val="center"/>
              <w:rPr>
                <w:color w:val="auto"/>
                <w:sz w:val="10"/>
                <w:szCs w:val="10"/>
              </w:rPr>
            </w:pPr>
          </w:p>
        </w:tc>
        <w:tc>
          <w:tcPr>
            <w:tcW w:w="629" w:type="dxa"/>
            <w:vAlign w:val="center"/>
          </w:tcPr>
          <w:p w14:paraId="673137AC" w14:textId="77777777" w:rsidR="00D34C6F" w:rsidRPr="00F9037E" w:rsidRDefault="00D34C6F" w:rsidP="00C05C97">
            <w:pPr>
              <w:spacing w:before="120" w:after="120"/>
              <w:jc w:val="center"/>
              <w:rPr>
                <w:color w:val="auto"/>
                <w:sz w:val="10"/>
                <w:szCs w:val="10"/>
              </w:rPr>
            </w:pPr>
          </w:p>
        </w:tc>
        <w:tc>
          <w:tcPr>
            <w:tcW w:w="567" w:type="dxa"/>
            <w:vAlign w:val="center"/>
          </w:tcPr>
          <w:p w14:paraId="6631A849" w14:textId="77777777" w:rsidR="00D34C6F" w:rsidRPr="00F9037E" w:rsidRDefault="00D34C6F" w:rsidP="00C05C97">
            <w:pPr>
              <w:spacing w:before="120" w:after="120"/>
              <w:jc w:val="center"/>
              <w:rPr>
                <w:color w:val="auto"/>
                <w:sz w:val="10"/>
                <w:szCs w:val="10"/>
              </w:rPr>
            </w:pPr>
          </w:p>
        </w:tc>
        <w:tc>
          <w:tcPr>
            <w:tcW w:w="567" w:type="dxa"/>
            <w:vAlign w:val="center"/>
          </w:tcPr>
          <w:p w14:paraId="1A11DA74"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39F65721" w14:textId="77777777" w:rsidR="00D34C6F" w:rsidRPr="00F9037E" w:rsidRDefault="00D34C6F" w:rsidP="00C05C97">
            <w:pPr>
              <w:spacing w:before="120" w:after="120"/>
              <w:jc w:val="center"/>
              <w:rPr>
                <w:color w:val="auto"/>
                <w:sz w:val="10"/>
                <w:szCs w:val="10"/>
              </w:rPr>
            </w:pPr>
            <w:r w:rsidRPr="00F9037E">
              <w:rPr>
                <w:color w:val="auto"/>
                <w:sz w:val="10"/>
                <w:szCs w:val="10"/>
              </w:rPr>
              <w:t>230.000</w:t>
            </w:r>
          </w:p>
        </w:tc>
        <w:tc>
          <w:tcPr>
            <w:tcW w:w="709" w:type="dxa"/>
            <w:shd w:val="clear" w:color="auto" w:fill="auto"/>
            <w:vAlign w:val="center"/>
          </w:tcPr>
          <w:p w14:paraId="3A794F4D" w14:textId="77777777" w:rsidR="00D34C6F" w:rsidRPr="00F9037E" w:rsidRDefault="00D34C6F" w:rsidP="00C05C97">
            <w:pPr>
              <w:spacing w:before="120" w:after="120"/>
              <w:jc w:val="center"/>
              <w:rPr>
                <w:color w:val="auto"/>
                <w:sz w:val="10"/>
                <w:szCs w:val="10"/>
              </w:rPr>
            </w:pPr>
            <w:r w:rsidRPr="00F9037E">
              <w:rPr>
                <w:color w:val="auto"/>
                <w:sz w:val="10"/>
                <w:szCs w:val="10"/>
              </w:rPr>
              <w:t>230.000</w:t>
            </w:r>
          </w:p>
        </w:tc>
        <w:tc>
          <w:tcPr>
            <w:tcW w:w="708" w:type="dxa"/>
            <w:shd w:val="clear" w:color="auto" w:fill="auto"/>
            <w:vAlign w:val="center"/>
          </w:tcPr>
          <w:p w14:paraId="5AE40D4B" w14:textId="77777777" w:rsidR="00D34C6F" w:rsidRPr="00F9037E" w:rsidRDefault="00D34C6F" w:rsidP="00C05C97">
            <w:pPr>
              <w:spacing w:before="120" w:after="120"/>
              <w:jc w:val="center"/>
              <w:rPr>
                <w:color w:val="auto"/>
                <w:sz w:val="10"/>
                <w:szCs w:val="10"/>
              </w:rPr>
            </w:pPr>
            <w:r w:rsidRPr="00F9037E">
              <w:rPr>
                <w:color w:val="auto"/>
                <w:sz w:val="10"/>
                <w:szCs w:val="10"/>
              </w:rPr>
              <w:t>230.000</w:t>
            </w:r>
          </w:p>
        </w:tc>
        <w:tc>
          <w:tcPr>
            <w:tcW w:w="709" w:type="dxa"/>
            <w:shd w:val="clear" w:color="auto" w:fill="auto"/>
            <w:vAlign w:val="center"/>
          </w:tcPr>
          <w:p w14:paraId="79DEEBA8" w14:textId="0377FD90"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78037E12" w14:textId="2D472EB1"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39086410" w14:textId="1ED70AAE"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1F38678" w14:textId="3AC1688A"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467A561A" w14:textId="28D439DF" w:rsidR="00D34C6F" w:rsidRPr="00F9037E" w:rsidRDefault="00D34C6F" w:rsidP="00C05C97">
            <w:pPr>
              <w:spacing w:before="120" w:after="120"/>
              <w:jc w:val="center"/>
              <w:rPr>
                <w:b/>
                <w:color w:val="auto"/>
                <w:sz w:val="10"/>
                <w:szCs w:val="10"/>
              </w:rPr>
            </w:pPr>
          </w:p>
        </w:tc>
        <w:tc>
          <w:tcPr>
            <w:tcW w:w="567" w:type="dxa"/>
            <w:vAlign w:val="center"/>
          </w:tcPr>
          <w:p w14:paraId="5E45F93D" w14:textId="77777777" w:rsidR="00D34C6F" w:rsidRPr="00F9037E" w:rsidRDefault="00D34C6F" w:rsidP="00C05C97">
            <w:pPr>
              <w:spacing w:before="120" w:after="120"/>
              <w:jc w:val="center"/>
              <w:rPr>
                <w:b/>
                <w:color w:val="auto"/>
                <w:sz w:val="10"/>
                <w:szCs w:val="10"/>
              </w:rPr>
            </w:pPr>
          </w:p>
        </w:tc>
        <w:tc>
          <w:tcPr>
            <w:tcW w:w="567" w:type="dxa"/>
            <w:vAlign w:val="center"/>
          </w:tcPr>
          <w:p w14:paraId="3D77722D" w14:textId="77777777" w:rsidR="00D34C6F" w:rsidRPr="00F9037E" w:rsidRDefault="00D34C6F" w:rsidP="00C05C97">
            <w:pPr>
              <w:spacing w:before="120" w:after="120"/>
              <w:jc w:val="center"/>
              <w:rPr>
                <w:b/>
                <w:color w:val="auto"/>
                <w:sz w:val="10"/>
                <w:szCs w:val="10"/>
              </w:rPr>
            </w:pPr>
          </w:p>
        </w:tc>
        <w:tc>
          <w:tcPr>
            <w:tcW w:w="567" w:type="dxa"/>
            <w:vAlign w:val="center"/>
          </w:tcPr>
          <w:p w14:paraId="2A63FA19" w14:textId="77777777" w:rsidR="00D34C6F" w:rsidRPr="00F9037E" w:rsidRDefault="00D34C6F" w:rsidP="00C05C97">
            <w:pPr>
              <w:spacing w:before="120" w:after="120"/>
              <w:jc w:val="center"/>
              <w:rPr>
                <w:b/>
                <w:color w:val="auto"/>
                <w:sz w:val="10"/>
                <w:szCs w:val="10"/>
              </w:rPr>
            </w:pPr>
          </w:p>
        </w:tc>
        <w:tc>
          <w:tcPr>
            <w:tcW w:w="567" w:type="dxa"/>
            <w:vAlign w:val="center"/>
          </w:tcPr>
          <w:p w14:paraId="587E4B13" w14:textId="77777777" w:rsidR="00D34C6F" w:rsidRPr="00F9037E" w:rsidRDefault="00D34C6F" w:rsidP="00C05C97">
            <w:pPr>
              <w:spacing w:before="120" w:after="120"/>
              <w:jc w:val="center"/>
              <w:rPr>
                <w:b/>
                <w:color w:val="auto"/>
                <w:sz w:val="10"/>
                <w:szCs w:val="10"/>
              </w:rPr>
            </w:pPr>
          </w:p>
        </w:tc>
      </w:tr>
      <w:tr w:rsidR="00D34C6F" w:rsidRPr="00F9037E" w14:paraId="2EDD74CE" w14:textId="77777777" w:rsidTr="00C05C97">
        <w:trPr>
          <w:trHeight w:val="270"/>
          <w:jc w:val="center"/>
        </w:trPr>
        <w:tc>
          <w:tcPr>
            <w:tcW w:w="662" w:type="dxa"/>
            <w:shd w:val="clear" w:color="auto" w:fill="auto"/>
            <w:vAlign w:val="center"/>
          </w:tcPr>
          <w:p w14:paraId="7534F0A3" w14:textId="77777777" w:rsidR="00D34C6F" w:rsidRPr="00F9037E" w:rsidRDefault="00D34C6F" w:rsidP="00C05C97">
            <w:pPr>
              <w:spacing w:before="120" w:after="120"/>
              <w:rPr>
                <w:color w:val="auto"/>
                <w:sz w:val="12"/>
                <w:szCs w:val="12"/>
              </w:rPr>
            </w:pPr>
            <w:r w:rsidRPr="00F9037E">
              <w:rPr>
                <w:color w:val="auto"/>
                <w:sz w:val="12"/>
                <w:szCs w:val="12"/>
              </w:rPr>
              <w:t>UK</w:t>
            </w:r>
          </w:p>
        </w:tc>
        <w:tc>
          <w:tcPr>
            <w:tcW w:w="824" w:type="dxa"/>
            <w:shd w:val="clear" w:color="auto" w:fill="auto"/>
            <w:vAlign w:val="center"/>
          </w:tcPr>
          <w:p w14:paraId="0B008C0A" w14:textId="77777777" w:rsidR="00D34C6F" w:rsidRPr="00F9037E" w:rsidRDefault="00D34C6F" w:rsidP="00C05C97">
            <w:pPr>
              <w:spacing w:before="120" w:after="120"/>
              <w:rPr>
                <w:color w:val="auto"/>
                <w:sz w:val="12"/>
                <w:szCs w:val="12"/>
              </w:rPr>
            </w:pPr>
            <w:r w:rsidRPr="00F9037E">
              <w:rPr>
                <w:color w:val="auto"/>
                <w:sz w:val="12"/>
                <w:szCs w:val="12"/>
              </w:rPr>
              <w:t>Cut flowers</w:t>
            </w:r>
          </w:p>
        </w:tc>
        <w:tc>
          <w:tcPr>
            <w:tcW w:w="708" w:type="dxa"/>
            <w:shd w:val="clear" w:color="auto" w:fill="auto"/>
            <w:vAlign w:val="center"/>
          </w:tcPr>
          <w:p w14:paraId="2F090F43" w14:textId="70BCDB4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099B3697" w14:textId="77777777" w:rsidR="00D34C6F" w:rsidRPr="00F9037E" w:rsidRDefault="00D34C6F" w:rsidP="00C05C97">
            <w:pPr>
              <w:spacing w:before="120" w:after="120"/>
              <w:jc w:val="center"/>
              <w:rPr>
                <w:color w:val="auto"/>
                <w:sz w:val="10"/>
                <w:szCs w:val="10"/>
              </w:rPr>
            </w:pPr>
            <w:r w:rsidRPr="00F9037E">
              <w:rPr>
                <w:color w:val="auto"/>
                <w:sz w:val="10"/>
                <w:szCs w:val="10"/>
              </w:rPr>
              <w:t>7.560</w:t>
            </w:r>
          </w:p>
        </w:tc>
        <w:tc>
          <w:tcPr>
            <w:tcW w:w="709" w:type="dxa"/>
            <w:shd w:val="clear" w:color="auto" w:fill="auto"/>
            <w:vAlign w:val="center"/>
          </w:tcPr>
          <w:p w14:paraId="2289E9A4" w14:textId="183526A3"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FD5078E" w14:textId="4A17E7A6"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4A8F974B" w14:textId="121E9A22"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1AC07BE" w14:textId="3B0BC120"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3FB1C24A" w14:textId="4CFCB9FF"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2177688E" w14:textId="16784F85"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7CF2C7A1" w14:textId="208F59AA" w:rsidR="00D34C6F" w:rsidRPr="00F9037E" w:rsidRDefault="00D34C6F" w:rsidP="00C05C97">
            <w:pPr>
              <w:spacing w:before="120" w:after="120"/>
              <w:jc w:val="center"/>
              <w:rPr>
                <w:color w:val="auto"/>
                <w:sz w:val="10"/>
                <w:szCs w:val="10"/>
              </w:rPr>
            </w:pPr>
          </w:p>
        </w:tc>
        <w:tc>
          <w:tcPr>
            <w:tcW w:w="629" w:type="dxa"/>
            <w:vAlign w:val="center"/>
          </w:tcPr>
          <w:p w14:paraId="08E16699" w14:textId="77777777" w:rsidR="00D34C6F" w:rsidRPr="00F9037E" w:rsidRDefault="00D34C6F" w:rsidP="00C05C97">
            <w:pPr>
              <w:spacing w:before="120" w:after="120"/>
              <w:jc w:val="center"/>
              <w:rPr>
                <w:color w:val="auto"/>
                <w:sz w:val="10"/>
                <w:szCs w:val="10"/>
              </w:rPr>
            </w:pPr>
          </w:p>
        </w:tc>
        <w:tc>
          <w:tcPr>
            <w:tcW w:w="567" w:type="dxa"/>
            <w:vAlign w:val="center"/>
          </w:tcPr>
          <w:p w14:paraId="4A29BFD7" w14:textId="77777777" w:rsidR="00D34C6F" w:rsidRPr="00F9037E" w:rsidRDefault="00D34C6F" w:rsidP="00C05C97">
            <w:pPr>
              <w:spacing w:before="120" w:after="120"/>
              <w:jc w:val="center"/>
              <w:rPr>
                <w:color w:val="auto"/>
                <w:sz w:val="10"/>
                <w:szCs w:val="10"/>
              </w:rPr>
            </w:pPr>
          </w:p>
        </w:tc>
        <w:tc>
          <w:tcPr>
            <w:tcW w:w="567" w:type="dxa"/>
            <w:vAlign w:val="center"/>
          </w:tcPr>
          <w:p w14:paraId="3EB18727"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3B9ABA29" w14:textId="366F9903"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39E48C50" w14:textId="77777777" w:rsidR="00D34C6F" w:rsidRPr="00F9037E" w:rsidRDefault="00D34C6F" w:rsidP="00C05C97">
            <w:pPr>
              <w:spacing w:before="120" w:after="120"/>
              <w:jc w:val="center"/>
              <w:rPr>
                <w:color w:val="auto"/>
                <w:sz w:val="10"/>
                <w:szCs w:val="10"/>
              </w:rPr>
            </w:pPr>
            <w:r w:rsidRPr="00F9037E">
              <w:rPr>
                <w:color w:val="auto"/>
                <w:sz w:val="10"/>
                <w:szCs w:val="10"/>
              </w:rPr>
              <w:t>6.050</w:t>
            </w:r>
          </w:p>
        </w:tc>
        <w:tc>
          <w:tcPr>
            <w:tcW w:w="708" w:type="dxa"/>
            <w:shd w:val="clear" w:color="auto" w:fill="auto"/>
            <w:vAlign w:val="center"/>
          </w:tcPr>
          <w:p w14:paraId="0FE7B59A" w14:textId="724DE22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472E94EF" w14:textId="30E9D8BF"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114734F" w14:textId="162CE47E"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68987969" w14:textId="534665BA"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3C769792" w14:textId="4EB97400"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2CA1A17E" w14:textId="3BA3FF43" w:rsidR="00D34C6F" w:rsidRPr="00F9037E" w:rsidRDefault="00D34C6F" w:rsidP="00C05C97">
            <w:pPr>
              <w:spacing w:before="120" w:after="120"/>
              <w:jc w:val="center"/>
              <w:rPr>
                <w:b/>
                <w:color w:val="auto"/>
                <w:sz w:val="10"/>
                <w:szCs w:val="10"/>
              </w:rPr>
            </w:pPr>
          </w:p>
        </w:tc>
        <w:tc>
          <w:tcPr>
            <w:tcW w:w="567" w:type="dxa"/>
            <w:vAlign w:val="center"/>
          </w:tcPr>
          <w:p w14:paraId="4FBD365D" w14:textId="77777777" w:rsidR="00D34C6F" w:rsidRPr="00F9037E" w:rsidRDefault="00D34C6F" w:rsidP="00C05C97">
            <w:pPr>
              <w:spacing w:before="120" w:after="120"/>
              <w:jc w:val="center"/>
              <w:rPr>
                <w:b/>
                <w:color w:val="auto"/>
                <w:sz w:val="10"/>
                <w:szCs w:val="10"/>
              </w:rPr>
            </w:pPr>
          </w:p>
        </w:tc>
        <w:tc>
          <w:tcPr>
            <w:tcW w:w="567" w:type="dxa"/>
            <w:vAlign w:val="center"/>
          </w:tcPr>
          <w:p w14:paraId="28DB7497" w14:textId="77777777" w:rsidR="00D34C6F" w:rsidRPr="00F9037E" w:rsidRDefault="00D34C6F" w:rsidP="00C05C97">
            <w:pPr>
              <w:spacing w:before="120" w:after="120"/>
              <w:jc w:val="center"/>
              <w:rPr>
                <w:b/>
                <w:color w:val="auto"/>
                <w:sz w:val="10"/>
                <w:szCs w:val="10"/>
              </w:rPr>
            </w:pPr>
          </w:p>
        </w:tc>
        <w:tc>
          <w:tcPr>
            <w:tcW w:w="567" w:type="dxa"/>
            <w:vAlign w:val="center"/>
          </w:tcPr>
          <w:p w14:paraId="0614806D" w14:textId="77777777" w:rsidR="00D34C6F" w:rsidRPr="00F9037E" w:rsidRDefault="00D34C6F" w:rsidP="00C05C97">
            <w:pPr>
              <w:spacing w:before="120" w:after="120"/>
              <w:jc w:val="center"/>
              <w:rPr>
                <w:b/>
                <w:color w:val="auto"/>
                <w:sz w:val="10"/>
                <w:szCs w:val="10"/>
              </w:rPr>
            </w:pPr>
          </w:p>
        </w:tc>
        <w:tc>
          <w:tcPr>
            <w:tcW w:w="567" w:type="dxa"/>
            <w:vAlign w:val="center"/>
          </w:tcPr>
          <w:p w14:paraId="5B8F9895" w14:textId="77777777" w:rsidR="00D34C6F" w:rsidRPr="00F9037E" w:rsidRDefault="00D34C6F" w:rsidP="00C05C97">
            <w:pPr>
              <w:spacing w:before="120" w:after="120"/>
              <w:jc w:val="center"/>
              <w:rPr>
                <w:b/>
                <w:color w:val="auto"/>
                <w:sz w:val="10"/>
                <w:szCs w:val="10"/>
              </w:rPr>
            </w:pPr>
          </w:p>
        </w:tc>
      </w:tr>
      <w:tr w:rsidR="00D34C6F" w:rsidRPr="00F9037E" w14:paraId="76C1023A" w14:textId="77777777" w:rsidTr="00C05C97">
        <w:trPr>
          <w:trHeight w:val="465"/>
          <w:jc w:val="center"/>
        </w:trPr>
        <w:tc>
          <w:tcPr>
            <w:tcW w:w="662" w:type="dxa"/>
            <w:shd w:val="clear" w:color="auto" w:fill="auto"/>
            <w:vAlign w:val="center"/>
          </w:tcPr>
          <w:p w14:paraId="00D6D32A" w14:textId="77777777" w:rsidR="00D34C6F" w:rsidRPr="00F9037E" w:rsidRDefault="00D34C6F" w:rsidP="00C05C97">
            <w:pPr>
              <w:spacing w:before="120" w:after="120"/>
              <w:rPr>
                <w:color w:val="auto"/>
                <w:sz w:val="12"/>
                <w:szCs w:val="12"/>
              </w:rPr>
            </w:pPr>
            <w:r w:rsidRPr="00F9037E">
              <w:rPr>
                <w:color w:val="auto"/>
                <w:sz w:val="12"/>
                <w:szCs w:val="12"/>
              </w:rPr>
              <w:t>UK</w:t>
            </w:r>
          </w:p>
        </w:tc>
        <w:tc>
          <w:tcPr>
            <w:tcW w:w="824" w:type="dxa"/>
            <w:shd w:val="clear" w:color="auto" w:fill="auto"/>
            <w:vAlign w:val="center"/>
          </w:tcPr>
          <w:p w14:paraId="4C6F9AF2" w14:textId="77777777" w:rsidR="00D34C6F" w:rsidRPr="00F9037E" w:rsidRDefault="00D34C6F" w:rsidP="00C05C97">
            <w:pPr>
              <w:spacing w:before="120" w:after="120"/>
              <w:rPr>
                <w:color w:val="auto"/>
                <w:sz w:val="12"/>
                <w:szCs w:val="12"/>
              </w:rPr>
            </w:pPr>
            <w:r w:rsidRPr="00F9037E">
              <w:rPr>
                <w:color w:val="auto"/>
                <w:sz w:val="12"/>
                <w:szCs w:val="12"/>
              </w:rPr>
              <w:t>Ornamental tree nursery</w:t>
            </w:r>
          </w:p>
        </w:tc>
        <w:tc>
          <w:tcPr>
            <w:tcW w:w="708" w:type="dxa"/>
            <w:shd w:val="clear" w:color="auto" w:fill="auto"/>
            <w:vAlign w:val="center"/>
          </w:tcPr>
          <w:p w14:paraId="70980197" w14:textId="77777777" w:rsidR="00D34C6F" w:rsidRPr="00F9037E" w:rsidRDefault="00D34C6F" w:rsidP="00C05C97">
            <w:pPr>
              <w:spacing w:before="120" w:after="120"/>
              <w:jc w:val="center"/>
              <w:rPr>
                <w:color w:val="auto"/>
                <w:sz w:val="10"/>
                <w:szCs w:val="10"/>
              </w:rPr>
            </w:pPr>
            <w:r w:rsidRPr="00F9037E">
              <w:rPr>
                <w:color w:val="auto"/>
                <w:sz w:val="10"/>
                <w:szCs w:val="10"/>
              </w:rPr>
              <w:t>12.000</w:t>
            </w:r>
          </w:p>
        </w:tc>
        <w:tc>
          <w:tcPr>
            <w:tcW w:w="709" w:type="dxa"/>
            <w:shd w:val="clear" w:color="auto" w:fill="auto"/>
            <w:vAlign w:val="center"/>
          </w:tcPr>
          <w:p w14:paraId="1281F4B2" w14:textId="77777777" w:rsidR="00D34C6F" w:rsidRPr="00F9037E" w:rsidRDefault="00D34C6F" w:rsidP="00C05C97">
            <w:pPr>
              <w:spacing w:before="120" w:after="120"/>
              <w:jc w:val="center"/>
              <w:rPr>
                <w:color w:val="auto"/>
                <w:sz w:val="10"/>
                <w:szCs w:val="10"/>
              </w:rPr>
            </w:pPr>
            <w:r w:rsidRPr="00F9037E">
              <w:rPr>
                <w:color w:val="auto"/>
                <w:sz w:val="10"/>
                <w:szCs w:val="10"/>
              </w:rPr>
              <w:t>6.000</w:t>
            </w:r>
          </w:p>
        </w:tc>
        <w:tc>
          <w:tcPr>
            <w:tcW w:w="709" w:type="dxa"/>
            <w:shd w:val="clear" w:color="auto" w:fill="auto"/>
            <w:vAlign w:val="center"/>
          </w:tcPr>
          <w:p w14:paraId="1E950770" w14:textId="1D849053"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64B250F" w14:textId="01A1719C"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1BD99455" w14:textId="29901CA7"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51C393B" w14:textId="18A8083D"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26CC3053" w14:textId="0150DBC7"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266BA38" w14:textId="160C0154"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3A02B68F" w14:textId="659BACCC" w:rsidR="00D34C6F" w:rsidRPr="00F9037E" w:rsidRDefault="00D34C6F" w:rsidP="00C05C97">
            <w:pPr>
              <w:spacing w:before="120" w:after="120"/>
              <w:jc w:val="center"/>
              <w:rPr>
                <w:color w:val="auto"/>
                <w:sz w:val="10"/>
                <w:szCs w:val="10"/>
              </w:rPr>
            </w:pPr>
          </w:p>
        </w:tc>
        <w:tc>
          <w:tcPr>
            <w:tcW w:w="629" w:type="dxa"/>
            <w:vAlign w:val="center"/>
          </w:tcPr>
          <w:p w14:paraId="152258FB" w14:textId="77777777" w:rsidR="00D34C6F" w:rsidRPr="00F9037E" w:rsidRDefault="00D34C6F" w:rsidP="00C05C97">
            <w:pPr>
              <w:spacing w:before="120" w:after="120"/>
              <w:jc w:val="center"/>
              <w:rPr>
                <w:color w:val="auto"/>
                <w:sz w:val="10"/>
                <w:szCs w:val="10"/>
              </w:rPr>
            </w:pPr>
          </w:p>
        </w:tc>
        <w:tc>
          <w:tcPr>
            <w:tcW w:w="567" w:type="dxa"/>
            <w:vAlign w:val="center"/>
          </w:tcPr>
          <w:p w14:paraId="61BC552C" w14:textId="77777777" w:rsidR="00D34C6F" w:rsidRPr="00F9037E" w:rsidRDefault="00D34C6F" w:rsidP="00C05C97">
            <w:pPr>
              <w:spacing w:before="120" w:after="120"/>
              <w:jc w:val="center"/>
              <w:rPr>
                <w:color w:val="auto"/>
                <w:sz w:val="10"/>
                <w:szCs w:val="10"/>
              </w:rPr>
            </w:pPr>
          </w:p>
        </w:tc>
        <w:tc>
          <w:tcPr>
            <w:tcW w:w="567" w:type="dxa"/>
            <w:vAlign w:val="center"/>
          </w:tcPr>
          <w:p w14:paraId="111C5779"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0754724F" w14:textId="77777777" w:rsidR="00D34C6F" w:rsidRPr="00F9037E" w:rsidRDefault="00D34C6F" w:rsidP="00C05C97">
            <w:pPr>
              <w:spacing w:before="120" w:after="120"/>
              <w:jc w:val="center"/>
              <w:rPr>
                <w:color w:val="auto"/>
                <w:sz w:val="10"/>
                <w:szCs w:val="10"/>
              </w:rPr>
            </w:pPr>
            <w:r w:rsidRPr="00F9037E">
              <w:rPr>
                <w:color w:val="auto"/>
                <w:sz w:val="10"/>
                <w:szCs w:val="10"/>
              </w:rPr>
              <w:t>6.000</w:t>
            </w:r>
          </w:p>
        </w:tc>
        <w:tc>
          <w:tcPr>
            <w:tcW w:w="709" w:type="dxa"/>
            <w:shd w:val="clear" w:color="auto" w:fill="auto"/>
            <w:vAlign w:val="center"/>
          </w:tcPr>
          <w:p w14:paraId="4DB200C3" w14:textId="77777777" w:rsidR="00D34C6F" w:rsidRPr="00F9037E" w:rsidRDefault="00D34C6F" w:rsidP="00C05C97">
            <w:pPr>
              <w:spacing w:before="120" w:after="120"/>
              <w:jc w:val="center"/>
              <w:rPr>
                <w:color w:val="auto"/>
                <w:sz w:val="10"/>
                <w:szCs w:val="10"/>
              </w:rPr>
            </w:pPr>
            <w:r w:rsidRPr="00F9037E">
              <w:rPr>
                <w:color w:val="auto"/>
                <w:sz w:val="10"/>
                <w:szCs w:val="10"/>
              </w:rPr>
              <w:t>6.000</w:t>
            </w:r>
          </w:p>
        </w:tc>
        <w:tc>
          <w:tcPr>
            <w:tcW w:w="708" w:type="dxa"/>
            <w:shd w:val="clear" w:color="auto" w:fill="auto"/>
            <w:vAlign w:val="center"/>
          </w:tcPr>
          <w:p w14:paraId="40D41E4B" w14:textId="2041016D"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249AFAD7" w14:textId="78E07AFA"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895CA8B" w14:textId="56DAB47E"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5588186D" w14:textId="1F4B205D"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11DF6F2" w14:textId="20255A6A"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55978A97" w14:textId="540A6B0D" w:rsidR="00D34C6F" w:rsidRPr="00F9037E" w:rsidRDefault="00D34C6F" w:rsidP="00C05C97">
            <w:pPr>
              <w:spacing w:before="120" w:after="120"/>
              <w:jc w:val="center"/>
              <w:rPr>
                <w:b/>
                <w:color w:val="auto"/>
                <w:sz w:val="10"/>
                <w:szCs w:val="10"/>
              </w:rPr>
            </w:pPr>
          </w:p>
        </w:tc>
        <w:tc>
          <w:tcPr>
            <w:tcW w:w="567" w:type="dxa"/>
            <w:vAlign w:val="center"/>
          </w:tcPr>
          <w:p w14:paraId="31AC932E" w14:textId="77777777" w:rsidR="00D34C6F" w:rsidRPr="00F9037E" w:rsidRDefault="00D34C6F" w:rsidP="00C05C97">
            <w:pPr>
              <w:spacing w:before="120" w:after="120"/>
              <w:jc w:val="center"/>
              <w:rPr>
                <w:b/>
                <w:color w:val="auto"/>
                <w:sz w:val="10"/>
                <w:szCs w:val="10"/>
              </w:rPr>
            </w:pPr>
          </w:p>
        </w:tc>
        <w:tc>
          <w:tcPr>
            <w:tcW w:w="567" w:type="dxa"/>
            <w:vAlign w:val="center"/>
          </w:tcPr>
          <w:p w14:paraId="44971AC3" w14:textId="77777777" w:rsidR="00D34C6F" w:rsidRPr="00F9037E" w:rsidRDefault="00D34C6F" w:rsidP="00C05C97">
            <w:pPr>
              <w:spacing w:before="120" w:after="120"/>
              <w:jc w:val="center"/>
              <w:rPr>
                <w:b/>
                <w:color w:val="auto"/>
                <w:sz w:val="10"/>
                <w:szCs w:val="10"/>
              </w:rPr>
            </w:pPr>
          </w:p>
        </w:tc>
        <w:tc>
          <w:tcPr>
            <w:tcW w:w="567" w:type="dxa"/>
            <w:vAlign w:val="center"/>
          </w:tcPr>
          <w:p w14:paraId="73EA7684" w14:textId="77777777" w:rsidR="00D34C6F" w:rsidRPr="00F9037E" w:rsidRDefault="00D34C6F" w:rsidP="00C05C97">
            <w:pPr>
              <w:spacing w:before="120" w:after="120"/>
              <w:jc w:val="center"/>
              <w:rPr>
                <w:b/>
                <w:color w:val="auto"/>
                <w:sz w:val="10"/>
                <w:szCs w:val="10"/>
              </w:rPr>
            </w:pPr>
          </w:p>
        </w:tc>
        <w:tc>
          <w:tcPr>
            <w:tcW w:w="567" w:type="dxa"/>
            <w:vAlign w:val="center"/>
          </w:tcPr>
          <w:p w14:paraId="04D19154" w14:textId="77777777" w:rsidR="00D34C6F" w:rsidRPr="00F9037E" w:rsidRDefault="00D34C6F" w:rsidP="00C05C97">
            <w:pPr>
              <w:spacing w:before="120" w:after="120"/>
              <w:jc w:val="center"/>
              <w:rPr>
                <w:b/>
                <w:color w:val="auto"/>
                <w:sz w:val="10"/>
                <w:szCs w:val="10"/>
              </w:rPr>
            </w:pPr>
          </w:p>
        </w:tc>
      </w:tr>
      <w:tr w:rsidR="00D34C6F" w:rsidRPr="00F9037E" w14:paraId="2183EEFE" w14:textId="77777777" w:rsidTr="00C05C97">
        <w:trPr>
          <w:trHeight w:val="915"/>
          <w:jc w:val="center"/>
        </w:trPr>
        <w:tc>
          <w:tcPr>
            <w:tcW w:w="662" w:type="dxa"/>
            <w:shd w:val="clear" w:color="auto" w:fill="auto"/>
            <w:vAlign w:val="center"/>
          </w:tcPr>
          <w:p w14:paraId="657F6C8B" w14:textId="77777777" w:rsidR="00D34C6F" w:rsidRPr="00F9037E" w:rsidRDefault="00D34C6F" w:rsidP="00C05C97">
            <w:pPr>
              <w:spacing w:before="120" w:after="120"/>
              <w:rPr>
                <w:color w:val="auto"/>
                <w:sz w:val="12"/>
                <w:szCs w:val="12"/>
              </w:rPr>
            </w:pPr>
            <w:r w:rsidRPr="00F9037E">
              <w:rPr>
                <w:color w:val="auto"/>
                <w:sz w:val="12"/>
                <w:szCs w:val="12"/>
              </w:rPr>
              <w:t>UK</w:t>
            </w:r>
          </w:p>
        </w:tc>
        <w:tc>
          <w:tcPr>
            <w:tcW w:w="824" w:type="dxa"/>
            <w:shd w:val="clear" w:color="auto" w:fill="auto"/>
            <w:vAlign w:val="center"/>
          </w:tcPr>
          <w:p w14:paraId="64740BE7" w14:textId="77777777" w:rsidR="00D34C6F" w:rsidRPr="00F9037E" w:rsidRDefault="00D34C6F" w:rsidP="00C05C97">
            <w:pPr>
              <w:spacing w:before="120" w:after="120"/>
              <w:rPr>
                <w:color w:val="auto"/>
                <w:sz w:val="12"/>
                <w:szCs w:val="12"/>
              </w:rPr>
            </w:pPr>
            <w:r w:rsidRPr="00F9037E">
              <w:rPr>
                <w:color w:val="auto"/>
                <w:sz w:val="12"/>
                <w:szCs w:val="12"/>
              </w:rPr>
              <w:t>Strawberry (&amp; raspberry in 2005)</w:t>
            </w:r>
          </w:p>
        </w:tc>
        <w:tc>
          <w:tcPr>
            <w:tcW w:w="708" w:type="dxa"/>
            <w:shd w:val="clear" w:color="auto" w:fill="auto"/>
            <w:vAlign w:val="center"/>
          </w:tcPr>
          <w:p w14:paraId="52F97CFA" w14:textId="77777777" w:rsidR="00D34C6F" w:rsidRPr="00F9037E" w:rsidRDefault="00D34C6F" w:rsidP="00C05C97">
            <w:pPr>
              <w:spacing w:before="120" w:after="120"/>
              <w:jc w:val="center"/>
              <w:rPr>
                <w:color w:val="auto"/>
                <w:sz w:val="10"/>
                <w:szCs w:val="10"/>
              </w:rPr>
            </w:pPr>
            <w:r w:rsidRPr="00F9037E">
              <w:rPr>
                <w:color w:val="auto"/>
                <w:sz w:val="10"/>
                <w:szCs w:val="10"/>
              </w:rPr>
              <w:t>80.000</w:t>
            </w:r>
          </w:p>
        </w:tc>
        <w:tc>
          <w:tcPr>
            <w:tcW w:w="709" w:type="dxa"/>
            <w:shd w:val="clear" w:color="auto" w:fill="auto"/>
            <w:vAlign w:val="center"/>
          </w:tcPr>
          <w:p w14:paraId="483C576A" w14:textId="77777777" w:rsidR="00D34C6F" w:rsidRPr="00F9037E" w:rsidRDefault="00D34C6F" w:rsidP="00C05C97">
            <w:pPr>
              <w:spacing w:before="120" w:after="120"/>
              <w:jc w:val="center"/>
              <w:rPr>
                <w:color w:val="auto"/>
                <w:sz w:val="10"/>
                <w:szCs w:val="10"/>
              </w:rPr>
            </w:pPr>
            <w:r w:rsidRPr="00F9037E">
              <w:rPr>
                <w:color w:val="auto"/>
                <w:sz w:val="10"/>
                <w:szCs w:val="10"/>
              </w:rPr>
              <w:t>63.600</w:t>
            </w:r>
          </w:p>
        </w:tc>
        <w:tc>
          <w:tcPr>
            <w:tcW w:w="709" w:type="dxa"/>
            <w:shd w:val="clear" w:color="auto" w:fill="auto"/>
            <w:vAlign w:val="center"/>
          </w:tcPr>
          <w:p w14:paraId="4DF25A1E" w14:textId="2EB9A3B2"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5781E38" w14:textId="22C9B291"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4C2C24B5" w14:textId="2ED4226B"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4890FD7" w14:textId="1B393020"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29318E03" w14:textId="7BF7F983"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D21D9EF" w14:textId="732C1823"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6B2A5A7" w14:textId="7DA6F929" w:rsidR="00D34C6F" w:rsidRPr="00F9037E" w:rsidRDefault="00D34C6F" w:rsidP="00C05C97">
            <w:pPr>
              <w:spacing w:before="120" w:after="120"/>
              <w:jc w:val="center"/>
              <w:rPr>
                <w:color w:val="auto"/>
                <w:sz w:val="10"/>
                <w:szCs w:val="10"/>
              </w:rPr>
            </w:pPr>
          </w:p>
        </w:tc>
        <w:tc>
          <w:tcPr>
            <w:tcW w:w="629" w:type="dxa"/>
            <w:vAlign w:val="center"/>
          </w:tcPr>
          <w:p w14:paraId="4E89CD03" w14:textId="77777777" w:rsidR="00D34C6F" w:rsidRPr="00F9037E" w:rsidRDefault="00D34C6F" w:rsidP="00C05C97">
            <w:pPr>
              <w:spacing w:before="120" w:after="120"/>
              <w:jc w:val="center"/>
              <w:rPr>
                <w:color w:val="auto"/>
                <w:sz w:val="10"/>
                <w:szCs w:val="10"/>
              </w:rPr>
            </w:pPr>
          </w:p>
        </w:tc>
        <w:tc>
          <w:tcPr>
            <w:tcW w:w="567" w:type="dxa"/>
            <w:vAlign w:val="center"/>
          </w:tcPr>
          <w:p w14:paraId="178AC1A9" w14:textId="77777777" w:rsidR="00D34C6F" w:rsidRPr="00F9037E" w:rsidRDefault="00D34C6F" w:rsidP="00C05C97">
            <w:pPr>
              <w:spacing w:before="120" w:after="120"/>
              <w:jc w:val="center"/>
              <w:rPr>
                <w:color w:val="auto"/>
                <w:sz w:val="10"/>
                <w:szCs w:val="10"/>
              </w:rPr>
            </w:pPr>
          </w:p>
        </w:tc>
        <w:tc>
          <w:tcPr>
            <w:tcW w:w="567" w:type="dxa"/>
            <w:vAlign w:val="center"/>
          </w:tcPr>
          <w:p w14:paraId="41343481"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0ACF16FA" w14:textId="77777777" w:rsidR="00D34C6F" w:rsidRPr="00F9037E" w:rsidRDefault="00D34C6F" w:rsidP="00C05C97">
            <w:pPr>
              <w:spacing w:before="120" w:after="120"/>
              <w:jc w:val="center"/>
              <w:rPr>
                <w:color w:val="auto"/>
                <w:sz w:val="10"/>
                <w:szCs w:val="10"/>
              </w:rPr>
            </w:pPr>
            <w:r w:rsidRPr="00F9037E">
              <w:rPr>
                <w:color w:val="auto"/>
                <w:sz w:val="10"/>
                <w:szCs w:val="10"/>
              </w:rPr>
              <w:t>68.000</w:t>
            </w:r>
          </w:p>
        </w:tc>
        <w:tc>
          <w:tcPr>
            <w:tcW w:w="709" w:type="dxa"/>
            <w:shd w:val="clear" w:color="auto" w:fill="auto"/>
            <w:vAlign w:val="center"/>
          </w:tcPr>
          <w:p w14:paraId="45B12DB1" w14:textId="77777777" w:rsidR="00D34C6F" w:rsidRPr="00F9037E" w:rsidRDefault="00D34C6F" w:rsidP="00C05C97">
            <w:pPr>
              <w:spacing w:before="120" w:after="120"/>
              <w:jc w:val="center"/>
              <w:rPr>
                <w:color w:val="auto"/>
                <w:sz w:val="10"/>
                <w:szCs w:val="10"/>
              </w:rPr>
            </w:pPr>
            <w:r w:rsidRPr="00F9037E">
              <w:rPr>
                <w:color w:val="auto"/>
                <w:sz w:val="10"/>
                <w:szCs w:val="10"/>
              </w:rPr>
              <w:t>54.500</w:t>
            </w:r>
          </w:p>
        </w:tc>
        <w:tc>
          <w:tcPr>
            <w:tcW w:w="708" w:type="dxa"/>
            <w:shd w:val="clear" w:color="auto" w:fill="auto"/>
            <w:vAlign w:val="center"/>
          </w:tcPr>
          <w:p w14:paraId="3932B3F8" w14:textId="09B1A33E"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692F14AC" w14:textId="7ED0330C"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E38F3AF" w14:textId="1443560A"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79E95B4F" w14:textId="764868B7"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860E4A2" w14:textId="52E61F54"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082FC2F1" w14:textId="614CB41A" w:rsidR="00D34C6F" w:rsidRPr="00F9037E" w:rsidRDefault="00D34C6F" w:rsidP="00C05C97">
            <w:pPr>
              <w:spacing w:before="120" w:after="120"/>
              <w:jc w:val="center"/>
              <w:rPr>
                <w:b/>
                <w:color w:val="auto"/>
                <w:sz w:val="10"/>
                <w:szCs w:val="10"/>
              </w:rPr>
            </w:pPr>
          </w:p>
        </w:tc>
        <w:tc>
          <w:tcPr>
            <w:tcW w:w="567" w:type="dxa"/>
            <w:vAlign w:val="center"/>
          </w:tcPr>
          <w:p w14:paraId="2B5651D9" w14:textId="77777777" w:rsidR="00D34C6F" w:rsidRPr="00F9037E" w:rsidRDefault="00D34C6F" w:rsidP="00C05C97">
            <w:pPr>
              <w:spacing w:before="120" w:after="120"/>
              <w:jc w:val="center"/>
              <w:rPr>
                <w:b/>
                <w:color w:val="auto"/>
                <w:sz w:val="10"/>
                <w:szCs w:val="10"/>
              </w:rPr>
            </w:pPr>
          </w:p>
        </w:tc>
        <w:tc>
          <w:tcPr>
            <w:tcW w:w="567" w:type="dxa"/>
            <w:vAlign w:val="center"/>
          </w:tcPr>
          <w:p w14:paraId="298EB173" w14:textId="77777777" w:rsidR="00D34C6F" w:rsidRPr="00F9037E" w:rsidRDefault="00D34C6F" w:rsidP="00C05C97">
            <w:pPr>
              <w:spacing w:before="120" w:after="120"/>
              <w:jc w:val="center"/>
              <w:rPr>
                <w:b/>
                <w:color w:val="auto"/>
                <w:sz w:val="10"/>
                <w:szCs w:val="10"/>
              </w:rPr>
            </w:pPr>
          </w:p>
        </w:tc>
        <w:tc>
          <w:tcPr>
            <w:tcW w:w="567" w:type="dxa"/>
            <w:vAlign w:val="center"/>
          </w:tcPr>
          <w:p w14:paraId="623A446B" w14:textId="77777777" w:rsidR="00D34C6F" w:rsidRPr="00F9037E" w:rsidRDefault="00D34C6F" w:rsidP="00C05C97">
            <w:pPr>
              <w:spacing w:before="120" w:after="120"/>
              <w:jc w:val="center"/>
              <w:rPr>
                <w:b/>
                <w:color w:val="auto"/>
                <w:sz w:val="10"/>
                <w:szCs w:val="10"/>
              </w:rPr>
            </w:pPr>
          </w:p>
        </w:tc>
        <w:tc>
          <w:tcPr>
            <w:tcW w:w="567" w:type="dxa"/>
            <w:vAlign w:val="center"/>
          </w:tcPr>
          <w:p w14:paraId="705FAD30" w14:textId="77777777" w:rsidR="00D34C6F" w:rsidRPr="00F9037E" w:rsidRDefault="00D34C6F" w:rsidP="00C05C97">
            <w:pPr>
              <w:spacing w:before="120" w:after="120"/>
              <w:jc w:val="center"/>
              <w:rPr>
                <w:b/>
                <w:color w:val="auto"/>
                <w:sz w:val="10"/>
                <w:szCs w:val="10"/>
              </w:rPr>
            </w:pPr>
          </w:p>
        </w:tc>
      </w:tr>
      <w:tr w:rsidR="00D34C6F" w:rsidRPr="00F9037E" w14:paraId="1CAD7893" w14:textId="77777777" w:rsidTr="00C05C97">
        <w:trPr>
          <w:trHeight w:val="465"/>
          <w:jc w:val="center"/>
        </w:trPr>
        <w:tc>
          <w:tcPr>
            <w:tcW w:w="662" w:type="dxa"/>
            <w:shd w:val="clear" w:color="auto" w:fill="auto"/>
            <w:vAlign w:val="center"/>
          </w:tcPr>
          <w:p w14:paraId="5D74571F" w14:textId="77777777" w:rsidR="00D34C6F" w:rsidRPr="00F9037E" w:rsidRDefault="00D34C6F" w:rsidP="00C05C97">
            <w:pPr>
              <w:spacing w:before="120" w:after="120"/>
              <w:rPr>
                <w:color w:val="auto"/>
                <w:sz w:val="12"/>
                <w:szCs w:val="12"/>
              </w:rPr>
            </w:pPr>
            <w:r w:rsidRPr="00F9037E">
              <w:rPr>
                <w:color w:val="auto"/>
                <w:sz w:val="12"/>
                <w:szCs w:val="12"/>
              </w:rPr>
              <w:t>UK</w:t>
            </w:r>
          </w:p>
        </w:tc>
        <w:tc>
          <w:tcPr>
            <w:tcW w:w="824" w:type="dxa"/>
            <w:shd w:val="clear" w:color="auto" w:fill="auto"/>
            <w:vAlign w:val="center"/>
          </w:tcPr>
          <w:p w14:paraId="533F19BA" w14:textId="77777777" w:rsidR="00D34C6F" w:rsidRPr="00F9037E" w:rsidRDefault="00D34C6F" w:rsidP="00C05C97">
            <w:pPr>
              <w:spacing w:before="120" w:after="120"/>
              <w:rPr>
                <w:color w:val="auto"/>
                <w:sz w:val="12"/>
                <w:szCs w:val="12"/>
              </w:rPr>
            </w:pPr>
            <w:r w:rsidRPr="00F9037E">
              <w:rPr>
                <w:color w:val="auto"/>
                <w:sz w:val="12"/>
                <w:szCs w:val="12"/>
              </w:rPr>
              <w:t>Raspberry nursery</w:t>
            </w:r>
          </w:p>
        </w:tc>
        <w:tc>
          <w:tcPr>
            <w:tcW w:w="708" w:type="dxa"/>
            <w:shd w:val="clear" w:color="auto" w:fill="auto"/>
            <w:vAlign w:val="center"/>
          </w:tcPr>
          <w:p w14:paraId="36CAC9C4" w14:textId="56A63A70"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1CAB2BD6" w14:textId="77777777" w:rsidR="00D34C6F" w:rsidRPr="00F9037E" w:rsidRDefault="00D34C6F" w:rsidP="00C05C97">
            <w:pPr>
              <w:spacing w:before="120" w:after="120"/>
              <w:jc w:val="center"/>
              <w:rPr>
                <w:color w:val="auto"/>
                <w:sz w:val="10"/>
                <w:szCs w:val="10"/>
              </w:rPr>
            </w:pPr>
            <w:r w:rsidRPr="00F9037E">
              <w:rPr>
                <w:color w:val="auto"/>
                <w:sz w:val="10"/>
                <w:szCs w:val="10"/>
              </w:rPr>
              <w:t>4.400</w:t>
            </w:r>
          </w:p>
        </w:tc>
        <w:tc>
          <w:tcPr>
            <w:tcW w:w="709" w:type="dxa"/>
            <w:shd w:val="clear" w:color="auto" w:fill="auto"/>
            <w:vAlign w:val="center"/>
          </w:tcPr>
          <w:p w14:paraId="6DBD7D17" w14:textId="421CB13B"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974DF15" w14:textId="61C7F66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339EE8B2" w14:textId="4F44C2AE"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7251B3C0" w14:textId="1BED7151"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4369CAB4" w14:textId="7F20FDAC"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C924244" w14:textId="2FB0BA1A"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2205139B" w14:textId="29E052A2" w:rsidR="00D34C6F" w:rsidRPr="00F9037E" w:rsidRDefault="00D34C6F" w:rsidP="00C05C97">
            <w:pPr>
              <w:spacing w:before="120" w:after="120"/>
              <w:jc w:val="center"/>
              <w:rPr>
                <w:color w:val="auto"/>
                <w:sz w:val="10"/>
                <w:szCs w:val="10"/>
              </w:rPr>
            </w:pPr>
          </w:p>
        </w:tc>
        <w:tc>
          <w:tcPr>
            <w:tcW w:w="629" w:type="dxa"/>
            <w:vAlign w:val="center"/>
          </w:tcPr>
          <w:p w14:paraId="37CDE02D" w14:textId="77777777" w:rsidR="00D34C6F" w:rsidRPr="00F9037E" w:rsidRDefault="00D34C6F" w:rsidP="00C05C97">
            <w:pPr>
              <w:spacing w:before="120" w:after="120"/>
              <w:jc w:val="center"/>
              <w:rPr>
                <w:color w:val="auto"/>
                <w:sz w:val="10"/>
                <w:szCs w:val="10"/>
              </w:rPr>
            </w:pPr>
          </w:p>
        </w:tc>
        <w:tc>
          <w:tcPr>
            <w:tcW w:w="567" w:type="dxa"/>
            <w:vAlign w:val="center"/>
          </w:tcPr>
          <w:p w14:paraId="701DE108" w14:textId="77777777" w:rsidR="00D34C6F" w:rsidRPr="00F9037E" w:rsidRDefault="00D34C6F" w:rsidP="00C05C97">
            <w:pPr>
              <w:spacing w:before="120" w:after="120"/>
              <w:jc w:val="center"/>
              <w:rPr>
                <w:color w:val="auto"/>
                <w:sz w:val="10"/>
                <w:szCs w:val="10"/>
              </w:rPr>
            </w:pPr>
          </w:p>
        </w:tc>
        <w:tc>
          <w:tcPr>
            <w:tcW w:w="567" w:type="dxa"/>
            <w:vAlign w:val="center"/>
          </w:tcPr>
          <w:p w14:paraId="454EE312"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7E6A0A6B" w14:textId="77777777" w:rsidR="00D34C6F" w:rsidRPr="00F9037E" w:rsidRDefault="00D34C6F" w:rsidP="00C05C97">
            <w:pPr>
              <w:spacing w:before="120" w:after="120"/>
              <w:jc w:val="center"/>
              <w:rPr>
                <w:color w:val="auto"/>
                <w:sz w:val="10"/>
                <w:szCs w:val="10"/>
              </w:rPr>
            </w:pPr>
            <w:r w:rsidRPr="00F9037E">
              <w:rPr>
                <w:color w:val="auto"/>
                <w:sz w:val="10"/>
                <w:szCs w:val="10"/>
              </w:rPr>
              <w:t>4.400</w:t>
            </w:r>
          </w:p>
        </w:tc>
        <w:tc>
          <w:tcPr>
            <w:tcW w:w="709" w:type="dxa"/>
            <w:shd w:val="clear" w:color="auto" w:fill="auto"/>
            <w:vAlign w:val="center"/>
          </w:tcPr>
          <w:p w14:paraId="451EA5C1" w14:textId="77777777" w:rsidR="00D34C6F" w:rsidRPr="00F9037E" w:rsidRDefault="00D34C6F" w:rsidP="00C05C97">
            <w:pPr>
              <w:spacing w:before="120" w:after="120"/>
              <w:jc w:val="center"/>
              <w:rPr>
                <w:color w:val="auto"/>
                <w:sz w:val="10"/>
                <w:szCs w:val="10"/>
              </w:rPr>
            </w:pPr>
            <w:r w:rsidRPr="00F9037E">
              <w:rPr>
                <w:color w:val="auto"/>
                <w:sz w:val="10"/>
                <w:szCs w:val="10"/>
              </w:rPr>
              <w:t>54.500</w:t>
            </w:r>
          </w:p>
        </w:tc>
        <w:tc>
          <w:tcPr>
            <w:tcW w:w="708" w:type="dxa"/>
            <w:shd w:val="clear" w:color="auto" w:fill="auto"/>
            <w:vAlign w:val="center"/>
          </w:tcPr>
          <w:p w14:paraId="43C9B2C2" w14:textId="1DCEECDE"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2BDB878E" w14:textId="2661B639"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FEC2C94" w14:textId="0D987DAE"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4276E303" w14:textId="2E1A2EF0"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5EFBB3C" w14:textId="3D8785E7"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38EEE223" w14:textId="1328CB28" w:rsidR="00D34C6F" w:rsidRPr="00F9037E" w:rsidRDefault="00D34C6F" w:rsidP="00C05C97">
            <w:pPr>
              <w:spacing w:before="120" w:after="120"/>
              <w:jc w:val="center"/>
              <w:rPr>
                <w:b/>
                <w:color w:val="auto"/>
                <w:sz w:val="10"/>
                <w:szCs w:val="10"/>
              </w:rPr>
            </w:pPr>
          </w:p>
        </w:tc>
        <w:tc>
          <w:tcPr>
            <w:tcW w:w="567" w:type="dxa"/>
            <w:vAlign w:val="center"/>
          </w:tcPr>
          <w:p w14:paraId="3F661D6D" w14:textId="77777777" w:rsidR="00D34C6F" w:rsidRPr="00F9037E" w:rsidRDefault="00D34C6F" w:rsidP="00C05C97">
            <w:pPr>
              <w:spacing w:before="120" w:after="120"/>
              <w:jc w:val="center"/>
              <w:rPr>
                <w:b/>
                <w:color w:val="auto"/>
                <w:sz w:val="10"/>
                <w:szCs w:val="10"/>
              </w:rPr>
            </w:pPr>
          </w:p>
        </w:tc>
        <w:tc>
          <w:tcPr>
            <w:tcW w:w="567" w:type="dxa"/>
            <w:vAlign w:val="center"/>
          </w:tcPr>
          <w:p w14:paraId="4B83A7BA" w14:textId="77777777" w:rsidR="00D34C6F" w:rsidRPr="00F9037E" w:rsidRDefault="00D34C6F" w:rsidP="00C05C97">
            <w:pPr>
              <w:spacing w:before="120" w:after="120"/>
              <w:jc w:val="center"/>
              <w:rPr>
                <w:b/>
                <w:color w:val="auto"/>
                <w:sz w:val="10"/>
                <w:szCs w:val="10"/>
              </w:rPr>
            </w:pPr>
          </w:p>
        </w:tc>
        <w:tc>
          <w:tcPr>
            <w:tcW w:w="567" w:type="dxa"/>
            <w:vAlign w:val="center"/>
          </w:tcPr>
          <w:p w14:paraId="14C66F34" w14:textId="77777777" w:rsidR="00D34C6F" w:rsidRPr="00F9037E" w:rsidRDefault="00D34C6F" w:rsidP="00C05C97">
            <w:pPr>
              <w:spacing w:before="120" w:after="120"/>
              <w:jc w:val="center"/>
              <w:rPr>
                <w:b/>
                <w:color w:val="auto"/>
                <w:sz w:val="10"/>
                <w:szCs w:val="10"/>
              </w:rPr>
            </w:pPr>
          </w:p>
        </w:tc>
        <w:tc>
          <w:tcPr>
            <w:tcW w:w="567" w:type="dxa"/>
            <w:vAlign w:val="center"/>
          </w:tcPr>
          <w:p w14:paraId="1BA4CF32" w14:textId="77777777" w:rsidR="00D34C6F" w:rsidRPr="00F9037E" w:rsidRDefault="00D34C6F" w:rsidP="00C05C97">
            <w:pPr>
              <w:spacing w:before="120" w:after="120"/>
              <w:jc w:val="center"/>
              <w:rPr>
                <w:b/>
                <w:color w:val="auto"/>
                <w:sz w:val="10"/>
                <w:szCs w:val="10"/>
              </w:rPr>
            </w:pPr>
          </w:p>
        </w:tc>
      </w:tr>
      <w:tr w:rsidR="00D34C6F" w:rsidRPr="00F9037E" w14:paraId="5C877308" w14:textId="77777777" w:rsidTr="00C05C97">
        <w:trPr>
          <w:trHeight w:val="690"/>
          <w:jc w:val="center"/>
        </w:trPr>
        <w:tc>
          <w:tcPr>
            <w:tcW w:w="662" w:type="dxa"/>
            <w:shd w:val="clear" w:color="auto" w:fill="auto"/>
            <w:vAlign w:val="center"/>
          </w:tcPr>
          <w:p w14:paraId="45F756D9" w14:textId="77777777" w:rsidR="00D34C6F" w:rsidRPr="00F9037E" w:rsidRDefault="00D34C6F" w:rsidP="00C05C97">
            <w:pPr>
              <w:spacing w:before="120" w:after="120"/>
              <w:rPr>
                <w:color w:val="auto"/>
                <w:sz w:val="12"/>
                <w:szCs w:val="12"/>
              </w:rPr>
            </w:pPr>
            <w:r w:rsidRPr="00F9037E">
              <w:rPr>
                <w:color w:val="auto"/>
                <w:sz w:val="12"/>
                <w:szCs w:val="12"/>
              </w:rPr>
              <w:t>USA</w:t>
            </w:r>
          </w:p>
        </w:tc>
        <w:tc>
          <w:tcPr>
            <w:tcW w:w="824" w:type="dxa"/>
            <w:shd w:val="clear" w:color="auto" w:fill="auto"/>
            <w:vAlign w:val="center"/>
          </w:tcPr>
          <w:p w14:paraId="3CCBAC8E" w14:textId="77777777" w:rsidR="00D34C6F" w:rsidRPr="00F9037E" w:rsidRDefault="00D34C6F" w:rsidP="00C05C97">
            <w:pPr>
              <w:spacing w:before="120" w:after="120"/>
              <w:rPr>
                <w:color w:val="auto"/>
                <w:sz w:val="12"/>
                <w:szCs w:val="12"/>
              </w:rPr>
            </w:pPr>
            <w:proofErr w:type="spellStart"/>
            <w:r w:rsidRPr="00F9037E">
              <w:rPr>
                <w:color w:val="auto"/>
                <w:sz w:val="12"/>
                <w:szCs w:val="12"/>
              </w:rPr>
              <w:t>Chrys</w:t>
            </w:r>
            <w:proofErr w:type="spellEnd"/>
            <w:r w:rsidRPr="00F9037E">
              <w:rPr>
                <w:color w:val="auto"/>
                <w:sz w:val="12"/>
                <w:szCs w:val="12"/>
              </w:rPr>
              <w:t>. Cuttings/roses</w:t>
            </w:r>
          </w:p>
        </w:tc>
        <w:tc>
          <w:tcPr>
            <w:tcW w:w="708" w:type="dxa"/>
            <w:shd w:val="clear" w:color="auto" w:fill="auto"/>
            <w:vAlign w:val="center"/>
          </w:tcPr>
          <w:p w14:paraId="6CA7A8BD" w14:textId="77777777" w:rsidR="00D34C6F" w:rsidRPr="00F9037E" w:rsidRDefault="00D34C6F" w:rsidP="00C05C97">
            <w:pPr>
              <w:spacing w:before="120" w:after="120"/>
              <w:jc w:val="center"/>
              <w:rPr>
                <w:color w:val="auto"/>
                <w:sz w:val="10"/>
                <w:szCs w:val="10"/>
              </w:rPr>
            </w:pPr>
            <w:r w:rsidRPr="00F9037E">
              <w:rPr>
                <w:color w:val="auto"/>
                <w:sz w:val="10"/>
                <w:szCs w:val="10"/>
              </w:rPr>
              <w:t>29.412</w:t>
            </w:r>
          </w:p>
        </w:tc>
        <w:tc>
          <w:tcPr>
            <w:tcW w:w="709" w:type="dxa"/>
            <w:shd w:val="clear" w:color="auto" w:fill="auto"/>
            <w:vAlign w:val="center"/>
          </w:tcPr>
          <w:p w14:paraId="77013CBD" w14:textId="1F068803"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05841606" w14:textId="589CA3B2"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374DA54B" w14:textId="0C40BDE2"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38CB022B" w14:textId="2AC12EE4"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F1EEFE1" w14:textId="5030A59D"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40E576C9" w14:textId="754E4821"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3E0AD403" w14:textId="573220DC"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0744C82" w14:textId="39236FF7" w:rsidR="00D34C6F" w:rsidRPr="00F9037E" w:rsidRDefault="00D34C6F" w:rsidP="00C05C97">
            <w:pPr>
              <w:spacing w:before="120" w:after="120"/>
              <w:jc w:val="center"/>
              <w:rPr>
                <w:color w:val="auto"/>
                <w:sz w:val="10"/>
                <w:szCs w:val="10"/>
              </w:rPr>
            </w:pPr>
          </w:p>
        </w:tc>
        <w:tc>
          <w:tcPr>
            <w:tcW w:w="629" w:type="dxa"/>
            <w:vAlign w:val="center"/>
          </w:tcPr>
          <w:p w14:paraId="48A7F3C3" w14:textId="77777777" w:rsidR="00D34C6F" w:rsidRPr="00F9037E" w:rsidRDefault="00D34C6F" w:rsidP="00C05C97">
            <w:pPr>
              <w:spacing w:before="120" w:after="120"/>
              <w:jc w:val="center"/>
              <w:rPr>
                <w:color w:val="auto"/>
                <w:sz w:val="10"/>
                <w:szCs w:val="10"/>
              </w:rPr>
            </w:pPr>
          </w:p>
        </w:tc>
        <w:tc>
          <w:tcPr>
            <w:tcW w:w="567" w:type="dxa"/>
            <w:vAlign w:val="center"/>
          </w:tcPr>
          <w:p w14:paraId="6E3F6630" w14:textId="77777777" w:rsidR="00D34C6F" w:rsidRPr="00F9037E" w:rsidRDefault="00D34C6F" w:rsidP="00C05C97">
            <w:pPr>
              <w:spacing w:before="120" w:after="120"/>
              <w:jc w:val="center"/>
              <w:rPr>
                <w:color w:val="auto"/>
                <w:sz w:val="10"/>
                <w:szCs w:val="10"/>
              </w:rPr>
            </w:pPr>
          </w:p>
        </w:tc>
        <w:tc>
          <w:tcPr>
            <w:tcW w:w="567" w:type="dxa"/>
            <w:vAlign w:val="center"/>
          </w:tcPr>
          <w:p w14:paraId="1140444A"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6988804E" w14:textId="77777777" w:rsidR="00D34C6F" w:rsidRPr="00F9037E" w:rsidRDefault="00D34C6F" w:rsidP="00C05C97">
            <w:pPr>
              <w:spacing w:before="120" w:after="120"/>
              <w:jc w:val="center"/>
              <w:rPr>
                <w:color w:val="auto"/>
                <w:sz w:val="10"/>
                <w:szCs w:val="10"/>
              </w:rPr>
            </w:pPr>
            <w:r w:rsidRPr="00F9037E">
              <w:rPr>
                <w:color w:val="auto"/>
                <w:sz w:val="10"/>
                <w:szCs w:val="10"/>
              </w:rPr>
              <w:t>29.412</w:t>
            </w:r>
          </w:p>
        </w:tc>
        <w:tc>
          <w:tcPr>
            <w:tcW w:w="709" w:type="dxa"/>
            <w:shd w:val="clear" w:color="auto" w:fill="auto"/>
            <w:vAlign w:val="center"/>
          </w:tcPr>
          <w:p w14:paraId="34AF1DBB" w14:textId="77777777" w:rsidR="00D34C6F" w:rsidRPr="00F9037E" w:rsidRDefault="00D34C6F" w:rsidP="00C05C97">
            <w:pPr>
              <w:spacing w:before="120" w:after="120"/>
              <w:jc w:val="center"/>
              <w:rPr>
                <w:color w:val="auto"/>
                <w:sz w:val="10"/>
                <w:szCs w:val="10"/>
              </w:rPr>
            </w:pPr>
            <w:r w:rsidRPr="00F9037E">
              <w:rPr>
                <w:color w:val="auto"/>
                <w:sz w:val="10"/>
                <w:szCs w:val="10"/>
              </w:rPr>
              <w:t>0</w:t>
            </w:r>
          </w:p>
        </w:tc>
        <w:tc>
          <w:tcPr>
            <w:tcW w:w="708" w:type="dxa"/>
            <w:shd w:val="clear" w:color="auto" w:fill="auto"/>
            <w:vAlign w:val="center"/>
          </w:tcPr>
          <w:p w14:paraId="3D147044" w14:textId="1F8B1A9E"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5423B8AB" w14:textId="3688E89B"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79705B66" w14:textId="3D50478B"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666F4BBE" w14:textId="4BD5730A"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6B9A33F" w14:textId="56AB34C7"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2AB87EF4" w14:textId="01149096" w:rsidR="00D34C6F" w:rsidRPr="00F9037E" w:rsidRDefault="00D34C6F" w:rsidP="00C05C97">
            <w:pPr>
              <w:spacing w:before="120" w:after="120"/>
              <w:jc w:val="center"/>
              <w:rPr>
                <w:b/>
                <w:color w:val="auto"/>
                <w:sz w:val="10"/>
                <w:szCs w:val="10"/>
              </w:rPr>
            </w:pPr>
          </w:p>
        </w:tc>
        <w:tc>
          <w:tcPr>
            <w:tcW w:w="567" w:type="dxa"/>
            <w:vAlign w:val="center"/>
          </w:tcPr>
          <w:p w14:paraId="02EB3308" w14:textId="77777777" w:rsidR="00D34C6F" w:rsidRPr="00F9037E" w:rsidRDefault="00D34C6F" w:rsidP="00C05C97">
            <w:pPr>
              <w:spacing w:before="120" w:after="120"/>
              <w:jc w:val="center"/>
              <w:rPr>
                <w:b/>
                <w:color w:val="auto"/>
                <w:sz w:val="10"/>
                <w:szCs w:val="10"/>
              </w:rPr>
            </w:pPr>
          </w:p>
        </w:tc>
        <w:tc>
          <w:tcPr>
            <w:tcW w:w="567" w:type="dxa"/>
            <w:vAlign w:val="center"/>
          </w:tcPr>
          <w:p w14:paraId="14116BF6" w14:textId="77777777" w:rsidR="00D34C6F" w:rsidRPr="00F9037E" w:rsidRDefault="00D34C6F" w:rsidP="00C05C97">
            <w:pPr>
              <w:spacing w:before="120" w:after="120"/>
              <w:jc w:val="center"/>
              <w:rPr>
                <w:b/>
                <w:color w:val="auto"/>
                <w:sz w:val="10"/>
                <w:szCs w:val="10"/>
              </w:rPr>
            </w:pPr>
          </w:p>
        </w:tc>
        <w:tc>
          <w:tcPr>
            <w:tcW w:w="567" w:type="dxa"/>
            <w:vAlign w:val="center"/>
          </w:tcPr>
          <w:p w14:paraId="7B677CBB" w14:textId="77777777" w:rsidR="00D34C6F" w:rsidRPr="00F9037E" w:rsidRDefault="00D34C6F" w:rsidP="00C05C97">
            <w:pPr>
              <w:spacing w:before="120" w:after="120"/>
              <w:jc w:val="center"/>
              <w:rPr>
                <w:b/>
                <w:color w:val="auto"/>
                <w:sz w:val="10"/>
                <w:szCs w:val="10"/>
              </w:rPr>
            </w:pPr>
          </w:p>
        </w:tc>
        <w:tc>
          <w:tcPr>
            <w:tcW w:w="567" w:type="dxa"/>
            <w:vAlign w:val="center"/>
          </w:tcPr>
          <w:p w14:paraId="4C2903E6" w14:textId="77777777" w:rsidR="00D34C6F" w:rsidRPr="00F9037E" w:rsidRDefault="00D34C6F" w:rsidP="00C05C97">
            <w:pPr>
              <w:spacing w:before="120" w:after="120"/>
              <w:jc w:val="center"/>
              <w:rPr>
                <w:b/>
                <w:color w:val="auto"/>
                <w:sz w:val="10"/>
                <w:szCs w:val="10"/>
              </w:rPr>
            </w:pPr>
          </w:p>
        </w:tc>
      </w:tr>
      <w:tr w:rsidR="00D34C6F" w:rsidRPr="00F9037E" w14:paraId="42FD1727" w14:textId="77777777" w:rsidTr="00C05C97">
        <w:trPr>
          <w:trHeight w:val="465"/>
          <w:jc w:val="center"/>
        </w:trPr>
        <w:tc>
          <w:tcPr>
            <w:tcW w:w="662" w:type="dxa"/>
            <w:shd w:val="clear" w:color="auto" w:fill="auto"/>
            <w:vAlign w:val="center"/>
          </w:tcPr>
          <w:p w14:paraId="5354EA00" w14:textId="77777777" w:rsidR="00D34C6F" w:rsidRPr="00F9037E" w:rsidRDefault="00D34C6F" w:rsidP="00C05C97">
            <w:pPr>
              <w:spacing w:before="120" w:after="120"/>
              <w:rPr>
                <w:color w:val="auto"/>
                <w:sz w:val="12"/>
                <w:szCs w:val="12"/>
              </w:rPr>
            </w:pPr>
            <w:r w:rsidRPr="00F9037E">
              <w:rPr>
                <w:color w:val="auto"/>
                <w:sz w:val="12"/>
                <w:szCs w:val="12"/>
              </w:rPr>
              <w:t>USA</w:t>
            </w:r>
          </w:p>
        </w:tc>
        <w:tc>
          <w:tcPr>
            <w:tcW w:w="824" w:type="dxa"/>
            <w:shd w:val="clear" w:color="auto" w:fill="auto"/>
            <w:vAlign w:val="center"/>
          </w:tcPr>
          <w:p w14:paraId="7BA1D1A5" w14:textId="77777777" w:rsidR="00D34C6F" w:rsidRPr="00F9037E" w:rsidRDefault="00D34C6F" w:rsidP="00C05C97">
            <w:pPr>
              <w:spacing w:before="120" w:after="120"/>
              <w:rPr>
                <w:color w:val="auto"/>
                <w:sz w:val="12"/>
                <w:szCs w:val="12"/>
              </w:rPr>
            </w:pPr>
            <w:r w:rsidRPr="00F9037E">
              <w:rPr>
                <w:color w:val="auto"/>
                <w:sz w:val="12"/>
                <w:szCs w:val="12"/>
              </w:rPr>
              <w:t>Cucurbits – field</w:t>
            </w:r>
          </w:p>
        </w:tc>
        <w:tc>
          <w:tcPr>
            <w:tcW w:w="708" w:type="dxa"/>
            <w:shd w:val="clear" w:color="auto" w:fill="auto"/>
            <w:vAlign w:val="center"/>
          </w:tcPr>
          <w:p w14:paraId="09F4AA5F" w14:textId="77777777" w:rsidR="00D34C6F" w:rsidRPr="00F9037E" w:rsidRDefault="00D34C6F" w:rsidP="00C05C97">
            <w:pPr>
              <w:spacing w:before="120" w:after="120"/>
              <w:jc w:val="center"/>
              <w:rPr>
                <w:color w:val="auto"/>
                <w:sz w:val="10"/>
                <w:szCs w:val="10"/>
              </w:rPr>
            </w:pPr>
            <w:r w:rsidRPr="00F9037E">
              <w:rPr>
                <w:color w:val="auto"/>
                <w:sz w:val="10"/>
                <w:szCs w:val="10"/>
              </w:rPr>
              <w:t>1187.8</w:t>
            </w:r>
          </w:p>
        </w:tc>
        <w:tc>
          <w:tcPr>
            <w:tcW w:w="709" w:type="dxa"/>
            <w:shd w:val="clear" w:color="auto" w:fill="auto"/>
            <w:vAlign w:val="center"/>
          </w:tcPr>
          <w:p w14:paraId="0A38A2B5" w14:textId="77777777" w:rsidR="00D34C6F" w:rsidRPr="00F9037E" w:rsidRDefault="00D34C6F" w:rsidP="00C05C97">
            <w:pPr>
              <w:spacing w:before="120" w:after="120"/>
              <w:jc w:val="center"/>
              <w:rPr>
                <w:color w:val="auto"/>
                <w:sz w:val="10"/>
                <w:szCs w:val="10"/>
              </w:rPr>
            </w:pPr>
            <w:r w:rsidRPr="00F9037E">
              <w:rPr>
                <w:color w:val="auto"/>
                <w:sz w:val="10"/>
                <w:szCs w:val="10"/>
              </w:rPr>
              <w:t>747.839</w:t>
            </w:r>
          </w:p>
        </w:tc>
        <w:tc>
          <w:tcPr>
            <w:tcW w:w="709" w:type="dxa"/>
            <w:shd w:val="clear" w:color="auto" w:fill="auto"/>
            <w:vAlign w:val="center"/>
          </w:tcPr>
          <w:p w14:paraId="39C6A2F7" w14:textId="77777777" w:rsidR="00D34C6F" w:rsidRPr="00F9037E" w:rsidRDefault="00D34C6F" w:rsidP="00C05C97">
            <w:pPr>
              <w:spacing w:before="120" w:after="120"/>
              <w:jc w:val="center"/>
              <w:rPr>
                <w:color w:val="auto"/>
                <w:sz w:val="10"/>
                <w:szCs w:val="10"/>
              </w:rPr>
            </w:pPr>
            <w:r w:rsidRPr="00F9037E">
              <w:rPr>
                <w:color w:val="auto"/>
                <w:sz w:val="10"/>
                <w:szCs w:val="10"/>
              </w:rPr>
              <w:t>598.927</w:t>
            </w:r>
          </w:p>
        </w:tc>
        <w:tc>
          <w:tcPr>
            <w:tcW w:w="567" w:type="dxa"/>
            <w:shd w:val="clear" w:color="auto" w:fill="auto"/>
            <w:vAlign w:val="center"/>
          </w:tcPr>
          <w:p w14:paraId="1466B3D3" w14:textId="77777777" w:rsidR="00D34C6F" w:rsidRPr="00F9037E" w:rsidRDefault="00D34C6F" w:rsidP="00C05C97">
            <w:pPr>
              <w:spacing w:before="120" w:after="120"/>
              <w:jc w:val="center"/>
              <w:rPr>
                <w:color w:val="auto"/>
                <w:sz w:val="10"/>
                <w:szCs w:val="10"/>
              </w:rPr>
            </w:pPr>
            <w:r w:rsidRPr="00F9037E">
              <w:rPr>
                <w:color w:val="auto"/>
                <w:sz w:val="10"/>
                <w:szCs w:val="10"/>
              </w:rPr>
              <w:t>588.949</w:t>
            </w:r>
          </w:p>
        </w:tc>
        <w:tc>
          <w:tcPr>
            <w:tcW w:w="709" w:type="dxa"/>
            <w:shd w:val="clear" w:color="auto" w:fill="auto"/>
            <w:vAlign w:val="center"/>
          </w:tcPr>
          <w:p w14:paraId="430D742D" w14:textId="77777777" w:rsidR="00D34C6F" w:rsidRPr="00F9037E" w:rsidRDefault="00D34C6F" w:rsidP="00C05C97">
            <w:pPr>
              <w:spacing w:before="120" w:after="120"/>
              <w:jc w:val="center"/>
              <w:rPr>
                <w:color w:val="auto"/>
                <w:sz w:val="10"/>
                <w:szCs w:val="10"/>
              </w:rPr>
            </w:pPr>
            <w:r w:rsidRPr="00F9037E">
              <w:rPr>
                <w:color w:val="auto"/>
                <w:sz w:val="10"/>
                <w:szCs w:val="10"/>
              </w:rPr>
              <w:t>411.757</w:t>
            </w:r>
          </w:p>
        </w:tc>
        <w:tc>
          <w:tcPr>
            <w:tcW w:w="567" w:type="dxa"/>
            <w:shd w:val="clear" w:color="auto" w:fill="auto"/>
            <w:vAlign w:val="center"/>
          </w:tcPr>
          <w:p w14:paraId="762EC9F8" w14:textId="77777777" w:rsidR="00D34C6F" w:rsidRPr="00F9037E" w:rsidRDefault="00D34C6F" w:rsidP="00C05C97">
            <w:pPr>
              <w:spacing w:before="120" w:after="120"/>
              <w:jc w:val="center"/>
              <w:rPr>
                <w:color w:val="auto"/>
                <w:sz w:val="10"/>
                <w:szCs w:val="10"/>
              </w:rPr>
            </w:pPr>
            <w:r w:rsidRPr="00F9037E">
              <w:rPr>
                <w:color w:val="auto"/>
                <w:sz w:val="10"/>
                <w:szCs w:val="10"/>
              </w:rPr>
              <w:t>340.405</w:t>
            </w:r>
          </w:p>
        </w:tc>
        <w:tc>
          <w:tcPr>
            <w:tcW w:w="708" w:type="dxa"/>
            <w:shd w:val="clear" w:color="auto" w:fill="auto"/>
            <w:vAlign w:val="center"/>
          </w:tcPr>
          <w:p w14:paraId="7C07374F" w14:textId="77777777" w:rsidR="00D34C6F" w:rsidRPr="00F9037E" w:rsidRDefault="00D34C6F" w:rsidP="00C05C97">
            <w:pPr>
              <w:spacing w:before="120" w:after="120"/>
              <w:jc w:val="center"/>
              <w:rPr>
                <w:color w:val="auto"/>
                <w:sz w:val="10"/>
                <w:szCs w:val="10"/>
              </w:rPr>
            </w:pPr>
            <w:r w:rsidRPr="00F9037E">
              <w:rPr>
                <w:color w:val="auto"/>
                <w:sz w:val="10"/>
                <w:szCs w:val="10"/>
              </w:rPr>
              <w:t>218.032</w:t>
            </w:r>
          </w:p>
        </w:tc>
        <w:tc>
          <w:tcPr>
            <w:tcW w:w="567" w:type="dxa"/>
            <w:shd w:val="clear" w:color="auto" w:fill="auto"/>
            <w:vAlign w:val="center"/>
          </w:tcPr>
          <w:p w14:paraId="3BE1DA98" w14:textId="0CFB7940" w:rsidR="00D34C6F" w:rsidRPr="00F9037E" w:rsidRDefault="00D34C6F" w:rsidP="00C05C97">
            <w:pPr>
              <w:spacing w:before="120" w:after="120"/>
              <w:jc w:val="center"/>
              <w:rPr>
                <w:color w:val="auto"/>
                <w:sz w:val="10"/>
                <w:szCs w:val="10"/>
              </w:rPr>
            </w:pPr>
            <w:r w:rsidRPr="00F9037E">
              <w:rPr>
                <w:color w:val="auto"/>
                <w:sz w:val="10"/>
                <w:szCs w:val="10"/>
              </w:rPr>
              <w:t>59.500</w:t>
            </w:r>
          </w:p>
        </w:tc>
        <w:tc>
          <w:tcPr>
            <w:tcW w:w="567" w:type="dxa"/>
            <w:shd w:val="clear" w:color="auto" w:fill="auto"/>
            <w:vAlign w:val="center"/>
          </w:tcPr>
          <w:p w14:paraId="628BCDA9" w14:textId="77777777" w:rsidR="00D34C6F" w:rsidRPr="00F9037E" w:rsidRDefault="00D34C6F" w:rsidP="00C05C97">
            <w:pPr>
              <w:spacing w:before="120" w:after="120"/>
              <w:jc w:val="center"/>
              <w:rPr>
                <w:color w:val="auto"/>
                <w:sz w:val="10"/>
                <w:szCs w:val="10"/>
              </w:rPr>
            </w:pPr>
            <w:r w:rsidRPr="00F9037E">
              <w:rPr>
                <w:color w:val="auto"/>
                <w:sz w:val="10"/>
                <w:szCs w:val="10"/>
              </w:rPr>
              <w:t>11.899</w:t>
            </w:r>
          </w:p>
        </w:tc>
        <w:tc>
          <w:tcPr>
            <w:tcW w:w="629" w:type="dxa"/>
            <w:vAlign w:val="center"/>
          </w:tcPr>
          <w:p w14:paraId="285DC16F" w14:textId="77777777" w:rsidR="00D34C6F" w:rsidRPr="00F9037E" w:rsidRDefault="00D34C6F" w:rsidP="00C05C97">
            <w:pPr>
              <w:spacing w:before="120" w:after="120"/>
              <w:jc w:val="center"/>
              <w:rPr>
                <w:color w:val="auto"/>
                <w:sz w:val="10"/>
                <w:szCs w:val="10"/>
              </w:rPr>
            </w:pPr>
          </w:p>
        </w:tc>
        <w:tc>
          <w:tcPr>
            <w:tcW w:w="567" w:type="dxa"/>
            <w:vAlign w:val="center"/>
          </w:tcPr>
          <w:p w14:paraId="2FD28E86" w14:textId="77777777" w:rsidR="00D34C6F" w:rsidRPr="00F9037E" w:rsidRDefault="00D34C6F" w:rsidP="00C05C97">
            <w:pPr>
              <w:spacing w:before="120" w:after="120"/>
              <w:jc w:val="center"/>
              <w:rPr>
                <w:color w:val="auto"/>
                <w:sz w:val="10"/>
                <w:szCs w:val="10"/>
              </w:rPr>
            </w:pPr>
          </w:p>
        </w:tc>
        <w:tc>
          <w:tcPr>
            <w:tcW w:w="567" w:type="dxa"/>
            <w:vAlign w:val="center"/>
          </w:tcPr>
          <w:p w14:paraId="3BB2844B"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4A8A1460" w14:textId="77777777" w:rsidR="00D34C6F" w:rsidRPr="00F9037E" w:rsidRDefault="00D34C6F" w:rsidP="00C05C97">
            <w:pPr>
              <w:spacing w:before="120" w:after="120"/>
              <w:jc w:val="center"/>
              <w:rPr>
                <w:color w:val="auto"/>
                <w:sz w:val="10"/>
                <w:szCs w:val="10"/>
              </w:rPr>
            </w:pPr>
            <w:r w:rsidRPr="00F9037E">
              <w:rPr>
                <w:color w:val="auto"/>
                <w:sz w:val="10"/>
                <w:szCs w:val="10"/>
              </w:rPr>
              <w:t>1187.800</w:t>
            </w:r>
          </w:p>
        </w:tc>
        <w:tc>
          <w:tcPr>
            <w:tcW w:w="709" w:type="dxa"/>
            <w:shd w:val="clear" w:color="auto" w:fill="auto"/>
            <w:vAlign w:val="center"/>
          </w:tcPr>
          <w:p w14:paraId="2E3C8CA1" w14:textId="77777777" w:rsidR="00D34C6F" w:rsidRPr="00F9037E" w:rsidRDefault="00D34C6F" w:rsidP="00C05C97">
            <w:pPr>
              <w:spacing w:before="120" w:after="120"/>
              <w:jc w:val="center"/>
              <w:rPr>
                <w:color w:val="auto"/>
                <w:sz w:val="10"/>
                <w:szCs w:val="10"/>
              </w:rPr>
            </w:pPr>
            <w:r w:rsidRPr="00F9037E">
              <w:rPr>
                <w:color w:val="auto"/>
                <w:sz w:val="10"/>
                <w:szCs w:val="10"/>
              </w:rPr>
              <w:t>747.839</w:t>
            </w:r>
          </w:p>
        </w:tc>
        <w:tc>
          <w:tcPr>
            <w:tcW w:w="708" w:type="dxa"/>
            <w:shd w:val="clear" w:color="auto" w:fill="auto"/>
            <w:vAlign w:val="center"/>
          </w:tcPr>
          <w:p w14:paraId="63EBC996" w14:textId="26674CEB" w:rsidR="00D34C6F" w:rsidRPr="00F9037E" w:rsidRDefault="00D34C6F" w:rsidP="00C05C97">
            <w:pPr>
              <w:spacing w:before="120" w:after="120"/>
              <w:jc w:val="center"/>
              <w:rPr>
                <w:color w:val="auto"/>
                <w:sz w:val="10"/>
                <w:szCs w:val="10"/>
              </w:rPr>
            </w:pPr>
            <w:r w:rsidRPr="00F9037E">
              <w:rPr>
                <w:color w:val="auto"/>
                <w:sz w:val="10"/>
                <w:szCs w:val="10"/>
              </w:rPr>
              <w:t>592.891</w:t>
            </w:r>
          </w:p>
        </w:tc>
        <w:tc>
          <w:tcPr>
            <w:tcW w:w="709" w:type="dxa"/>
            <w:shd w:val="clear" w:color="auto" w:fill="auto"/>
            <w:vAlign w:val="center"/>
          </w:tcPr>
          <w:p w14:paraId="67A17C2C" w14:textId="77777777" w:rsidR="00D34C6F" w:rsidRPr="00F9037E" w:rsidRDefault="00D34C6F" w:rsidP="00C05C97">
            <w:pPr>
              <w:spacing w:before="120" w:after="120"/>
              <w:jc w:val="center"/>
              <w:rPr>
                <w:color w:val="auto"/>
                <w:sz w:val="10"/>
                <w:szCs w:val="10"/>
              </w:rPr>
            </w:pPr>
            <w:r w:rsidRPr="00F9037E">
              <w:rPr>
                <w:color w:val="auto"/>
                <w:sz w:val="10"/>
                <w:szCs w:val="10"/>
              </w:rPr>
              <w:t>486.757</w:t>
            </w:r>
          </w:p>
        </w:tc>
        <w:tc>
          <w:tcPr>
            <w:tcW w:w="567" w:type="dxa"/>
            <w:shd w:val="clear" w:color="auto" w:fill="auto"/>
            <w:vAlign w:val="center"/>
          </w:tcPr>
          <w:p w14:paraId="3925876A" w14:textId="77777777" w:rsidR="00D34C6F" w:rsidRPr="00F9037E" w:rsidRDefault="00D34C6F" w:rsidP="00C05C97">
            <w:pPr>
              <w:spacing w:before="120" w:after="120"/>
              <w:jc w:val="center"/>
              <w:rPr>
                <w:color w:val="auto"/>
                <w:sz w:val="10"/>
                <w:szCs w:val="10"/>
              </w:rPr>
            </w:pPr>
            <w:r w:rsidRPr="00F9037E">
              <w:rPr>
                <w:color w:val="auto"/>
                <w:sz w:val="10"/>
                <w:szCs w:val="10"/>
              </w:rPr>
              <w:t>407.091</w:t>
            </w:r>
          </w:p>
        </w:tc>
        <w:tc>
          <w:tcPr>
            <w:tcW w:w="647" w:type="dxa"/>
            <w:shd w:val="clear" w:color="auto" w:fill="auto"/>
            <w:vAlign w:val="center"/>
          </w:tcPr>
          <w:p w14:paraId="6FC8C8C5" w14:textId="77777777" w:rsidR="00D34C6F" w:rsidRPr="00F9037E" w:rsidRDefault="00D34C6F" w:rsidP="00C05C97">
            <w:pPr>
              <w:spacing w:before="120" w:after="120"/>
              <w:jc w:val="center"/>
              <w:rPr>
                <w:color w:val="auto"/>
                <w:sz w:val="10"/>
                <w:szCs w:val="10"/>
              </w:rPr>
            </w:pPr>
            <w:r w:rsidRPr="00F9037E">
              <w:rPr>
                <w:color w:val="auto"/>
                <w:sz w:val="10"/>
                <w:szCs w:val="10"/>
              </w:rPr>
              <w:t>302.974</w:t>
            </w:r>
          </w:p>
        </w:tc>
        <w:tc>
          <w:tcPr>
            <w:tcW w:w="567" w:type="dxa"/>
            <w:shd w:val="clear" w:color="auto" w:fill="auto"/>
            <w:vAlign w:val="center"/>
          </w:tcPr>
          <w:p w14:paraId="04CB108D" w14:textId="77777777" w:rsidR="00D34C6F" w:rsidRPr="00F9037E" w:rsidRDefault="00D34C6F" w:rsidP="00C05C97">
            <w:pPr>
              <w:spacing w:before="120" w:after="120"/>
              <w:jc w:val="center"/>
              <w:rPr>
                <w:color w:val="auto"/>
                <w:sz w:val="10"/>
                <w:szCs w:val="10"/>
              </w:rPr>
            </w:pPr>
            <w:r w:rsidRPr="00F9037E">
              <w:rPr>
                <w:color w:val="auto"/>
                <w:sz w:val="10"/>
                <w:szCs w:val="10"/>
              </w:rPr>
              <w:t>195.698</w:t>
            </w:r>
          </w:p>
        </w:tc>
        <w:tc>
          <w:tcPr>
            <w:tcW w:w="567" w:type="dxa"/>
            <w:shd w:val="clear" w:color="auto" w:fill="auto"/>
            <w:noWrap/>
            <w:vAlign w:val="center"/>
          </w:tcPr>
          <w:p w14:paraId="7D46A2BF" w14:textId="63FE88FB" w:rsidR="00D34C6F" w:rsidRPr="00F9037E" w:rsidRDefault="00D34C6F" w:rsidP="00C05C97">
            <w:pPr>
              <w:spacing w:before="120" w:after="120"/>
              <w:jc w:val="center"/>
              <w:rPr>
                <w:color w:val="auto"/>
                <w:sz w:val="10"/>
                <w:szCs w:val="10"/>
              </w:rPr>
            </w:pPr>
            <w:r w:rsidRPr="00F9037E">
              <w:rPr>
                <w:color w:val="auto"/>
                <w:sz w:val="10"/>
                <w:szCs w:val="10"/>
              </w:rPr>
              <w:t>59.500</w:t>
            </w:r>
          </w:p>
        </w:tc>
        <w:tc>
          <w:tcPr>
            <w:tcW w:w="567" w:type="dxa"/>
            <w:vAlign w:val="center"/>
          </w:tcPr>
          <w:p w14:paraId="19DE7C10" w14:textId="77777777" w:rsidR="00D34C6F" w:rsidRPr="00F9037E" w:rsidRDefault="00D34C6F" w:rsidP="00C05C97">
            <w:pPr>
              <w:spacing w:before="120" w:after="120"/>
              <w:jc w:val="center"/>
              <w:rPr>
                <w:b/>
                <w:color w:val="auto"/>
                <w:sz w:val="10"/>
                <w:szCs w:val="10"/>
              </w:rPr>
            </w:pPr>
          </w:p>
        </w:tc>
        <w:tc>
          <w:tcPr>
            <w:tcW w:w="567" w:type="dxa"/>
            <w:vAlign w:val="center"/>
          </w:tcPr>
          <w:p w14:paraId="074A4343" w14:textId="77777777" w:rsidR="00D34C6F" w:rsidRPr="00F9037E" w:rsidRDefault="00D34C6F" w:rsidP="00C05C97">
            <w:pPr>
              <w:spacing w:before="120" w:after="120"/>
              <w:jc w:val="center"/>
              <w:rPr>
                <w:b/>
                <w:color w:val="auto"/>
                <w:sz w:val="10"/>
                <w:szCs w:val="10"/>
              </w:rPr>
            </w:pPr>
          </w:p>
        </w:tc>
        <w:tc>
          <w:tcPr>
            <w:tcW w:w="567" w:type="dxa"/>
            <w:vAlign w:val="center"/>
          </w:tcPr>
          <w:p w14:paraId="470325D3" w14:textId="77777777" w:rsidR="00D34C6F" w:rsidRPr="00F9037E" w:rsidRDefault="00D34C6F" w:rsidP="00C05C97">
            <w:pPr>
              <w:spacing w:before="120" w:after="120"/>
              <w:jc w:val="center"/>
              <w:rPr>
                <w:b/>
                <w:color w:val="auto"/>
                <w:sz w:val="10"/>
                <w:szCs w:val="10"/>
              </w:rPr>
            </w:pPr>
          </w:p>
        </w:tc>
        <w:tc>
          <w:tcPr>
            <w:tcW w:w="567" w:type="dxa"/>
            <w:vAlign w:val="center"/>
          </w:tcPr>
          <w:p w14:paraId="5ECEEA3D" w14:textId="77777777" w:rsidR="00D34C6F" w:rsidRPr="00F9037E" w:rsidRDefault="00D34C6F" w:rsidP="00C05C97">
            <w:pPr>
              <w:spacing w:before="120" w:after="120"/>
              <w:jc w:val="center"/>
              <w:rPr>
                <w:b/>
                <w:color w:val="auto"/>
                <w:sz w:val="10"/>
                <w:szCs w:val="10"/>
              </w:rPr>
            </w:pPr>
          </w:p>
        </w:tc>
      </w:tr>
      <w:tr w:rsidR="00D34C6F" w:rsidRPr="00F9037E" w14:paraId="56080EAF" w14:textId="77777777" w:rsidTr="00C05C97">
        <w:trPr>
          <w:trHeight w:val="465"/>
          <w:jc w:val="center"/>
        </w:trPr>
        <w:tc>
          <w:tcPr>
            <w:tcW w:w="662" w:type="dxa"/>
            <w:shd w:val="clear" w:color="auto" w:fill="auto"/>
            <w:vAlign w:val="center"/>
          </w:tcPr>
          <w:p w14:paraId="026E09B7" w14:textId="77777777" w:rsidR="00D34C6F" w:rsidRPr="00082015" w:rsidRDefault="00D34C6F" w:rsidP="00C05C97">
            <w:pPr>
              <w:spacing w:before="120" w:after="120"/>
              <w:rPr>
                <w:color w:val="auto"/>
                <w:sz w:val="12"/>
                <w:szCs w:val="12"/>
              </w:rPr>
            </w:pPr>
            <w:r w:rsidRPr="00082015">
              <w:rPr>
                <w:color w:val="auto"/>
                <w:sz w:val="12"/>
                <w:szCs w:val="12"/>
              </w:rPr>
              <w:lastRenderedPageBreak/>
              <w:t>USA</w:t>
            </w:r>
          </w:p>
        </w:tc>
        <w:tc>
          <w:tcPr>
            <w:tcW w:w="824" w:type="dxa"/>
            <w:shd w:val="clear" w:color="auto" w:fill="auto"/>
            <w:vAlign w:val="center"/>
          </w:tcPr>
          <w:p w14:paraId="52775D17" w14:textId="77777777" w:rsidR="00D34C6F" w:rsidRPr="00082015" w:rsidRDefault="00D34C6F" w:rsidP="00C05C97">
            <w:pPr>
              <w:spacing w:before="120" w:after="120"/>
              <w:rPr>
                <w:color w:val="auto"/>
                <w:sz w:val="12"/>
                <w:szCs w:val="12"/>
              </w:rPr>
            </w:pPr>
            <w:r w:rsidRPr="00082015">
              <w:rPr>
                <w:color w:val="auto"/>
                <w:sz w:val="12"/>
                <w:szCs w:val="12"/>
              </w:rPr>
              <w:t>Eggplant – field</w:t>
            </w:r>
          </w:p>
        </w:tc>
        <w:tc>
          <w:tcPr>
            <w:tcW w:w="708" w:type="dxa"/>
            <w:shd w:val="clear" w:color="auto" w:fill="auto"/>
            <w:vAlign w:val="center"/>
          </w:tcPr>
          <w:p w14:paraId="483B0A42" w14:textId="77777777" w:rsidR="00D34C6F" w:rsidRPr="00220275" w:rsidRDefault="00D34C6F" w:rsidP="00C05C97">
            <w:pPr>
              <w:spacing w:before="120" w:after="120"/>
              <w:jc w:val="center"/>
              <w:rPr>
                <w:color w:val="auto"/>
                <w:sz w:val="10"/>
                <w:szCs w:val="10"/>
              </w:rPr>
            </w:pPr>
            <w:r w:rsidRPr="00220275">
              <w:rPr>
                <w:color w:val="auto"/>
                <w:sz w:val="10"/>
                <w:szCs w:val="10"/>
              </w:rPr>
              <w:t>76.761</w:t>
            </w:r>
          </w:p>
        </w:tc>
        <w:tc>
          <w:tcPr>
            <w:tcW w:w="709" w:type="dxa"/>
            <w:shd w:val="clear" w:color="auto" w:fill="auto"/>
            <w:vAlign w:val="center"/>
          </w:tcPr>
          <w:p w14:paraId="1C055AB9" w14:textId="77777777" w:rsidR="00D34C6F" w:rsidRPr="00220275" w:rsidRDefault="00D34C6F" w:rsidP="00C05C97">
            <w:pPr>
              <w:spacing w:before="120" w:after="120"/>
              <w:jc w:val="center"/>
              <w:rPr>
                <w:color w:val="auto"/>
                <w:sz w:val="10"/>
                <w:szCs w:val="10"/>
              </w:rPr>
            </w:pPr>
            <w:r w:rsidRPr="00220275">
              <w:rPr>
                <w:color w:val="auto"/>
                <w:sz w:val="10"/>
                <w:szCs w:val="10"/>
              </w:rPr>
              <w:t>101.245</w:t>
            </w:r>
          </w:p>
        </w:tc>
        <w:tc>
          <w:tcPr>
            <w:tcW w:w="709" w:type="dxa"/>
            <w:shd w:val="clear" w:color="auto" w:fill="auto"/>
            <w:vAlign w:val="center"/>
          </w:tcPr>
          <w:p w14:paraId="14762F65" w14:textId="77777777" w:rsidR="00D34C6F" w:rsidRPr="00220275" w:rsidRDefault="00D34C6F" w:rsidP="00C05C97">
            <w:pPr>
              <w:spacing w:before="120" w:after="120"/>
              <w:jc w:val="center"/>
              <w:rPr>
                <w:color w:val="auto"/>
                <w:sz w:val="10"/>
                <w:szCs w:val="10"/>
              </w:rPr>
            </w:pPr>
            <w:r w:rsidRPr="00220275">
              <w:rPr>
                <w:color w:val="auto"/>
                <w:sz w:val="10"/>
                <w:szCs w:val="10"/>
              </w:rPr>
              <w:t>96.48</w:t>
            </w:r>
          </w:p>
        </w:tc>
        <w:tc>
          <w:tcPr>
            <w:tcW w:w="567" w:type="dxa"/>
            <w:shd w:val="clear" w:color="auto" w:fill="auto"/>
            <w:vAlign w:val="center"/>
          </w:tcPr>
          <w:p w14:paraId="1504F469" w14:textId="77777777" w:rsidR="00D34C6F" w:rsidRPr="00220275" w:rsidRDefault="00D34C6F" w:rsidP="00C05C97">
            <w:pPr>
              <w:spacing w:before="120" w:after="120"/>
              <w:jc w:val="center"/>
              <w:rPr>
                <w:color w:val="auto"/>
                <w:sz w:val="10"/>
                <w:szCs w:val="10"/>
              </w:rPr>
            </w:pPr>
            <w:r w:rsidRPr="00220275">
              <w:rPr>
                <w:color w:val="auto"/>
                <w:sz w:val="10"/>
                <w:szCs w:val="10"/>
              </w:rPr>
              <w:t>79.546</w:t>
            </w:r>
          </w:p>
        </w:tc>
        <w:tc>
          <w:tcPr>
            <w:tcW w:w="709" w:type="dxa"/>
            <w:shd w:val="clear" w:color="auto" w:fill="auto"/>
            <w:vAlign w:val="center"/>
          </w:tcPr>
          <w:p w14:paraId="7A2114E4" w14:textId="77777777" w:rsidR="00D34C6F" w:rsidRPr="00B87B95" w:rsidRDefault="00D34C6F" w:rsidP="00C05C97">
            <w:pPr>
              <w:spacing w:before="120" w:after="120"/>
              <w:jc w:val="center"/>
              <w:rPr>
                <w:color w:val="auto"/>
                <w:sz w:val="10"/>
                <w:szCs w:val="10"/>
              </w:rPr>
            </w:pPr>
            <w:r w:rsidRPr="00B87B95">
              <w:rPr>
                <w:color w:val="auto"/>
                <w:sz w:val="10"/>
                <w:szCs w:val="10"/>
              </w:rPr>
              <w:t>62.789</w:t>
            </w:r>
          </w:p>
        </w:tc>
        <w:tc>
          <w:tcPr>
            <w:tcW w:w="567" w:type="dxa"/>
            <w:shd w:val="clear" w:color="auto" w:fill="auto"/>
            <w:vAlign w:val="center"/>
          </w:tcPr>
          <w:p w14:paraId="622B6A3C" w14:textId="77777777" w:rsidR="00D34C6F" w:rsidRPr="00B87B95" w:rsidRDefault="00D34C6F" w:rsidP="00C05C97">
            <w:pPr>
              <w:spacing w:before="120" w:after="120"/>
              <w:jc w:val="center"/>
              <w:rPr>
                <w:color w:val="auto"/>
                <w:sz w:val="10"/>
                <w:szCs w:val="10"/>
              </w:rPr>
            </w:pPr>
            <w:r w:rsidRPr="00B87B95">
              <w:rPr>
                <w:color w:val="auto"/>
                <w:sz w:val="10"/>
                <w:szCs w:val="10"/>
              </w:rPr>
              <w:t>34.732</w:t>
            </w:r>
          </w:p>
        </w:tc>
        <w:tc>
          <w:tcPr>
            <w:tcW w:w="708" w:type="dxa"/>
            <w:shd w:val="clear" w:color="auto" w:fill="auto"/>
            <w:vAlign w:val="center"/>
          </w:tcPr>
          <w:p w14:paraId="36975FEE" w14:textId="77777777" w:rsidR="00D34C6F" w:rsidRPr="00563BC0" w:rsidRDefault="00D34C6F" w:rsidP="00C05C97">
            <w:pPr>
              <w:spacing w:before="120" w:after="120"/>
              <w:jc w:val="center"/>
              <w:rPr>
                <w:color w:val="auto"/>
                <w:sz w:val="10"/>
                <w:szCs w:val="10"/>
              </w:rPr>
            </w:pPr>
            <w:r w:rsidRPr="00563BC0">
              <w:rPr>
                <w:color w:val="auto"/>
                <w:sz w:val="10"/>
                <w:szCs w:val="10"/>
              </w:rPr>
              <w:t>21.561</w:t>
            </w:r>
          </w:p>
        </w:tc>
        <w:tc>
          <w:tcPr>
            <w:tcW w:w="567" w:type="dxa"/>
            <w:shd w:val="clear" w:color="auto" w:fill="auto"/>
            <w:vAlign w:val="center"/>
          </w:tcPr>
          <w:p w14:paraId="68480905" w14:textId="36D9F0D2" w:rsidR="00D34C6F" w:rsidRPr="00563BC0" w:rsidRDefault="00D34C6F" w:rsidP="00C05C97">
            <w:pPr>
              <w:spacing w:before="120" w:after="120"/>
              <w:jc w:val="center"/>
              <w:rPr>
                <w:color w:val="auto"/>
                <w:sz w:val="10"/>
                <w:szCs w:val="10"/>
              </w:rPr>
            </w:pPr>
            <w:r w:rsidRPr="00563BC0">
              <w:rPr>
                <w:color w:val="auto"/>
                <w:sz w:val="10"/>
                <w:szCs w:val="10"/>
              </w:rPr>
              <w:t>6.904</w:t>
            </w:r>
          </w:p>
        </w:tc>
        <w:tc>
          <w:tcPr>
            <w:tcW w:w="567" w:type="dxa"/>
            <w:shd w:val="clear" w:color="auto" w:fill="auto"/>
            <w:vAlign w:val="center"/>
          </w:tcPr>
          <w:p w14:paraId="2E8F03AC" w14:textId="77777777" w:rsidR="00D34C6F" w:rsidRPr="00563BC0" w:rsidRDefault="00D34C6F" w:rsidP="00C05C97">
            <w:pPr>
              <w:spacing w:before="120" w:after="120"/>
              <w:jc w:val="center"/>
              <w:rPr>
                <w:color w:val="auto"/>
                <w:sz w:val="10"/>
                <w:szCs w:val="10"/>
              </w:rPr>
            </w:pPr>
            <w:r w:rsidRPr="00563BC0">
              <w:rPr>
                <w:color w:val="auto"/>
                <w:sz w:val="10"/>
                <w:szCs w:val="10"/>
              </w:rPr>
              <w:t>1.381</w:t>
            </w:r>
          </w:p>
        </w:tc>
        <w:tc>
          <w:tcPr>
            <w:tcW w:w="629" w:type="dxa"/>
            <w:vAlign w:val="center"/>
          </w:tcPr>
          <w:p w14:paraId="3F8CA4D1" w14:textId="77777777" w:rsidR="00D34C6F" w:rsidRPr="00563BC0" w:rsidRDefault="00D34C6F" w:rsidP="00C05C97">
            <w:pPr>
              <w:spacing w:before="120" w:after="120"/>
              <w:jc w:val="center"/>
              <w:rPr>
                <w:color w:val="auto"/>
                <w:sz w:val="10"/>
                <w:szCs w:val="10"/>
              </w:rPr>
            </w:pPr>
          </w:p>
        </w:tc>
        <w:tc>
          <w:tcPr>
            <w:tcW w:w="567" w:type="dxa"/>
            <w:vAlign w:val="center"/>
          </w:tcPr>
          <w:p w14:paraId="119BBCC5" w14:textId="77777777" w:rsidR="00D34C6F" w:rsidRPr="00563BC0" w:rsidRDefault="00D34C6F" w:rsidP="00C05C97">
            <w:pPr>
              <w:spacing w:before="120" w:after="120"/>
              <w:jc w:val="center"/>
              <w:rPr>
                <w:color w:val="auto"/>
                <w:sz w:val="10"/>
                <w:szCs w:val="10"/>
              </w:rPr>
            </w:pPr>
          </w:p>
        </w:tc>
        <w:tc>
          <w:tcPr>
            <w:tcW w:w="567" w:type="dxa"/>
            <w:vAlign w:val="center"/>
          </w:tcPr>
          <w:p w14:paraId="1EA5990D" w14:textId="77777777" w:rsidR="00D34C6F" w:rsidRPr="00563BC0" w:rsidRDefault="00D34C6F" w:rsidP="00C05C97">
            <w:pPr>
              <w:spacing w:before="120" w:after="120"/>
              <w:jc w:val="center"/>
              <w:rPr>
                <w:color w:val="auto"/>
                <w:sz w:val="10"/>
                <w:szCs w:val="10"/>
              </w:rPr>
            </w:pPr>
          </w:p>
        </w:tc>
        <w:tc>
          <w:tcPr>
            <w:tcW w:w="709" w:type="dxa"/>
            <w:shd w:val="clear" w:color="auto" w:fill="auto"/>
            <w:vAlign w:val="center"/>
          </w:tcPr>
          <w:p w14:paraId="51ED4623" w14:textId="77777777" w:rsidR="00D34C6F" w:rsidRPr="000F08B5" w:rsidRDefault="00D34C6F" w:rsidP="00C05C97">
            <w:pPr>
              <w:spacing w:before="120" w:after="120"/>
              <w:jc w:val="center"/>
              <w:rPr>
                <w:color w:val="auto"/>
                <w:sz w:val="10"/>
                <w:szCs w:val="10"/>
              </w:rPr>
            </w:pPr>
            <w:r w:rsidRPr="000F08B5">
              <w:rPr>
                <w:color w:val="auto"/>
                <w:sz w:val="10"/>
                <w:szCs w:val="10"/>
              </w:rPr>
              <w:t>76.721</w:t>
            </w:r>
          </w:p>
        </w:tc>
        <w:tc>
          <w:tcPr>
            <w:tcW w:w="709" w:type="dxa"/>
            <w:shd w:val="clear" w:color="auto" w:fill="auto"/>
            <w:vAlign w:val="center"/>
          </w:tcPr>
          <w:p w14:paraId="16A89252" w14:textId="77777777" w:rsidR="00D34C6F" w:rsidRPr="000F08B5" w:rsidRDefault="00D34C6F" w:rsidP="00C05C97">
            <w:pPr>
              <w:spacing w:before="120" w:after="120"/>
              <w:jc w:val="center"/>
              <w:rPr>
                <w:color w:val="auto"/>
                <w:sz w:val="10"/>
                <w:szCs w:val="10"/>
              </w:rPr>
            </w:pPr>
            <w:r w:rsidRPr="000F08B5">
              <w:rPr>
                <w:color w:val="auto"/>
                <w:sz w:val="10"/>
                <w:szCs w:val="10"/>
              </w:rPr>
              <w:t>82.167</w:t>
            </w:r>
          </w:p>
        </w:tc>
        <w:tc>
          <w:tcPr>
            <w:tcW w:w="708" w:type="dxa"/>
            <w:shd w:val="clear" w:color="auto" w:fill="auto"/>
            <w:vAlign w:val="center"/>
          </w:tcPr>
          <w:p w14:paraId="5C0212F4" w14:textId="61F86C2C" w:rsidR="00D34C6F" w:rsidRPr="00365366" w:rsidRDefault="00D34C6F" w:rsidP="00C05C97">
            <w:pPr>
              <w:spacing w:before="120" w:after="120"/>
              <w:jc w:val="center"/>
              <w:rPr>
                <w:color w:val="auto"/>
                <w:sz w:val="10"/>
                <w:szCs w:val="10"/>
              </w:rPr>
            </w:pPr>
            <w:r w:rsidRPr="00365366">
              <w:rPr>
                <w:color w:val="auto"/>
                <w:sz w:val="10"/>
                <w:szCs w:val="10"/>
              </w:rPr>
              <w:t>85.363</w:t>
            </w:r>
          </w:p>
        </w:tc>
        <w:tc>
          <w:tcPr>
            <w:tcW w:w="709" w:type="dxa"/>
            <w:shd w:val="clear" w:color="auto" w:fill="auto"/>
            <w:vAlign w:val="center"/>
          </w:tcPr>
          <w:p w14:paraId="569DF933" w14:textId="77777777" w:rsidR="00D34C6F" w:rsidRPr="00F9037E" w:rsidRDefault="00D34C6F" w:rsidP="00C05C97">
            <w:pPr>
              <w:spacing w:before="120" w:after="120"/>
              <w:jc w:val="center"/>
              <w:rPr>
                <w:color w:val="auto"/>
                <w:sz w:val="10"/>
                <w:szCs w:val="10"/>
              </w:rPr>
            </w:pPr>
            <w:r w:rsidRPr="00F9037E">
              <w:rPr>
                <w:color w:val="auto"/>
                <w:sz w:val="10"/>
                <w:szCs w:val="10"/>
              </w:rPr>
              <w:t>66.018</w:t>
            </w:r>
          </w:p>
        </w:tc>
        <w:tc>
          <w:tcPr>
            <w:tcW w:w="567" w:type="dxa"/>
            <w:shd w:val="clear" w:color="auto" w:fill="auto"/>
            <w:vAlign w:val="center"/>
          </w:tcPr>
          <w:p w14:paraId="056DFC36" w14:textId="77777777" w:rsidR="00D34C6F" w:rsidRPr="00F9037E" w:rsidRDefault="00D34C6F" w:rsidP="00C05C97">
            <w:pPr>
              <w:spacing w:before="120" w:after="120"/>
              <w:jc w:val="center"/>
              <w:rPr>
                <w:color w:val="auto"/>
                <w:sz w:val="10"/>
                <w:szCs w:val="10"/>
              </w:rPr>
            </w:pPr>
            <w:r w:rsidRPr="00F9037E">
              <w:rPr>
                <w:color w:val="auto"/>
                <w:sz w:val="10"/>
                <w:szCs w:val="10"/>
              </w:rPr>
              <w:t>48.691</w:t>
            </w:r>
          </w:p>
        </w:tc>
        <w:tc>
          <w:tcPr>
            <w:tcW w:w="647" w:type="dxa"/>
            <w:shd w:val="clear" w:color="auto" w:fill="auto"/>
            <w:vAlign w:val="center"/>
          </w:tcPr>
          <w:p w14:paraId="67715F8F" w14:textId="77777777" w:rsidR="00D34C6F" w:rsidRPr="00F9037E" w:rsidRDefault="00D34C6F" w:rsidP="00C05C97">
            <w:pPr>
              <w:spacing w:before="120" w:after="120"/>
              <w:jc w:val="center"/>
              <w:rPr>
                <w:color w:val="auto"/>
                <w:sz w:val="10"/>
                <w:szCs w:val="10"/>
              </w:rPr>
            </w:pPr>
            <w:r w:rsidRPr="00F9037E">
              <w:rPr>
                <w:color w:val="auto"/>
                <w:sz w:val="10"/>
                <w:szCs w:val="10"/>
              </w:rPr>
              <w:t>32.820</w:t>
            </w:r>
          </w:p>
        </w:tc>
        <w:tc>
          <w:tcPr>
            <w:tcW w:w="567" w:type="dxa"/>
            <w:shd w:val="clear" w:color="auto" w:fill="auto"/>
            <w:vAlign w:val="center"/>
          </w:tcPr>
          <w:p w14:paraId="036BD6C8" w14:textId="77777777" w:rsidR="00D34C6F" w:rsidRPr="00F9037E" w:rsidRDefault="00D34C6F" w:rsidP="00C05C97">
            <w:pPr>
              <w:spacing w:before="120" w:after="120"/>
              <w:jc w:val="center"/>
              <w:rPr>
                <w:color w:val="auto"/>
                <w:sz w:val="10"/>
                <w:szCs w:val="10"/>
              </w:rPr>
            </w:pPr>
            <w:r w:rsidRPr="00F9037E">
              <w:rPr>
                <w:color w:val="auto"/>
                <w:sz w:val="10"/>
                <w:szCs w:val="10"/>
              </w:rPr>
              <w:t>19.725</w:t>
            </w:r>
          </w:p>
        </w:tc>
        <w:tc>
          <w:tcPr>
            <w:tcW w:w="567" w:type="dxa"/>
            <w:shd w:val="clear" w:color="auto" w:fill="auto"/>
            <w:noWrap/>
            <w:vAlign w:val="center"/>
          </w:tcPr>
          <w:p w14:paraId="5B1B645C" w14:textId="125AC38E" w:rsidR="00D34C6F" w:rsidRPr="00F9037E" w:rsidRDefault="00D34C6F" w:rsidP="00C05C97">
            <w:pPr>
              <w:spacing w:before="120" w:after="120"/>
              <w:jc w:val="center"/>
              <w:rPr>
                <w:color w:val="auto"/>
                <w:sz w:val="10"/>
                <w:szCs w:val="10"/>
              </w:rPr>
            </w:pPr>
            <w:r w:rsidRPr="00F9037E">
              <w:rPr>
                <w:color w:val="auto"/>
                <w:sz w:val="10"/>
                <w:szCs w:val="10"/>
              </w:rPr>
              <w:t>6.904</w:t>
            </w:r>
          </w:p>
        </w:tc>
        <w:tc>
          <w:tcPr>
            <w:tcW w:w="567" w:type="dxa"/>
            <w:vAlign w:val="center"/>
          </w:tcPr>
          <w:p w14:paraId="44E615FB" w14:textId="77777777" w:rsidR="00D34C6F" w:rsidRPr="00F9037E" w:rsidRDefault="00D34C6F" w:rsidP="00C05C97">
            <w:pPr>
              <w:spacing w:before="120" w:after="120"/>
              <w:jc w:val="center"/>
              <w:rPr>
                <w:b/>
                <w:color w:val="auto"/>
                <w:sz w:val="10"/>
                <w:szCs w:val="10"/>
              </w:rPr>
            </w:pPr>
          </w:p>
        </w:tc>
        <w:tc>
          <w:tcPr>
            <w:tcW w:w="567" w:type="dxa"/>
            <w:vAlign w:val="center"/>
          </w:tcPr>
          <w:p w14:paraId="49E621FD" w14:textId="77777777" w:rsidR="00D34C6F" w:rsidRPr="00F9037E" w:rsidRDefault="00D34C6F" w:rsidP="00C05C97">
            <w:pPr>
              <w:spacing w:before="120" w:after="120"/>
              <w:jc w:val="center"/>
              <w:rPr>
                <w:b/>
                <w:color w:val="auto"/>
                <w:sz w:val="10"/>
                <w:szCs w:val="10"/>
              </w:rPr>
            </w:pPr>
          </w:p>
        </w:tc>
        <w:tc>
          <w:tcPr>
            <w:tcW w:w="567" w:type="dxa"/>
            <w:vAlign w:val="center"/>
          </w:tcPr>
          <w:p w14:paraId="1CB2BEA7" w14:textId="77777777" w:rsidR="00D34C6F" w:rsidRPr="00F9037E" w:rsidRDefault="00D34C6F" w:rsidP="00C05C97">
            <w:pPr>
              <w:spacing w:before="120" w:after="120"/>
              <w:jc w:val="center"/>
              <w:rPr>
                <w:b/>
                <w:color w:val="auto"/>
                <w:sz w:val="10"/>
                <w:szCs w:val="10"/>
              </w:rPr>
            </w:pPr>
          </w:p>
        </w:tc>
        <w:tc>
          <w:tcPr>
            <w:tcW w:w="567" w:type="dxa"/>
            <w:vAlign w:val="center"/>
          </w:tcPr>
          <w:p w14:paraId="1048DB0C" w14:textId="77777777" w:rsidR="00D34C6F" w:rsidRPr="00F9037E" w:rsidRDefault="00D34C6F" w:rsidP="00C05C97">
            <w:pPr>
              <w:spacing w:before="120" w:after="120"/>
              <w:jc w:val="center"/>
              <w:rPr>
                <w:b/>
                <w:color w:val="auto"/>
                <w:sz w:val="10"/>
                <w:szCs w:val="10"/>
              </w:rPr>
            </w:pPr>
          </w:p>
        </w:tc>
      </w:tr>
      <w:tr w:rsidR="00D34C6F" w:rsidRPr="00F9037E" w14:paraId="2658FF25" w14:textId="77777777" w:rsidTr="00C05C97">
        <w:trPr>
          <w:trHeight w:val="690"/>
          <w:jc w:val="center"/>
        </w:trPr>
        <w:tc>
          <w:tcPr>
            <w:tcW w:w="662" w:type="dxa"/>
            <w:shd w:val="clear" w:color="auto" w:fill="auto"/>
            <w:vAlign w:val="center"/>
          </w:tcPr>
          <w:p w14:paraId="0E2839AD" w14:textId="77777777" w:rsidR="00D34C6F" w:rsidRPr="00F9037E" w:rsidRDefault="00D34C6F" w:rsidP="00C05C97">
            <w:pPr>
              <w:spacing w:before="120" w:after="120"/>
              <w:rPr>
                <w:color w:val="auto"/>
                <w:sz w:val="12"/>
                <w:szCs w:val="12"/>
              </w:rPr>
            </w:pPr>
            <w:r w:rsidRPr="00F9037E">
              <w:rPr>
                <w:color w:val="auto"/>
                <w:sz w:val="12"/>
                <w:szCs w:val="12"/>
              </w:rPr>
              <w:t>USA</w:t>
            </w:r>
          </w:p>
        </w:tc>
        <w:tc>
          <w:tcPr>
            <w:tcW w:w="824" w:type="dxa"/>
            <w:shd w:val="clear" w:color="auto" w:fill="auto"/>
            <w:vAlign w:val="center"/>
          </w:tcPr>
          <w:p w14:paraId="38395D1E" w14:textId="77777777" w:rsidR="00D34C6F" w:rsidRPr="00F9037E" w:rsidRDefault="00D34C6F" w:rsidP="00C05C97">
            <w:pPr>
              <w:spacing w:before="120" w:after="120"/>
              <w:rPr>
                <w:color w:val="auto"/>
                <w:sz w:val="12"/>
                <w:szCs w:val="12"/>
              </w:rPr>
            </w:pPr>
            <w:r w:rsidRPr="00F9037E">
              <w:rPr>
                <w:color w:val="auto"/>
                <w:sz w:val="12"/>
                <w:szCs w:val="12"/>
              </w:rPr>
              <w:t>Forest nursery seedlings</w:t>
            </w:r>
          </w:p>
        </w:tc>
        <w:tc>
          <w:tcPr>
            <w:tcW w:w="708" w:type="dxa"/>
            <w:shd w:val="clear" w:color="auto" w:fill="auto"/>
            <w:vAlign w:val="center"/>
          </w:tcPr>
          <w:p w14:paraId="0BB61561" w14:textId="77777777" w:rsidR="00D34C6F" w:rsidRPr="00F9037E" w:rsidRDefault="00D34C6F" w:rsidP="00C05C97">
            <w:pPr>
              <w:spacing w:before="120" w:after="120"/>
              <w:jc w:val="center"/>
              <w:rPr>
                <w:color w:val="auto"/>
                <w:sz w:val="10"/>
                <w:szCs w:val="10"/>
              </w:rPr>
            </w:pPr>
            <w:r w:rsidRPr="00F9037E">
              <w:rPr>
                <w:color w:val="auto"/>
                <w:sz w:val="10"/>
                <w:szCs w:val="10"/>
              </w:rPr>
              <w:t>192.515</w:t>
            </w:r>
          </w:p>
        </w:tc>
        <w:tc>
          <w:tcPr>
            <w:tcW w:w="709" w:type="dxa"/>
            <w:shd w:val="clear" w:color="auto" w:fill="auto"/>
            <w:vAlign w:val="center"/>
          </w:tcPr>
          <w:p w14:paraId="635ED6AB" w14:textId="77777777" w:rsidR="00D34C6F" w:rsidRPr="00F9037E" w:rsidRDefault="00D34C6F" w:rsidP="00C05C97">
            <w:pPr>
              <w:spacing w:before="120" w:after="120"/>
              <w:jc w:val="center"/>
              <w:rPr>
                <w:color w:val="auto"/>
                <w:sz w:val="10"/>
                <w:szCs w:val="10"/>
              </w:rPr>
            </w:pPr>
            <w:r w:rsidRPr="00F9037E">
              <w:rPr>
                <w:color w:val="auto"/>
                <w:sz w:val="10"/>
                <w:szCs w:val="10"/>
              </w:rPr>
              <w:t>157.694</w:t>
            </w:r>
          </w:p>
        </w:tc>
        <w:tc>
          <w:tcPr>
            <w:tcW w:w="709" w:type="dxa"/>
            <w:shd w:val="clear" w:color="auto" w:fill="auto"/>
            <w:vAlign w:val="center"/>
          </w:tcPr>
          <w:p w14:paraId="485E534F" w14:textId="77777777" w:rsidR="00D34C6F" w:rsidRPr="00F9037E" w:rsidRDefault="00D34C6F" w:rsidP="00C05C97">
            <w:pPr>
              <w:spacing w:before="120" w:after="120"/>
              <w:jc w:val="center"/>
              <w:rPr>
                <w:color w:val="auto"/>
                <w:sz w:val="10"/>
                <w:szCs w:val="10"/>
              </w:rPr>
            </w:pPr>
            <w:r w:rsidRPr="00F9037E">
              <w:rPr>
                <w:color w:val="auto"/>
                <w:sz w:val="10"/>
                <w:szCs w:val="10"/>
              </w:rPr>
              <w:t>152.629</w:t>
            </w:r>
          </w:p>
        </w:tc>
        <w:tc>
          <w:tcPr>
            <w:tcW w:w="567" w:type="dxa"/>
            <w:shd w:val="clear" w:color="auto" w:fill="auto"/>
            <w:vAlign w:val="center"/>
          </w:tcPr>
          <w:p w14:paraId="65AEDAD5" w14:textId="77777777" w:rsidR="00D34C6F" w:rsidRPr="00F9037E" w:rsidRDefault="00D34C6F" w:rsidP="00C05C97">
            <w:pPr>
              <w:spacing w:before="120" w:after="120"/>
              <w:jc w:val="center"/>
              <w:rPr>
                <w:color w:val="auto"/>
                <w:sz w:val="10"/>
                <w:szCs w:val="10"/>
              </w:rPr>
            </w:pPr>
            <w:r w:rsidRPr="00F9037E">
              <w:rPr>
                <w:color w:val="auto"/>
                <w:sz w:val="10"/>
                <w:szCs w:val="10"/>
              </w:rPr>
              <w:t>133.140</w:t>
            </w:r>
          </w:p>
        </w:tc>
        <w:tc>
          <w:tcPr>
            <w:tcW w:w="709" w:type="dxa"/>
            <w:shd w:val="clear" w:color="auto" w:fill="auto"/>
            <w:vAlign w:val="center"/>
          </w:tcPr>
          <w:p w14:paraId="000E151E" w14:textId="77777777" w:rsidR="00D34C6F" w:rsidRPr="00F9037E" w:rsidRDefault="00D34C6F" w:rsidP="00C05C97">
            <w:pPr>
              <w:spacing w:before="120" w:after="120"/>
              <w:jc w:val="center"/>
              <w:rPr>
                <w:color w:val="auto"/>
                <w:sz w:val="10"/>
                <w:szCs w:val="10"/>
              </w:rPr>
            </w:pPr>
            <w:r w:rsidRPr="00F9037E">
              <w:rPr>
                <w:color w:val="auto"/>
                <w:sz w:val="10"/>
                <w:szCs w:val="10"/>
              </w:rPr>
              <w:t>125.758</w:t>
            </w:r>
          </w:p>
        </w:tc>
        <w:tc>
          <w:tcPr>
            <w:tcW w:w="567" w:type="dxa"/>
            <w:shd w:val="clear" w:color="auto" w:fill="auto"/>
            <w:vAlign w:val="center"/>
          </w:tcPr>
          <w:p w14:paraId="374CDD6A" w14:textId="77777777" w:rsidR="00D34C6F" w:rsidRPr="00F9037E" w:rsidRDefault="00D34C6F" w:rsidP="00C05C97">
            <w:pPr>
              <w:spacing w:before="120" w:after="120"/>
              <w:jc w:val="center"/>
              <w:rPr>
                <w:color w:val="auto"/>
                <w:sz w:val="10"/>
                <w:szCs w:val="10"/>
              </w:rPr>
            </w:pPr>
            <w:r w:rsidRPr="00F9037E">
              <w:rPr>
                <w:color w:val="auto"/>
                <w:sz w:val="10"/>
                <w:szCs w:val="10"/>
              </w:rPr>
              <w:t>120.853</w:t>
            </w:r>
          </w:p>
        </w:tc>
        <w:tc>
          <w:tcPr>
            <w:tcW w:w="708" w:type="dxa"/>
            <w:shd w:val="clear" w:color="auto" w:fill="auto"/>
            <w:vAlign w:val="center"/>
          </w:tcPr>
          <w:p w14:paraId="1AD70A39" w14:textId="77777777" w:rsidR="00D34C6F" w:rsidRPr="00F9037E" w:rsidRDefault="00D34C6F" w:rsidP="00C05C97">
            <w:pPr>
              <w:spacing w:before="120" w:after="120"/>
              <w:jc w:val="center"/>
              <w:rPr>
                <w:color w:val="auto"/>
                <w:sz w:val="10"/>
                <w:szCs w:val="10"/>
              </w:rPr>
            </w:pPr>
            <w:r w:rsidRPr="00F9037E">
              <w:rPr>
                <w:color w:val="auto"/>
                <w:sz w:val="10"/>
                <w:szCs w:val="10"/>
              </w:rPr>
              <w:t>106.043</w:t>
            </w:r>
          </w:p>
        </w:tc>
        <w:tc>
          <w:tcPr>
            <w:tcW w:w="567" w:type="dxa"/>
            <w:shd w:val="clear" w:color="auto" w:fill="auto"/>
            <w:vAlign w:val="center"/>
          </w:tcPr>
          <w:p w14:paraId="46AFDE3C" w14:textId="3F0CE3D2"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3ED801B" w14:textId="6C8CC2D5" w:rsidR="00D34C6F" w:rsidRPr="00F9037E" w:rsidRDefault="00D34C6F" w:rsidP="00C05C97">
            <w:pPr>
              <w:spacing w:before="120" w:after="120"/>
              <w:jc w:val="center"/>
              <w:rPr>
                <w:color w:val="auto"/>
                <w:sz w:val="10"/>
                <w:szCs w:val="10"/>
              </w:rPr>
            </w:pPr>
          </w:p>
        </w:tc>
        <w:tc>
          <w:tcPr>
            <w:tcW w:w="629" w:type="dxa"/>
            <w:vAlign w:val="center"/>
          </w:tcPr>
          <w:p w14:paraId="2958839F" w14:textId="77777777" w:rsidR="00D34C6F" w:rsidRPr="00F9037E" w:rsidRDefault="00D34C6F" w:rsidP="00C05C97">
            <w:pPr>
              <w:spacing w:before="120" w:after="120"/>
              <w:jc w:val="center"/>
              <w:rPr>
                <w:color w:val="auto"/>
                <w:sz w:val="10"/>
                <w:szCs w:val="10"/>
              </w:rPr>
            </w:pPr>
          </w:p>
        </w:tc>
        <w:tc>
          <w:tcPr>
            <w:tcW w:w="567" w:type="dxa"/>
            <w:vAlign w:val="center"/>
          </w:tcPr>
          <w:p w14:paraId="43BE2F3F" w14:textId="77777777" w:rsidR="00D34C6F" w:rsidRPr="00F9037E" w:rsidRDefault="00D34C6F" w:rsidP="00C05C97">
            <w:pPr>
              <w:spacing w:before="120" w:after="120"/>
              <w:jc w:val="center"/>
              <w:rPr>
                <w:color w:val="auto"/>
                <w:sz w:val="10"/>
                <w:szCs w:val="10"/>
              </w:rPr>
            </w:pPr>
          </w:p>
        </w:tc>
        <w:tc>
          <w:tcPr>
            <w:tcW w:w="567" w:type="dxa"/>
            <w:vAlign w:val="center"/>
          </w:tcPr>
          <w:p w14:paraId="72275E79"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6B6038F2" w14:textId="77777777" w:rsidR="00D34C6F" w:rsidRPr="00F9037E" w:rsidRDefault="00D34C6F" w:rsidP="00C05C97">
            <w:pPr>
              <w:spacing w:before="120" w:after="120"/>
              <w:jc w:val="center"/>
              <w:rPr>
                <w:color w:val="auto"/>
                <w:sz w:val="10"/>
                <w:szCs w:val="10"/>
              </w:rPr>
            </w:pPr>
            <w:r w:rsidRPr="00F9037E">
              <w:rPr>
                <w:color w:val="auto"/>
                <w:sz w:val="10"/>
                <w:szCs w:val="10"/>
              </w:rPr>
              <w:t>192.515</w:t>
            </w:r>
          </w:p>
        </w:tc>
        <w:tc>
          <w:tcPr>
            <w:tcW w:w="709" w:type="dxa"/>
            <w:shd w:val="clear" w:color="auto" w:fill="auto"/>
            <w:vAlign w:val="center"/>
          </w:tcPr>
          <w:p w14:paraId="657598D1" w14:textId="77777777" w:rsidR="00D34C6F" w:rsidRPr="00F9037E" w:rsidRDefault="00D34C6F" w:rsidP="00C05C97">
            <w:pPr>
              <w:spacing w:before="120" w:after="120"/>
              <w:jc w:val="center"/>
              <w:rPr>
                <w:color w:val="auto"/>
                <w:sz w:val="10"/>
                <w:szCs w:val="10"/>
              </w:rPr>
            </w:pPr>
            <w:r w:rsidRPr="00F9037E">
              <w:rPr>
                <w:color w:val="auto"/>
                <w:sz w:val="10"/>
                <w:szCs w:val="10"/>
              </w:rPr>
              <w:t>157.694</w:t>
            </w:r>
          </w:p>
        </w:tc>
        <w:tc>
          <w:tcPr>
            <w:tcW w:w="708" w:type="dxa"/>
            <w:shd w:val="clear" w:color="auto" w:fill="auto"/>
            <w:vAlign w:val="center"/>
          </w:tcPr>
          <w:p w14:paraId="6B748255" w14:textId="6F1B5385" w:rsidR="00D34C6F" w:rsidRPr="00F9037E" w:rsidRDefault="00D34C6F" w:rsidP="00C05C97">
            <w:pPr>
              <w:spacing w:before="120" w:after="120"/>
              <w:jc w:val="center"/>
              <w:rPr>
                <w:color w:val="auto"/>
                <w:sz w:val="10"/>
                <w:szCs w:val="10"/>
              </w:rPr>
            </w:pPr>
            <w:r w:rsidRPr="00F9037E">
              <w:rPr>
                <w:color w:val="auto"/>
                <w:sz w:val="10"/>
                <w:szCs w:val="10"/>
              </w:rPr>
              <w:t>122.032</w:t>
            </w:r>
          </w:p>
        </w:tc>
        <w:tc>
          <w:tcPr>
            <w:tcW w:w="709" w:type="dxa"/>
            <w:shd w:val="clear" w:color="auto" w:fill="auto"/>
            <w:vAlign w:val="center"/>
          </w:tcPr>
          <w:p w14:paraId="6FB8F31C" w14:textId="77777777" w:rsidR="00D34C6F" w:rsidRPr="00F9037E" w:rsidRDefault="00D34C6F" w:rsidP="00C05C97">
            <w:pPr>
              <w:spacing w:before="120" w:after="120"/>
              <w:jc w:val="center"/>
              <w:rPr>
                <w:color w:val="auto"/>
                <w:sz w:val="10"/>
                <w:szCs w:val="10"/>
              </w:rPr>
            </w:pPr>
            <w:r w:rsidRPr="00F9037E">
              <w:rPr>
                <w:color w:val="auto"/>
                <w:sz w:val="10"/>
                <w:szCs w:val="10"/>
              </w:rPr>
              <w:t>131.208</w:t>
            </w:r>
          </w:p>
        </w:tc>
        <w:tc>
          <w:tcPr>
            <w:tcW w:w="567" w:type="dxa"/>
            <w:shd w:val="clear" w:color="auto" w:fill="auto"/>
            <w:vAlign w:val="center"/>
          </w:tcPr>
          <w:p w14:paraId="2553594F" w14:textId="77777777" w:rsidR="00D34C6F" w:rsidRPr="00F9037E" w:rsidRDefault="00D34C6F" w:rsidP="00C05C97">
            <w:pPr>
              <w:spacing w:before="120" w:after="120"/>
              <w:jc w:val="center"/>
              <w:rPr>
                <w:color w:val="auto"/>
                <w:sz w:val="10"/>
                <w:szCs w:val="10"/>
              </w:rPr>
            </w:pPr>
            <w:r w:rsidRPr="00F9037E">
              <w:rPr>
                <w:color w:val="auto"/>
                <w:sz w:val="10"/>
                <w:szCs w:val="10"/>
              </w:rPr>
              <w:t>122.060</w:t>
            </w:r>
          </w:p>
        </w:tc>
        <w:tc>
          <w:tcPr>
            <w:tcW w:w="647" w:type="dxa"/>
            <w:shd w:val="clear" w:color="auto" w:fill="auto"/>
            <w:vAlign w:val="center"/>
          </w:tcPr>
          <w:p w14:paraId="0995E0FA" w14:textId="77777777" w:rsidR="00D34C6F" w:rsidRPr="00F9037E" w:rsidRDefault="00D34C6F" w:rsidP="00C05C97">
            <w:pPr>
              <w:spacing w:before="120" w:after="120"/>
              <w:jc w:val="center"/>
              <w:rPr>
                <w:color w:val="auto"/>
                <w:sz w:val="10"/>
                <w:szCs w:val="10"/>
              </w:rPr>
            </w:pPr>
            <w:r w:rsidRPr="00F9037E">
              <w:rPr>
                <w:color w:val="auto"/>
                <w:sz w:val="10"/>
                <w:szCs w:val="10"/>
              </w:rPr>
              <w:t>117.826</w:t>
            </w:r>
          </w:p>
        </w:tc>
        <w:tc>
          <w:tcPr>
            <w:tcW w:w="567" w:type="dxa"/>
            <w:shd w:val="clear" w:color="auto" w:fill="auto"/>
            <w:vAlign w:val="center"/>
          </w:tcPr>
          <w:p w14:paraId="55E48FEA" w14:textId="77777777" w:rsidR="00D34C6F" w:rsidRPr="00F9037E" w:rsidRDefault="00D34C6F" w:rsidP="00C05C97">
            <w:pPr>
              <w:spacing w:before="120" w:after="120"/>
              <w:jc w:val="center"/>
              <w:rPr>
                <w:color w:val="auto"/>
                <w:sz w:val="10"/>
                <w:szCs w:val="10"/>
              </w:rPr>
            </w:pPr>
            <w:r w:rsidRPr="00F9037E">
              <w:rPr>
                <w:color w:val="auto"/>
                <w:sz w:val="10"/>
                <w:szCs w:val="10"/>
              </w:rPr>
              <w:t>93.547</w:t>
            </w:r>
          </w:p>
        </w:tc>
        <w:tc>
          <w:tcPr>
            <w:tcW w:w="567" w:type="dxa"/>
            <w:shd w:val="clear" w:color="auto" w:fill="auto"/>
            <w:noWrap/>
            <w:vAlign w:val="center"/>
          </w:tcPr>
          <w:p w14:paraId="3C71ED95" w14:textId="066015F9" w:rsidR="00D34C6F" w:rsidRPr="00F9037E" w:rsidRDefault="00D34C6F" w:rsidP="00C05C97">
            <w:pPr>
              <w:spacing w:before="120" w:after="120"/>
              <w:jc w:val="center"/>
              <w:rPr>
                <w:b/>
                <w:color w:val="auto"/>
                <w:sz w:val="10"/>
                <w:szCs w:val="10"/>
              </w:rPr>
            </w:pPr>
          </w:p>
        </w:tc>
        <w:tc>
          <w:tcPr>
            <w:tcW w:w="567" w:type="dxa"/>
            <w:vAlign w:val="center"/>
          </w:tcPr>
          <w:p w14:paraId="79B44458" w14:textId="77777777" w:rsidR="00D34C6F" w:rsidRPr="00F9037E" w:rsidRDefault="00D34C6F" w:rsidP="00C05C97">
            <w:pPr>
              <w:spacing w:before="120" w:after="120"/>
              <w:jc w:val="center"/>
              <w:rPr>
                <w:b/>
                <w:color w:val="auto"/>
                <w:sz w:val="10"/>
                <w:szCs w:val="10"/>
              </w:rPr>
            </w:pPr>
          </w:p>
        </w:tc>
        <w:tc>
          <w:tcPr>
            <w:tcW w:w="567" w:type="dxa"/>
            <w:vAlign w:val="center"/>
          </w:tcPr>
          <w:p w14:paraId="13AECE4C" w14:textId="77777777" w:rsidR="00D34C6F" w:rsidRPr="00F9037E" w:rsidRDefault="00D34C6F" w:rsidP="00C05C97">
            <w:pPr>
              <w:spacing w:before="120" w:after="120"/>
              <w:jc w:val="center"/>
              <w:rPr>
                <w:b/>
                <w:color w:val="auto"/>
                <w:sz w:val="10"/>
                <w:szCs w:val="10"/>
              </w:rPr>
            </w:pPr>
          </w:p>
        </w:tc>
        <w:tc>
          <w:tcPr>
            <w:tcW w:w="567" w:type="dxa"/>
            <w:vAlign w:val="center"/>
          </w:tcPr>
          <w:p w14:paraId="342CE37F" w14:textId="77777777" w:rsidR="00D34C6F" w:rsidRPr="00F9037E" w:rsidRDefault="00D34C6F" w:rsidP="00C05C97">
            <w:pPr>
              <w:spacing w:before="120" w:after="120"/>
              <w:jc w:val="center"/>
              <w:rPr>
                <w:b/>
                <w:color w:val="auto"/>
                <w:sz w:val="10"/>
                <w:szCs w:val="10"/>
              </w:rPr>
            </w:pPr>
          </w:p>
        </w:tc>
        <w:tc>
          <w:tcPr>
            <w:tcW w:w="567" w:type="dxa"/>
            <w:vAlign w:val="center"/>
          </w:tcPr>
          <w:p w14:paraId="39204738" w14:textId="77777777" w:rsidR="00D34C6F" w:rsidRPr="00F9037E" w:rsidRDefault="00D34C6F" w:rsidP="00C05C97">
            <w:pPr>
              <w:spacing w:before="120" w:after="120"/>
              <w:jc w:val="center"/>
              <w:rPr>
                <w:b/>
                <w:color w:val="auto"/>
                <w:sz w:val="10"/>
                <w:szCs w:val="10"/>
              </w:rPr>
            </w:pPr>
          </w:p>
        </w:tc>
      </w:tr>
      <w:tr w:rsidR="00D34C6F" w:rsidRPr="00F9037E" w14:paraId="3429A995" w14:textId="77777777" w:rsidTr="00C05C97">
        <w:trPr>
          <w:trHeight w:val="270"/>
          <w:jc w:val="center"/>
        </w:trPr>
        <w:tc>
          <w:tcPr>
            <w:tcW w:w="662" w:type="dxa"/>
            <w:shd w:val="clear" w:color="auto" w:fill="auto"/>
            <w:vAlign w:val="center"/>
          </w:tcPr>
          <w:p w14:paraId="3F40F313" w14:textId="77777777" w:rsidR="00D34C6F" w:rsidRPr="00F9037E" w:rsidRDefault="00D34C6F" w:rsidP="00C05C97">
            <w:pPr>
              <w:spacing w:before="120" w:after="120"/>
              <w:rPr>
                <w:color w:val="auto"/>
                <w:sz w:val="12"/>
                <w:szCs w:val="12"/>
              </w:rPr>
            </w:pPr>
            <w:r w:rsidRPr="00F9037E">
              <w:rPr>
                <w:color w:val="auto"/>
                <w:sz w:val="12"/>
                <w:szCs w:val="12"/>
              </w:rPr>
              <w:t>USA</w:t>
            </w:r>
          </w:p>
        </w:tc>
        <w:tc>
          <w:tcPr>
            <w:tcW w:w="824" w:type="dxa"/>
            <w:shd w:val="clear" w:color="auto" w:fill="auto"/>
            <w:vAlign w:val="center"/>
          </w:tcPr>
          <w:p w14:paraId="39BA086E" w14:textId="77777777" w:rsidR="00D34C6F" w:rsidRPr="00F9037E" w:rsidRDefault="00D34C6F" w:rsidP="00C05C97">
            <w:pPr>
              <w:spacing w:before="120" w:after="120"/>
              <w:rPr>
                <w:color w:val="auto"/>
                <w:sz w:val="12"/>
                <w:szCs w:val="12"/>
              </w:rPr>
            </w:pPr>
            <w:r w:rsidRPr="00F9037E">
              <w:rPr>
                <w:color w:val="auto"/>
                <w:sz w:val="12"/>
                <w:szCs w:val="12"/>
              </w:rPr>
              <w:t>Ginger</w:t>
            </w:r>
          </w:p>
        </w:tc>
        <w:tc>
          <w:tcPr>
            <w:tcW w:w="708" w:type="dxa"/>
            <w:shd w:val="clear" w:color="auto" w:fill="auto"/>
            <w:vAlign w:val="center"/>
          </w:tcPr>
          <w:p w14:paraId="30E22659" w14:textId="77777777" w:rsidR="00D34C6F" w:rsidRPr="00F9037E" w:rsidRDefault="00D34C6F" w:rsidP="00C05C97">
            <w:pPr>
              <w:spacing w:before="120" w:after="120"/>
              <w:jc w:val="center"/>
              <w:rPr>
                <w:color w:val="auto"/>
                <w:sz w:val="10"/>
                <w:szCs w:val="10"/>
              </w:rPr>
            </w:pPr>
            <w:r w:rsidRPr="00F9037E">
              <w:rPr>
                <w:color w:val="auto"/>
                <w:sz w:val="10"/>
                <w:szCs w:val="10"/>
              </w:rPr>
              <w:t>9.2</w:t>
            </w:r>
          </w:p>
        </w:tc>
        <w:tc>
          <w:tcPr>
            <w:tcW w:w="709" w:type="dxa"/>
            <w:shd w:val="clear" w:color="auto" w:fill="auto"/>
            <w:vAlign w:val="center"/>
          </w:tcPr>
          <w:p w14:paraId="6EE5FB9F" w14:textId="2F37A04A"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07F2F40F" w14:textId="040CFE85"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E898924" w14:textId="018CDA4F"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4D5EEB91" w14:textId="139FBFB3"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D7FEA13" w14:textId="7289F5F1"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3F43B0EC" w14:textId="31AD0192"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22E7154B" w14:textId="55220632"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1628A3A2" w14:textId="155482EF" w:rsidR="00D34C6F" w:rsidRPr="00F9037E" w:rsidRDefault="00D34C6F" w:rsidP="00C05C97">
            <w:pPr>
              <w:spacing w:before="120" w:after="120"/>
              <w:jc w:val="center"/>
              <w:rPr>
                <w:color w:val="auto"/>
                <w:sz w:val="10"/>
                <w:szCs w:val="10"/>
              </w:rPr>
            </w:pPr>
          </w:p>
        </w:tc>
        <w:tc>
          <w:tcPr>
            <w:tcW w:w="629" w:type="dxa"/>
            <w:vAlign w:val="center"/>
          </w:tcPr>
          <w:p w14:paraId="301A38F9" w14:textId="77777777" w:rsidR="00D34C6F" w:rsidRPr="00F9037E" w:rsidRDefault="00D34C6F" w:rsidP="00C05C97">
            <w:pPr>
              <w:spacing w:before="120" w:after="120"/>
              <w:jc w:val="center"/>
              <w:rPr>
                <w:color w:val="auto"/>
                <w:sz w:val="10"/>
                <w:szCs w:val="10"/>
              </w:rPr>
            </w:pPr>
          </w:p>
        </w:tc>
        <w:tc>
          <w:tcPr>
            <w:tcW w:w="567" w:type="dxa"/>
            <w:vAlign w:val="center"/>
          </w:tcPr>
          <w:p w14:paraId="790867FE" w14:textId="77777777" w:rsidR="00D34C6F" w:rsidRPr="00F9037E" w:rsidRDefault="00D34C6F" w:rsidP="00C05C97">
            <w:pPr>
              <w:spacing w:before="120" w:after="120"/>
              <w:jc w:val="center"/>
              <w:rPr>
                <w:color w:val="auto"/>
                <w:sz w:val="10"/>
                <w:szCs w:val="10"/>
              </w:rPr>
            </w:pPr>
          </w:p>
        </w:tc>
        <w:tc>
          <w:tcPr>
            <w:tcW w:w="567" w:type="dxa"/>
            <w:vAlign w:val="center"/>
          </w:tcPr>
          <w:p w14:paraId="528A7CAC"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25DDC700" w14:textId="77777777" w:rsidR="00D34C6F" w:rsidRPr="00F9037E" w:rsidRDefault="00D34C6F" w:rsidP="00C05C97">
            <w:pPr>
              <w:spacing w:before="120" w:after="120"/>
              <w:jc w:val="center"/>
              <w:rPr>
                <w:color w:val="auto"/>
                <w:sz w:val="10"/>
                <w:szCs w:val="10"/>
              </w:rPr>
            </w:pPr>
            <w:r w:rsidRPr="00F9037E">
              <w:rPr>
                <w:color w:val="auto"/>
                <w:sz w:val="10"/>
                <w:szCs w:val="10"/>
              </w:rPr>
              <w:t>9.2</w:t>
            </w:r>
          </w:p>
        </w:tc>
        <w:tc>
          <w:tcPr>
            <w:tcW w:w="709" w:type="dxa"/>
            <w:shd w:val="clear" w:color="auto" w:fill="auto"/>
            <w:vAlign w:val="center"/>
          </w:tcPr>
          <w:p w14:paraId="48280FC9" w14:textId="77777777" w:rsidR="00D34C6F" w:rsidRPr="00F9037E" w:rsidRDefault="00D34C6F" w:rsidP="00C05C97">
            <w:pPr>
              <w:spacing w:before="120" w:after="120"/>
              <w:jc w:val="center"/>
              <w:rPr>
                <w:color w:val="auto"/>
                <w:sz w:val="10"/>
                <w:szCs w:val="10"/>
              </w:rPr>
            </w:pPr>
            <w:r w:rsidRPr="00F9037E">
              <w:rPr>
                <w:color w:val="auto"/>
                <w:sz w:val="10"/>
                <w:szCs w:val="10"/>
              </w:rPr>
              <w:t>0</w:t>
            </w:r>
          </w:p>
        </w:tc>
        <w:tc>
          <w:tcPr>
            <w:tcW w:w="708" w:type="dxa"/>
            <w:shd w:val="clear" w:color="auto" w:fill="auto"/>
            <w:vAlign w:val="center"/>
          </w:tcPr>
          <w:p w14:paraId="43F2621E" w14:textId="662FCB56"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44AAF968" w14:textId="52988B24"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E2EE2D2" w14:textId="411EC94E"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17C07C8A" w14:textId="551D9E62"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4E76837D" w14:textId="6C5208C4"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339F2595" w14:textId="22272803" w:rsidR="00D34C6F" w:rsidRPr="00F9037E" w:rsidRDefault="00D34C6F" w:rsidP="00C05C97">
            <w:pPr>
              <w:spacing w:before="120" w:after="120"/>
              <w:jc w:val="center"/>
              <w:rPr>
                <w:b/>
                <w:color w:val="auto"/>
                <w:sz w:val="10"/>
                <w:szCs w:val="10"/>
              </w:rPr>
            </w:pPr>
          </w:p>
        </w:tc>
        <w:tc>
          <w:tcPr>
            <w:tcW w:w="567" w:type="dxa"/>
            <w:vAlign w:val="center"/>
          </w:tcPr>
          <w:p w14:paraId="7B71906E" w14:textId="77777777" w:rsidR="00D34C6F" w:rsidRPr="00F9037E" w:rsidRDefault="00D34C6F" w:rsidP="00C05C97">
            <w:pPr>
              <w:spacing w:before="120" w:after="120"/>
              <w:jc w:val="center"/>
              <w:rPr>
                <w:b/>
                <w:color w:val="auto"/>
                <w:sz w:val="10"/>
                <w:szCs w:val="10"/>
              </w:rPr>
            </w:pPr>
          </w:p>
        </w:tc>
        <w:tc>
          <w:tcPr>
            <w:tcW w:w="567" w:type="dxa"/>
            <w:vAlign w:val="center"/>
          </w:tcPr>
          <w:p w14:paraId="4EBEBADB" w14:textId="77777777" w:rsidR="00D34C6F" w:rsidRPr="00F9037E" w:rsidRDefault="00D34C6F" w:rsidP="00C05C97">
            <w:pPr>
              <w:spacing w:before="120" w:after="120"/>
              <w:jc w:val="center"/>
              <w:rPr>
                <w:b/>
                <w:color w:val="auto"/>
                <w:sz w:val="10"/>
                <w:szCs w:val="10"/>
              </w:rPr>
            </w:pPr>
          </w:p>
        </w:tc>
        <w:tc>
          <w:tcPr>
            <w:tcW w:w="567" w:type="dxa"/>
            <w:vAlign w:val="center"/>
          </w:tcPr>
          <w:p w14:paraId="061336CF" w14:textId="77777777" w:rsidR="00D34C6F" w:rsidRPr="00F9037E" w:rsidRDefault="00D34C6F" w:rsidP="00C05C97">
            <w:pPr>
              <w:spacing w:before="120" w:after="120"/>
              <w:jc w:val="center"/>
              <w:rPr>
                <w:b/>
                <w:color w:val="auto"/>
                <w:sz w:val="10"/>
                <w:szCs w:val="10"/>
              </w:rPr>
            </w:pPr>
          </w:p>
        </w:tc>
        <w:tc>
          <w:tcPr>
            <w:tcW w:w="567" w:type="dxa"/>
            <w:vAlign w:val="center"/>
          </w:tcPr>
          <w:p w14:paraId="2A2A4F1C" w14:textId="77777777" w:rsidR="00D34C6F" w:rsidRPr="00F9037E" w:rsidRDefault="00D34C6F" w:rsidP="00C05C97">
            <w:pPr>
              <w:spacing w:before="120" w:after="120"/>
              <w:jc w:val="center"/>
              <w:rPr>
                <w:b/>
                <w:color w:val="auto"/>
                <w:sz w:val="10"/>
                <w:szCs w:val="10"/>
              </w:rPr>
            </w:pPr>
          </w:p>
        </w:tc>
      </w:tr>
      <w:tr w:rsidR="00D34C6F" w:rsidRPr="00F9037E" w14:paraId="7539D3AC" w14:textId="77777777" w:rsidTr="00C05C97">
        <w:trPr>
          <w:trHeight w:val="465"/>
          <w:jc w:val="center"/>
        </w:trPr>
        <w:tc>
          <w:tcPr>
            <w:tcW w:w="662" w:type="dxa"/>
            <w:shd w:val="clear" w:color="auto" w:fill="auto"/>
            <w:vAlign w:val="center"/>
          </w:tcPr>
          <w:p w14:paraId="3D5B8CC0" w14:textId="77777777" w:rsidR="00D34C6F" w:rsidRPr="00F9037E" w:rsidRDefault="00D34C6F" w:rsidP="00C05C97">
            <w:pPr>
              <w:spacing w:before="120" w:after="120"/>
              <w:rPr>
                <w:color w:val="auto"/>
                <w:sz w:val="12"/>
                <w:szCs w:val="12"/>
              </w:rPr>
            </w:pPr>
            <w:r w:rsidRPr="00F9037E">
              <w:rPr>
                <w:color w:val="auto"/>
                <w:sz w:val="12"/>
                <w:szCs w:val="12"/>
              </w:rPr>
              <w:t>USA</w:t>
            </w:r>
          </w:p>
        </w:tc>
        <w:tc>
          <w:tcPr>
            <w:tcW w:w="824" w:type="dxa"/>
            <w:shd w:val="clear" w:color="auto" w:fill="auto"/>
            <w:vAlign w:val="center"/>
          </w:tcPr>
          <w:p w14:paraId="7C33707F" w14:textId="77777777" w:rsidR="00D34C6F" w:rsidRPr="00F9037E" w:rsidRDefault="00D34C6F" w:rsidP="00C05C97">
            <w:pPr>
              <w:spacing w:before="120" w:after="120"/>
              <w:rPr>
                <w:color w:val="auto"/>
                <w:sz w:val="12"/>
                <w:szCs w:val="12"/>
              </w:rPr>
            </w:pPr>
            <w:r w:rsidRPr="00F9037E">
              <w:rPr>
                <w:color w:val="auto"/>
                <w:sz w:val="12"/>
                <w:szCs w:val="12"/>
              </w:rPr>
              <w:t>Orchard replant</w:t>
            </w:r>
          </w:p>
        </w:tc>
        <w:tc>
          <w:tcPr>
            <w:tcW w:w="708" w:type="dxa"/>
            <w:shd w:val="clear" w:color="auto" w:fill="auto"/>
            <w:vAlign w:val="center"/>
          </w:tcPr>
          <w:p w14:paraId="5C6FB4AB" w14:textId="77777777" w:rsidR="00D34C6F" w:rsidRPr="00F9037E" w:rsidRDefault="00D34C6F" w:rsidP="00C05C97">
            <w:pPr>
              <w:spacing w:before="120" w:after="120"/>
              <w:jc w:val="center"/>
              <w:rPr>
                <w:color w:val="auto"/>
                <w:sz w:val="10"/>
                <w:szCs w:val="10"/>
              </w:rPr>
            </w:pPr>
            <w:r w:rsidRPr="00F9037E">
              <w:rPr>
                <w:color w:val="auto"/>
                <w:sz w:val="10"/>
                <w:szCs w:val="10"/>
              </w:rPr>
              <w:t>706.176</w:t>
            </w:r>
          </w:p>
        </w:tc>
        <w:tc>
          <w:tcPr>
            <w:tcW w:w="709" w:type="dxa"/>
            <w:shd w:val="clear" w:color="auto" w:fill="auto"/>
            <w:vAlign w:val="center"/>
          </w:tcPr>
          <w:p w14:paraId="4472D9C4" w14:textId="77777777" w:rsidR="00D34C6F" w:rsidRPr="00F9037E" w:rsidRDefault="00D34C6F" w:rsidP="00C05C97">
            <w:pPr>
              <w:spacing w:before="120" w:after="120"/>
              <w:jc w:val="center"/>
              <w:rPr>
                <w:color w:val="auto"/>
                <w:sz w:val="10"/>
                <w:szCs w:val="10"/>
              </w:rPr>
            </w:pPr>
            <w:r w:rsidRPr="00F9037E">
              <w:rPr>
                <w:color w:val="auto"/>
                <w:sz w:val="10"/>
                <w:szCs w:val="10"/>
              </w:rPr>
              <w:t>827.994</w:t>
            </w:r>
          </w:p>
        </w:tc>
        <w:tc>
          <w:tcPr>
            <w:tcW w:w="709" w:type="dxa"/>
            <w:shd w:val="clear" w:color="auto" w:fill="auto"/>
            <w:vAlign w:val="center"/>
          </w:tcPr>
          <w:p w14:paraId="0518FF49" w14:textId="77777777" w:rsidR="00D34C6F" w:rsidRPr="00F9037E" w:rsidRDefault="00D34C6F" w:rsidP="00C05C97">
            <w:pPr>
              <w:spacing w:before="120" w:after="120"/>
              <w:jc w:val="center"/>
              <w:rPr>
                <w:color w:val="auto"/>
                <w:sz w:val="10"/>
                <w:szCs w:val="10"/>
              </w:rPr>
            </w:pPr>
            <w:r w:rsidRPr="00F9037E">
              <w:rPr>
                <w:color w:val="auto"/>
                <w:sz w:val="10"/>
                <w:szCs w:val="10"/>
              </w:rPr>
              <w:t>405.415</w:t>
            </w:r>
          </w:p>
        </w:tc>
        <w:tc>
          <w:tcPr>
            <w:tcW w:w="567" w:type="dxa"/>
            <w:shd w:val="clear" w:color="auto" w:fill="auto"/>
            <w:vAlign w:val="center"/>
          </w:tcPr>
          <w:p w14:paraId="2B064726" w14:textId="77777777" w:rsidR="00D34C6F" w:rsidRPr="00F9037E" w:rsidRDefault="00D34C6F" w:rsidP="00C05C97">
            <w:pPr>
              <w:spacing w:before="120" w:after="120"/>
              <w:jc w:val="center"/>
              <w:rPr>
                <w:color w:val="auto"/>
                <w:sz w:val="10"/>
                <w:szCs w:val="10"/>
              </w:rPr>
            </w:pPr>
            <w:r w:rsidRPr="00F9037E">
              <w:rPr>
                <w:color w:val="auto"/>
                <w:sz w:val="10"/>
                <w:szCs w:val="10"/>
              </w:rPr>
              <w:t>405.666</w:t>
            </w:r>
          </w:p>
        </w:tc>
        <w:tc>
          <w:tcPr>
            <w:tcW w:w="709" w:type="dxa"/>
            <w:shd w:val="clear" w:color="auto" w:fill="auto"/>
            <w:vAlign w:val="center"/>
          </w:tcPr>
          <w:p w14:paraId="2AE4360D" w14:textId="77777777" w:rsidR="00D34C6F" w:rsidRPr="00F9037E" w:rsidRDefault="00D34C6F" w:rsidP="00C05C97">
            <w:pPr>
              <w:spacing w:before="120" w:after="120"/>
              <w:jc w:val="center"/>
              <w:rPr>
                <w:color w:val="auto"/>
                <w:sz w:val="10"/>
                <w:szCs w:val="10"/>
              </w:rPr>
            </w:pPr>
            <w:r w:rsidRPr="00F9037E">
              <w:rPr>
                <w:color w:val="auto"/>
                <w:sz w:val="10"/>
                <w:szCs w:val="10"/>
              </w:rPr>
              <w:t>314.007</w:t>
            </w:r>
          </w:p>
        </w:tc>
        <w:tc>
          <w:tcPr>
            <w:tcW w:w="567" w:type="dxa"/>
            <w:shd w:val="clear" w:color="auto" w:fill="auto"/>
            <w:vAlign w:val="center"/>
          </w:tcPr>
          <w:p w14:paraId="0FFA61E0" w14:textId="77777777" w:rsidR="00D34C6F" w:rsidRPr="00F9037E" w:rsidRDefault="00D34C6F" w:rsidP="00C05C97">
            <w:pPr>
              <w:spacing w:before="120" w:after="120"/>
              <w:jc w:val="center"/>
              <w:rPr>
                <w:color w:val="auto"/>
                <w:sz w:val="10"/>
                <w:szCs w:val="10"/>
              </w:rPr>
            </w:pPr>
            <w:r w:rsidRPr="00F9037E">
              <w:rPr>
                <w:color w:val="auto"/>
                <w:sz w:val="10"/>
                <w:szCs w:val="10"/>
              </w:rPr>
              <w:t>226.021</w:t>
            </w:r>
          </w:p>
        </w:tc>
        <w:tc>
          <w:tcPr>
            <w:tcW w:w="708" w:type="dxa"/>
            <w:shd w:val="clear" w:color="auto" w:fill="auto"/>
            <w:vAlign w:val="center"/>
          </w:tcPr>
          <w:p w14:paraId="138976FD" w14:textId="77777777" w:rsidR="00D34C6F" w:rsidRPr="00F9037E" w:rsidRDefault="00D34C6F" w:rsidP="00C05C97">
            <w:pPr>
              <w:spacing w:before="120" w:after="120"/>
              <w:jc w:val="center"/>
              <w:rPr>
                <w:color w:val="auto"/>
                <w:sz w:val="10"/>
                <w:szCs w:val="10"/>
              </w:rPr>
            </w:pPr>
            <w:r w:rsidRPr="00F9037E">
              <w:rPr>
                <w:color w:val="auto"/>
                <w:sz w:val="10"/>
                <w:szCs w:val="10"/>
              </w:rPr>
              <w:t>203.591</w:t>
            </w:r>
          </w:p>
        </w:tc>
        <w:tc>
          <w:tcPr>
            <w:tcW w:w="567" w:type="dxa"/>
            <w:shd w:val="clear" w:color="auto" w:fill="auto"/>
            <w:vAlign w:val="center"/>
          </w:tcPr>
          <w:p w14:paraId="1BA68C9F" w14:textId="5336C8A4" w:rsidR="00D34C6F" w:rsidRPr="00F9037E" w:rsidRDefault="00D34C6F" w:rsidP="00C05C97">
            <w:pPr>
              <w:spacing w:before="120" w:after="120"/>
              <w:jc w:val="center"/>
              <w:rPr>
                <w:color w:val="auto"/>
                <w:sz w:val="10"/>
                <w:szCs w:val="10"/>
              </w:rPr>
            </w:pPr>
            <w:r w:rsidRPr="00F9037E">
              <w:rPr>
                <w:color w:val="auto"/>
                <w:sz w:val="10"/>
                <w:szCs w:val="10"/>
              </w:rPr>
              <w:t>18.324</w:t>
            </w:r>
          </w:p>
        </w:tc>
        <w:tc>
          <w:tcPr>
            <w:tcW w:w="567" w:type="dxa"/>
            <w:shd w:val="clear" w:color="auto" w:fill="auto"/>
            <w:vAlign w:val="center"/>
          </w:tcPr>
          <w:p w14:paraId="5F6D78E4" w14:textId="77777777" w:rsidR="00D34C6F" w:rsidRPr="00F9037E" w:rsidRDefault="00D34C6F" w:rsidP="00C05C97">
            <w:pPr>
              <w:spacing w:before="120" w:after="120"/>
              <w:jc w:val="center"/>
              <w:rPr>
                <w:color w:val="auto"/>
                <w:sz w:val="10"/>
                <w:szCs w:val="10"/>
              </w:rPr>
            </w:pPr>
            <w:r w:rsidRPr="00F9037E">
              <w:rPr>
                <w:color w:val="auto"/>
                <w:sz w:val="10"/>
                <w:szCs w:val="10"/>
              </w:rPr>
              <w:t>6.230</w:t>
            </w:r>
          </w:p>
        </w:tc>
        <w:tc>
          <w:tcPr>
            <w:tcW w:w="629" w:type="dxa"/>
            <w:vAlign w:val="center"/>
          </w:tcPr>
          <w:p w14:paraId="05C3A776" w14:textId="77777777" w:rsidR="00D34C6F" w:rsidRPr="00F9037E" w:rsidRDefault="00D34C6F" w:rsidP="00C05C97">
            <w:pPr>
              <w:spacing w:before="120" w:after="120"/>
              <w:jc w:val="center"/>
              <w:rPr>
                <w:color w:val="auto"/>
                <w:sz w:val="10"/>
                <w:szCs w:val="10"/>
              </w:rPr>
            </w:pPr>
          </w:p>
        </w:tc>
        <w:tc>
          <w:tcPr>
            <w:tcW w:w="567" w:type="dxa"/>
            <w:vAlign w:val="center"/>
          </w:tcPr>
          <w:p w14:paraId="3DFC0B2C" w14:textId="77777777" w:rsidR="00D34C6F" w:rsidRPr="00F9037E" w:rsidRDefault="00D34C6F" w:rsidP="00C05C97">
            <w:pPr>
              <w:spacing w:before="120" w:after="120"/>
              <w:jc w:val="center"/>
              <w:rPr>
                <w:color w:val="auto"/>
                <w:sz w:val="10"/>
                <w:szCs w:val="10"/>
              </w:rPr>
            </w:pPr>
          </w:p>
        </w:tc>
        <w:tc>
          <w:tcPr>
            <w:tcW w:w="567" w:type="dxa"/>
            <w:vAlign w:val="center"/>
          </w:tcPr>
          <w:p w14:paraId="09455E65"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45430023" w14:textId="77777777" w:rsidR="00D34C6F" w:rsidRPr="00F9037E" w:rsidRDefault="00D34C6F" w:rsidP="00C05C97">
            <w:pPr>
              <w:spacing w:before="120" w:after="120"/>
              <w:jc w:val="center"/>
              <w:rPr>
                <w:color w:val="auto"/>
                <w:sz w:val="10"/>
                <w:szCs w:val="10"/>
              </w:rPr>
            </w:pPr>
            <w:r w:rsidRPr="00F9037E">
              <w:rPr>
                <w:color w:val="auto"/>
                <w:sz w:val="10"/>
                <w:szCs w:val="10"/>
              </w:rPr>
              <w:t>706.176</w:t>
            </w:r>
          </w:p>
        </w:tc>
        <w:tc>
          <w:tcPr>
            <w:tcW w:w="709" w:type="dxa"/>
            <w:shd w:val="clear" w:color="auto" w:fill="auto"/>
            <w:vAlign w:val="center"/>
          </w:tcPr>
          <w:p w14:paraId="36692871" w14:textId="77777777" w:rsidR="00D34C6F" w:rsidRPr="00F9037E" w:rsidRDefault="00D34C6F" w:rsidP="00C05C97">
            <w:pPr>
              <w:spacing w:before="120" w:after="120"/>
              <w:jc w:val="center"/>
              <w:rPr>
                <w:color w:val="auto"/>
                <w:sz w:val="10"/>
                <w:szCs w:val="10"/>
              </w:rPr>
            </w:pPr>
            <w:r w:rsidRPr="00F9037E">
              <w:rPr>
                <w:color w:val="auto"/>
                <w:sz w:val="10"/>
                <w:szCs w:val="10"/>
              </w:rPr>
              <w:t>527.600</w:t>
            </w:r>
          </w:p>
        </w:tc>
        <w:tc>
          <w:tcPr>
            <w:tcW w:w="708" w:type="dxa"/>
            <w:shd w:val="clear" w:color="auto" w:fill="auto"/>
            <w:vAlign w:val="center"/>
          </w:tcPr>
          <w:p w14:paraId="7B4135D6" w14:textId="77BC1557" w:rsidR="00D34C6F" w:rsidRPr="00F9037E" w:rsidRDefault="00D34C6F" w:rsidP="00C05C97">
            <w:pPr>
              <w:spacing w:before="120" w:after="120"/>
              <w:jc w:val="center"/>
              <w:rPr>
                <w:color w:val="auto"/>
                <w:sz w:val="10"/>
                <w:szCs w:val="10"/>
              </w:rPr>
            </w:pPr>
            <w:r w:rsidRPr="00F9037E">
              <w:rPr>
                <w:color w:val="auto"/>
                <w:sz w:val="10"/>
                <w:szCs w:val="10"/>
              </w:rPr>
              <w:t>405.400</w:t>
            </w:r>
          </w:p>
        </w:tc>
        <w:tc>
          <w:tcPr>
            <w:tcW w:w="709" w:type="dxa"/>
            <w:shd w:val="clear" w:color="auto" w:fill="auto"/>
            <w:vAlign w:val="center"/>
          </w:tcPr>
          <w:p w14:paraId="0FBB5B31" w14:textId="77777777" w:rsidR="00D34C6F" w:rsidRPr="00F9037E" w:rsidRDefault="00D34C6F" w:rsidP="00C05C97">
            <w:pPr>
              <w:spacing w:before="120" w:after="120"/>
              <w:jc w:val="center"/>
              <w:rPr>
                <w:color w:val="auto"/>
                <w:sz w:val="10"/>
                <w:szCs w:val="10"/>
              </w:rPr>
            </w:pPr>
            <w:r w:rsidRPr="00F9037E">
              <w:rPr>
                <w:color w:val="auto"/>
                <w:sz w:val="10"/>
                <w:szCs w:val="10"/>
              </w:rPr>
              <w:t>393.720</w:t>
            </w:r>
          </w:p>
        </w:tc>
        <w:tc>
          <w:tcPr>
            <w:tcW w:w="567" w:type="dxa"/>
            <w:shd w:val="clear" w:color="auto" w:fill="auto"/>
            <w:vAlign w:val="center"/>
          </w:tcPr>
          <w:p w14:paraId="21A61170" w14:textId="77777777" w:rsidR="00D34C6F" w:rsidRPr="00F9037E" w:rsidRDefault="00D34C6F" w:rsidP="00C05C97">
            <w:pPr>
              <w:spacing w:before="120" w:after="120"/>
              <w:jc w:val="center"/>
              <w:rPr>
                <w:color w:val="auto"/>
                <w:sz w:val="10"/>
                <w:szCs w:val="10"/>
              </w:rPr>
            </w:pPr>
            <w:r w:rsidRPr="00F9037E">
              <w:rPr>
                <w:color w:val="auto"/>
                <w:sz w:val="10"/>
                <w:szCs w:val="10"/>
              </w:rPr>
              <w:t>292.756</w:t>
            </w:r>
          </w:p>
        </w:tc>
        <w:tc>
          <w:tcPr>
            <w:tcW w:w="647" w:type="dxa"/>
            <w:shd w:val="clear" w:color="auto" w:fill="auto"/>
            <w:vAlign w:val="center"/>
          </w:tcPr>
          <w:p w14:paraId="7AF7B6B9" w14:textId="77777777" w:rsidR="00D34C6F" w:rsidRPr="00F9037E" w:rsidRDefault="00D34C6F" w:rsidP="00C05C97">
            <w:pPr>
              <w:spacing w:before="120" w:after="120"/>
              <w:jc w:val="center"/>
              <w:rPr>
                <w:color w:val="auto"/>
                <w:sz w:val="10"/>
                <w:szCs w:val="10"/>
              </w:rPr>
            </w:pPr>
            <w:r w:rsidRPr="00F9037E">
              <w:rPr>
                <w:color w:val="auto"/>
                <w:sz w:val="10"/>
                <w:szCs w:val="10"/>
              </w:rPr>
              <w:t>215.800</w:t>
            </w:r>
          </w:p>
        </w:tc>
        <w:tc>
          <w:tcPr>
            <w:tcW w:w="567" w:type="dxa"/>
            <w:shd w:val="clear" w:color="auto" w:fill="auto"/>
            <w:vAlign w:val="center"/>
          </w:tcPr>
          <w:p w14:paraId="0C29CA86" w14:textId="77777777" w:rsidR="00D34C6F" w:rsidRPr="00F9037E" w:rsidRDefault="00D34C6F" w:rsidP="00C05C97">
            <w:pPr>
              <w:spacing w:before="120" w:after="120"/>
              <w:jc w:val="center"/>
              <w:rPr>
                <w:color w:val="auto"/>
                <w:sz w:val="10"/>
                <w:szCs w:val="10"/>
              </w:rPr>
            </w:pPr>
            <w:r w:rsidRPr="00F9037E">
              <w:rPr>
                <w:color w:val="auto"/>
                <w:sz w:val="10"/>
                <w:szCs w:val="10"/>
              </w:rPr>
              <w:t>183.232</w:t>
            </w:r>
          </w:p>
        </w:tc>
        <w:tc>
          <w:tcPr>
            <w:tcW w:w="567" w:type="dxa"/>
            <w:shd w:val="clear" w:color="auto" w:fill="auto"/>
            <w:noWrap/>
            <w:vAlign w:val="center"/>
          </w:tcPr>
          <w:p w14:paraId="3A4B3F23" w14:textId="058B9BAD" w:rsidR="00D34C6F" w:rsidRPr="00F9037E" w:rsidRDefault="00D34C6F" w:rsidP="00C05C97">
            <w:pPr>
              <w:spacing w:before="120" w:after="120"/>
              <w:jc w:val="center"/>
              <w:rPr>
                <w:color w:val="auto"/>
                <w:sz w:val="10"/>
                <w:szCs w:val="10"/>
              </w:rPr>
            </w:pPr>
            <w:r w:rsidRPr="00F9037E">
              <w:rPr>
                <w:color w:val="auto"/>
                <w:sz w:val="10"/>
                <w:szCs w:val="10"/>
              </w:rPr>
              <w:t>18.324</w:t>
            </w:r>
          </w:p>
        </w:tc>
        <w:tc>
          <w:tcPr>
            <w:tcW w:w="567" w:type="dxa"/>
            <w:vAlign w:val="center"/>
          </w:tcPr>
          <w:p w14:paraId="73C1EDFD" w14:textId="77777777" w:rsidR="00D34C6F" w:rsidRPr="00F9037E" w:rsidRDefault="00D34C6F" w:rsidP="00C05C97">
            <w:pPr>
              <w:spacing w:before="120" w:after="120"/>
              <w:jc w:val="center"/>
              <w:rPr>
                <w:b/>
                <w:color w:val="auto"/>
                <w:sz w:val="10"/>
                <w:szCs w:val="10"/>
              </w:rPr>
            </w:pPr>
          </w:p>
        </w:tc>
        <w:tc>
          <w:tcPr>
            <w:tcW w:w="567" w:type="dxa"/>
            <w:vAlign w:val="center"/>
          </w:tcPr>
          <w:p w14:paraId="71D3FFAA" w14:textId="77777777" w:rsidR="00D34C6F" w:rsidRPr="00F9037E" w:rsidRDefault="00D34C6F" w:rsidP="00C05C97">
            <w:pPr>
              <w:spacing w:before="120" w:after="120"/>
              <w:jc w:val="center"/>
              <w:rPr>
                <w:b/>
                <w:color w:val="auto"/>
                <w:sz w:val="10"/>
                <w:szCs w:val="10"/>
              </w:rPr>
            </w:pPr>
          </w:p>
        </w:tc>
        <w:tc>
          <w:tcPr>
            <w:tcW w:w="567" w:type="dxa"/>
            <w:vAlign w:val="center"/>
          </w:tcPr>
          <w:p w14:paraId="6D04073A" w14:textId="77777777" w:rsidR="00D34C6F" w:rsidRPr="00F9037E" w:rsidRDefault="00D34C6F" w:rsidP="00C05C97">
            <w:pPr>
              <w:spacing w:before="120" w:after="120"/>
              <w:jc w:val="center"/>
              <w:rPr>
                <w:b/>
                <w:color w:val="auto"/>
                <w:sz w:val="10"/>
                <w:szCs w:val="10"/>
              </w:rPr>
            </w:pPr>
          </w:p>
        </w:tc>
        <w:tc>
          <w:tcPr>
            <w:tcW w:w="567" w:type="dxa"/>
            <w:vAlign w:val="center"/>
          </w:tcPr>
          <w:p w14:paraId="4E96409E" w14:textId="77777777" w:rsidR="00D34C6F" w:rsidRPr="00F9037E" w:rsidRDefault="00D34C6F" w:rsidP="00C05C97">
            <w:pPr>
              <w:spacing w:before="120" w:after="120"/>
              <w:jc w:val="center"/>
              <w:rPr>
                <w:b/>
                <w:color w:val="auto"/>
                <w:sz w:val="10"/>
                <w:szCs w:val="10"/>
              </w:rPr>
            </w:pPr>
          </w:p>
        </w:tc>
      </w:tr>
      <w:tr w:rsidR="00D34C6F" w:rsidRPr="00F9037E" w14:paraId="0B87BFD3" w14:textId="77777777" w:rsidTr="00C05C97">
        <w:trPr>
          <w:trHeight w:val="465"/>
          <w:jc w:val="center"/>
        </w:trPr>
        <w:tc>
          <w:tcPr>
            <w:tcW w:w="662" w:type="dxa"/>
            <w:shd w:val="clear" w:color="auto" w:fill="auto"/>
            <w:vAlign w:val="center"/>
          </w:tcPr>
          <w:p w14:paraId="467A6B5D" w14:textId="77777777" w:rsidR="00D34C6F" w:rsidRPr="00F9037E" w:rsidRDefault="00D34C6F" w:rsidP="00C05C97">
            <w:pPr>
              <w:spacing w:before="120" w:after="120"/>
              <w:rPr>
                <w:color w:val="auto"/>
                <w:sz w:val="12"/>
                <w:szCs w:val="12"/>
              </w:rPr>
            </w:pPr>
            <w:r w:rsidRPr="00F9037E">
              <w:rPr>
                <w:color w:val="auto"/>
                <w:sz w:val="12"/>
                <w:szCs w:val="12"/>
              </w:rPr>
              <w:t>USA</w:t>
            </w:r>
          </w:p>
        </w:tc>
        <w:tc>
          <w:tcPr>
            <w:tcW w:w="824" w:type="dxa"/>
            <w:shd w:val="clear" w:color="auto" w:fill="auto"/>
            <w:vAlign w:val="center"/>
          </w:tcPr>
          <w:p w14:paraId="6175AE9E" w14:textId="77777777" w:rsidR="00D34C6F" w:rsidRPr="00F9037E" w:rsidRDefault="00D34C6F" w:rsidP="00C05C97">
            <w:pPr>
              <w:spacing w:before="120" w:after="120"/>
              <w:rPr>
                <w:color w:val="auto"/>
                <w:sz w:val="12"/>
                <w:szCs w:val="12"/>
              </w:rPr>
            </w:pPr>
            <w:r w:rsidRPr="00F9037E">
              <w:rPr>
                <w:color w:val="auto"/>
                <w:sz w:val="12"/>
                <w:szCs w:val="12"/>
              </w:rPr>
              <w:t>Ornamentals</w:t>
            </w:r>
          </w:p>
        </w:tc>
        <w:tc>
          <w:tcPr>
            <w:tcW w:w="708" w:type="dxa"/>
            <w:shd w:val="clear" w:color="auto" w:fill="auto"/>
            <w:vAlign w:val="center"/>
          </w:tcPr>
          <w:p w14:paraId="7AB8C973" w14:textId="77777777" w:rsidR="00D34C6F" w:rsidRPr="00F9037E" w:rsidRDefault="00D34C6F" w:rsidP="00C05C97">
            <w:pPr>
              <w:spacing w:before="120" w:after="120"/>
              <w:jc w:val="center"/>
              <w:rPr>
                <w:color w:val="auto"/>
                <w:sz w:val="10"/>
                <w:szCs w:val="10"/>
              </w:rPr>
            </w:pPr>
            <w:r w:rsidRPr="00F9037E">
              <w:rPr>
                <w:color w:val="auto"/>
                <w:sz w:val="10"/>
                <w:szCs w:val="10"/>
              </w:rPr>
              <w:t>210.949</w:t>
            </w:r>
          </w:p>
        </w:tc>
        <w:tc>
          <w:tcPr>
            <w:tcW w:w="709" w:type="dxa"/>
            <w:shd w:val="clear" w:color="auto" w:fill="auto"/>
            <w:vAlign w:val="center"/>
          </w:tcPr>
          <w:p w14:paraId="1E1529C1" w14:textId="77777777" w:rsidR="00D34C6F" w:rsidRPr="00F9037E" w:rsidRDefault="00D34C6F" w:rsidP="00C05C97">
            <w:pPr>
              <w:spacing w:before="120" w:after="120"/>
              <w:jc w:val="center"/>
              <w:rPr>
                <w:color w:val="auto"/>
                <w:sz w:val="10"/>
                <w:szCs w:val="10"/>
              </w:rPr>
            </w:pPr>
            <w:r w:rsidRPr="00F9037E">
              <w:rPr>
                <w:color w:val="auto"/>
                <w:sz w:val="10"/>
                <w:szCs w:val="10"/>
              </w:rPr>
              <w:t>162.817</w:t>
            </w:r>
          </w:p>
        </w:tc>
        <w:tc>
          <w:tcPr>
            <w:tcW w:w="709" w:type="dxa"/>
            <w:shd w:val="clear" w:color="auto" w:fill="auto"/>
            <w:vAlign w:val="center"/>
          </w:tcPr>
          <w:p w14:paraId="2CEF9706" w14:textId="77777777" w:rsidR="00D34C6F" w:rsidRPr="00F9037E" w:rsidRDefault="00D34C6F" w:rsidP="00C05C97">
            <w:pPr>
              <w:spacing w:before="120" w:after="120"/>
              <w:jc w:val="center"/>
              <w:rPr>
                <w:color w:val="auto"/>
                <w:sz w:val="10"/>
                <w:szCs w:val="10"/>
              </w:rPr>
            </w:pPr>
            <w:r w:rsidRPr="00F9037E">
              <w:rPr>
                <w:color w:val="auto"/>
                <w:sz w:val="10"/>
                <w:szCs w:val="10"/>
              </w:rPr>
              <w:t>149.965</w:t>
            </w:r>
          </w:p>
        </w:tc>
        <w:tc>
          <w:tcPr>
            <w:tcW w:w="567" w:type="dxa"/>
            <w:shd w:val="clear" w:color="auto" w:fill="auto"/>
            <w:vAlign w:val="center"/>
          </w:tcPr>
          <w:p w14:paraId="7E8186B6" w14:textId="77777777" w:rsidR="00D34C6F" w:rsidRPr="00F9037E" w:rsidRDefault="00D34C6F" w:rsidP="00C05C97">
            <w:pPr>
              <w:spacing w:before="120" w:after="120"/>
              <w:jc w:val="center"/>
              <w:rPr>
                <w:color w:val="auto"/>
                <w:sz w:val="10"/>
                <w:szCs w:val="10"/>
              </w:rPr>
            </w:pPr>
            <w:r w:rsidRPr="00F9037E">
              <w:rPr>
                <w:color w:val="auto"/>
                <w:sz w:val="10"/>
                <w:szCs w:val="10"/>
              </w:rPr>
              <w:t>138.538</w:t>
            </w:r>
          </w:p>
        </w:tc>
        <w:tc>
          <w:tcPr>
            <w:tcW w:w="709" w:type="dxa"/>
            <w:shd w:val="clear" w:color="auto" w:fill="auto"/>
            <w:vAlign w:val="center"/>
          </w:tcPr>
          <w:p w14:paraId="4A19E389" w14:textId="77777777" w:rsidR="00D34C6F" w:rsidRPr="00F9037E" w:rsidRDefault="00D34C6F" w:rsidP="00C05C97">
            <w:pPr>
              <w:spacing w:before="120" w:after="120"/>
              <w:jc w:val="center"/>
              <w:rPr>
                <w:color w:val="auto"/>
                <w:sz w:val="10"/>
                <w:szCs w:val="10"/>
              </w:rPr>
            </w:pPr>
            <w:r w:rsidRPr="00F9037E">
              <w:rPr>
                <w:color w:val="auto"/>
                <w:sz w:val="10"/>
                <w:szCs w:val="10"/>
              </w:rPr>
              <w:t>137.776</w:t>
            </w:r>
          </w:p>
        </w:tc>
        <w:tc>
          <w:tcPr>
            <w:tcW w:w="567" w:type="dxa"/>
            <w:shd w:val="clear" w:color="auto" w:fill="auto"/>
            <w:vAlign w:val="center"/>
          </w:tcPr>
          <w:p w14:paraId="5E3ADC81" w14:textId="77777777" w:rsidR="00D34C6F" w:rsidRPr="00F9037E" w:rsidRDefault="00D34C6F" w:rsidP="00C05C97">
            <w:pPr>
              <w:spacing w:before="120" w:after="120"/>
              <w:jc w:val="center"/>
              <w:rPr>
                <w:color w:val="auto"/>
                <w:sz w:val="10"/>
                <w:szCs w:val="10"/>
              </w:rPr>
            </w:pPr>
            <w:r w:rsidRPr="00F9037E">
              <w:rPr>
                <w:color w:val="auto"/>
                <w:sz w:val="10"/>
                <w:szCs w:val="10"/>
              </w:rPr>
              <w:t>95.204</w:t>
            </w:r>
          </w:p>
        </w:tc>
        <w:tc>
          <w:tcPr>
            <w:tcW w:w="708" w:type="dxa"/>
            <w:shd w:val="clear" w:color="auto" w:fill="auto"/>
            <w:vAlign w:val="center"/>
          </w:tcPr>
          <w:p w14:paraId="132A239F" w14:textId="77777777" w:rsidR="00D34C6F" w:rsidRPr="00F9037E" w:rsidRDefault="00D34C6F" w:rsidP="00C05C97">
            <w:pPr>
              <w:spacing w:before="120" w:after="120"/>
              <w:jc w:val="center"/>
              <w:rPr>
                <w:color w:val="auto"/>
                <w:sz w:val="10"/>
                <w:szCs w:val="10"/>
              </w:rPr>
            </w:pPr>
            <w:r w:rsidRPr="00F9037E">
              <w:rPr>
                <w:color w:val="auto"/>
                <w:sz w:val="10"/>
                <w:szCs w:val="10"/>
              </w:rPr>
              <w:t>70.178</w:t>
            </w:r>
          </w:p>
        </w:tc>
        <w:tc>
          <w:tcPr>
            <w:tcW w:w="567" w:type="dxa"/>
            <w:shd w:val="clear" w:color="auto" w:fill="auto"/>
            <w:vAlign w:val="center"/>
          </w:tcPr>
          <w:p w14:paraId="52A54DAC" w14:textId="57DFF312" w:rsidR="00D34C6F" w:rsidRPr="00F9037E" w:rsidRDefault="00D34C6F" w:rsidP="00C05C97">
            <w:pPr>
              <w:spacing w:before="120" w:after="120"/>
              <w:jc w:val="center"/>
              <w:rPr>
                <w:color w:val="auto"/>
                <w:sz w:val="10"/>
                <w:szCs w:val="10"/>
              </w:rPr>
            </w:pPr>
            <w:r w:rsidRPr="00F9037E">
              <w:rPr>
                <w:color w:val="auto"/>
                <w:sz w:val="10"/>
                <w:szCs w:val="10"/>
              </w:rPr>
              <w:t>48.164</w:t>
            </w:r>
          </w:p>
        </w:tc>
        <w:tc>
          <w:tcPr>
            <w:tcW w:w="567" w:type="dxa"/>
            <w:shd w:val="clear" w:color="auto" w:fill="auto"/>
            <w:vAlign w:val="center"/>
          </w:tcPr>
          <w:p w14:paraId="2AA1A131" w14:textId="77777777" w:rsidR="00D34C6F" w:rsidRPr="00F9037E" w:rsidRDefault="00D34C6F" w:rsidP="00C05C97">
            <w:pPr>
              <w:spacing w:before="120" w:after="120"/>
              <w:jc w:val="center"/>
              <w:rPr>
                <w:color w:val="auto"/>
                <w:sz w:val="10"/>
                <w:szCs w:val="10"/>
              </w:rPr>
            </w:pPr>
            <w:r w:rsidRPr="00F9037E">
              <w:rPr>
                <w:color w:val="auto"/>
                <w:sz w:val="10"/>
                <w:szCs w:val="10"/>
              </w:rPr>
              <w:t>48.164</w:t>
            </w:r>
          </w:p>
        </w:tc>
        <w:tc>
          <w:tcPr>
            <w:tcW w:w="629" w:type="dxa"/>
            <w:vAlign w:val="center"/>
          </w:tcPr>
          <w:p w14:paraId="15B1A93F" w14:textId="77777777" w:rsidR="00D34C6F" w:rsidRPr="00F9037E" w:rsidRDefault="00D34C6F" w:rsidP="00C05C97">
            <w:pPr>
              <w:spacing w:before="120" w:after="120"/>
              <w:jc w:val="center"/>
              <w:rPr>
                <w:color w:val="auto"/>
                <w:sz w:val="10"/>
                <w:szCs w:val="10"/>
              </w:rPr>
            </w:pPr>
          </w:p>
        </w:tc>
        <w:tc>
          <w:tcPr>
            <w:tcW w:w="567" w:type="dxa"/>
            <w:vAlign w:val="center"/>
          </w:tcPr>
          <w:p w14:paraId="5BB6A48F" w14:textId="77777777" w:rsidR="00D34C6F" w:rsidRPr="00F9037E" w:rsidRDefault="00D34C6F" w:rsidP="00C05C97">
            <w:pPr>
              <w:spacing w:before="120" w:after="120"/>
              <w:jc w:val="center"/>
              <w:rPr>
                <w:color w:val="auto"/>
                <w:sz w:val="10"/>
                <w:szCs w:val="10"/>
              </w:rPr>
            </w:pPr>
          </w:p>
        </w:tc>
        <w:tc>
          <w:tcPr>
            <w:tcW w:w="567" w:type="dxa"/>
            <w:vAlign w:val="center"/>
          </w:tcPr>
          <w:p w14:paraId="08D3F784"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46CB3634" w14:textId="77777777" w:rsidR="00D34C6F" w:rsidRPr="00F9037E" w:rsidRDefault="00D34C6F" w:rsidP="00C05C97">
            <w:pPr>
              <w:spacing w:before="120" w:after="120"/>
              <w:jc w:val="center"/>
              <w:rPr>
                <w:color w:val="auto"/>
                <w:sz w:val="10"/>
                <w:szCs w:val="10"/>
              </w:rPr>
            </w:pPr>
            <w:r w:rsidRPr="00F9037E">
              <w:rPr>
                <w:color w:val="auto"/>
                <w:sz w:val="10"/>
                <w:szCs w:val="10"/>
              </w:rPr>
              <w:t>154.000</w:t>
            </w:r>
          </w:p>
        </w:tc>
        <w:tc>
          <w:tcPr>
            <w:tcW w:w="709" w:type="dxa"/>
            <w:shd w:val="clear" w:color="auto" w:fill="auto"/>
            <w:vAlign w:val="center"/>
          </w:tcPr>
          <w:p w14:paraId="7CEB4C04" w14:textId="77777777" w:rsidR="00D34C6F" w:rsidRPr="00F9037E" w:rsidRDefault="00D34C6F" w:rsidP="00C05C97">
            <w:pPr>
              <w:spacing w:before="120" w:after="120"/>
              <w:jc w:val="center"/>
              <w:rPr>
                <w:color w:val="auto"/>
                <w:sz w:val="10"/>
                <w:szCs w:val="10"/>
              </w:rPr>
            </w:pPr>
            <w:r w:rsidRPr="00F9037E">
              <w:rPr>
                <w:color w:val="auto"/>
                <w:sz w:val="10"/>
                <w:szCs w:val="10"/>
              </w:rPr>
              <w:t>148.483</w:t>
            </w:r>
          </w:p>
        </w:tc>
        <w:tc>
          <w:tcPr>
            <w:tcW w:w="708" w:type="dxa"/>
            <w:shd w:val="clear" w:color="auto" w:fill="auto"/>
            <w:vAlign w:val="center"/>
          </w:tcPr>
          <w:p w14:paraId="69D04191" w14:textId="457CCE5C" w:rsidR="00D34C6F" w:rsidRPr="00F9037E" w:rsidRDefault="00D34C6F" w:rsidP="00C05C97">
            <w:pPr>
              <w:spacing w:before="120" w:after="120"/>
              <w:jc w:val="center"/>
              <w:rPr>
                <w:color w:val="auto"/>
                <w:sz w:val="10"/>
                <w:szCs w:val="10"/>
              </w:rPr>
            </w:pPr>
            <w:r w:rsidRPr="00F9037E">
              <w:rPr>
                <w:color w:val="auto"/>
                <w:sz w:val="10"/>
                <w:szCs w:val="10"/>
              </w:rPr>
              <w:t>137.835</w:t>
            </w:r>
          </w:p>
        </w:tc>
        <w:tc>
          <w:tcPr>
            <w:tcW w:w="709" w:type="dxa"/>
            <w:shd w:val="clear" w:color="auto" w:fill="auto"/>
            <w:vAlign w:val="center"/>
          </w:tcPr>
          <w:p w14:paraId="75704B4A" w14:textId="77777777" w:rsidR="00D34C6F" w:rsidRPr="00F9037E" w:rsidRDefault="00D34C6F" w:rsidP="00C05C97">
            <w:pPr>
              <w:spacing w:before="120" w:after="120"/>
              <w:jc w:val="center"/>
              <w:rPr>
                <w:color w:val="auto"/>
                <w:sz w:val="10"/>
                <w:szCs w:val="10"/>
              </w:rPr>
            </w:pPr>
            <w:r w:rsidRPr="00F9037E">
              <w:rPr>
                <w:color w:val="auto"/>
                <w:sz w:val="10"/>
                <w:szCs w:val="10"/>
              </w:rPr>
              <w:t>138.538</w:t>
            </w:r>
          </w:p>
        </w:tc>
        <w:tc>
          <w:tcPr>
            <w:tcW w:w="567" w:type="dxa"/>
            <w:shd w:val="clear" w:color="auto" w:fill="auto"/>
            <w:vAlign w:val="center"/>
          </w:tcPr>
          <w:p w14:paraId="70053A22" w14:textId="77777777" w:rsidR="00D34C6F" w:rsidRPr="00F9037E" w:rsidRDefault="00D34C6F" w:rsidP="00C05C97">
            <w:pPr>
              <w:spacing w:before="120" w:after="120"/>
              <w:jc w:val="center"/>
              <w:rPr>
                <w:color w:val="auto"/>
                <w:sz w:val="10"/>
                <w:szCs w:val="10"/>
              </w:rPr>
            </w:pPr>
            <w:r w:rsidRPr="00F9037E">
              <w:rPr>
                <w:color w:val="auto"/>
                <w:sz w:val="10"/>
                <w:szCs w:val="10"/>
              </w:rPr>
              <w:t>107.136</w:t>
            </w:r>
          </w:p>
        </w:tc>
        <w:tc>
          <w:tcPr>
            <w:tcW w:w="647" w:type="dxa"/>
            <w:shd w:val="clear" w:color="auto" w:fill="auto"/>
            <w:vAlign w:val="center"/>
          </w:tcPr>
          <w:p w14:paraId="13942C0E" w14:textId="77777777" w:rsidR="00D34C6F" w:rsidRPr="00F9037E" w:rsidRDefault="00D34C6F" w:rsidP="00C05C97">
            <w:pPr>
              <w:spacing w:before="120" w:after="120"/>
              <w:jc w:val="center"/>
              <w:rPr>
                <w:color w:val="auto"/>
                <w:sz w:val="10"/>
                <w:szCs w:val="10"/>
              </w:rPr>
            </w:pPr>
            <w:r w:rsidRPr="00F9037E">
              <w:rPr>
                <w:color w:val="auto"/>
                <w:sz w:val="10"/>
                <w:szCs w:val="10"/>
              </w:rPr>
              <w:t>84.617</w:t>
            </w:r>
          </w:p>
        </w:tc>
        <w:tc>
          <w:tcPr>
            <w:tcW w:w="567" w:type="dxa"/>
            <w:shd w:val="clear" w:color="auto" w:fill="auto"/>
            <w:vAlign w:val="center"/>
          </w:tcPr>
          <w:p w14:paraId="366AD8BF" w14:textId="77777777" w:rsidR="00D34C6F" w:rsidRPr="00F9037E" w:rsidRDefault="00D34C6F" w:rsidP="00C05C97">
            <w:pPr>
              <w:spacing w:before="120" w:after="120"/>
              <w:jc w:val="center"/>
              <w:rPr>
                <w:color w:val="auto"/>
                <w:sz w:val="10"/>
                <w:szCs w:val="10"/>
              </w:rPr>
            </w:pPr>
            <w:r w:rsidRPr="00F9037E">
              <w:rPr>
                <w:color w:val="auto"/>
                <w:sz w:val="10"/>
                <w:szCs w:val="10"/>
              </w:rPr>
              <w:t>64.307</w:t>
            </w:r>
          </w:p>
        </w:tc>
        <w:tc>
          <w:tcPr>
            <w:tcW w:w="567" w:type="dxa"/>
            <w:shd w:val="clear" w:color="auto" w:fill="auto"/>
            <w:noWrap/>
            <w:vAlign w:val="center"/>
          </w:tcPr>
          <w:p w14:paraId="3C09F20D" w14:textId="60056A93" w:rsidR="00D34C6F" w:rsidRPr="00F9037E" w:rsidRDefault="00D34C6F" w:rsidP="00C05C97">
            <w:pPr>
              <w:spacing w:before="120" w:after="120"/>
              <w:jc w:val="center"/>
              <w:rPr>
                <w:color w:val="auto"/>
                <w:sz w:val="10"/>
                <w:szCs w:val="10"/>
              </w:rPr>
            </w:pPr>
            <w:r w:rsidRPr="00F9037E">
              <w:rPr>
                <w:color w:val="auto"/>
                <w:sz w:val="10"/>
                <w:szCs w:val="10"/>
              </w:rPr>
              <w:t>48.164</w:t>
            </w:r>
          </w:p>
        </w:tc>
        <w:tc>
          <w:tcPr>
            <w:tcW w:w="567" w:type="dxa"/>
            <w:vAlign w:val="center"/>
          </w:tcPr>
          <w:p w14:paraId="6497AE51" w14:textId="77777777" w:rsidR="00D34C6F" w:rsidRPr="00F9037E" w:rsidRDefault="00D34C6F" w:rsidP="00C05C97">
            <w:pPr>
              <w:spacing w:before="120" w:after="120"/>
              <w:jc w:val="center"/>
              <w:rPr>
                <w:b/>
                <w:color w:val="auto"/>
                <w:sz w:val="10"/>
                <w:szCs w:val="10"/>
              </w:rPr>
            </w:pPr>
          </w:p>
        </w:tc>
        <w:tc>
          <w:tcPr>
            <w:tcW w:w="567" w:type="dxa"/>
            <w:vAlign w:val="center"/>
          </w:tcPr>
          <w:p w14:paraId="2A075236" w14:textId="77777777" w:rsidR="00D34C6F" w:rsidRPr="00F9037E" w:rsidRDefault="00D34C6F" w:rsidP="00C05C97">
            <w:pPr>
              <w:spacing w:before="120" w:after="120"/>
              <w:jc w:val="center"/>
              <w:rPr>
                <w:b/>
                <w:color w:val="auto"/>
                <w:sz w:val="10"/>
                <w:szCs w:val="10"/>
              </w:rPr>
            </w:pPr>
          </w:p>
        </w:tc>
        <w:tc>
          <w:tcPr>
            <w:tcW w:w="567" w:type="dxa"/>
            <w:vAlign w:val="center"/>
          </w:tcPr>
          <w:p w14:paraId="75E9B3F6" w14:textId="77777777" w:rsidR="00D34C6F" w:rsidRPr="00F9037E" w:rsidRDefault="00D34C6F" w:rsidP="00C05C97">
            <w:pPr>
              <w:spacing w:before="120" w:after="120"/>
              <w:jc w:val="center"/>
              <w:rPr>
                <w:b/>
                <w:color w:val="auto"/>
                <w:sz w:val="10"/>
                <w:szCs w:val="10"/>
              </w:rPr>
            </w:pPr>
          </w:p>
        </w:tc>
        <w:tc>
          <w:tcPr>
            <w:tcW w:w="567" w:type="dxa"/>
            <w:vAlign w:val="center"/>
          </w:tcPr>
          <w:p w14:paraId="21A9D61C" w14:textId="77777777" w:rsidR="00D34C6F" w:rsidRPr="00F9037E" w:rsidRDefault="00D34C6F" w:rsidP="00C05C97">
            <w:pPr>
              <w:spacing w:before="120" w:after="120"/>
              <w:jc w:val="center"/>
              <w:rPr>
                <w:b/>
                <w:color w:val="auto"/>
                <w:sz w:val="10"/>
                <w:szCs w:val="10"/>
              </w:rPr>
            </w:pPr>
          </w:p>
        </w:tc>
      </w:tr>
      <w:tr w:rsidR="00D34C6F" w:rsidRPr="00F9037E" w14:paraId="475BD55D" w14:textId="77777777" w:rsidTr="00C05C97">
        <w:trPr>
          <w:trHeight w:val="1140"/>
          <w:jc w:val="center"/>
        </w:trPr>
        <w:tc>
          <w:tcPr>
            <w:tcW w:w="662" w:type="dxa"/>
            <w:shd w:val="clear" w:color="auto" w:fill="auto"/>
            <w:vAlign w:val="center"/>
          </w:tcPr>
          <w:p w14:paraId="71D6B859" w14:textId="77777777" w:rsidR="00D34C6F" w:rsidRPr="00F9037E" w:rsidRDefault="00D34C6F" w:rsidP="00C05C97">
            <w:pPr>
              <w:spacing w:before="120" w:after="120"/>
              <w:rPr>
                <w:color w:val="auto"/>
                <w:sz w:val="12"/>
                <w:szCs w:val="12"/>
              </w:rPr>
            </w:pPr>
            <w:r w:rsidRPr="00F9037E">
              <w:rPr>
                <w:color w:val="auto"/>
                <w:sz w:val="12"/>
                <w:szCs w:val="12"/>
              </w:rPr>
              <w:t>USA</w:t>
            </w:r>
          </w:p>
        </w:tc>
        <w:tc>
          <w:tcPr>
            <w:tcW w:w="824" w:type="dxa"/>
            <w:shd w:val="clear" w:color="auto" w:fill="auto"/>
            <w:vAlign w:val="center"/>
          </w:tcPr>
          <w:p w14:paraId="556B1F19" w14:textId="77777777" w:rsidR="00D34C6F" w:rsidRPr="00F9037E" w:rsidRDefault="00D34C6F" w:rsidP="00C05C97">
            <w:pPr>
              <w:spacing w:before="120" w:after="120"/>
              <w:rPr>
                <w:color w:val="auto"/>
                <w:sz w:val="12"/>
                <w:szCs w:val="12"/>
              </w:rPr>
            </w:pPr>
            <w:r w:rsidRPr="00F9037E">
              <w:rPr>
                <w:color w:val="auto"/>
                <w:sz w:val="12"/>
                <w:szCs w:val="12"/>
              </w:rPr>
              <w:t>Nursery stock - fruit trees, raspberries, roses</w:t>
            </w:r>
          </w:p>
        </w:tc>
        <w:tc>
          <w:tcPr>
            <w:tcW w:w="708" w:type="dxa"/>
            <w:shd w:val="clear" w:color="auto" w:fill="auto"/>
            <w:vAlign w:val="center"/>
          </w:tcPr>
          <w:p w14:paraId="0994EA29" w14:textId="77777777" w:rsidR="00D34C6F" w:rsidRPr="00F9037E" w:rsidRDefault="00D34C6F" w:rsidP="00C05C97">
            <w:pPr>
              <w:spacing w:before="120" w:after="120"/>
              <w:jc w:val="center"/>
              <w:rPr>
                <w:color w:val="auto"/>
                <w:sz w:val="10"/>
                <w:szCs w:val="10"/>
              </w:rPr>
            </w:pPr>
            <w:r w:rsidRPr="00F9037E">
              <w:rPr>
                <w:color w:val="auto"/>
                <w:sz w:val="10"/>
                <w:szCs w:val="10"/>
              </w:rPr>
              <w:t>45.789</w:t>
            </w:r>
          </w:p>
        </w:tc>
        <w:tc>
          <w:tcPr>
            <w:tcW w:w="709" w:type="dxa"/>
            <w:shd w:val="clear" w:color="auto" w:fill="auto"/>
            <w:vAlign w:val="center"/>
          </w:tcPr>
          <w:p w14:paraId="30E7E5D6" w14:textId="77777777" w:rsidR="00D34C6F" w:rsidRPr="00F9037E" w:rsidRDefault="00D34C6F" w:rsidP="00C05C97">
            <w:pPr>
              <w:spacing w:before="120" w:after="120"/>
              <w:jc w:val="center"/>
              <w:rPr>
                <w:color w:val="auto"/>
                <w:sz w:val="10"/>
                <w:szCs w:val="10"/>
              </w:rPr>
            </w:pPr>
            <w:r w:rsidRPr="00F9037E">
              <w:rPr>
                <w:color w:val="auto"/>
                <w:sz w:val="10"/>
                <w:szCs w:val="10"/>
              </w:rPr>
              <w:t>64.528</w:t>
            </w:r>
          </w:p>
        </w:tc>
        <w:tc>
          <w:tcPr>
            <w:tcW w:w="709" w:type="dxa"/>
            <w:shd w:val="clear" w:color="auto" w:fill="auto"/>
            <w:vAlign w:val="center"/>
          </w:tcPr>
          <w:p w14:paraId="4B690C65" w14:textId="77777777" w:rsidR="00D34C6F" w:rsidRPr="00F9037E" w:rsidRDefault="00D34C6F" w:rsidP="00C05C97">
            <w:pPr>
              <w:spacing w:before="120" w:after="120"/>
              <w:jc w:val="center"/>
              <w:rPr>
                <w:color w:val="auto"/>
                <w:sz w:val="10"/>
                <w:szCs w:val="10"/>
              </w:rPr>
            </w:pPr>
            <w:r w:rsidRPr="00F9037E">
              <w:rPr>
                <w:color w:val="auto"/>
                <w:sz w:val="10"/>
                <w:szCs w:val="10"/>
              </w:rPr>
              <w:t>12.684</w:t>
            </w:r>
          </w:p>
        </w:tc>
        <w:tc>
          <w:tcPr>
            <w:tcW w:w="567" w:type="dxa"/>
            <w:shd w:val="clear" w:color="auto" w:fill="auto"/>
            <w:vAlign w:val="center"/>
          </w:tcPr>
          <w:p w14:paraId="180D6DBD" w14:textId="77777777" w:rsidR="00D34C6F" w:rsidRPr="00F9037E" w:rsidRDefault="00D34C6F" w:rsidP="00C05C97">
            <w:pPr>
              <w:spacing w:before="120" w:after="120"/>
              <w:jc w:val="center"/>
              <w:rPr>
                <w:color w:val="auto"/>
                <w:sz w:val="10"/>
                <w:szCs w:val="10"/>
              </w:rPr>
            </w:pPr>
            <w:r w:rsidRPr="00F9037E">
              <w:rPr>
                <w:color w:val="auto"/>
                <w:sz w:val="10"/>
                <w:szCs w:val="10"/>
              </w:rPr>
              <w:t>51.102</w:t>
            </w:r>
          </w:p>
        </w:tc>
        <w:tc>
          <w:tcPr>
            <w:tcW w:w="709" w:type="dxa"/>
            <w:shd w:val="clear" w:color="auto" w:fill="auto"/>
            <w:vAlign w:val="center"/>
          </w:tcPr>
          <w:p w14:paraId="5637A67A" w14:textId="77777777" w:rsidR="00D34C6F" w:rsidRPr="00F9037E" w:rsidRDefault="00D34C6F" w:rsidP="00C05C97">
            <w:pPr>
              <w:spacing w:before="120" w:after="120"/>
              <w:jc w:val="center"/>
              <w:rPr>
                <w:color w:val="auto"/>
                <w:sz w:val="10"/>
                <w:szCs w:val="10"/>
              </w:rPr>
            </w:pPr>
            <w:r w:rsidRPr="00F9037E">
              <w:rPr>
                <w:color w:val="auto"/>
                <w:sz w:val="10"/>
                <w:szCs w:val="10"/>
              </w:rPr>
              <w:t>27.663</w:t>
            </w:r>
          </w:p>
        </w:tc>
        <w:tc>
          <w:tcPr>
            <w:tcW w:w="567" w:type="dxa"/>
            <w:shd w:val="clear" w:color="auto" w:fill="auto"/>
            <w:vAlign w:val="center"/>
          </w:tcPr>
          <w:p w14:paraId="2FFA86B7" w14:textId="77777777" w:rsidR="00D34C6F" w:rsidRPr="00F9037E" w:rsidRDefault="00D34C6F" w:rsidP="00C05C97">
            <w:pPr>
              <w:spacing w:before="120" w:after="120"/>
              <w:jc w:val="center"/>
              <w:rPr>
                <w:color w:val="auto"/>
                <w:sz w:val="10"/>
                <w:szCs w:val="10"/>
              </w:rPr>
            </w:pPr>
            <w:r w:rsidRPr="00F9037E">
              <w:rPr>
                <w:color w:val="auto"/>
                <w:sz w:val="10"/>
                <w:szCs w:val="10"/>
              </w:rPr>
              <w:t>17.954</w:t>
            </w:r>
          </w:p>
        </w:tc>
        <w:tc>
          <w:tcPr>
            <w:tcW w:w="708" w:type="dxa"/>
            <w:shd w:val="clear" w:color="auto" w:fill="auto"/>
            <w:vAlign w:val="center"/>
          </w:tcPr>
          <w:p w14:paraId="390EDFA4" w14:textId="77777777" w:rsidR="00D34C6F" w:rsidRPr="00F9037E" w:rsidRDefault="00D34C6F" w:rsidP="00C05C97">
            <w:pPr>
              <w:spacing w:before="120" w:after="120"/>
              <w:jc w:val="center"/>
              <w:rPr>
                <w:color w:val="auto"/>
                <w:sz w:val="10"/>
                <w:szCs w:val="10"/>
              </w:rPr>
            </w:pPr>
            <w:r w:rsidRPr="00F9037E">
              <w:rPr>
                <w:color w:val="auto"/>
                <w:sz w:val="10"/>
                <w:szCs w:val="10"/>
              </w:rPr>
              <w:t>7.955</w:t>
            </w:r>
          </w:p>
        </w:tc>
        <w:tc>
          <w:tcPr>
            <w:tcW w:w="567" w:type="dxa"/>
            <w:shd w:val="clear" w:color="auto" w:fill="auto"/>
            <w:vAlign w:val="center"/>
          </w:tcPr>
          <w:p w14:paraId="0AA66329" w14:textId="4AD66A5C" w:rsidR="00D34C6F" w:rsidRPr="00F9037E" w:rsidRDefault="00D34C6F" w:rsidP="00C05C97">
            <w:pPr>
              <w:spacing w:before="120" w:after="120"/>
              <w:jc w:val="center"/>
              <w:rPr>
                <w:color w:val="auto"/>
                <w:sz w:val="10"/>
                <w:szCs w:val="10"/>
              </w:rPr>
            </w:pPr>
            <w:r w:rsidRPr="00F9037E">
              <w:rPr>
                <w:color w:val="auto"/>
                <w:sz w:val="10"/>
                <w:szCs w:val="10"/>
              </w:rPr>
              <w:t>1.591</w:t>
            </w:r>
          </w:p>
        </w:tc>
        <w:tc>
          <w:tcPr>
            <w:tcW w:w="567" w:type="dxa"/>
            <w:shd w:val="clear" w:color="auto" w:fill="auto"/>
            <w:vAlign w:val="center"/>
          </w:tcPr>
          <w:p w14:paraId="2C36C16F" w14:textId="77777777" w:rsidR="00D34C6F" w:rsidRPr="00F9037E" w:rsidRDefault="00D34C6F" w:rsidP="00C05C97">
            <w:pPr>
              <w:spacing w:before="120" w:after="120"/>
              <w:jc w:val="center"/>
              <w:rPr>
                <w:color w:val="auto"/>
                <w:sz w:val="10"/>
                <w:szCs w:val="10"/>
              </w:rPr>
            </w:pPr>
            <w:r w:rsidRPr="00F9037E">
              <w:rPr>
                <w:color w:val="auto"/>
                <w:sz w:val="10"/>
                <w:szCs w:val="10"/>
              </w:rPr>
              <w:t>0.541</w:t>
            </w:r>
          </w:p>
        </w:tc>
        <w:tc>
          <w:tcPr>
            <w:tcW w:w="629" w:type="dxa"/>
            <w:vAlign w:val="center"/>
          </w:tcPr>
          <w:p w14:paraId="4BA7993D" w14:textId="77777777" w:rsidR="00D34C6F" w:rsidRPr="00F9037E" w:rsidRDefault="00D34C6F" w:rsidP="00C05C97">
            <w:pPr>
              <w:spacing w:before="120" w:after="120"/>
              <w:jc w:val="center"/>
              <w:rPr>
                <w:color w:val="auto"/>
                <w:sz w:val="10"/>
                <w:szCs w:val="10"/>
              </w:rPr>
            </w:pPr>
          </w:p>
        </w:tc>
        <w:tc>
          <w:tcPr>
            <w:tcW w:w="567" w:type="dxa"/>
            <w:vAlign w:val="center"/>
          </w:tcPr>
          <w:p w14:paraId="77AE91CC" w14:textId="77777777" w:rsidR="00D34C6F" w:rsidRPr="00F9037E" w:rsidRDefault="00D34C6F" w:rsidP="00C05C97">
            <w:pPr>
              <w:spacing w:before="120" w:after="120"/>
              <w:jc w:val="center"/>
              <w:rPr>
                <w:color w:val="auto"/>
                <w:sz w:val="10"/>
                <w:szCs w:val="10"/>
              </w:rPr>
            </w:pPr>
          </w:p>
          <w:p w14:paraId="7F1C3ABD" w14:textId="77777777" w:rsidR="00D34C6F" w:rsidRPr="00F9037E" w:rsidRDefault="00D34C6F" w:rsidP="00C05C97">
            <w:pPr>
              <w:spacing w:before="120" w:after="120"/>
              <w:jc w:val="center"/>
              <w:rPr>
                <w:sz w:val="10"/>
                <w:szCs w:val="10"/>
              </w:rPr>
            </w:pPr>
          </w:p>
        </w:tc>
        <w:tc>
          <w:tcPr>
            <w:tcW w:w="567" w:type="dxa"/>
            <w:vAlign w:val="center"/>
          </w:tcPr>
          <w:p w14:paraId="790659C5"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03AED72D" w14:textId="77777777" w:rsidR="00D34C6F" w:rsidRPr="00F9037E" w:rsidRDefault="00D34C6F" w:rsidP="00C05C97">
            <w:pPr>
              <w:spacing w:before="120" w:after="120"/>
              <w:jc w:val="center"/>
              <w:rPr>
                <w:color w:val="auto"/>
                <w:sz w:val="10"/>
                <w:szCs w:val="10"/>
              </w:rPr>
            </w:pPr>
            <w:r w:rsidRPr="00F9037E">
              <w:rPr>
                <w:color w:val="auto"/>
                <w:sz w:val="10"/>
                <w:szCs w:val="10"/>
              </w:rPr>
              <w:t>45.800</w:t>
            </w:r>
          </w:p>
        </w:tc>
        <w:tc>
          <w:tcPr>
            <w:tcW w:w="709" w:type="dxa"/>
            <w:shd w:val="clear" w:color="auto" w:fill="auto"/>
            <w:vAlign w:val="center"/>
          </w:tcPr>
          <w:p w14:paraId="65818F85" w14:textId="77777777" w:rsidR="00D34C6F" w:rsidRPr="00F9037E" w:rsidRDefault="00D34C6F" w:rsidP="00C05C97">
            <w:pPr>
              <w:spacing w:before="120" w:after="120"/>
              <w:jc w:val="center"/>
              <w:rPr>
                <w:color w:val="auto"/>
                <w:sz w:val="10"/>
                <w:szCs w:val="10"/>
              </w:rPr>
            </w:pPr>
            <w:r w:rsidRPr="00F9037E">
              <w:rPr>
                <w:color w:val="auto"/>
                <w:sz w:val="10"/>
                <w:szCs w:val="10"/>
              </w:rPr>
              <w:t>64.528</w:t>
            </w:r>
          </w:p>
        </w:tc>
        <w:tc>
          <w:tcPr>
            <w:tcW w:w="708" w:type="dxa"/>
            <w:shd w:val="clear" w:color="auto" w:fill="auto"/>
            <w:vAlign w:val="center"/>
          </w:tcPr>
          <w:p w14:paraId="366BC7AB" w14:textId="1EBB26E9" w:rsidR="00D34C6F" w:rsidRPr="00F9037E" w:rsidRDefault="00D34C6F" w:rsidP="00C05C97">
            <w:pPr>
              <w:spacing w:before="120" w:after="120"/>
              <w:jc w:val="center"/>
              <w:rPr>
                <w:color w:val="auto"/>
                <w:sz w:val="10"/>
                <w:szCs w:val="10"/>
              </w:rPr>
            </w:pPr>
            <w:r w:rsidRPr="00F9037E">
              <w:rPr>
                <w:color w:val="auto"/>
                <w:sz w:val="10"/>
                <w:szCs w:val="10"/>
              </w:rPr>
              <w:t>28.275</w:t>
            </w:r>
          </w:p>
        </w:tc>
        <w:tc>
          <w:tcPr>
            <w:tcW w:w="709" w:type="dxa"/>
            <w:shd w:val="clear" w:color="auto" w:fill="auto"/>
            <w:vAlign w:val="center"/>
          </w:tcPr>
          <w:p w14:paraId="5FD7C99B" w14:textId="77777777" w:rsidR="00D34C6F" w:rsidRPr="00F9037E" w:rsidRDefault="00D34C6F" w:rsidP="00C05C97">
            <w:pPr>
              <w:spacing w:before="120" w:after="120"/>
              <w:jc w:val="center"/>
              <w:rPr>
                <w:color w:val="auto"/>
                <w:sz w:val="10"/>
                <w:szCs w:val="10"/>
              </w:rPr>
            </w:pPr>
            <w:r w:rsidRPr="00F9037E">
              <w:rPr>
                <w:color w:val="auto"/>
                <w:sz w:val="10"/>
                <w:szCs w:val="10"/>
              </w:rPr>
              <w:t>51.102</w:t>
            </w:r>
          </w:p>
        </w:tc>
        <w:tc>
          <w:tcPr>
            <w:tcW w:w="567" w:type="dxa"/>
            <w:shd w:val="clear" w:color="auto" w:fill="auto"/>
            <w:vAlign w:val="center"/>
          </w:tcPr>
          <w:p w14:paraId="745E1B05" w14:textId="77777777" w:rsidR="00D34C6F" w:rsidRPr="00F9037E" w:rsidRDefault="00D34C6F" w:rsidP="00C05C97">
            <w:pPr>
              <w:spacing w:before="120" w:after="120"/>
              <w:jc w:val="center"/>
              <w:rPr>
                <w:color w:val="auto"/>
                <w:sz w:val="10"/>
                <w:szCs w:val="10"/>
              </w:rPr>
            </w:pPr>
            <w:r w:rsidRPr="00F9037E">
              <w:rPr>
                <w:color w:val="auto"/>
                <w:sz w:val="10"/>
                <w:szCs w:val="10"/>
              </w:rPr>
              <w:t>25.326</w:t>
            </w:r>
          </w:p>
        </w:tc>
        <w:tc>
          <w:tcPr>
            <w:tcW w:w="647" w:type="dxa"/>
            <w:shd w:val="clear" w:color="auto" w:fill="auto"/>
            <w:vAlign w:val="center"/>
          </w:tcPr>
          <w:p w14:paraId="593F753E" w14:textId="77777777" w:rsidR="00D34C6F" w:rsidRPr="00F9037E" w:rsidRDefault="00D34C6F" w:rsidP="00C05C97">
            <w:pPr>
              <w:spacing w:before="120" w:after="120"/>
              <w:jc w:val="center"/>
              <w:rPr>
                <w:color w:val="auto"/>
                <w:sz w:val="10"/>
                <w:szCs w:val="10"/>
              </w:rPr>
            </w:pPr>
            <w:r w:rsidRPr="00F9037E">
              <w:rPr>
                <w:color w:val="auto"/>
                <w:sz w:val="10"/>
                <w:szCs w:val="10"/>
              </w:rPr>
              <w:t>17.363</w:t>
            </w:r>
          </w:p>
        </w:tc>
        <w:tc>
          <w:tcPr>
            <w:tcW w:w="567" w:type="dxa"/>
            <w:shd w:val="clear" w:color="auto" w:fill="auto"/>
            <w:vAlign w:val="center"/>
          </w:tcPr>
          <w:p w14:paraId="7281B10C" w14:textId="77777777" w:rsidR="00D34C6F" w:rsidRPr="00F9037E" w:rsidRDefault="00D34C6F" w:rsidP="00C05C97">
            <w:pPr>
              <w:spacing w:before="120" w:after="120"/>
              <w:jc w:val="center"/>
              <w:rPr>
                <w:color w:val="auto"/>
                <w:sz w:val="10"/>
                <w:szCs w:val="10"/>
              </w:rPr>
            </w:pPr>
            <w:r w:rsidRPr="00F9037E">
              <w:rPr>
                <w:color w:val="auto"/>
                <w:sz w:val="10"/>
                <w:szCs w:val="10"/>
              </w:rPr>
              <w:t>7.955</w:t>
            </w:r>
          </w:p>
        </w:tc>
        <w:tc>
          <w:tcPr>
            <w:tcW w:w="567" w:type="dxa"/>
            <w:shd w:val="clear" w:color="auto" w:fill="auto"/>
            <w:noWrap/>
            <w:vAlign w:val="center"/>
          </w:tcPr>
          <w:p w14:paraId="74721E48" w14:textId="0CD08A2C" w:rsidR="00D34C6F" w:rsidRPr="00F9037E" w:rsidRDefault="00D34C6F" w:rsidP="00C05C97">
            <w:pPr>
              <w:spacing w:before="120" w:after="120"/>
              <w:jc w:val="center"/>
              <w:rPr>
                <w:color w:val="auto"/>
                <w:sz w:val="10"/>
                <w:szCs w:val="10"/>
              </w:rPr>
            </w:pPr>
            <w:r w:rsidRPr="00F9037E">
              <w:rPr>
                <w:color w:val="auto"/>
                <w:sz w:val="10"/>
                <w:szCs w:val="10"/>
              </w:rPr>
              <w:t>1.591</w:t>
            </w:r>
          </w:p>
        </w:tc>
        <w:tc>
          <w:tcPr>
            <w:tcW w:w="567" w:type="dxa"/>
            <w:vAlign w:val="center"/>
          </w:tcPr>
          <w:p w14:paraId="590092FC" w14:textId="77777777" w:rsidR="00D34C6F" w:rsidRPr="00F9037E" w:rsidRDefault="00D34C6F" w:rsidP="00C05C97">
            <w:pPr>
              <w:spacing w:before="120" w:after="120"/>
              <w:jc w:val="center"/>
              <w:rPr>
                <w:b/>
                <w:color w:val="auto"/>
                <w:sz w:val="10"/>
                <w:szCs w:val="10"/>
              </w:rPr>
            </w:pPr>
          </w:p>
        </w:tc>
        <w:tc>
          <w:tcPr>
            <w:tcW w:w="567" w:type="dxa"/>
            <w:vAlign w:val="center"/>
          </w:tcPr>
          <w:p w14:paraId="0613BDDE" w14:textId="77777777" w:rsidR="00D34C6F" w:rsidRPr="00F9037E" w:rsidRDefault="00D34C6F" w:rsidP="00C05C97">
            <w:pPr>
              <w:spacing w:before="120" w:after="120"/>
              <w:jc w:val="center"/>
              <w:rPr>
                <w:b/>
                <w:color w:val="auto"/>
                <w:sz w:val="10"/>
                <w:szCs w:val="10"/>
              </w:rPr>
            </w:pPr>
          </w:p>
        </w:tc>
        <w:tc>
          <w:tcPr>
            <w:tcW w:w="567" w:type="dxa"/>
            <w:vAlign w:val="center"/>
          </w:tcPr>
          <w:p w14:paraId="3E67ABD7" w14:textId="77777777" w:rsidR="00D34C6F" w:rsidRPr="00F9037E" w:rsidRDefault="00D34C6F" w:rsidP="00C05C97">
            <w:pPr>
              <w:spacing w:before="120" w:after="120"/>
              <w:jc w:val="center"/>
              <w:rPr>
                <w:b/>
                <w:color w:val="auto"/>
                <w:sz w:val="10"/>
                <w:szCs w:val="10"/>
              </w:rPr>
            </w:pPr>
          </w:p>
        </w:tc>
        <w:tc>
          <w:tcPr>
            <w:tcW w:w="567" w:type="dxa"/>
            <w:vAlign w:val="center"/>
          </w:tcPr>
          <w:p w14:paraId="2A3827CE" w14:textId="77777777" w:rsidR="00D34C6F" w:rsidRPr="00F9037E" w:rsidRDefault="00D34C6F" w:rsidP="00C05C97">
            <w:pPr>
              <w:spacing w:before="120" w:after="120"/>
              <w:jc w:val="center"/>
              <w:rPr>
                <w:b/>
                <w:color w:val="auto"/>
                <w:sz w:val="10"/>
                <w:szCs w:val="10"/>
              </w:rPr>
            </w:pPr>
          </w:p>
        </w:tc>
      </w:tr>
      <w:tr w:rsidR="00D34C6F" w:rsidRPr="00F9037E" w14:paraId="6CCC8450" w14:textId="77777777" w:rsidTr="00C05C97">
        <w:trPr>
          <w:trHeight w:val="465"/>
          <w:jc w:val="center"/>
        </w:trPr>
        <w:tc>
          <w:tcPr>
            <w:tcW w:w="662" w:type="dxa"/>
            <w:shd w:val="clear" w:color="auto" w:fill="auto"/>
            <w:vAlign w:val="center"/>
          </w:tcPr>
          <w:p w14:paraId="29152E39" w14:textId="77777777" w:rsidR="00D34C6F" w:rsidRPr="00F9037E" w:rsidRDefault="00D34C6F" w:rsidP="00C05C97">
            <w:pPr>
              <w:spacing w:before="120" w:after="120"/>
              <w:rPr>
                <w:color w:val="auto"/>
                <w:sz w:val="12"/>
                <w:szCs w:val="12"/>
              </w:rPr>
            </w:pPr>
            <w:r w:rsidRPr="00F9037E">
              <w:rPr>
                <w:color w:val="auto"/>
                <w:sz w:val="12"/>
                <w:szCs w:val="12"/>
              </w:rPr>
              <w:t>USA</w:t>
            </w:r>
          </w:p>
        </w:tc>
        <w:tc>
          <w:tcPr>
            <w:tcW w:w="824" w:type="dxa"/>
            <w:shd w:val="clear" w:color="auto" w:fill="auto"/>
            <w:vAlign w:val="center"/>
          </w:tcPr>
          <w:p w14:paraId="2C9B0797" w14:textId="77777777" w:rsidR="00D34C6F" w:rsidRPr="00F9037E" w:rsidRDefault="00D34C6F" w:rsidP="00C05C97">
            <w:pPr>
              <w:spacing w:before="120" w:after="120"/>
              <w:rPr>
                <w:color w:val="auto"/>
                <w:sz w:val="12"/>
                <w:szCs w:val="12"/>
              </w:rPr>
            </w:pPr>
            <w:r w:rsidRPr="00F9037E">
              <w:rPr>
                <w:color w:val="auto"/>
                <w:sz w:val="12"/>
                <w:szCs w:val="12"/>
              </w:rPr>
              <w:t>Peppers – field</w:t>
            </w:r>
          </w:p>
        </w:tc>
        <w:tc>
          <w:tcPr>
            <w:tcW w:w="708" w:type="dxa"/>
            <w:shd w:val="clear" w:color="auto" w:fill="auto"/>
            <w:vAlign w:val="center"/>
          </w:tcPr>
          <w:p w14:paraId="527EFF40" w14:textId="77777777" w:rsidR="00D34C6F" w:rsidRPr="00F9037E" w:rsidRDefault="00D34C6F" w:rsidP="00C05C97">
            <w:pPr>
              <w:spacing w:before="120" w:after="120"/>
              <w:jc w:val="center"/>
              <w:rPr>
                <w:color w:val="auto"/>
                <w:sz w:val="10"/>
                <w:szCs w:val="10"/>
              </w:rPr>
            </w:pPr>
            <w:r w:rsidRPr="00F9037E">
              <w:rPr>
                <w:color w:val="auto"/>
                <w:sz w:val="10"/>
                <w:szCs w:val="10"/>
              </w:rPr>
              <w:t>1094.782</w:t>
            </w:r>
          </w:p>
        </w:tc>
        <w:tc>
          <w:tcPr>
            <w:tcW w:w="709" w:type="dxa"/>
            <w:shd w:val="clear" w:color="auto" w:fill="auto"/>
            <w:vAlign w:val="center"/>
          </w:tcPr>
          <w:p w14:paraId="6D131A75" w14:textId="77777777" w:rsidR="00D34C6F" w:rsidRPr="00F9037E" w:rsidRDefault="00D34C6F" w:rsidP="00C05C97">
            <w:pPr>
              <w:spacing w:before="120" w:after="120"/>
              <w:jc w:val="center"/>
              <w:rPr>
                <w:color w:val="auto"/>
                <w:sz w:val="10"/>
                <w:szCs w:val="10"/>
              </w:rPr>
            </w:pPr>
            <w:r w:rsidRPr="00F9037E">
              <w:rPr>
                <w:color w:val="auto"/>
                <w:sz w:val="10"/>
                <w:szCs w:val="10"/>
              </w:rPr>
              <w:t>1498.53</w:t>
            </w:r>
          </w:p>
        </w:tc>
        <w:tc>
          <w:tcPr>
            <w:tcW w:w="709" w:type="dxa"/>
            <w:shd w:val="clear" w:color="auto" w:fill="auto"/>
            <w:vAlign w:val="center"/>
          </w:tcPr>
          <w:p w14:paraId="10EADD0A" w14:textId="77777777" w:rsidR="00D34C6F" w:rsidRPr="00F9037E" w:rsidRDefault="00D34C6F" w:rsidP="00C05C97">
            <w:pPr>
              <w:spacing w:before="120" w:after="120"/>
              <w:jc w:val="center"/>
              <w:rPr>
                <w:color w:val="auto"/>
                <w:sz w:val="10"/>
                <w:szCs w:val="10"/>
              </w:rPr>
            </w:pPr>
            <w:r w:rsidRPr="00F9037E">
              <w:rPr>
                <w:color w:val="auto"/>
                <w:sz w:val="10"/>
                <w:szCs w:val="10"/>
              </w:rPr>
              <w:t>1151.751</w:t>
            </w:r>
          </w:p>
        </w:tc>
        <w:tc>
          <w:tcPr>
            <w:tcW w:w="567" w:type="dxa"/>
            <w:shd w:val="clear" w:color="auto" w:fill="auto"/>
            <w:vAlign w:val="center"/>
          </w:tcPr>
          <w:p w14:paraId="1D2E76B7" w14:textId="77777777" w:rsidR="00D34C6F" w:rsidRPr="00F9037E" w:rsidRDefault="00D34C6F" w:rsidP="00C05C97">
            <w:pPr>
              <w:spacing w:before="120" w:after="120"/>
              <w:jc w:val="center"/>
              <w:rPr>
                <w:color w:val="auto"/>
                <w:sz w:val="10"/>
                <w:szCs w:val="10"/>
              </w:rPr>
            </w:pPr>
            <w:r w:rsidRPr="00F9037E">
              <w:rPr>
                <w:color w:val="auto"/>
                <w:sz w:val="10"/>
                <w:szCs w:val="10"/>
              </w:rPr>
              <w:t>919.006</w:t>
            </w:r>
          </w:p>
        </w:tc>
        <w:tc>
          <w:tcPr>
            <w:tcW w:w="709" w:type="dxa"/>
            <w:shd w:val="clear" w:color="auto" w:fill="auto"/>
            <w:vAlign w:val="center"/>
          </w:tcPr>
          <w:p w14:paraId="1A8D1928" w14:textId="77777777" w:rsidR="00D34C6F" w:rsidRPr="00F9037E" w:rsidRDefault="00D34C6F" w:rsidP="00C05C97">
            <w:pPr>
              <w:spacing w:before="120" w:after="120"/>
              <w:jc w:val="center"/>
              <w:rPr>
                <w:color w:val="auto"/>
                <w:sz w:val="10"/>
                <w:szCs w:val="10"/>
              </w:rPr>
            </w:pPr>
            <w:r w:rsidRPr="00F9037E">
              <w:rPr>
                <w:color w:val="auto"/>
                <w:sz w:val="10"/>
                <w:szCs w:val="10"/>
              </w:rPr>
              <w:t>783.821</w:t>
            </w:r>
          </w:p>
        </w:tc>
        <w:tc>
          <w:tcPr>
            <w:tcW w:w="567" w:type="dxa"/>
            <w:shd w:val="clear" w:color="auto" w:fill="auto"/>
            <w:vAlign w:val="center"/>
          </w:tcPr>
          <w:p w14:paraId="320AE2BB" w14:textId="77777777" w:rsidR="00D34C6F" w:rsidRPr="00F9037E" w:rsidRDefault="00D34C6F" w:rsidP="00C05C97">
            <w:pPr>
              <w:spacing w:before="120" w:after="120"/>
              <w:jc w:val="center"/>
              <w:rPr>
                <w:color w:val="auto"/>
                <w:sz w:val="10"/>
                <w:szCs w:val="10"/>
              </w:rPr>
            </w:pPr>
            <w:r w:rsidRPr="00F9037E">
              <w:rPr>
                <w:color w:val="auto"/>
                <w:sz w:val="10"/>
                <w:szCs w:val="10"/>
              </w:rPr>
              <w:t>463.282</w:t>
            </w:r>
          </w:p>
        </w:tc>
        <w:tc>
          <w:tcPr>
            <w:tcW w:w="708" w:type="dxa"/>
            <w:shd w:val="clear" w:color="auto" w:fill="auto"/>
            <w:vAlign w:val="center"/>
          </w:tcPr>
          <w:p w14:paraId="66A8F98C" w14:textId="77777777" w:rsidR="00D34C6F" w:rsidRPr="00F9037E" w:rsidRDefault="00D34C6F" w:rsidP="00C05C97">
            <w:pPr>
              <w:spacing w:before="120" w:after="120"/>
              <w:jc w:val="center"/>
              <w:rPr>
                <w:color w:val="auto"/>
                <w:sz w:val="10"/>
                <w:szCs w:val="10"/>
              </w:rPr>
            </w:pPr>
            <w:r w:rsidRPr="00F9037E">
              <w:rPr>
                <w:color w:val="auto"/>
                <w:sz w:val="10"/>
                <w:szCs w:val="10"/>
              </w:rPr>
              <w:t>212.775</w:t>
            </w:r>
          </w:p>
        </w:tc>
        <w:tc>
          <w:tcPr>
            <w:tcW w:w="567" w:type="dxa"/>
            <w:shd w:val="clear" w:color="auto" w:fill="auto"/>
            <w:vAlign w:val="center"/>
          </w:tcPr>
          <w:p w14:paraId="7B7A52FC" w14:textId="37515F13" w:rsidR="00D34C6F" w:rsidRPr="00F9037E" w:rsidRDefault="00D34C6F" w:rsidP="00C05C97">
            <w:pPr>
              <w:spacing w:before="120" w:after="120"/>
              <w:jc w:val="center"/>
              <w:rPr>
                <w:color w:val="auto"/>
                <w:sz w:val="10"/>
                <w:szCs w:val="10"/>
              </w:rPr>
            </w:pPr>
            <w:r w:rsidRPr="00F9037E">
              <w:rPr>
                <w:color w:val="auto"/>
                <w:sz w:val="10"/>
                <w:szCs w:val="10"/>
              </w:rPr>
              <w:t>28.366</w:t>
            </w:r>
          </w:p>
        </w:tc>
        <w:tc>
          <w:tcPr>
            <w:tcW w:w="567" w:type="dxa"/>
            <w:shd w:val="clear" w:color="auto" w:fill="auto"/>
            <w:vAlign w:val="center"/>
          </w:tcPr>
          <w:p w14:paraId="1ECE99AA" w14:textId="47B9325F" w:rsidR="00D34C6F" w:rsidRPr="00F9037E" w:rsidRDefault="00D34C6F" w:rsidP="00C05C97">
            <w:pPr>
              <w:spacing w:before="120" w:after="120"/>
              <w:jc w:val="center"/>
              <w:rPr>
                <w:color w:val="auto"/>
                <w:sz w:val="10"/>
                <w:szCs w:val="10"/>
              </w:rPr>
            </w:pPr>
          </w:p>
        </w:tc>
        <w:tc>
          <w:tcPr>
            <w:tcW w:w="629" w:type="dxa"/>
            <w:vAlign w:val="center"/>
          </w:tcPr>
          <w:p w14:paraId="76E9DC01" w14:textId="77777777" w:rsidR="00D34C6F" w:rsidRPr="00F9037E" w:rsidRDefault="00D34C6F" w:rsidP="00C05C97">
            <w:pPr>
              <w:spacing w:before="120" w:after="120"/>
              <w:jc w:val="center"/>
              <w:rPr>
                <w:color w:val="auto"/>
                <w:sz w:val="10"/>
                <w:szCs w:val="10"/>
              </w:rPr>
            </w:pPr>
          </w:p>
        </w:tc>
        <w:tc>
          <w:tcPr>
            <w:tcW w:w="567" w:type="dxa"/>
            <w:vAlign w:val="center"/>
          </w:tcPr>
          <w:p w14:paraId="04AA1CFC" w14:textId="77777777" w:rsidR="00D34C6F" w:rsidRPr="00F9037E" w:rsidRDefault="00D34C6F" w:rsidP="00C05C97">
            <w:pPr>
              <w:spacing w:before="120" w:after="120"/>
              <w:jc w:val="center"/>
              <w:rPr>
                <w:color w:val="auto"/>
                <w:sz w:val="10"/>
                <w:szCs w:val="10"/>
              </w:rPr>
            </w:pPr>
          </w:p>
        </w:tc>
        <w:tc>
          <w:tcPr>
            <w:tcW w:w="567" w:type="dxa"/>
            <w:vAlign w:val="center"/>
          </w:tcPr>
          <w:p w14:paraId="0D26A486"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1E826C44" w14:textId="77777777" w:rsidR="00D34C6F" w:rsidRPr="00F9037E" w:rsidRDefault="00D34C6F" w:rsidP="00C05C97">
            <w:pPr>
              <w:spacing w:before="120" w:after="120"/>
              <w:jc w:val="center"/>
              <w:rPr>
                <w:color w:val="auto"/>
                <w:sz w:val="10"/>
                <w:szCs w:val="10"/>
              </w:rPr>
            </w:pPr>
            <w:r w:rsidRPr="00F9037E">
              <w:rPr>
                <w:color w:val="auto"/>
                <w:sz w:val="10"/>
                <w:szCs w:val="10"/>
              </w:rPr>
              <w:t>1094.782</w:t>
            </w:r>
          </w:p>
        </w:tc>
        <w:tc>
          <w:tcPr>
            <w:tcW w:w="709" w:type="dxa"/>
            <w:shd w:val="clear" w:color="auto" w:fill="auto"/>
            <w:vAlign w:val="center"/>
          </w:tcPr>
          <w:p w14:paraId="0C804067" w14:textId="77777777" w:rsidR="00D34C6F" w:rsidRPr="00F9037E" w:rsidRDefault="00D34C6F" w:rsidP="00C05C97">
            <w:pPr>
              <w:spacing w:before="120" w:after="120"/>
              <w:jc w:val="center"/>
              <w:rPr>
                <w:color w:val="auto"/>
                <w:sz w:val="10"/>
                <w:szCs w:val="10"/>
              </w:rPr>
            </w:pPr>
            <w:r w:rsidRPr="00F9037E">
              <w:rPr>
                <w:color w:val="auto"/>
                <w:sz w:val="10"/>
                <w:szCs w:val="10"/>
              </w:rPr>
              <w:t>1243.542</w:t>
            </w:r>
          </w:p>
        </w:tc>
        <w:tc>
          <w:tcPr>
            <w:tcW w:w="708" w:type="dxa"/>
            <w:shd w:val="clear" w:color="auto" w:fill="auto"/>
            <w:vAlign w:val="center"/>
          </w:tcPr>
          <w:p w14:paraId="2F335EC6" w14:textId="26CE3184" w:rsidR="00D34C6F" w:rsidRPr="00F9037E" w:rsidRDefault="00D34C6F" w:rsidP="00C05C97">
            <w:pPr>
              <w:spacing w:before="120" w:after="120"/>
              <w:jc w:val="center"/>
              <w:rPr>
                <w:color w:val="auto"/>
                <w:sz w:val="10"/>
                <w:szCs w:val="10"/>
              </w:rPr>
            </w:pPr>
            <w:r w:rsidRPr="00F9037E">
              <w:rPr>
                <w:color w:val="auto"/>
                <w:sz w:val="10"/>
                <w:szCs w:val="10"/>
              </w:rPr>
              <w:t>1106.753</w:t>
            </w:r>
          </w:p>
        </w:tc>
        <w:tc>
          <w:tcPr>
            <w:tcW w:w="709" w:type="dxa"/>
            <w:shd w:val="clear" w:color="auto" w:fill="auto"/>
            <w:vAlign w:val="center"/>
          </w:tcPr>
          <w:p w14:paraId="60C7A3F9" w14:textId="77777777" w:rsidR="00D34C6F" w:rsidRPr="00F9037E" w:rsidRDefault="00D34C6F" w:rsidP="00C05C97">
            <w:pPr>
              <w:spacing w:before="120" w:after="120"/>
              <w:jc w:val="center"/>
              <w:rPr>
                <w:color w:val="auto"/>
                <w:sz w:val="10"/>
                <w:szCs w:val="10"/>
              </w:rPr>
            </w:pPr>
            <w:r w:rsidRPr="00F9037E">
              <w:rPr>
                <w:color w:val="auto"/>
                <w:sz w:val="10"/>
                <w:szCs w:val="10"/>
              </w:rPr>
              <w:t>756.339</w:t>
            </w:r>
          </w:p>
        </w:tc>
        <w:tc>
          <w:tcPr>
            <w:tcW w:w="567" w:type="dxa"/>
            <w:shd w:val="clear" w:color="auto" w:fill="auto"/>
            <w:vAlign w:val="center"/>
          </w:tcPr>
          <w:p w14:paraId="65EA83B0" w14:textId="77777777" w:rsidR="00D34C6F" w:rsidRPr="00F9037E" w:rsidRDefault="00D34C6F" w:rsidP="00C05C97">
            <w:pPr>
              <w:spacing w:before="120" w:after="120"/>
              <w:jc w:val="center"/>
              <w:rPr>
                <w:color w:val="auto"/>
                <w:sz w:val="10"/>
                <w:szCs w:val="10"/>
              </w:rPr>
            </w:pPr>
            <w:r w:rsidRPr="00F9037E">
              <w:rPr>
                <w:color w:val="auto"/>
                <w:sz w:val="10"/>
                <w:szCs w:val="10"/>
              </w:rPr>
              <w:t>548.984</w:t>
            </w:r>
          </w:p>
        </w:tc>
        <w:tc>
          <w:tcPr>
            <w:tcW w:w="647" w:type="dxa"/>
            <w:shd w:val="clear" w:color="auto" w:fill="auto"/>
            <w:vAlign w:val="center"/>
          </w:tcPr>
          <w:p w14:paraId="70CAD6EB" w14:textId="77777777" w:rsidR="00D34C6F" w:rsidRPr="00F9037E" w:rsidRDefault="00D34C6F" w:rsidP="00C05C97">
            <w:pPr>
              <w:spacing w:before="120" w:after="120"/>
              <w:jc w:val="center"/>
              <w:rPr>
                <w:color w:val="auto"/>
                <w:sz w:val="10"/>
                <w:szCs w:val="10"/>
              </w:rPr>
            </w:pPr>
            <w:r w:rsidRPr="00F9037E">
              <w:rPr>
                <w:color w:val="auto"/>
                <w:sz w:val="10"/>
                <w:szCs w:val="10"/>
              </w:rPr>
              <w:t>463.282</w:t>
            </w:r>
          </w:p>
        </w:tc>
        <w:tc>
          <w:tcPr>
            <w:tcW w:w="567" w:type="dxa"/>
            <w:shd w:val="clear" w:color="auto" w:fill="auto"/>
            <w:vAlign w:val="center"/>
          </w:tcPr>
          <w:p w14:paraId="30A3E95D" w14:textId="77777777" w:rsidR="00D34C6F" w:rsidRPr="00F9037E" w:rsidRDefault="00D34C6F" w:rsidP="00C05C97">
            <w:pPr>
              <w:spacing w:before="120" w:after="120"/>
              <w:jc w:val="center"/>
              <w:rPr>
                <w:color w:val="auto"/>
                <w:sz w:val="10"/>
                <w:szCs w:val="10"/>
              </w:rPr>
            </w:pPr>
            <w:r w:rsidRPr="00F9037E">
              <w:rPr>
                <w:color w:val="auto"/>
                <w:sz w:val="10"/>
                <w:szCs w:val="10"/>
              </w:rPr>
              <w:t>206.234</w:t>
            </w:r>
          </w:p>
        </w:tc>
        <w:tc>
          <w:tcPr>
            <w:tcW w:w="567" w:type="dxa"/>
            <w:shd w:val="clear" w:color="auto" w:fill="auto"/>
            <w:noWrap/>
            <w:vAlign w:val="center"/>
          </w:tcPr>
          <w:p w14:paraId="1B3C4F28" w14:textId="4F4E67F9" w:rsidR="00D34C6F" w:rsidRPr="00F9037E" w:rsidRDefault="00D34C6F" w:rsidP="00C05C97">
            <w:pPr>
              <w:spacing w:before="120" w:after="120"/>
              <w:jc w:val="center"/>
              <w:rPr>
                <w:color w:val="auto"/>
                <w:sz w:val="10"/>
                <w:szCs w:val="10"/>
              </w:rPr>
            </w:pPr>
          </w:p>
        </w:tc>
        <w:tc>
          <w:tcPr>
            <w:tcW w:w="567" w:type="dxa"/>
            <w:vAlign w:val="center"/>
          </w:tcPr>
          <w:p w14:paraId="73B5781C" w14:textId="77777777" w:rsidR="00D34C6F" w:rsidRPr="00F9037E" w:rsidRDefault="00D34C6F" w:rsidP="00C05C97">
            <w:pPr>
              <w:spacing w:before="120" w:after="120"/>
              <w:jc w:val="center"/>
              <w:rPr>
                <w:b/>
                <w:color w:val="auto"/>
                <w:sz w:val="10"/>
                <w:szCs w:val="10"/>
              </w:rPr>
            </w:pPr>
          </w:p>
        </w:tc>
        <w:tc>
          <w:tcPr>
            <w:tcW w:w="567" w:type="dxa"/>
            <w:vAlign w:val="center"/>
          </w:tcPr>
          <w:p w14:paraId="13CDCE6C" w14:textId="77777777" w:rsidR="00D34C6F" w:rsidRPr="00F9037E" w:rsidRDefault="00D34C6F" w:rsidP="00C05C97">
            <w:pPr>
              <w:spacing w:before="120" w:after="120"/>
              <w:jc w:val="center"/>
              <w:rPr>
                <w:b/>
                <w:color w:val="auto"/>
                <w:sz w:val="10"/>
                <w:szCs w:val="10"/>
              </w:rPr>
            </w:pPr>
          </w:p>
        </w:tc>
        <w:tc>
          <w:tcPr>
            <w:tcW w:w="567" w:type="dxa"/>
            <w:vAlign w:val="center"/>
          </w:tcPr>
          <w:p w14:paraId="5974CFA3" w14:textId="77777777" w:rsidR="00D34C6F" w:rsidRPr="00F9037E" w:rsidRDefault="00D34C6F" w:rsidP="00C05C97">
            <w:pPr>
              <w:spacing w:before="120" w:after="120"/>
              <w:jc w:val="center"/>
              <w:rPr>
                <w:b/>
                <w:color w:val="auto"/>
                <w:sz w:val="10"/>
                <w:szCs w:val="10"/>
              </w:rPr>
            </w:pPr>
          </w:p>
        </w:tc>
        <w:tc>
          <w:tcPr>
            <w:tcW w:w="567" w:type="dxa"/>
            <w:vAlign w:val="center"/>
          </w:tcPr>
          <w:p w14:paraId="714E8836" w14:textId="77777777" w:rsidR="00D34C6F" w:rsidRPr="00F9037E" w:rsidRDefault="00D34C6F" w:rsidP="00C05C97">
            <w:pPr>
              <w:spacing w:before="120" w:after="120"/>
              <w:jc w:val="center"/>
              <w:rPr>
                <w:b/>
                <w:color w:val="auto"/>
                <w:sz w:val="10"/>
                <w:szCs w:val="10"/>
              </w:rPr>
            </w:pPr>
          </w:p>
        </w:tc>
      </w:tr>
      <w:tr w:rsidR="00D34C6F" w:rsidRPr="00F9037E" w14:paraId="41CDEFF9" w14:textId="77777777" w:rsidTr="00C05C97">
        <w:trPr>
          <w:trHeight w:val="465"/>
          <w:jc w:val="center"/>
        </w:trPr>
        <w:tc>
          <w:tcPr>
            <w:tcW w:w="662" w:type="dxa"/>
            <w:shd w:val="clear" w:color="auto" w:fill="auto"/>
            <w:vAlign w:val="center"/>
          </w:tcPr>
          <w:p w14:paraId="7CFCE546" w14:textId="77777777" w:rsidR="00D34C6F" w:rsidRPr="00F9037E" w:rsidRDefault="00D34C6F" w:rsidP="00C05C97">
            <w:pPr>
              <w:spacing w:before="120" w:after="120"/>
              <w:rPr>
                <w:color w:val="auto"/>
                <w:sz w:val="12"/>
                <w:szCs w:val="12"/>
              </w:rPr>
            </w:pPr>
            <w:r w:rsidRPr="00F9037E">
              <w:rPr>
                <w:color w:val="auto"/>
                <w:sz w:val="12"/>
                <w:szCs w:val="12"/>
              </w:rPr>
              <w:t>USA</w:t>
            </w:r>
          </w:p>
        </w:tc>
        <w:tc>
          <w:tcPr>
            <w:tcW w:w="824" w:type="dxa"/>
            <w:shd w:val="clear" w:color="auto" w:fill="auto"/>
            <w:vAlign w:val="center"/>
          </w:tcPr>
          <w:p w14:paraId="0CF4A425" w14:textId="77777777" w:rsidR="00D34C6F" w:rsidRPr="00F9037E" w:rsidRDefault="00D34C6F" w:rsidP="00C05C97">
            <w:pPr>
              <w:spacing w:before="120" w:after="120"/>
              <w:rPr>
                <w:color w:val="auto"/>
                <w:sz w:val="12"/>
                <w:szCs w:val="12"/>
              </w:rPr>
            </w:pPr>
            <w:r w:rsidRPr="00F9037E">
              <w:rPr>
                <w:color w:val="auto"/>
                <w:sz w:val="12"/>
                <w:szCs w:val="12"/>
              </w:rPr>
              <w:t>Strawberry fruit – field</w:t>
            </w:r>
          </w:p>
        </w:tc>
        <w:tc>
          <w:tcPr>
            <w:tcW w:w="708" w:type="dxa"/>
            <w:shd w:val="clear" w:color="auto" w:fill="auto"/>
            <w:vAlign w:val="center"/>
          </w:tcPr>
          <w:p w14:paraId="2049E0B5" w14:textId="77777777" w:rsidR="00D34C6F" w:rsidRPr="00F9037E" w:rsidRDefault="00D34C6F" w:rsidP="00C05C97">
            <w:pPr>
              <w:spacing w:before="120" w:after="120"/>
              <w:jc w:val="center"/>
              <w:rPr>
                <w:color w:val="auto"/>
                <w:sz w:val="10"/>
                <w:szCs w:val="10"/>
              </w:rPr>
            </w:pPr>
            <w:r w:rsidRPr="00F9037E">
              <w:rPr>
                <w:color w:val="auto"/>
                <w:sz w:val="10"/>
                <w:szCs w:val="10"/>
              </w:rPr>
              <w:t>2468.873</w:t>
            </w:r>
          </w:p>
        </w:tc>
        <w:tc>
          <w:tcPr>
            <w:tcW w:w="709" w:type="dxa"/>
            <w:shd w:val="clear" w:color="auto" w:fill="auto"/>
            <w:vAlign w:val="center"/>
          </w:tcPr>
          <w:p w14:paraId="4D3E3B3F" w14:textId="77777777" w:rsidR="00D34C6F" w:rsidRPr="00F9037E" w:rsidRDefault="00D34C6F" w:rsidP="00C05C97">
            <w:pPr>
              <w:spacing w:before="120" w:after="120"/>
              <w:jc w:val="center"/>
              <w:rPr>
                <w:color w:val="auto"/>
                <w:sz w:val="10"/>
                <w:szCs w:val="10"/>
              </w:rPr>
            </w:pPr>
            <w:r w:rsidRPr="00F9037E">
              <w:rPr>
                <w:color w:val="auto"/>
                <w:sz w:val="10"/>
                <w:szCs w:val="10"/>
              </w:rPr>
              <w:t>1918.40</w:t>
            </w:r>
          </w:p>
        </w:tc>
        <w:tc>
          <w:tcPr>
            <w:tcW w:w="709" w:type="dxa"/>
            <w:shd w:val="clear" w:color="auto" w:fill="auto"/>
            <w:vAlign w:val="center"/>
          </w:tcPr>
          <w:p w14:paraId="6773C244" w14:textId="77777777" w:rsidR="00D34C6F" w:rsidRPr="00F9037E" w:rsidRDefault="00D34C6F" w:rsidP="00C05C97">
            <w:pPr>
              <w:spacing w:before="120" w:after="120"/>
              <w:jc w:val="center"/>
              <w:rPr>
                <w:color w:val="auto"/>
                <w:sz w:val="10"/>
                <w:szCs w:val="10"/>
              </w:rPr>
            </w:pPr>
            <w:r w:rsidRPr="00F9037E">
              <w:rPr>
                <w:color w:val="auto"/>
                <w:sz w:val="10"/>
                <w:szCs w:val="10"/>
              </w:rPr>
              <w:t>1733.901</w:t>
            </w:r>
          </w:p>
        </w:tc>
        <w:tc>
          <w:tcPr>
            <w:tcW w:w="567" w:type="dxa"/>
            <w:shd w:val="clear" w:color="auto" w:fill="auto"/>
            <w:vAlign w:val="center"/>
          </w:tcPr>
          <w:p w14:paraId="5EF0977F" w14:textId="77777777" w:rsidR="00D34C6F" w:rsidRPr="00F9037E" w:rsidRDefault="00D34C6F" w:rsidP="00C05C97">
            <w:pPr>
              <w:spacing w:before="120" w:after="120"/>
              <w:jc w:val="center"/>
              <w:rPr>
                <w:color w:val="auto"/>
                <w:sz w:val="10"/>
                <w:szCs w:val="10"/>
              </w:rPr>
            </w:pPr>
            <w:r w:rsidRPr="00F9037E">
              <w:rPr>
                <w:color w:val="auto"/>
                <w:sz w:val="10"/>
                <w:szCs w:val="10"/>
              </w:rPr>
              <w:t>1604.669</w:t>
            </w:r>
          </w:p>
        </w:tc>
        <w:tc>
          <w:tcPr>
            <w:tcW w:w="709" w:type="dxa"/>
            <w:shd w:val="clear" w:color="auto" w:fill="auto"/>
            <w:vAlign w:val="center"/>
          </w:tcPr>
          <w:p w14:paraId="4EF0D973" w14:textId="77777777" w:rsidR="00D34C6F" w:rsidRPr="00F9037E" w:rsidRDefault="00D34C6F" w:rsidP="00C05C97">
            <w:pPr>
              <w:spacing w:before="120" w:after="120"/>
              <w:jc w:val="center"/>
              <w:rPr>
                <w:color w:val="auto"/>
                <w:sz w:val="10"/>
                <w:szCs w:val="10"/>
              </w:rPr>
            </w:pPr>
            <w:r w:rsidRPr="00F9037E">
              <w:rPr>
                <w:color w:val="auto"/>
                <w:sz w:val="10"/>
                <w:szCs w:val="10"/>
              </w:rPr>
              <w:t>1336.754</w:t>
            </w:r>
          </w:p>
        </w:tc>
        <w:tc>
          <w:tcPr>
            <w:tcW w:w="567" w:type="dxa"/>
            <w:shd w:val="clear" w:color="auto" w:fill="auto"/>
            <w:vAlign w:val="center"/>
          </w:tcPr>
          <w:p w14:paraId="08D2E35A" w14:textId="77777777" w:rsidR="00D34C6F" w:rsidRPr="00F9037E" w:rsidRDefault="00D34C6F" w:rsidP="00C05C97">
            <w:pPr>
              <w:spacing w:before="120" w:after="120"/>
              <w:jc w:val="center"/>
              <w:rPr>
                <w:color w:val="auto"/>
                <w:sz w:val="10"/>
                <w:szCs w:val="10"/>
              </w:rPr>
            </w:pPr>
            <w:r w:rsidRPr="00F9037E">
              <w:rPr>
                <w:color w:val="auto"/>
                <w:sz w:val="10"/>
                <w:szCs w:val="10"/>
              </w:rPr>
              <w:t>1103.422</w:t>
            </w:r>
          </w:p>
        </w:tc>
        <w:tc>
          <w:tcPr>
            <w:tcW w:w="708" w:type="dxa"/>
            <w:shd w:val="clear" w:color="auto" w:fill="auto"/>
            <w:vAlign w:val="center"/>
          </w:tcPr>
          <w:p w14:paraId="1D68AD9E" w14:textId="77777777" w:rsidR="00D34C6F" w:rsidRPr="00F9037E" w:rsidRDefault="00D34C6F" w:rsidP="00C05C97">
            <w:pPr>
              <w:spacing w:before="120" w:after="120"/>
              <w:jc w:val="center"/>
              <w:rPr>
                <w:color w:val="auto"/>
                <w:sz w:val="10"/>
                <w:szCs w:val="10"/>
              </w:rPr>
            </w:pPr>
            <w:r w:rsidRPr="00F9037E">
              <w:rPr>
                <w:color w:val="auto"/>
                <w:sz w:val="10"/>
                <w:szCs w:val="10"/>
              </w:rPr>
              <w:t>1023.471</w:t>
            </w:r>
          </w:p>
        </w:tc>
        <w:tc>
          <w:tcPr>
            <w:tcW w:w="567" w:type="dxa"/>
            <w:shd w:val="clear" w:color="auto" w:fill="auto"/>
            <w:vAlign w:val="center"/>
          </w:tcPr>
          <w:p w14:paraId="53D94989" w14:textId="0DF79F31" w:rsidR="00D34C6F" w:rsidRPr="00F9037E" w:rsidRDefault="00D34C6F" w:rsidP="00C05C97">
            <w:pPr>
              <w:spacing w:before="120" w:after="120"/>
              <w:jc w:val="center"/>
              <w:rPr>
                <w:color w:val="auto"/>
                <w:sz w:val="10"/>
                <w:szCs w:val="10"/>
              </w:rPr>
            </w:pPr>
            <w:r w:rsidRPr="00F9037E">
              <w:rPr>
                <w:color w:val="auto"/>
                <w:sz w:val="10"/>
                <w:szCs w:val="10"/>
              </w:rPr>
              <w:t>753.974</w:t>
            </w:r>
          </w:p>
        </w:tc>
        <w:tc>
          <w:tcPr>
            <w:tcW w:w="567" w:type="dxa"/>
            <w:shd w:val="clear" w:color="auto" w:fill="auto"/>
            <w:vAlign w:val="center"/>
          </w:tcPr>
          <w:p w14:paraId="51E6DD04" w14:textId="77777777" w:rsidR="00D34C6F" w:rsidRPr="00F9037E" w:rsidRDefault="005E5097" w:rsidP="00C05C97">
            <w:pPr>
              <w:spacing w:before="120" w:after="120"/>
              <w:jc w:val="center"/>
              <w:rPr>
                <w:color w:val="auto"/>
                <w:sz w:val="10"/>
                <w:szCs w:val="10"/>
              </w:rPr>
            </w:pPr>
            <w:r w:rsidRPr="00F9037E">
              <w:rPr>
                <w:color w:val="auto"/>
                <w:sz w:val="10"/>
                <w:szCs w:val="10"/>
              </w:rPr>
              <w:t>610.339</w:t>
            </w:r>
          </w:p>
        </w:tc>
        <w:tc>
          <w:tcPr>
            <w:tcW w:w="629" w:type="dxa"/>
            <w:vAlign w:val="center"/>
          </w:tcPr>
          <w:p w14:paraId="20B9D0E6" w14:textId="77777777" w:rsidR="00D34C6F" w:rsidRPr="00F9037E" w:rsidRDefault="00D34C6F" w:rsidP="00C05C97">
            <w:pPr>
              <w:spacing w:before="120" w:after="120"/>
              <w:jc w:val="center"/>
              <w:rPr>
                <w:color w:val="auto"/>
                <w:sz w:val="10"/>
                <w:szCs w:val="10"/>
              </w:rPr>
            </w:pPr>
            <w:r w:rsidRPr="00F9037E">
              <w:rPr>
                <w:color w:val="auto"/>
                <w:sz w:val="10"/>
                <w:szCs w:val="10"/>
              </w:rPr>
              <w:t>415.067</w:t>
            </w:r>
          </w:p>
        </w:tc>
        <w:tc>
          <w:tcPr>
            <w:tcW w:w="567" w:type="dxa"/>
            <w:vAlign w:val="center"/>
          </w:tcPr>
          <w:p w14:paraId="138FD75B" w14:textId="77777777" w:rsidR="00D34C6F" w:rsidRPr="00F9037E" w:rsidRDefault="00D34C6F" w:rsidP="00C05C97">
            <w:pPr>
              <w:spacing w:before="120" w:after="120"/>
              <w:jc w:val="center"/>
              <w:rPr>
                <w:color w:val="auto"/>
                <w:sz w:val="10"/>
                <w:szCs w:val="10"/>
              </w:rPr>
            </w:pPr>
            <w:r w:rsidRPr="00F9037E">
              <w:rPr>
                <w:color w:val="auto"/>
                <w:sz w:val="10"/>
                <w:szCs w:val="10"/>
              </w:rPr>
              <w:t>373.660</w:t>
            </w:r>
          </w:p>
        </w:tc>
        <w:tc>
          <w:tcPr>
            <w:tcW w:w="567" w:type="dxa"/>
            <w:vAlign w:val="center"/>
          </w:tcPr>
          <w:p w14:paraId="104582B2" w14:textId="77777777" w:rsidR="00D34C6F" w:rsidRPr="00F9037E" w:rsidRDefault="00DB4B9C" w:rsidP="00C05C97">
            <w:pPr>
              <w:spacing w:before="120" w:after="120"/>
              <w:jc w:val="center"/>
              <w:rPr>
                <w:color w:val="auto"/>
                <w:sz w:val="10"/>
                <w:szCs w:val="10"/>
              </w:rPr>
            </w:pPr>
            <w:r w:rsidRPr="00F9037E">
              <w:rPr>
                <w:color w:val="auto"/>
                <w:sz w:val="10"/>
                <w:szCs w:val="10"/>
              </w:rPr>
              <w:t>231.540</w:t>
            </w:r>
          </w:p>
        </w:tc>
        <w:tc>
          <w:tcPr>
            <w:tcW w:w="709" w:type="dxa"/>
            <w:shd w:val="clear" w:color="auto" w:fill="auto"/>
            <w:vAlign w:val="center"/>
          </w:tcPr>
          <w:p w14:paraId="55B3A8D3" w14:textId="77777777" w:rsidR="00D34C6F" w:rsidRPr="00F9037E" w:rsidRDefault="00D34C6F" w:rsidP="00C05C97">
            <w:pPr>
              <w:spacing w:before="120" w:after="120"/>
              <w:jc w:val="center"/>
              <w:rPr>
                <w:color w:val="auto"/>
                <w:sz w:val="10"/>
                <w:szCs w:val="10"/>
              </w:rPr>
            </w:pPr>
            <w:r w:rsidRPr="00F9037E">
              <w:rPr>
                <w:color w:val="auto"/>
                <w:sz w:val="10"/>
                <w:szCs w:val="10"/>
              </w:rPr>
              <w:t>2052.846</w:t>
            </w:r>
          </w:p>
        </w:tc>
        <w:tc>
          <w:tcPr>
            <w:tcW w:w="709" w:type="dxa"/>
            <w:shd w:val="clear" w:color="auto" w:fill="auto"/>
            <w:vAlign w:val="center"/>
          </w:tcPr>
          <w:p w14:paraId="68608F66" w14:textId="77777777" w:rsidR="00D34C6F" w:rsidRPr="00F9037E" w:rsidRDefault="00D34C6F" w:rsidP="00C05C97">
            <w:pPr>
              <w:spacing w:before="120" w:after="120"/>
              <w:jc w:val="center"/>
              <w:rPr>
                <w:color w:val="auto"/>
                <w:sz w:val="10"/>
                <w:szCs w:val="10"/>
              </w:rPr>
            </w:pPr>
            <w:r w:rsidRPr="00F9037E">
              <w:rPr>
                <w:color w:val="auto"/>
                <w:sz w:val="10"/>
                <w:szCs w:val="10"/>
              </w:rPr>
              <w:t>1730.828</w:t>
            </w:r>
          </w:p>
        </w:tc>
        <w:tc>
          <w:tcPr>
            <w:tcW w:w="708" w:type="dxa"/>
            <w:shd w:val="clear" w:color="auto" w:fill="auto"/>
            <w:vAlign w:val="center"/>
          </w:tcPr>
          <w:p w14:paraId="5B6A39B5" w14:textId="6FA2C535" w:rsidR="00D34C6F" w:rsidRPr="00F9037E" w:rsidRDefault="00D34C6F" w:rsidP="00C05C97">
            <w:pPr>
              <w:spacing w:before="120" w:after="120"/>
              <w:jc w:val="center"/>
              <w:rPr>
                <w:color w:val="auto"/>
                <w:sz w:val="10"/>
                <w:szCs w:val="10"/>
              </w:rPr>
            </w:pPr>
            <w:r w:rsidRPr="00F9037E">
              <w:rPr>
                <w:color w:val="auto"/>
                <w:sz w:val="10"/>
                <w:szCs w:val="10"/>
              </w:rPr>
              <w:t>1476.019</w:t>
            </w:r>
          </w:p>
        </w:tc>
        <w:tc>
          <w:tcPr>
            <w:tcW w:w="709" w:type="dxa"/>
            <w:shd w:val="clear" w:color="auto" w:fill="auto"/>
            <w:vAlign w:val="center"/>
          </w:tcPr>
          <w:p w14:paraId="1534C60C" w14:textId="77777777" w:rsidR="00D34C6F" w:rsidRPr="00F9037E" w:rsidRDefault="00D34C6F" w:rsidP="00C05C97">
            <w:pPr>
              <w:spacing w:before="120" w:after="120"/>
              <w:jc w:val="center"/>
              <w:rPr>
                <w:color w:val="auto"/>
                <w:sz w:val="10"/>
                <w:szCs w:val="10"/>
              </w:rPr>
            </w:pPr>
            <w:r w:rsidRPr="00F9037E">
              <w:rPr>
                <w:color w:val="auto"/>
                <w:sz w:val="10"/>
                <w:szCs w:val="10"/>
              </w:rPr>
              <w:t>1349.575</w:t>
            </w:r>
          </w:p>
        </w:tc>
        <w:tc>
          <w:tcPr>
            <w:tcW w:w="567" w:type="dxa"/>
            <w:shd w:val="clear" w:color="auto" w:fill="auto"/>
            <w:vAlign w:val="center"/>
          </w:tcPr>
          <w:p w14:paraId="249E866A" w14:textId="77777777" w:rsidR="00D34C6F" w:rsidRPr="00F9037E" w:rsidRDefault="00D34C6F" w:rsidP="00C05C97">
            <w:pPr>
              <w:spacing w:before="120" w:after="120"/>
              <w:jc w:val="center"/>
              <w:rPr>
                <w:color w:val="auto"/>
                <w:sz w:val="10"/>
                <w:szCs w:val="10"/>
              </w:rPr>
            </w:pPr>
            <w:r w:rsidRPr="00F9037E">
              <w:rPr>
                <w:color w:val="auto"/>
                <w:sz w:val="10"/>
                <w:szCs w:val="10"/>
              </w:rPr>
              <w:t>1269.321</w:t>
            </w:r>
          </w:p>
        </w:tc>
        <w:tc>
          <w:tcPr>
            <w:tcW w:w="647" w:type="dxa"/>
            <w:shd w:val="clear" w:color="auto" w:fill="auto"/>
            <w:vAlign w:val="center"/>
          </w:tcPr>
          <w:p w14:paraId="709751FE" w14:textId="77777777" w:rsidR="00D34C6F" w:rsidRPr="00F9037E" w:rsidRDefault="00D34C6F" w:rsidP="00C05C97">
            <w:pPr>
              <w:spacing w:before="120" w:after="120"/>
              <w:jc w:val="center"/>
              <w:rPr>
                <w:color w:val="auto"/>
                <w:sz w:val="10"/>
                <w:szCs w:val="10"/>
              </w:rPr>
            </w:pPr>
            <w:r w:rsidRPr="00F9037E">
              <w:rPr>
                <w:color w:val="auto"/>
                <w:sz w:val="10"/>
                <w:szCs w:val="10"/>
              </w:rPr>
              <w:t>1007.477</w:t>
            </w:r>
          </w:p>
        </w:tc>
        <w:tc>
          <w:tcPr>
            <w:tcW w:w="567" w:type="dxa"/>
            <w:shd w:val="clear" w:color="auto" w:fill="auto"/>
            <w:vAlign w:val="center"/>
          </w:tcPr>
          <w:p w14:paraId="78317408" w14:textId="77777777" w:rsidR="00D34C6F" w:rsidRPr="00F9037E" w:rsidRDefault="00D34C6F" w:rsidP="00C05C97">
            <w:pPr>
              <w:spacing w:before="120" w:after="120"/>
              <w:jc w:val="center"/>
              <w:rPr>
                <w:color w:val="auto"/>
                <w:sz w:val="10"/>
                <w:szCs w:val="10"/>
              </w:rPr>
            </w:pPr>
            <w:r w:rsidRPr="00F9037E">
              <w:rPr>
                <w:color w:val="auto"/>
                <w:sz w:val="10"/>
                <w:szCs w:val="10"/>
              </w:rPr>
              <w:t>812.709</w:t>
            </w:r>
          </w:p>
        </w:tc>
        <w:tc>
          <w:tcPr>
            <w:tcW w:w="567" w:type="dxa"/>
            <w:shd w:val="clear" w:color="auto" w:fill="auto"/>
            <w:noWrap/>
            <w:vAlign w:val="center"/>
          </w:tcPr>
          <w:p w14:paraId="1C3D535D" w14:textId="52747B1D" w:rsidR="00D34C6F" w:rsidRPr="00F9037E" w:rsidRDefault="00D34C6F" w:rsidP="00C05C97">
            <w:pPr>
              <w:spacing w:before="120" w:after="120"/>
              <w:jc w:val="center"/>
              <w:rPr>
                <w:color w:val="auto"/>
                <w:sz w:val="10"/>
                <w:szCs w:val="10"/>
              </w:rPr>
            </w:pPr>
            <w:r w:rsidRPr="00F9037E">
              <w:rPr>
                <w:color w:val="auto"/>
                <w:sz w:val="10"/>
                <w:szCs w:val="10"/>
              </w:rPr>
              <w:t>678.004</w:t>
            </w:r>
          </w:p>
        </w:tc>
        <w:tc>
          <w:tcPr>
            <w:tcW w:w="567" w:type="dxa"/>
            <w:vAlign w:val="center"/>
          </w:tcPr>
          <w:p w14:paraId="77B3E562" w14:textId="77777777" w:rsidR="00D34C6F" w:rsidRPr="00F9037E" w:rsidRDefault="005E5097" w:rsidP="00C05C97">
            <w:pPr>
              <w:spacing w:before="120" w:after="120"/>
              <w:jc w:val="center"/>
              <w:rPr>
                <w:color w:val="auto"/>
                <w:sz w:val="10"/>
                <w:szCs w:val="10"/>
              </w:rPr>
            </w:pPr>
            <w:r w:rsidRPr="00F9037E">
              <w:rPr>
                <w:color w:val="auto"/>
                <w:sz w:val="10"/>
                <w:szCs w:val="10"/>
              </w:rPr>
              <w:t>532.442</w:t>
            </w:r>
          </w:p>
        </w:tc>
        <w:tc>
          <w:tcPr>
            <w:tcW w:w="567" w:type="dxa"/>
            <w:vAlign w:val="center"/>
          </w:tcPr>
          <w:p w14:paraId="4B73CF32" w14:textId="77777777" w:rsidR="00D34C6F" w:rsidRPr="00F9037E" w:rsidRDefault="00DB4B9C" w:rsidP="00C05C97">
            <w:pPr>
              <w:spacing w:before="120" w:after="120"/>
              <w:jc w:val="center"/>
              <w:rPr>
                <w:b/>
                <w:color w:val="auto"/>
                <w:sz w:val="10"/>
                <w:szCs w:val="10"/>
              </w:rPr>
            </w:pPr>
            <w:r w:rsidRPr="00F9037E">
              <w:rPr>
                <w:color w:val="auto"/>
                <w:sz w:val="10"/>
                <w:szCs w:val="10"/>
              </w:rPr>
              <w:t>415.067</w:t>
            </w:r>
          </w:p>
        </w:tc>
        <w:tc>
          <w:tcPr>
            <w:tcW w:w="567" w:type="dxa"/>
            <w:vAlign w:val="center"/>
          </w:tcPr>
          <w:p w14:paraId="34E08EE6" w14:textId="77777777" w:rsidR="00D34C6F" w:rsidRPr="00F9037E" w:rsidRDefault="00540CAC" w:rsidP="00C05C97">
            <w:pPr>
              <w:spacing w:before="120" w:after="120"/>
              <w:jc w:val="center"/>
              <w:rPr>
                <w:color w:val="auto"/>
                <w:sz w:val="10"/>
                <w:szCs w:val="10"/>
              </w:rPr>
            </w:pPr>
            <w:r w:rsidRPr="00F9037E">
              <w:rPr>
                <w:color w:val="auto"/>
                <w:sz w:val="10"/>
                <w:szCs w:val="10"/>
              </w:rPr>
              <w:t>373.660</w:t>
            </w:r>
          </w:p>
        </w:tc>
        <w:tc>
          <w:tcPr>
            <w:tcW w:w="567" w:type="dxa"/>
            <w:vAlign w:val="center"/>
          </w:tcPr>
          <w:p w14:paraId="25D6F050" w14:textId="77777777" w:rsidR="00D34C6F" w:rsidRPr="00F9037E" w:rsidRDefault="00BF1659" w:rsidP="00C05C97">
            <w:pPr>
              <w:spacing w:before="120" w:after="120"/>
              <w:jc w:val="center"/>
              <w:rPr>
                <w:color w:val="auto"/>
                <w:sz w:val="10"/>
                <w:szCs w:val="10"/>
              </w:rPr>
            </w:pPr>
            <w:r w:rsidRPr="00F9037E">
              <w:rPr>
                <w:color w:val="auto"/>
                <w:sz w:val="10"/>
                <w:szCs w:val="10"/>
              </w:rPr>
              <w:t>231.540</w:t>
            </w:r>
          </w:p>
        </w:tc>
      </w:tr>
      <w:tr w:rsidR="00D34C6F" w:rsidRPr="00F9037E" w14:paraId="2454FFB2" w14:textId="77777777" w:rsidTr="00C05C97">
        <w:trPr>
          <w:trHeight w:val="465"/>
          <w:jc w:val="center"/>
        </w:trPr>
        <w:tc>
          <w:tcPr>
            <w:tcW w:w="662" w:type="dxa"/>
            <w:shd w:val="clear" w:color="auto" w:fill="auto"/>
            <w:vAlign w:val="center"/>
          </w:tcPr>
          <w:p w14:paraId="147C052B" w14:textId="77777777" w:rsidR="00D34C6F" w:rsidRPr="00F9037E" w:rsidRDefault="00D34C6F" w:rsidP="00C05C97">
            <w:pPr>
              <w:spacing w:before="120" w:after="120"/>
              <w:rPr>
                <w:color w:val="auto"/>
                <w:sz w:val="12"/>
                <w:szCs w:val="12"/>
              </w:rPr>
            </w:pPr>
            <w:r w:rsidRPr="00F9037E">
              <w:rPr>
                <w:color w:val="auto"/>
                <w:sz w:val="12"/>
                <w:szCs w:val="12"/>
              </w:rPr>
              <w:t>USA</w:t>
            </w:r>
          </w:p>
        </w:tc>
        <w:tc>
          <w:tcPr>
            <w:tcW w:w="824" w:type="dxa"/>
            <w:shd w:val="clear" w:color="auto" w:fill="auto"/>
            <w:vAlign w:val="center"/>
          </w:tcPr>
          <w:p w14:paraId="74DEF0B3" w14:textId="77777777" w:rsidR="00D34C6F" w:rsidRPr="00F9037E" w:rsidRDefault="00D34C6F" w:rsidP="00C05C97">
            <w:pPr>
              <w:spacing w:before="120" w:after="120"/>
              <w:rPr>
                <w:color w:val="auto"/>
                <w:sz w:val="12"/>
                <w:szCs w:val="12"/>
              </w:rPr>
            </w:pPr>
            <w:r w:rsidRPr="00F9037E">
              <w:rPr>
                <w:color w:val="auto"/>
                <w:sz w:val="12"/>
                <w:szCs w:val="12"/>
              </w:rPr>
              <w:t>Strawberry runners</w:t>
            </w:r>
          </w:p>
        </w:tc>
        <w:tc>
          <w:tcPr>
            <w:tcW w:w="708" w:type="dxa"/>
            <w:shd w:val="clear" w:color="auto" w:fill="auto"/>
            <w:vAlign w:val="center"/>
          </w:tcPr>
          <w:p w14:paraId="27C4F811" w14:textId="77777777" w:rsidR="00D34C6F" w:rsidRPr="00F9037E" w:rsidRDefault="00D34C6F" w:rsidP="00C05C97">
            <w:pPr>
              <w:spacing w:before="120" w:after="120"/>
              <w:jc w:val="center"/>
              <w:rPr>
                <w:color w:val="auto"/>
                <w:sz w:val="10"/>
                <w:szCs w:val="10"/>
              </w:rPr>
            </w:pPr>
            <w:r w:rsidRPr="00F9037E">
              <w:rPr>
                <w:color w:val="auto"/>
                <w:sz w:val="10"/>
                <w:szCs w:val="10"/>
              </w:rPr>
              <w:t>54.988</w:t>
            </w:r>
          </w:p>
        </w:tc>
        <w:tc>
          <w:tcPr>
            <w:tcW w:w="709" w:type="dxa"/>
            <w:shd w:val="clear" w:color="auto" w:fill="auto"/>
            <w:vAlign w:val="center"/>
          </w:tcPr>
          <w:p w14:paraId="4A6D7386" w14:textId="77777777" w:rsidR="00D34C6F" w:rsidRPr="00F9037E" w:rsidRDefault="00D34C6F" w:rsidP="00C05C97">
            <w:pPr>
              <w:spacing w:before="120" w:after="120"/>
              <w:jc w:val="center"/>
              <w:rPr>
                <w:color w:val="auto"/>
                <w:sz w:val="10"/>
                <w:szCs w:val="10"/>
              </w:rPr>
            </w:pPr>
            <w:r w:rsidRPr="00F9037E">
              <w:rPr>
                <w:color w:val="auto"/>
                <w:sz w:val="10"/>
                <w:szCs w:val="10"/>
              </w:rPr>
              <w:t>56.291</w:t>
            </w:r>
          </w:p>
        </w:tc>
        <w:tc>
          <w:tcPr>
            <w:tcW w:w="709" w:type="dxa"/>
            <w:shd w:val="clear" w:color="auto" w:fill="auto"/>
            <w:vAlign w:val="center"/>
          </w:tcPr>
          <w:p w14:paraId="63F5C33B" w14:textId="77777777" w:rsidR="00D34C6F" w:rsidRPr="00F9037E" w:rsidRDefault="00D34C6F" w:rsidP="00C05C97">
            <w:pPr>
              <w:spacing w:before="120" w:after="120"/>
              <w:jc w:val="center"/>
              <w:rPr>
                <w:color w:val="auto"/>
                <w:sz w:val="10"/>
                <w:szCs w:val="10"/>
              </w:rPr>
            </w:pPr>
            <w:r w:rsidRPr="00F9037E">
              <w:rPr>
                <w:color w:val="auto"/>
                <w:sz w:val="10"/>
                <w:szCs w:val="10"/>
              </w:rPr>
              <w:t>4.483</w:t>
            </w:r>
          </w:p>
        </w:tc>
        <w:tc>
          <w:tcPr>
            <w:tcW w:w="567" w:type="dxa"/>
            <w:shd w:val="clear" w:color="auto" w:fill="auto"/>
            <w:vAlign w:val="center"/>
          </w:tcPr>
          <w:p w14:paraId="664F8952" w14:textId="77777777" w:rsidR="00D34C6F" w:rsidRPr="00F9037E" w:rsidRDefault="00D34C6F" w:rsidP="00C05C97">
            <w:pPr>
              <w:spacing w:before="120" w:after="120"/>
              <w:jc w:val="center"/>
              <w:rPr>
                <w:color w:val="auto"/>
                <w:sz w:val="10"/>
                <w:szCs w:val="10"/>
              </w:rPr>
            </w:pPr>
            <w:r w:rsidRPr="00F9037E">
              <w:rPr>
                <w:color w:val="auto"/>
                <w:sz w:val="10"/>
                <w:szCs w:val="10"/>
              </w:rPr>
              <w:t>8.838</w:t>
            </w:r>
          </w:p>
        </w:tc>
        <w:tc>
          <w:tcPr>
            <w:tcW w:w="709" w:type="dxa"/>
            <w:shd w:val="clear" w:color="auto" w:fill="auto"/>
            <w:vAlign w:val="center"/>
          </w:tcPr>
          <w:p w14:paraId="1453F54B" w14:textId="77777777" w:rsidR="00D34C6F" w:rsidRPr="00F9037E" w:rsidRDefault="00D34C6F" w:rsidP="00C05C97">
            <w:pPr>
              <w:spacing w:before="120" w:after="120"/>
              <w:jc w:val="center"/>
              <w:rPr>
                <w:color w:val="auto"/>
                <w:sz w:val="10"/>
                <w:szCs w:val="10"/>
              </w:rPr>
            </w:pPr>
            <w:r w:rsidRPr="00F9037E">
              <w:rPr>
                <w:color w:val="auto"/>
                <w:sz w:val="10"/>
                <w:szCs w:val="10"/>
              </w:rPr>
              <w:t>8.837</w:t>
            </w:r>
          </w:p>
        </w:tc>
        <w:tc>
          <w:tcPr>
            <w:tcW w:w="567" w:type="dxa"/>
            <w:shd w:val="clear" w:color="auto" w:fill="auto"/>
            <w:vAlign w:val="center"/>
          </w:tcPr>
          <w:p w14:paraId="73F6044D" w14:textId="77777777" w:rsidR="00D34C6F" w:rsidRPr="00F9037E" w:rsidRDefault="00D34C6F" w:rsidP="00C05C97">
            <w:pPr>
              <w:spacing w:before="120" w:after="120"/>
              <w:jc w:val="center"/>
              <w:rPr>
                <w:color w:val="auto"/>
                <w:sz w:val="10"/>
                <w:szCs w:val="10"/>
              </w:rPr>
            </w:pPr>
            <w:r w:rsidRPr="00F9037E">
              <w:rPr>
                <w:color w:val="auto"/>
                <w:sz w:val="10"/>
                <w:szCs w:val="10"/>
              </w:rPr>
              <w:t>7.381</w:t>
            </w:r>
          </w:p>
        </w:tc>
        <w:tc>
          <w:tcPr>
            <w:tcW w:w="708" w:type="dxa"/>
            <w:shd w:val="clear" w:color="auto" w:fill="auto"/>
            <w:vAlign w:val="center"/>
          </w:tcPr>
          <w:p w14:paraId="400FF7CE" w14:textId="77777777" w:rsidR="00D34C6F" w:rsidRPr="00F9037E" w:rsidRDefault="00D34C6F" w:rsidP="00C05C97">
            <w:pPr>
              <w:spacing w:before="120" w:after="120"/>
              <w:jc w:val="center"/>
              <w:rPr>
                <w:color w:val="auto"/>
                <w:sz w:val="10"/>
                <w:szCs w:val="10"/>
              </w:rPr>
            </w:pPr>
            <w:r w:rsidRPr="00F9037E">
              <w:rPr>
                <w:color w:val="auto"/>
                <w:sz w:val="10"/>
                <w:szCs w:val="10"/>
              </w:rPr>
              <w:t>7.381</w:t>
            </w:r>
          </w:p>
        </w:tc>
        <w:tc>
          <w:tcPr>
            <w:tcW w:w="567" w:type="dxa"/>
            <w:shd w:val="clear" w:color="auto" w:fill="auto"/>
            <w:vAlign w:val="center"/>
          </w:tcPr>
          <w:p w14:paraId="3FA2812A" w14:textId="59A3E0EC" w:rsidR="00D34C6F" w:rsidRPr="00F9037E" w:rsidRDefault="00D34C6F" w:rsidP="00C05C97">
            <w:pPr>
              <w:spacing w:before="120" w:after="120"/>
              <w:jc w:val="center"/>
              <w:rPr>
                <w:color w:val="auto"/>
                <w:sz w:val="10"/>
                <w:szCs w:val="10"/>
              </w:rPr>
            </w:pPr>
            <w:r w:rsidRPr="00F9037E">
              <w:rPr>
                <w:color w:val="auto"/>
                <w:sz w:val="10"/>
                <w:szCs w:val="10"/>
              </w:rPr>
              <w:t>3.752</w:t>
            </w:r>
          </w:p>
        </w:tc>
        <w:tc>
          <w:tcPr>
            <w:tcW w:w="567" w:type="dxa"/>
            <w:shd w:val="clear" w:color="auto" w:fill="auto"/>
            <w:vAlign w:val="center"/>
          </w:tcPr>
          <w:p w14:paraId="5841EE3D" w14:textId="77777777" w:rsidR="00D34C6F" w:rsidRPr="00F9037E" w:rsidRDefault="00D34C6F" w:rsidP="00C05C97">
            <w:pPr>
              <w:spacing w:before="120" w:after="120"/>
              <w:jc w:val="center"/>
              <w:rPr>
                <w:color w:val="auto"/>
                <w:sz w:val="10"/>
                <w:szCs w:val="10"/>
              </w:rPr>
            </w:pPr>
            <w:r w:rsidRPr="00F9037E">
              <w:rPr>
                <w:color w:val="auto"/>
                <w:sz w:val="10"/>
                <w:szCs w:val="10"/>
              </w:rPr>
              <w:t>3.752</w:t>
            </w:r>
          </w:p>
        </w:tc>
        <w:tc>
          <w:tcPr>
            <w:tcW w:w="629" w:type="dxa"/>
            <w:vAlign w:val="center"/>
          </w:tcPr>
          <w:p w14:paraId="745D8D06" w14:textId="77777777" w:rsidR="00D34C6F" w:rsidRPr="00F9037E" w:rsidRDefault="00D34C6F" w:rsidP="00C05C97">
            <w:pPr>
              <w:spacing w:before="120" w:after="120"/>
              <w:jc w:val="center"/>
              <w:rPr>
                <w:color w:val="auto"/>
                <w:sz w:val="10"/>
                <w:szCs w:val="10"/>
              </w:rPr>
            </w:pPr>
          </w:p>
        </w:tc>
        <w:tc>
          <w:tcPr>
            <w:tcW w:w="567" w:type="dxa"/>
            <w:vAlign w:val="center"/>
          </w:tcPr>
          <w:p w14:paraId="43F80A7A" w14:textId="77777777" w:rsidR="00D34C6F" w:rsidRPr="00F9037E" w:rsidRDefault="00D34C6F" w:rsidP="00C05C97">
            <w:pPr>
              <w:spacing w:before="120" w:after="120"/>
              <w:jc w:val="center"/>
              <w:rPr>
                <w:color w:val="auto"/>
                <w:sz w:val="10"/>
                <w:szCs w:val="10"/>
              </w:rPr>
            </w:pPr>
          </w:p>
        </w:tc>
        <w:tc>
          <w:tcPr>
            <w:tcW w:w="567" w:type="dxa"/>
            <w:vAlign w:val="center"/>
          </w:tcPr>
          <w:p w14:paraId="1DB6C85C"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08312354" w14:textId="77777777" w:rsidR="00D34C6F" w:rsidRPr="00F9037E" w:rsidRDefault="00D34C6F" w:rsidP="00C05C97">
            <w:pPr>
              <w:spacing w:before="120" w:after="120"/>
              <w:jc w:val="center"/>
              <w:rPr>
                <w:color w:val="auto"/>
                <w:sz w:val="10"/>
                <w:szCs w:val="10"/>
              </w:rPr>
            </w:pPr>
            <w:r w:rsidRPr="00F9037E">
              <w:rPr>
                <w:color w:val="auto"/>
                <w:sz w:val="10"/>
                <w:szCs w:val="10"/>
              </w:rPr>
              <w:t>54.988</w:t>
            </w:r>
          </w:p>
        </w:tc>
        <w:tc>
          <w:tcPr>
            <w:tcW w:w="709" w:type="dxa"/>
            <w:shd w:val="clear" w:color="auto" w:fill="auto"/>
            <w:vAlign w:val="center"/>
          </w:tcPr>
          <w:p w14:paraId="6024FFF1" w14:textId="77777777" w:rsidR="00D34C6F" w:rsidRPr="00F9037E" w:rsidRDefault="00D34C6F" w:rsidP="00C05C97">
            <w:pPr>
              <w:spacing w:before="120" w:after="120"/>
              <w:jc w:val="center"/>
              <w:rPr>
                <w:color w:val="auto"/>
                <w:sz w:val="10"/>
                <w:szCs w:val="10"/>
              </w:rPr>
            </w:pPr>
            <w:r w:rsidRPr="00F9037E">
              <w:rPr>
                <w:color w:val="auto"/>
                <w:sz w:val="10"/>
                <w:szCs w:val="10"/>
              </w:rPr>
              <w:t>56.291</w:t>
            </w:r>
          </w:p>
        </w:tc>
        <w:tc>
          <w:tcPr>
            <w:tcW w:w="708" w:type="dxa"/>
            <w:shd w:val="clear" w:color="auto" w:fill="auto"/>
            <w:vAlign w:val="center"/>
          </w:tcPr>
          <w:p w14:paraId="067BA3C2" w14:textId="7EF8B252" w:rsidR="00D34C6F" w:rsidRPr="00F9037E" w:rsidRDefault="00D34C6F" w:rsidP="00C05C97">
            <w:pPr>
              <w:spacing w:before="120" w:after="120"/>
              <w:jc w:val="center"/>
              <w:rPr>
                <w:color w:val="auto"/>
                <w:sz w:val="10"/>
                <w:szCs w:val="10"/>
              </w:rPr>
            </w:pPr>
            <w:r w:rsidRPr="00F9037E">
              <w:rPr>
                <w:color w:val="auto"/>
                <w:sz w:val="10"/>
                <w:szCs w:val="10"/>
              </w:rPr>
              <w:t>4.483</w:t>
            </w:r>
          </w:p>
        </w:tc>
        <w:tc>
          <w:tcPr>
            <w:tcW w:w="709" w:type="dxa"/>
            <w:shd w:val="clear" w:color="auto" w:fill="auto"/>
            <w:vAlign w:val="center"/>
          </w:tcPr>
          <w:p w14:paraId="50460FD5" w14:textId="77777777" w:rsidR="00D34C6F" w:rsidRPr="00F9037E" w:rsidRDefault="00D34C6F" w:rsidP="00C05C97">
            <w:pPr>
              <w:spacing w:before="120" w:after="120"/>
              <w:jc w:val="center"/>
              <w:rPr>
                <w:color w:val="auto"/>
                <w:sz w:val="10"/>
                <w:szCs w:val="10"/>
              </w:rPr>
            </w:pPr>
            <w:r w:rsidRPr="00F9037E">
              <w:rPr>
                <w:color w:val="auto"/>
                <w:sz w:val="10"/>
                <w:szCs w:val="10"/>
              </w:rPr>
              <w:t>8.838</w:t>
            </w:r>
          </w:p>
        </w:tc>
        <w:tc>
          <w:tcPr>
            <w:tcW w:w="567" w:type="dxa"/>
            <w:shd w:val="clear" w:color="auto" w:fill="auto"/>
            <w:vAlign w:val="center"/>
          </w:tcPr>
          <w:p w14:paraId="2ADA4DB9" w14:textId="77777777" w:rsidR="00D34C6F" w:rsidRPr="00F9037E" w:rsidRDefault="00D34C6F" w:rsidP="00C05C97">
            <w:pPr>
              <w:spacing w:before="120" w:after="120"/>
              <w:jc w:val="center"/>
              <w:rPr>
                <w:color w:val="auto"/>
                <w:sz w:val="10"/>
                <w:szCs w:val="10"/>
              </w:rPr>
            </w:pPr>
            <w:r w:rsidRPr="00F9037E">
              <w:rPr>
                <w:color w:val="auto"/>
                <w:sz w:val="10"/>
                <w:szCs w:val="10"/>
              </w:rPr>
              <w:t>7.944</w:t>
            </w:r>
          </w:p>
        </w:tc>
        <w:tc>
          <w:tcPr>
            <w:tcW w:w="647" w:type="dxa"/>
            <w:shd w:val="clear" w:color="auto" w:fill="auto"/>
            <w:vAlign w:val="center"/>
          </w:tcPr>
          <w:p w14:paraId="13E488E7" w14:textId="77777777" w:rsidR="00D34C6F" w:rsidRPr="00F9037E" w:rsidRDefault="00D34C6F" w:rsidP="00C05C97">
            <w:pPr>
              <w:spacing w:before="120" w:after="120"/>
              <w:jc w:val="center"/>
              <w:rPr>
                <w:color w:val="auto"/>
                <w:sz w:val="10"/>
                <w:szCs w:val="10"/>
              </w:rPr>
            </w:pPr>
            <w:r w:rsidRPr="00F9037E">
              <w:rPr>
                <w:color w:val="auto"/>
                <w:sz w:val="10"/>
                <w:szCs w:val="10"/>
              </w:rPr>
              <w:t>4.690 + 2.018</w:t>
            </w:r>
          </w:p>
        </w:tc>
        <w:tc>
          <w:tcPr>
            <w:tcW w:w="567" w:type="dxa"/>
            <w:shd w:val="clear" w:color="auto" w:fill="auto"/>
            <w:vAlign w:val="center"/>
          </w:tcPr>
          <w:p w14:paraId="4164BF77" w14:textId="77777777" w:rsidR="00D34C6F" w:rsidRPr="00F9037E" w:rsidRDefault="00D34C6F" w:rsidP="00C05C97">
            <w:pPr>
              <w:spacing w:before="120" w:after="120"/>
              <w:jc w:val="center"/>
              <w:rPr>
                <w:color w:val="auto"/>
                <w:sz w:val="10"/>
                <w:szCs w:val="10"/>
              </w:rPr>
            </w:pPr>
            <w:r w:rsidRPr="00F9037E">
              <w:rPr>
                <w:color w:val="auto"/>
                <w:sz w:val="10"/>
                <w:szCs w:val="10"/>
              </w:rPr>
              <w:t>6.036</w:t>
            </w:r>
          </w:p>
        </w:tc>
        <w:tc>
          <w:tcPr>
            <w:tcW w:w="567" w:type="dxa"/>
            <w:shd w:val="clear" w:color="auto" w:fill="auto"/>
            <w:noWrap/>
            <w:vAlign w:val="center"/>
          </w:tcPr>
          <w:p w14:paraId="5111FEE3" w14:textId="25DDE5E8" w:rsidR="00D34C6F" w:rsidRPr="00F9037E" w:rsidRDefault="00D34C6F" w:rsidP="00C05C97">
            <w:pPr>
              <w:spacing w:before="120" w:after="120"/>
              <w:jc w:val="center"/>
              <w:rPr>
                <w:color w:val="auto"/>
                <w:sz w:val="10"/>
                <w:szCs w:val="10"/>
              </w:rPr>
            </w:pPr>
            <w:r w:rsidRPr="00F9037E">
              <w:rPr>
                <w:color w:val="auto"/>
                <w:sz w:val="10"/>
                <w:szCs w:val="10"/>
              </w:rPr>
              <w:t>3.752</w:t>
            </w:r>
          </w:p>
        </w:tc>
        <w:tc>
          <w:tcPr>
            <w:tcW w:w="567" w:type="dxa"/>
            <w:vAlign w:val="center"/>
          </w:tcPr>
          <w:p w14:paraId="3A6C2F52" w14:textId="77777777" w:rsidR="00D34C6F" w:rsidRPr="00F9037E" w:rsidRDefault="00D34C6F" w:rsidP="00C05C97">
            <w:pPr>
              <w:spacing w:before="120" w:after="120"/>
              <w:jc w:val="center"/>
              <w:rPr>
                <w:b/>
                <w:color w:val="auto"/>
                <w:sz w:val="10"/>
                <w:szCs w:val="10"/>
              </w:rPr>
            </w:pPr>
          </w:p>
        </w:tc>
        <w:tc>
          <w:tcPr>
            <w:tcW w:w="567" w:type="dxa"/>
            <w:vAlign w:val="center"/>
          </w:tcPr>
          <w:p w14:paraId="636022FF" w14:textId="77777777" w:rsidR="00D34C6F" w:rsidRPr="00F9037E" w:rsidRDefault="00D34C6F" w:rsidP="00C05C97">
            <w:pPr>
              <w:spacing w:before="120" w:after="120"/>
              <w:jc w:val="center"/>
              <w:rPr>
                <w:b/>
                <w:color w:val="auto"/>
                <w:sz w:val="10"/>
                <w:szCs w:val="10"/>
              </w:rPr>
            </w:pPr>
          </w:p>
        </w:tc>
        <w:tc>
          <w:tcPr>
            <w:tcW w:w="567" w:type="dxa"/>
            <w:vAlign w:val="center"/>
          </w:tcPr>
          <w:p w14:paraId="7A2B720A" w14:textId="77777777" w:rsidR="00D34C6F" w:rsidRPr="00F9037E" w:rsidRDefault="00D34C6F" w:rsidP="00C05C97">
            <w:pPr>
              <w:spacing w:before="120" w:after="120"/>
              <w:jc w:val="center"/>
              <w:rPr>
                <w:b/>
                <w:color w:val="auto"/>
                <w:sz w:val="10"/>
                <w:szCs w:val="10"/>
              </w:rPr>
            </w:pPr>
          </w:p>
        </w:tc>
        <w:tc>
          <w:tcPr>
            <w:tcW w:w="567" w:type="dxa"/>
            <w:vAlign w:val="center"/>
          </w:tcPr>
          <w:p w14:paraId="6FC2EEED" w14:textId="77777777" w:rsidR="00D34C6F" w:rsidRPr="00F9037E" w:rsidRDefault="00D34C6F" w:rsidP="00C05C97">
            <w:pPr>
              <w:spacing w:before="120" w:after="120"/>
              <w:jc w:val="center"/>
              <w:rPr>
                <w:b/>
                <w:color w:val="auto"/>
                <w:sz w:val="10"/>
                <w:szCs w:val="10"/>
              </w:rPr>
            </w:pPr>
          </w:p>
        </w:tc>
      </w:tr>
      <w:tr w:rsidR="00D34C6F" w:rsidRPr="00F9037E" w14:paraId="6CF92636" w14:textId="77777777" w:rsidTr="00C05C97">
        <w:trPr>
          <w:trHeight w:val="465"/>
          <w:jc w:val="center"/>
        </w:trPr>
        <w:tc>
          <w:tcPr>
            <w:tcW w:w="662" w:type="dxa"/>
            <w:shd w:val="clear" w:color="auto" w:fill="auto"/>
            <w:vAlign w:val="center"/>
          </w:tcPr>
          <w:p w14:paraId="6BE22468" w14:textId="77777777" w:rsidR="00D34C6F" w:rsidRPr="00F9037E" w:rsidRDefault="00D34C6F" w:rsidP="00C05C97">
            <w:pPr>
              <w:spacing w:before="120" w:after="120"/>
              <w:rPr>
                <w:color w:val="auto"/>
                <w:sz w:val="12"/>
                <w:szCs w:val="12"/>
              </w:rPr>
            </w:pPr>
            <w:r w:rsidRPr="00F9037E">
              <w:rPr>
                <w:color w:val="auto"/>
                <w:sz w:val="12"/>
                <w:szCs w:val="12"/>
              </w:rPr>
              <w:t>USA</w:t>
            </w:r>
          </w:p>
        </w:tc>
        <w:tc>
          <w:tcPr>
            <w:tcW w:w="824" w:type="dxa"/>
            <w:shd w:val="clear" w:color="auto" w:fill="auto"/>
            <w:vAlign w:val="center"/>
          </w:tcPr>
          <w:p w14:paraId="5D9B9454" w14:textId="77777777" w:rsidR="00D34C6F" w:rsidRPr="00F9037E" w:rsidRDefault="00D34C6F" w:rsidP="00C05C97">
            <w:pPr>
              <w:spacing w:before="120" w:after="120"/>
              <w:rPr>
                <w:color w:val="auto"/>
                <w:sz w:val="12"/>
                <w:szCs w:val="12"/>
              </w:rPr>
            </w:pPr>
            <w:r w:rsidRPr="00F9037E">
              <w:rPr>
                <w:color w:val="auto"/>
                <w:sz w:val="12"/>
                <w:szCs w:val="12"/>
              </w:rPr>
              <w:t>Tomato – field</w:t>
            </w:r>
          </w:p>
        </w:tc>
        <w:tc>
          <w:tcPr>
            <w:tcW w:w="708" w:type="dxa"/>
            <w:shd w:val="clear" w:color="auto" w:fill="auto"/>
            <w:vAlign w:val="center"/>
          </w:tcPr>
          <w:p w14:paraId="34963FBF" w14:textId="77777777" w:rsidR="00D34C6F" w:rsidRPr="00F9037E" w:rsidRDefault="00D34C6F" w:rsidP="00C05C97">
            <w:pPr>
              <w:spacing w:before="120" w:after="120"/>
              <w:jc w:val="center"/>
              <w:rPr>
                <w:color w:val="auto"/>
                <w:sz w:val="10"/>
                <w:szCs w:val="10"/>
              </w:rPr>
            </w:pPr>
            <w:r w:rsidRPr="00F9037E">
              <w:rPr>
                <w:color w:val="auto"/>
                <w:sz w:val="10"/>
                <w:szCs w:val="10"/>
              </w:rPr>
              <w:t>2876.046</w:t>
            </w:r>
          </w:p>
        </w:tc>
        <w:tc>
          <w:tcPr>
            <w:tcW w:w="709" w:type="dxa"/>
            <w:shd w:val="clear" w:color="auto" w:fill="auto"/>
            <w:vAlign w:val="center"/>
          </w:tcPr>
          <w:p w14:paraId="03184514" w14:textId="77777777" w:rsidR="00D34C6F" w:rsidRPr="00F9037E" w:rsidRDefault="00D34C6F" w:rsidP="00C05C97">
            <w:pPr>
              <w:spacing w:before="120" w:after="120"/>
              <w:jc w:val="center"/>
              <w:rPr>
                <w:color w:val="auto"/>
                <w:sz w:val="10"/>
                <w:szCs w:val="10"/>
              </w:rPr>
            </w:pPr>
            <w:r w:rsidRPr="00F9037E">
              <w:rPr>
                <w:color w:val="auto"/>
                <w:sz w:val="10"/>
                <w:szCs w:val="10"/>
              </w:rPr>
              <w:t>2844.985</w:t>
            </w:r>
          </w:p>
        </w:tc>
        <w:tc>
          <w:tcPr>
            <w:tcW w:w="709" w:type="dxa"/>
            <w:shd w:val="clear" w:color="auto" w:fill="auto"/>
            <w:vAlign w:val="center"/>
          </w:tcPr>
          <w:p w14:paraId="551EB6B4" w14:textId="77777777" w:rsidR="00D34C6F" w:rsidRPr="00F9037E" w:rsidRDefault="00D34C6F" w:rsidP="00C05C97">
            <w:pPr>
              <w:spacing w:before="120" w:after="120"/>
              <w:jc w:val="center"/>
              <w:rPr>
                <w:color w:val="auto"/>
                <w:sz w:val="10"/>
                <w:szCs w:val="10"/>
              </w:rPr>
            </w:pPr>
            <w:r w:rsidRPr="00F9037E">
              <w:rPr>
                <w:color w:val="auto"/>
                <w:sz w:val="10"/>
                <w:szCs w:val="10"/>
              </w:rPr>
              <w:t>2334.047</w:t>
            </w:r>
          </w:p>
        </w:tc>
        <w:tc>
          <w:tcPr>
            <w:tcW w:w="567" w:type="dxa"/>
            <w:shd w:val="clear" w:color="auto" w:fill="auto"/>
            <w:vAlign w:val="center"/>
          </w:tcPr>
          <w:p w14:paraId="1653F834" w14:textId="77777777" w:rsidR="00D34C6F" w:rsidRPr="00F9037E" w:rsidRDefault="00D34C6F" w:rsidP="00C05C97">
            <w:pPr>
              <w:spacing w:before="120" w:after="120"/>
              <w:jc w:val="center"/>
              <w:rPr>
                <w:color w:val="auto"/>
                <w:sz w:val="10"/>
                <w:szCs w:val="10"/>
              </w:rPr>
            </w:pPr>
            <w:r w:rsidRPr="00F9037E">
              <w:rPr>
                <w:color w:val="auto"/>
                <w:sz w:val="10"/>
                <w:szCs w:val="10"/>
              </w:rPr>
              <w:t>1840.1</w:t>
            </w:r>
          </w:p>
        </w:tc>
        <w:tc>
          <w:tcPr>
            <w:tcW w:w="709" w:type="dxa"/>
            <w:shd w:val="clear" w:color="auto" w:fill="auto"/>
            <w:vAlign w:val="center"/>
          </w:tcPr>
          <w:p w14:paraId="2E65A115" w14:textId="77777777" w:rsidR="00D34C6F" w:rsidRPr="00F9037E" w:rsidRDefault="00D34C6F" w:rsidP="00C05C97">
            <w:pPr>
              <w:spacing w:before="120" w:after="120"/>
              <w:jc w:val="center"/>
              <w:rPr>
                <w:color w:val="auto"/>
                <w:sz w:val="10"/>
                <w:szCs w:val="10"/>
              </w:rPr>
            </w:pPr>
            <w:r w:rsidRPr="00F9037E">
              <w:rPr>
                <w:color w:val="auto"/>
                <w:sz w:val="10"/>
                <w:szCs w:val="10"/>
              </w:rPr>
              <w:t>1406.484</w:t>
            </w:r>
          </w:p>
        </w:tc>
        <w:tc>
          <w:tcPr>
            <w:tcW w:w="567" w:type="dxa"/>
            <w:shd w:val="clear" w:color="auto" w:fill="auto"/>
            <w:vAlign w:val="center"/>
          </w:tcPr>
          <w:p w14:paraId="0BE17355" w14:textId="77777777" w:rsidR="00D34C6F" w:rsidRPr="00F9037E" w:rsidRDefault="00D34C6F" w:rsidP="00C05C97">
            <w:pPr>
              <w:spacing w:before="120" w:after="120"/>
              <w:jc w:val="center"/>
              <w:rPr>
                <w:color w:val="auto"/>
                <w:sz w:val="10"/>
                <w:szCs w:val="10"/>
              </w:rPr>
            </w:pPr>
            <w:r w:rsidRPr="00F9037E">
              <w:rPr>
                <w:color w:val="auto"/>
                <w:sz w:val="10"/>
                <w:szCs w:val="10"/>
              </w:rPr>
              <w:t>994.582</w:t>
            </w:r>
          </w:p>
        </w:tc>
        <w:tc>
          <w:tcPr>
            <w:tcW w:w="708" w:type="dxa"/>
            <w:shd w:val="clear" w:color="auto" w:fill="auto"/>
            <w:vAlign w:val="center"/>
          </w:tcPr>
          <w:p w14:paraId="6312290B" w14:textId="77777777" w:rsidR="00D34C6F" w:rsidRPr="00F9037E" w:rsidRDefault="00D34C6F" w:rsidP="00C05C97">
            <w:pPr>
              <w:spacing w:before="120" w:after="120"/>
              <w:jc w:val="center"/>
              <w:rPr>
                <w:color w:val="auto"/>
                <w:sz w:val="10"/>
                <w:szCs w:val="10"/>
              </w:rPr>
            </w:pPr>
            <w:r w:rsidRPr="00F9037E">
              <w:rPr>
                <w:color w:val="auto"/>
                <w:sz w:val="10"/>
                <w:szCs w:val="10"/>
              </w:rPr>
              <w:t>336.191</w:t>
            </w:r>
          </w:p>
        </w:tc>
        <w:tc>
          <w:tcPr>
            <w:tcW w:w="567" w:type="dxa"/>
            <w:shd w:val="clear" w:color="auto" w:fill="auto"/>
            <w:vAlign w:val="center"/>
          </w:tcPr>
          <w:p w14:paraId="4ABD686E" w14:textId="4CC9C155" w:rsidR="00D34C6F" w:rsidRPr="00F9037E" w:rsidRDefault="00D34C6F" w:rsidP="00C05C97">
            <w:pPr>
              <w:spacing w:before="120" w:after="120"/>
              <w:jc w:val="center"/>
              <w:rPr>
                <w:color w:val="auto"/>
                <w:sz w:val="10"/>
                <w:szCs w:val="10"/>
              </w:rPr>
            </w:pPr>
            <w:r w:rsidRPr="00F9037E">
              <w:rPr>
                <w:color w:val="auto"/>
                <w:sz w:val="10"/>
                <w:szCs w:val="10"/>
              </w:rPr>
              <w:t>54.423</w:t>
            </w:r>
          </w:p>
        </w:tc>
        <w:tc>
          <w:tcPr>
            <w:tcW w:w="567" w:type="dxa"/>
            <w:shd w:val="clear" w:color="auto" w:fill="auto"/>
            <w:vAlign w:val="center"/>
          </w:tcPr>
          <w:p w14:paraId="5F5C3134" w14:textId="77777777" w:rsidR="00D34C6F" w:rsidRPr="00F9037E" w:rsidRDefault="00D34C6F" w:rsidP="00C05C97">
            <w:pPr>
              <w:spacing w:before="120" w:after="120"/>
              <w:jc w:val="center"/>
              <w:rPr>
                <w:color w:val="auto"/>
                <w:sz w:val="10"/>
                <w:szCs w:val="10"/>
              </w:rPr>
            </w:pPr>
            <w:r w:rsidRPr="00F9037E">
              <w:rPr>
                <w:color w:val="auto"/>
                <w:sz w:val="10"/>
                <w:szCs w:val="10"/>
              </w:rPr>
              <w:t>10.741</w:t>
            </w:r>
          </w:p>
        </w:tc>
        <w:tc>
          <w:tcPr>
            <w:tcW w:w="629" w:type="dxa"/>
            <w:vAlign w:val="center"/>
          </w:tcPr>
          <w:p w14:paraId="6ED891A6" w14:textId="77777777" w:rsidR="00D34C6F" w:rsidRPr="00F9037E" w:rsidRDefault="00D34C6F" w:rsidP="00C05C97">
            <w:pPr>
              <w:spacing w:before="120" w:after="120"/>
              <w:jc w:val="center"/>
              <w:rPr>
                <w:color w:val="auto"/>
                <w:sz w:val="10"/>
                <w:szCs w:val="10"/>
              </w:rPr>
            </w:pPr>
          </w:p>
        </w:tc>
        <w:tc>
          <w:tcPr>
            <w:tcW w:w="567" w:type="dxa"/>
            <w:vAlign w:val="center"/>
          </w:tcPr>
          <w:p w14:paraId="05586D84" w14:textId="77777777" w:rsidR="00D34C6F" w:rsidRPr="00F9037E" w:rsidRDefault="00D34C6F" w:rsidP="00C05C97">
            <w:pPr>
              <w:spacing w:before="120" w:after="120"/>
              <w:jc w:val="center"/>
              <w:rPr>
                <w:color w:val="auto"/>
                <w:sz w:val="10"/>
                <w:szCs w:val="10"/>
              </w:rPr>
            </w:pPr>
          </w:p>
        </w:tc>
        <w:tc>
          <w:tcPr>
            <w:tcW w:w="567" w:type="dxa"/>
            <w:vAlign w:val="center"/>
          </w:tcPr>
          <w:p w14:paraId="2C6E1D1F"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176002A2" w14:textId="77777777" w:rsidR="00D34C6F" w:rsidRPr="00F9037E" w:rsidRDefault="00D34C6F" w:rsidP="00C05C97">
            <w:pPr>
              <w:spacing w:before="120" w:after="120"/>
              <w:jc w:val="center"/>
              <w:rPr>
                <w:color w:val="auto"/>
                <w:sz w:val="10"/>
                <w:szCs w:val="10"/>
              </w:rPr>
            </w:pPr>
            <w:r w:rsidRPr="00F9037E">
              <w:rPr>
                <w:color w:val="auto"/>
                <w:sz w:val="10"/>
                <w:szCs w:val="10"/>
              </w:rPr>
              <w:t>737.584</w:t>
            </w:r>
          </w:p>
        </w:tc>
        <w:tc>
          <w:tcPr>
            <w:tcW w:w="709" w:type="dxa"/>
            <w:shd w:val="clear" w:color="auto" w:fill="auto"/>
            <w:vAlign w:val="center"/>
          </w:tcPr>
          <w:p w14:paraId="5951C88F" w14:textId="77777777" w:rsidR="00D34C6F" w:rsidRPr="00F9037E" w:rsidRDefault="00D34C6F" w:rsidP="00C05C97">
            <w:pPr>
              <w:spacing w:before="120" w:after="120"/>
              <w:jc w:val="center"/>
              <w:rPr>
                <w:color w:val="auto"/>
                <w:sz w:val="10"/>
                <w:szCs w:val="10"/>
              </w:rPr>
            </w:pPr>
            <w:r w:rsidRPr="00F9037E">
              <w:rPr>
                <w:color w:val="auto"/>
                <w:sz w:val="10"/>
                <w:szCs w:val="10"/>
              </w:rPr>
              <w:t>2476.365</w:t>
            </w:r>
          </w:p>
        </w:tc>
        <w:tc>
          <w:tcPr>
            <w:tcW w:w="708" w:type="dxa"/>
            <w:shd w:val="clear" w:color="auto" w:fill="auto"/>
            <w:vAlign w:val="center"/>
          </w:tcPr>
          <w:p w14:paraId="3187E945" w14:textId="730AC1BA" w:rsidR="00D34C6F" w:rsidRPr="00F9037E" w:rsidRDefault="00D34C6F" w:rsidP="00C05C97">
            <w:pPr>
              <w:spacing w:before="120" w:after="120"/>
              <w:jc w:val="center"/>
              <w:rPr>
                <w:color w:val="auto"/>
                <w:sz w:val="10"/>
                <w:szCs w:val="10"/>
              </w:rPr>
            </w:pPr>
            <w:r w:rsidRPr="00F9037E">
              <w:rPr>
                <w:color w:val="auto"/>
                <w:sz w:val="10"/>
                <w:szCs w:val="10"/>
              </w:rPr>
              <w:t>2065.246</w:t>
            </w:r>
          </w:p>
        </w:tc>
        <w:tc>
          <w:tcPr>
            <w:tcW w:w="709" w:type="dxa"/>
            <w:shd w:val="clear" w:color="auto" w:fill="auto"/>
            <w:vAlign w:val="center"/>
          </w:tcPr>
          <w:p w14:paraId="460CD54E" w14:textId="77777777" w:rsidR="00D34C6F" w:rsidRPr="00F9037E" w:rsidRDefault="00D34C6F" w:rsidP="00C05C97">
            <w:pPr>
              <w:spacing w:before="120" w:after="120"/>
              <w:jc w:val="center"/>
              <w:rPr>
                <w:color w:val="auto"/>
                <w:sz w:val="10"/>
                <w:szCs w:val="10"/>
              </w:rPr>
            </w:pPr>
            <w:r w:rsidRPr="00F9037E">
              <w:rPr>
                <w:color w:val="auto"/>
                <w:sz w:val="10"/>
                <w:szCs w:val="10"/>
              </w:rPr>
              <w:t>1406.484</w:t>
            </w:r>
          </w:p>
        </w:tc>
        <w:tc>
          <w:tcPr>
            <w:tcW w:w="567" w:type="dxa"/>
            <w:shd w:val="clear" w:color="auto" w:fill="auto"/>
            <w:vAlign w:val="center"/>
          </w:tcPr>
          <w:p w14:paraId="755FF7FC" w14:textId="77777777" w:rsidR="00D34C6F" w:rsidRPr="00F9037E" w:rsidRDefault="00D34C6F" w:rsidP="00C05C97">
            <w:pPr>
              <w:spacing w:before="120" w:after="120"/>
              <w:jc w:val="center"/>
              <w:rPr>
                <w:color w:val="auto"/>
                <w:sz w:val="10"/>
                <w:szCs w:val="10"/>
              </w:rPr>
            </w:pPr>
            <w:r w:rsidRPr="00F9037E">
              <w:rPr>
                <w:color w:val="auto"/>
                <w:sz w:val="10"/>
                <w:szCs w:val="10"/>
              </w:rPr>
              <w:t>1003.876</w:t>
            </w:r>
          </w:p>
        </w:tc>
        <w:tc>
          <w:tcPr>
            <w:tcW w:w="647" w:type="dxa"/>
            <w:shd w:val="clear" w:color="auto" w:fill="auto"/>
            <w:vAlign w:val="center"/>
          </w:tcPr>
          <w:p w14:paraId="7DB978E7" w14:textId="77777777" w:rsidR="00D34C6F" w:rsidRPr="00F9037E" w:rsidRDefault="00D34C6F" w:rsidP="00C05C97">
            <w:pPr>
              <w:spacing w:before="120" w:after="120"/>
              <w:jc w:val="center"/>
              <w:rPr>
                <w:color w:val="auto"/>
                <w:sz w:val="10"/>
                <w:szCs w:val="10"/>
              </w:rPr>
            </w:pPr>
            <w:r w:rsidRPr="00F9037E">
              <w:rPr>
                <w:color w:val="auto"/>
                <w:sz w:val="10"/>
                <w:szCs w:val="10"/>
              </w:rPr>
              <w:t>737.584</w:t>
            </w:r>
          </w:p>
        </w:tc>
        <w:tc>
          <w:tcPr>
            <w:tcW w:w="567" w:type="dxa"/>
            <w:shd w:val="clear" w:color="auto" w:fill="auto"/>
            <w:vAlign w:val="center"/>
          </w:tcPr>
          <w:p w14:paraId="4F602795" w14:textId="77777777" w:rsidR="00D34C6F" w:rsidRPr="00F9037E" w:rsidRDefault="00D34C6F" w:rsidP="00C05C97">
            <w:pPr>
              <w:spacing w:before="120" w:after="120"/>
              <w:jc w:val="center"/>
              <w:rPr>
                <w:color w:val="auto"/>
                <w:sz w:val="10"/>
                <w:szCs w:val="10"/>
              </w:rPr>
            </w:pPr>
            <w:r w:rsidRPr="00F9037E">
              <w:rPr>
                <w:color w:val="auto"/>
                <w:sz w:val="10"/>
                <w:szCs w:val="10"/>
              </w:rPr>
              <w:t>292.751</w:t>
            </w:r>
          </w:p>
        </w:tc>
        <w:tc>
          <w:tcPr>
            <w:tcW w:w="567" w:type="dxa"/>
            <w:shd w:val="clear" w:color="auto" w:fill="auto"/>
            <w:noWrap/>
            <w:vAlign w:val="center"/>
          </w:tcPr>
          <w:p w14:paraId="36DB6E19" w14:textId="7EB6F354" w:rsidR="00D34C6F" w:rsidRPr="00F9037E" w:rsidRDefault="00D34C6F" w:rsidP="00C05C97">
            <w:pPr>
              <w:spacing w:before="120" w:after="120"/>
              <w:jc w:val="center"/>
              <w:rPr>
                <w:color w:val="auto"/>
                <w:sz w:val="10"/>
                <w:szCs w:val="10"/>
              </w:rPr>
            </w:pPr>
            <w:r w:rsidRPr="00F9037E">
              <w:rPr>
                <w:color w:val="auto"/>
                <w:sz w:val="10"/>
                <w:szCs w:val="10"/>
              </w:rPr>
              <w:t>54.423</w:t>
            </w:r>
          </w:p>
        </w:tc>
        <w:tc>
          <w:tcPr>
            <w:tcW w:w="567" w:type="dxa"/>
            <w:vAlign w:val="center"/>
          </w:tcPr>
          <w:p w14:paraId="1B1B8F4C" w14:textId="77777777" w:rsidR="00D34C6F" w:rsidRPr="00F9037E" w:rsidRDefault="00D34C6F" w:rsidP="00C05C97">
            <w:pPr>
              <w:spacing w:before="120" w:after="120"/>
              <w:jc w:val="center"/>
              <w:rPr>
                <w:b/>
                <w:color w:val="auto"/>
                <w:sz w:val="10"/>
                <w:szCs w:val="10"/>
              </w:rPr>
            </w:pPr>
          </w:p>
        </w:tc>
        <w:tc>
          <w:tcPr>
            <w:tcW w:w="567" w:type="dxa"/>
            <w:vAlign w:val="center"/>
          </w:tcPr>
          <w:p w14:paraId="0B5524C3" w14:textId="77777777" w:rsidR="00D34C6F" w:rsidRPr="00F9037E" w:rsidRDefault="00D34C6F" w:rsidP="00C05C97">
            <w:pPr>
              <w:spacing w:before="120" w:after="120"/>
              <w:jc w:val="center"/>
              <w:rPr>
                <w:b/>
                <w:color w:val="auto"/>
                <w:sz w:val="10"/>
                <w:szCs w:val="10"/>
              </w:rPr>
            </w:pPr>
          </w:p>
        </w:tc>
        <w:tc>
          <w:tcPr>
            <w:tcW w:w="567" w:type="dxa"/>
            <w:vAlign w:val="center"/>
          </w:tcPr>
          <w:p w14:paraId="5C70119F" w14:textId="77777777" w:rsidR="00D34C6F" w:rsidRPr="00F9037E" w:rsidRDefault="00D34C6F" w:rsidP="00C05C97">
            <w:pPr>
              <w:spacing w:before="120" w:after="120"/>
              <w:jc w:val="center"/>
              <w:rPr>
                <w:b/>
                <w:color w:val="auto"/>
                <w:sz w:val="10"/>
                <w:szCs w:val="10"/>
              </w:rPr>
            </w:pPr>
          </w:p>
        </w:tc>
        <w:tc>
          <w:tcPr>
            <w:tcW w:w="567" w:type="dxa"/>
            <w:vAlign w:val="center"/>
          </w:tcPr>
          <w:p w14:paraId="5260F739" w14:textId="77777777" w:rsidR="00D34C6F" w:rsidRPr="00F9037E" w:rsidRDefault="00D34C6F" w:rsidP="00C05C97">
            <w:pPr>
              <w:spacing w:before="120" w:after="120"/>
              <w:jc w:val="center"/>
              <w:rPr>
                <w:b/>
                <w:color w:val="auto"/>
                <w:sz w:val="10"/>
                <w:szCs w:val="10"/>
              </w:rPr>
            </w:pPr>
          </w:p>
        </w:tc>
      </w:tr>
      <w:tr w:rsidR="00D34C6F" w:rsidRPr="00F9037E" w14:paraId="2EDD2133" w14:textId="77777777" w:rsidTr="00C05C97">
        <w:trPr>
          <w:trHeight w:val="270"/>
          <w:jc w:val="center"/>
        </w:trPr>
        <w:tc>
          <w:tcPr>
            <w:tcW w:w="662" w:type="dxa"/>
            <w:shd w:val="clear" w:color="auto" w:fill="auto"/>
            <w:vAlign w:val="center"/>
          </w:tcPr>
          <w:p w14:paraId="2D3BE406" w14:textId="77777777" w:rsidR="00D34C6F" w:rsidRPr="00F9037E" w:rsidRDefault="00D34C6F" w:rsidP="00C05C97">
            <w:pPr>
              <w:spacing w:before="120" w:after="120"/>
              <w:rPr>
                <w:color w:val="auto"/>
                <w:sz w:val="12"/>
                <w:szCs w:val="12"/>
              </w:rPr>
            </w:pPr>
            <w:r w:rsidRPr="00F9037E">
              <w:rPr>
                <w:color w:val="auto"/>
                <w:sz w:val="12"/>
                <w:szCs w:val="12"/>
              </w:rPr>
              <w:t>USA</w:t>
            </w:r>
          </w:p>
        </w:tc>
        <w:tc>
          <w:tcPr>
            <w:tcW w:w="824" w:type="dxa"/>
            <w:shd w:val="clear" w:color="auto" w:fill="auto"/>
            <w:vAlign w:val="center"/>
          </w:tcPr>
          <w:p w14:paraId="6DA77E23" w14:textId="77777777" w:rsidR="00D34C6F" w:rsidRPr="00F9037E" w:rsidRDefault="00D34C6F" w:rsidP="00C05C97">
            <w:pPr>
              <w:spacing w:before="120" w:after="120"/>
              <w:rPr>
                <w:color w:val="auto"/>
                <w:sz w:val="12"/>
                <w:szCs w:val="12"/>
              </w:rPr>
            </w:pPr>
            <w:proofErr w:type="spellStart"/>
            <w:r w:rsidRPr="00F9037E">
              <w:rPr>
                <w:color w:val="auto"/>
                <w:sz w:val="12"/>
                <w:szCs w:val="12"/>
              </w:rPr>
              <w:t>Turfgrass</w:t>
            </w:r>
            <w:proofErr w:type="spellEnd"/>
          </w:p>
        </w:tc>
        <w:tc>
          <w:tcPr>
            <w:tcW w:w="708" w:type="dxa"/>
            <w:shd w:val="clear" w:color="auto" w:fill="auto"/>
            <w:vAlign w:val="center"/>
          </w:tcPr>
          <w:p w14:paraId="4D9EFB40" w14:textId="77777777" w:rsidR="00D34C6F" w:rsidRPr="00F9037E" w:rsidRDefault="00D34C6F" w:rsidP="00C05C97">
            <w:pPr>
              <w:spacing w:before="120" w:after="120"/>
              <w:jc w:val="center"/>
              <w:rPr>
                <w:color w:val="auto"/>
                <w:sz w:val="10"/>
                <w:szCs w:val="10"/>
              </w:rPr>
            </w:pPr>
            <w:r w:rsidRPr="00F9037E">
              <w:rPr>
                <w:color w:val="auto"/>
                <w:sz w:val="10"/>
                <w:szCs w:val="10"/>
              </w:rPr>
              <w:t>352.194</w:t>
            </w:r>
          </w:p>
        </w:tc>
        <w:tc>
          <w:tcPr>
            <w:tcW w:w="709" w:type="dxa"/>
            <w:shd w:val="clear" w:color="auto" w:fill="auto"/>
            <w:vAlign w:val="center"/>
          </w:tcPr>
          <w:p w14:paraId="6719ADE0" w14:textId="77777777" w:rsidR="00D34C6F" w:rsidRPr="00F9037E" w:rsidRDefault="00D34C6F" w:rsidP="00C05C97">
            <w:pPr>
              <w:spacing w:before="120" w:after="120"/>
              <w:jc w:val="center"/>
              <w:rPr>
                <w:color w:val="auto"/>
                <w:sz w:val="10"/>
                <w:szCs w:val="10"/>
              </w:rPr>
            </w:pPr>
            <w:r w:rsidRPr="00F9037E">
              <w:rPr>
                <w:color w:val="auto"/>
                <w:sz w:val="10"/>
                <w:szCs w:val="10"/>
              </w:rPr>
              <w:t>131.600</w:t>
            </w:r>
          </w:p>
        </w:tc>
        <w:tc>
          <w:tcPr>
            <w:tcW w:w="709" w:type="dxa"/>
            <w:shd w:val="clear" w:color="auto" w:fill="auto"/>
            <w:vAlign w:val="center"/>
          </w:tcPr>
          <w:p w14:paraId="5F304C3B" w14:textId="77777777" w:rsidR="00D34C6F" w:rsidRPr="00F9037E" w:rsidRDefault="00D34C6F" w:rsidP="00C05C97">
            <w:pPr>
              <w:spacing w:before="120" w:after="120"/>
              <w:jc w:val="center"/>
              <w:rPr>
                <w:color w:val="auto"/>
                <w:sz w:val="10"/>
                <w:szCs w:val="10"/>
              </w:rPr>
            </w:pPr>
            <w:r w:rsidRPr="00F9037E">
              <w:rPr>
                <w:color w:val="auto"/>
                <w:sz w:val="10"/>
                <w:szCs w:val="10"/>
              </w:rPr>
              <w:t>78.040</w:t>
            </w:r>
          </w:p>
        </w:tc>
        <w:tc>
          <w:tcPr>
            <w:tcW w:w="567" w:type="dxa"/>
            <w:shd w:val="clear" w:color="auto" w:fill="auto"/>
            <w:vAlign w:val="center"/>
          </w:tcPr>
          <w:p w14:paraId="5AE955D0" w14:textId="77777777" w:rsidR="00D34C6F" w:rsidRPr="00F9037E" w:rsidRDefault="00D34C6F" w:rsidP="00C05C97">
            <w:pPr>
              <w:spacing w:before="120" w:after="120"/>
              <w:jc w:val="center"/>
              <w:rPr>
                <w:color w:val="auto"/>
                <w:sz w:val="10"/>
                <w:szCs w:val="10"/>
              </w:rPr>
            </w:pPr>
            <w:r w:rsidRPr="00F9037E">
              <w:rPr>
                <w:color w:val="auto"/>
                <w:sz w:val="10"/>
                <w:szCs w:val="10"/>
              </w:rPr>
              <w:t>52.189</w:t>
            </w:r>
          </w:p>
        </w:tc>
        <w:tc>
          <w:tcPr>
            <w:tcW w:w="709" w:type="dxa"/>
            <w:shd w:val="clear" w:color="auto" w:fill="auto"/>
            <w:vAlign w:val="center"/>
          </w:tcPr>
          <w:p w14:paraId="448DF95C" w14:textId="77777777" w:rsidR="00D34C6F" w:rsidRPr="00F9037E" w:rsidRDefault="00D34C6F" w:rsidP="00C05C97">
            <w:pPr>
              <w:spacing w:before="120" w:after="120"/>
              <w:jc w:val="center"/>
              <w:rPr>
                <w:color w:val="auto"/>
                <w:sz w:val="10"/>
                <w:szCs w:val="10"/>
              </w:rPr>
            </w:pPr>
            <w:r w:rsidRPr="00F9037E">
              <w:rPr>
                <w:color w:val="auto"/>
                <w:sz w:val="10"/>
                <w:szCs w:val="10"/>
              </w:rPr>
              <w:t>0</w:t>
            </w:r>
          </w:p>
        </w:tc>
        <w:tc>
          <w:tcPr>
            <w:tcW w:w="567" w:type="dxa"/>
            <w:shd w:val="clear" w:color="auto" w:fill="auto"/>
            <w:vAlign w:val="center"/>
          </w:tcPr>
          <w:p w14:paraId="15A40E60" w14:textId="4BA1D9F9"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51C82515" w14:textId="1B33F40F"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64376EA" w14:textId="3326ABAE"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535B224" w14:textId="6D950FF2" w:rsidR="00D34C6F" w:rsidRPr="00F9037E" w:rsidRDefault="00D34C6F" w:rsidP="00C05C97">
            <w:pPr>
              <w:spacing w:before="120" w:after="120"/>
              <w:jc w:val="center"/>
              <w:rPr>
                <w:color w:val="auto"/>
                <w:sz w:val="10"/>
                <w:szCs w:val="10"/>
              </w:rPr>
            </w:pPr>
          </w:p>
        </w:tc>
        <w:tc>
          <w:tcPr>
            <w:tcW w:w="629" w:type="dxa"/>
            <w:vAlign w:val="center"/>
          </w:tcPr>
          <w:p w14:paraId="580005B0" w14:textId="77777777" w:rsidR="00D34C6F" w:rsidRPr="00F9037E" w:rsidRDefault="00D34C6F" w:rsidP="00C05C97">
            <w:pPr>
              <w:spacing w:before="120" w:after="120"/>
              <w:jc w:val="center"/>
              <w:rPr>
                <w:color w:val="auto"/>
                <w:sz w:val="10"/>
                <w:szCs w:val="10"/>
              </w:rPr>
            </w:pPr>
          </w:p>
        </w:tc>
        <w:tc>
          <w:tcPr>
            <w:tcW w:w="567" w:type="dxa"/>
            <w:vAlign w:val="center"/>
          </w:tcPr>
          <w:p w14:paraId="13E71F63" w14:textId="77777777" w:rsidR="00D34C6F" w:rsidRPr="00F9037E" w:rsidRDefault="00D34C6F" w:rsidP="00C05C97">
            <w:pPr>
              <w:spacing w:before="120" w:after="120"/>
              <w:jc w:val="center"/>
              <w:rPr>
                <w:color w:val="auto"/>
                <w:sz w:val="10"/>
                <w:szCs w:val="10"/>
              </w:rPr>
            </w:pPr>
          </w:p>
        </w:tc>
        <w:tc>
          <w:tcPr>
            <w:tcW w:w="567" w:type="dxa"/>
            <w:vAlign w:val="center"/>
          </w:tcPr>
          <w:p w14:paraId="24ABC267"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6C4DAE0D" w14:textId="0A9199AC"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7B1B113F" w14:textId="77777777" w:rsidR="00D34C6F" w:rsidRPr="00F9037E" w:rsidRDefault="00D34C6F" w:rsidP="00C05C97">
            <w:pPr>
              <w:spacing w:before="120" w:after="120"/>
              <w:jc w:val="center"/>
              <w:rPr>
                <w:color w:val="auto"/>
                <w:sz w:val="10"/>
                <w:szCs w:val="10"/>
              </w:rPr>
            </w:pPr>
            <w:r w:rsidRPr="00F9037E">
              <w:rPr>
                <w:color w:val="auto"/>
                <w:sz w:val="10"/>
                <w:szCs w:val="10"/>
              </w:rPr>
              <w:t>131.600</w:t>
            </w:r>
          </w:p>
        </w:tc>
        <w:tc>
          <w:tcPr>
            <w:tcW w:w="708" w:type="dxa"/>
            <w:shd w:val="clear" w:color="auto" w:fill="auto"/>
            <w:vAlign w:val="center"/>
          </w:tcPr>
          <w:p w14:paraId="587186B6" w14:textId="0EC11E66" w:rsidR="00D34C6F" w:rsidRPr="00F9037E" w:rsidRDefault="00D34C6F" w:rsidP="00C05C97">
            <w:pPr>
              <w:spacing w:before="120" w:after="120"/>
              <w:jc w:val="center"/>
              <w:rPr>
                <w:color w:val="auto"/>
                <w:sz w:val="10"/>
                <w:szCs w:val="10"/>
              </w:rPr>
            </w:pPr>
            <w:r w:rsidRPr="00F9037E">
              <w:rPr>
                <w:color w:val="auto"/>
                <w:sz w:val="10"/>
                <w:szCs w:val="10"/>
              </w:rPr>
              <w:t>78.04</w:t>
            </w:r>
          </w:p>
        </w:tc>
        <w:tc>
          <w:tcPr>
            <w:tcW w:w="709" w:type="dxa"/>
            <w:shd w:val="clear" w:color="auto" w:fill="auto"/>
            <w:vAlign w:val="center"/>
          </w:tcPr>
          <w:p w14:paraId="1649D274" w14:textId="77777777" w:rsidR="00D34C6F" w:rsidRPr="00F9037E" w:rsidRDefault="00D34C6F" w:rsidP="00C05C97">
            <w:pPr>
              <w:spacing w:before="120" w:after="120"/>
              <w:jc w:val="center"/>
              <w:rPr>
                <w:color w:val="auto"/>
                <w:sz w:val="10"/>
                <w:szCs w:val="10"/>
              </w:rPr>
            </w:pPr>
            <w:r w:rsidRPr="00F9037E">
              <w:rPr>
                <w:color w:val="auto"/>
                <w:sz w:val="10"/>
                <w:szCs w:val="10"/>
              </w:rPr>
              <w:t>0</w:t>
            </w:r>
          </w:p>
        </w:tc>
        <w:tc>
          <w:tcPr>
            <w:tcW w:w="567" w:type="dxa"/>
            <w:shd w:val="clear" w:color="auto" w:fill="auto"/>
            <w:vAlign w:val="center"/>
          </w:tcPr>
          <w:p w14:paraId="291B79EB" w14:textId="21B7EA66"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1E20F4AE" w14:textId="27A81F80"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7157758C" w14:textId="77CD402C"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434580DB" w14:textId="1823CD8D" w:rsidR="00D34C6F" w:rsidRPr="00F9037E" w:rsidRDefault="00D34C6F" w:rsidP="00C05C97">
            <w:pPr>
              <w:spacing w:before="120" w:after="120"/>
              <w:jc w:val="center"/>
              <w:rPr>
                <w:b/>
                <w:color w:val="auto"/>
                <w:sz w:val="10"/>
                <w:szCs w:val="10"/>
              </w:rPr>
            </w:pPr>
          </w:p>
        </w:tc>
        <w:tc>
          <w:tcPr>
            <w:tcW w:w="567" w:type="dxa"/>
            <w:vAlign w:val="center"/>
          </w:tcPr>
          <w:p w14:paraId="5C6D3B48" w14:textId="77777777" w:rsidR="00D34C6F" w:rsidRPr="00F9037E" w:rsidRDefault="00D34C6F" w:rsidP="00C05C97">
            <w:pPr>
              <w:spacing w:before="120" w:after="120"/>
              <w:jc w:val="center"/>
              <w:rPr>
                <w:b/>
                <w:color w:val="auto"/>
                <w:sz w:val="10"/>
                <w:szCs w:val="10"/>
              </w:rPr>
            </w:pPr>
          </w:p>
        </w:tc>
        <w:tc>
          <w:tcPr>
            <w:tcW w:w="567" w:type="dxa"/>
            <w:vAlign w:val="center"/>
          </w:tcPr>
          <w:p w14:paraId="65881E4F" w14:textId="77777777" w:rsidR="00D34C6F" w:rsidRPr="00F9037E" w:rsidRDefault="00D34C6F" w:rsidP="00C05C97">
            <w:pPr>
              <w:spacing w:before="120" w:after="120"/>
              <w:jc w:val="center"/>
              <w:rPr>
                <w:b/>
                <w:color w:val="auto"/>
                <w:sz w:val="10"/>
                <w:szCs w:val="10"/>
              </w:rPr>
            </w:pPr>
          </w:p>
        </w:tc>
        <w:tc>
          <w:tcPr>
            <w:tcW w:w="567" w:type="dxa"/>
            <w:vAlign w:val="center"/>
          </w:tcPr>
          <w:p w14:paraId="31FF9EC8" w14:textId="77777777" w:rsidR="00D34C6F" w:rsidRPr="00F9037E" w:rsidRDefault="00D34C6F" w:rsidP="00C05C97">
            <w:pPr>
              <w:spacing w:before="120" w:after="120"/>
              <w:jc w:val="center"/>
              <w:rPr>
                <w:b/>
                <w:color w:val="auto"/>
                <w:sz w:val="10"/>
                <w:szCs w:val="10"/>
              </w:rPr>
            </w:pPr>
          </w:p>
        </w:tc>
        <w:tc>
          <w:tcPr>
            <w:tcW w:w="567" w:type="dxa"/>
            <w:vAlign w:val="center"/>
          </w:tcPr>
          <w:p w14:paraId="367B2F94" w14:textId="77777777" w:rsidR="00D34C6F" w:rsidRPr="00F9037E" w:rsidRDefault="00D34C6F" w:rsidP="00C05C97">
            <w:pPr>
              <w:spacing w:before="120" w:after="120"/>
              <w:jc w:val="center"/>
              <w:rPr>
                <w:b/>
                <w:color w:val="auto"/>
                <w:sz w:val="10"/>
                <w:szCs w:val="10"/>
              </w:rPr>
            </w:pPr>
          </w:p>
        </w:tc>
      </w:tr>
      <w:tr w:rsidR="00D34C6F" w:rsidRPr="00F9037E" w14:paraId="26E76765" w14:textId="77777777" w:rsidTr="00C05C97">
        <w:trPr>
          <w:trHeight w:val="465"/>
          <w:jc w:val="center"/>
        </w:trPr>
        <w:tc>
          <w:tcPr>
            <w:tcW w:w="662" w:type="dxa"/>
            <w:shd w:val="clear" w:color="auto" w:fill="auto"/>
            <w:vAlign w:val="center"/>
          </w:tcPr>
          <w:p w14:paraId="744F7299" w14:textId="77777777" w:rsidR="00D34C6F" w:rsidRPr="00F9037E" w:rsidRDefault="00D34C6F" w:rsidP="00C05C97">
            <w:pPr>
              <w:spacing w:before="120" w:after="120"/>
              <w:rPr>
                <w:color w:val="auto"/>
                <w:sz w:val="12"/>
                <w:szCs w:val="12"/>
              </w:rPr>
            </w:pPr>
            <w:r w:rsidRPr="00F9037E">
              <w:rPr>
                <w:color w:val="auto"/>
                <w:sz w:val="12"/>
                <w:szCs w:val="12"/>
              </w:rPr>
              <w:t>USA</w:t>
            </w:r>
          </w:p>
        </w:tc>
        <w:tc>
          <w:tcPr>
            <w:tcW w:w="824" w:type="dxa"/>
            <w:shd w:val="clear" w:color="auto" w:fill="auto"/>
            <w:vAlign w:val="center"/>
          </w:tcPr>
          <w:p w14:paraId="26EC45F4" w14:textId="77777777" w:rsidR="00D34C6F" w:rsidRPr="00F9037E" w:rsidRDefault="00D34C6F" w:rsidP="00C05C97">
            <w:pPr>
              <w:spacing w:before="120" w:after="120"/>
              <w:rPr>
                <w:color w:val="auto"/>
                <w:sz w:val="12"/>
                <w:szCs w:val="12"/>
              </w:rPr>
            </w:pPr>
            <w:r w:rsidRPr="00F9037E">
              <w:rPr>
                <w:color w:val="auto"/>
                <w:sz w:val="12"/>
                <w:szCs w:val="12"/>
              </w:rPr>
              <w:t>Sweet potato</w:t>
            </w:r>
          </w:p>
        </w:tc>
        <w:tc>
          <w:tcPr>
            <w:tcW w:w="708" w:type="dxa"/>
            <w:shd w:val="clear" w:color="auto" w:fill="auto"/>
            <w:vAlign w:val="center"/>
          </w:tcPr>
          <w:p w14:paraId="51446A8C" w14:textId="77777777" w:rsidR="00D34C6F" w:rsidRPr="00F9037E" w:rsidRDefault="00D34C6F" w:rsidP="00C05C97">
            <w:pPr>
              <w:spacing w:before="120" w:after="120"/>
              <w:jc w:val="center"/>
              <w:rPr>
                <w:color w:val="auto"/>
                <w:sz w:val="10"/>
                <w:szCs w:val="10"/>
              </w:rPr>
            </w:pPr>
            <w:r w:rsidRPr="00F9037E">
              <w:rPr>
                <w:color w:val="auto"/>
                <w:sz w:val="10"/>
                <w:szCs w:val="10"/>
              </w:rPr>
              <w:t>224.528</w:t>
            </w:r>
          </w:p>
        </w:tc>
        <w:tc>
          <w:tcPr>
            <w:tcW w:w="709" w:type="dxa"/>
            <w:shd w:val="clear" w:color="auto" w:fill="auto"/>
            <w:vAlign w:val="center"/>
          </w:tcPr>
          <w:p w14:paraId="48B84C95" w14:textId="30914D8D"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615ED428" w14:textId="5158DDF5"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DFDEF2E" w14:textId="77777777" w:rsidR="00D34C6F" w:rsidRPr="00F9037E" w:rsidRDefault="00D34C6F" w:rsidP="00C05C97">
            <w:pPr>
              <w:spacing w:before="120" w:after="120"/>
              <w:jc w:val="center"/>
              <w:rPr>
                <w:color w:val="auto"/>
                <w:sz w:val="10"/>
                <w:szCs w:val="10"/>
              </w:rPr>
            </w:pPr>
            <w:r w:rsidRPr="00F9037E">
              <w:rPr>
                <w:color w:val="auto"/>
                <w:sz w:val="10"/>
                <w:szCs w:val="10"/>
              </w:rPr>
              <w:t>18.144</w:t>
            </w:r>
          </w:p>
        </w:tc>
        <w:tc>
          <w:tcPr>
            <w:tcW w:w="709" w:type="dxa"/>
            <w:shd w:val="clear" w:color="auto" w:fill="auto"/>
            <w:vAlign w:val="center"/>
          </w:tcPr>
          <w:p w14:paraId="61CD79B9" w14:textId="77777777" w:rsidR="00D34C6F" w:rsidRPr="00F9037E" w:rsidRDefault="00D34C6F" w:rsidP="00C05C97">
            <w:pPr>
              <w:spacing w:before="120" w:after="120"/>
              <w:jc w:val="center"/>
              <w:rPr>
                <w:color w:val="auto"/>
                <w:sz w:val="10"/>
                <w:szCs w:val="10"/>
              </w:rPr>
            </w:pPr>
            <w:r w:rsidRPr="00F9037E">
              <w:rPr>
                <w:color w:val="auto"/>
                <w:sz w:val="10"/>
                <w:szCs w:val="10"/>
              </w:rPr>
              <w:t>18.144</w:t>
            </w:r>
          </w:p>
        </w:tc>
        <w:tc>
          <w:tcPr>
            <w:tcW w:w="567" w:type="dxa"/>
            <w:shd w:val="clear" w:color="auto" w:fill="auto"/>
            <w:vAlign w:val="center"/>
          </w:tcPr>
          <w:p w14:paraId="22C38906" w14:textId="77777777" w:rsidR="00D34C6F" w:rsidRPr="00F9037E" w:rsidRDefault="00D34C6F" w:rsidP="00C05C97">
            <w:pPr>
              <w:spacing w:before="120" w:after="120"/>
              <w:jc w:val="center"/>
              <w:rPr>
                <w:color w:val="auto"/>
                <w:sz w:val="10"/>
                <w:szCs w:val="10"/>
              </w:rPr>
            </w:pPr>
            <w:r w:rsidRPr="00F9037E">
              <w:rPr>
                <w:color w:val="auto"/>
                <w:sz w:val="10"/>
                <w:szCs w:val="10"/>
              </w:rPr>
              <w:t>18.144</w:t>
            </w:r>
          </w:p>
        </w:tc>
        <w:tc>
          <w:tcPr>
            <w:tcW w:w="708" w:type="dxa"/>
            <w:shd w:val="clear" w:color="auto" w:fill="auto"/>
            <w:vAlign w:val="center"/>
          </w:tcPr>
          <w:p w14:paraId="426C645A" w14:textId="77777777" w:rsidR="00D34C6F" w:rsidRPr="00F9037E" w:rsidRDefault="00D34C6F" w:rsidP="00C05C97">
            <w:pPr>
              <w:spacing w:before="120" w:after="120"/>
              <w:jc w:val="center"/>
              <w:rPr>
                <w:color w:val="auto"/>
                <w:sz w:val="10"/>
                <w:szCs w:val="10"/>
              </w:rPr>
            </w:pPr>
            <w:r w:rsidRPr="00F9037E">
              <w:rPr>
                <w:color w:val="auto"/>
                <w:sz w:val="10"/>
                <w:szCs w:val="10"/>
              </w:rPr>
              <w:t>14.515</w:t>
            </w:r>
          </w:p>
        </w:tc>
        <w:tc>
          <w:tcPr>
            <w:tcW w:w="567" w:type="dxa"/>
            <w:shd w:val="clear" w:color="auto" w:fill="auto"/>
            <w:vAlign w:val="center"/>
          </w:tcPr>
          <w:p w14:paraId="53529AE0" w14:textId="5947E1A2" w:rsidR="00D34C6F" w:rsidRPr="00F9037E" w:rsidRDefault="00D34C6F" w:rsidP="00C05C97">
            <w:pPr>
              <w:spacing w:before="120" w:after="120"/>
              <w:jc w:val="center"/>
              <w:rPr>
                <w:color w:val="auto"/>
                <w:sz w:val="10"/>
                <w:szCs w:val="10"/>
              </w:rPr>
            </w:pPr>
            <w:r w:rsidRPr="00F9037E">
              <w:rPr>
                <w:color w:val="auto"/>
                <w:sz w:val="10"/>
                <w:szCs w:val="10"/>
              </w:rPr>
              <w:t>8.709</w:t>
            </w:r>
          </w:p>
        </w:tc>
        <w:tc>
          <w:tcPr>
            <w:tcW w:w="567" w:type="dxa"/>
            <w:shd w:val="clear" w:color="auto" w:fill="auto"/>
            <w:vAlign w:val="center"/>
          </w:tcPr>
          <w:p w14:paraId="230C5679" w14:textId="77777777" w:rsidR="00D34C6F" w:rsidRPr="00F9037E" w:rsidRDefault="00D34C6F" w:rsidP="00C05C97">
            <w:pPr>
              <w:spacing w:before="120" w:after="120"/>
              <w:jc w:val="center"/>
              <w:rPr>
                <w:color w:val="auto"/>
                <w:sz w:val="10"/>
                <w:szCs w:val="10"/>
              </w:rPr>
            </w:pPr>
          </w:p>
        </w:tc>
        <w:tc>
          <w:tcPr>
            <w:tcW w:w="629" w:type="dxa"/>
            <w:vAlign w:val="center"/>
          </w:tcPr>
          <w:p w14:paraId="2B5E244B" w14:textId="77777777" w:rsidR="00D34C6F" w:rsidRPr="00F9037E" w:rsidRDefault="00D34C6F" w:rsidP="00C05C97">
            <w:pPr>
              <w:spacing w:before="120" w:after="120"/>
              <w:jc w:val="center"/>
              <w:rPr>
                <w:color w:val="auto"/>
                <w:sz w:val="10"/>
                <w:szCs w:val="10"/>
              </w:rPr>
            </w:pPr>
          </w:p>
        </w:tc>
        <w:tc>
          <w:tcPr>
            <w:tcW w:w="567" w:type="dxa"/>
            <w:vAlign w:val="center"/>
          </w:tcPr>
          <w:p w14:paraId="55A31DE6" w14:textId="77777777" w:rsidR="00D34C6F" w:rsidRPr="00F9037E" w:rsidRDefault="00D34C6F" w:rsidP="00C05C97">
            <w:pPr>
              <w:spacing w:before="120" w:after="120"/>
              <w:jc w:val="center"/>
              <w:rPr>
                <w:color w:val="auto"/>
                <w:sz w:val="10"/>
                <w:szCs w:val="10"/>
              </w:rPr>
            </w:pPr>
          </w:p>
        </w:tc>
        <w:tc>
          <w:tcPr>
            <w:tcW w:w="567" w:type="dxa"/>
            <w:vAlign w:val="center"/>
          </w:tcPr>
          <w:p w14:paraId="6DBED36C"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4CC1D264" w14:textId="35A7F7B1"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42B11F6B" w14:textId="07D6141A"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200F2497" w14:textId="3ACDD1E8"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7FFB6ABA" w14:textId="77777777" w:rsidR="00D34C6F" w:rsidRPr="00F9037E" w:rsidRDefault="00D34C6F" w:rsidP="00C05C97">
            <w:pPr>
              <w:spacing w:before="120" w:after="120"/>
              <w:jc w:val="center"/>
              <w:rPr>
                <w:color w:val="auto"/>
                <w:sz w:val="10"/>
                <w:szCs w:val="10"/>
              </w:rPr>
            </w:pPr>
            <w:r w:rsidRPr="00F9037E">
              <w:rPr>
                <w:color w:val="auto"/>
                <w:sz w:val="10"/>
                <w:szCs w:val="10"/>
              </w:rPr>
              <w:t>18.144</w:t>
            </w:r>
          </w:p>
        </w:tc>
        <w:tc>
          <w:tcPr>
            <w:tcW w:w="567" w:type="dxa"/>
            <w:shd w:val="clear" w:color="auto" w:fill="auto"/>
            <w:vAlign w:val="center"/>
          </w:tcPr>
          <w:p w14:paraId="6B3A5269" w14:textId="77777777" w:rsidR="00D34C6F" w:rsidRPr="00F9037E" w:rsidRDefault="00D34C6F" w:rsidP="00C05C97">
            <w:pPr>
              <w:spacing w:before="120" w:after="120"/>
              <w:jc w:val="center"/>
              <w:rPr>
                <w:color w:val="auto"/>
                <w:sz w:val="10"/>
                <w:szCs w:val="10"/>
              </w:rPr>
            </w:pPr>
            <w:r w:rsidRPr="00F9037E">
              <w:rPr>
                <w:color w:val="auto"/>
                <w:sz w:val="10"/>
                <w:szCs w:val="10"/>
              </w:rPr>
              <w:t>18.144</w:t>
            </w:r>
          </w:p>
        </w:tc>
        <w:tc>
          <w:tcPr>
            <w:tcW w:w="647" w:type="dxa"/>
            <w:shd w:val="clear" w:color="auto" w:fill="auto"/>
            <w:vAlign w:val="center"/>
          </w:tcPr>
          <w:p w14:paraId="37787544" w14:textId="77777777" w:rsidR="00D34C6F" w:rsidRPr="00F9037E" w:rsidRDefault="00D34C6F" w:rsidP="00C05C97">
            <w:pPr>
              <w:spacing w:before="120" w:after="120"/>
              <w:jc w:val="center"/>
              <w:rPr>
                <w:color w:val="auto"/>
                <w:sz w:val="10"/>
                <w:szCs w:val="10"/>
              </w:rPr>
            </w:pPr>
            <w:r w:rsidRPr="00F9037E">
              <w:rPr>
                <w:color w:val="auto"/>
                <w:sz w:val="10"/>
                <w:szCs w:val="10"/>
              </w:rPr>
              <w:t>14.515</w:t>
            </w:r>
          </w:p>
        </w:tc>
        <w:tc>
          <w:tcPr>
            <w:tcW w:w="567" w:type="dxa"/>
            <w:shd w:val="clear" w:color="auto" w:fill="auto"/>
            <w:vAlign w:val="center"/>
          </w:tcPr>
          <w:p w14:paraId="23377391" w14:textId="77777777" w:rsidR="00D34C6F" w:rsidRPr="00F9037E" w:rsidRDefault="00D34C6F" w:rsidP="00C05C97">
            <w:pPr>
              <w:spacing w:before="120" w:after="120"/>
              <w:jc w:val="center"/>
              <w:rPr>
                <w:color w:val="auto"/>
                <w:sz w:val="10"/>
                <w:szCs w:val="10"/>
              </w:rPr>
            </w:pPr>
            <w:r w:rsidRPr="00F9037E">
              <w:rPr>
                <w:color w:val="auto"/>
                <w:sz w:val="10"/>
                <w:szCs w:val="10"/>
              </w:rPr>
              <w:t>11.612</w:t>
            </w:r>
          </w:p>
        </w:tc>
        <w:tc>
          <w:tcPr>
            <w:tcW w:w="567" w:type="dxa"/>
            <w:shd w:val="clear" w:color="auto" w:fill="auto"/>
            <w:noWrap/>
            <w:vAlign w:val="center"/>
          </w:tcPr>
          <w:p w14:paraId="21594E8E" w14:textId="04FA8E6C" w:rsidR="00D34C6F" w:rsidRPr="00F9037E" w:rsidRDefault="00D34C6F" w:rsidP="00C05C97">
            <w:pPr>
              <w:spacing w:before="120" w:after="120"/>
              <w:jc w:val="center"/>
              <w:rPr>
                <w:b/>
                <w:color w:val="auto"/>
                <w:sz w:val="10"/>
                <w:szCs w:val="10"/>
              </w:rPr>
            </w:pPr>
          </w:p>
        </w:tc>
        <w:tc>
          <w:tcPr>
            <w:tcW w:w="567" w:type="dxa"/>
            <w:vAlign w:val="center"/>
          </w:tcPr>
          <w:p w14:paraId="7A275EFF" w14:textId="77777777" w:rsidR="00D34C6F" w:rsidRPr="00F9037E" w:rsidRDefault="00D34C6F" w:rsidP="00C05C97">
            <w:pPr>
              <w:spacing w:before="120" w:after="120"/>
              <w:jc w:val="center"/>
              <w:rPr>
                <w:b/>
                <w:color w:val="auto"/>
                <w:sz w:val="10"/>
                <w:szCs w:val="10"/>
              </w:rPr>
            </w:pPr>
          </w:p>
        </w:tc>
        <w:tc>
          <w:tcPr>
            <w:tcW w:w="567" w:type="dxa"/>
            <w:vAlign w:val="center"/>
          </w:tcPr>
          <w:p w14:paraId="53744C6E" w14:textId="77777777" w:rsidR="00D34C6F" w:rsidRPr="00F9037E" w:rsidRDefault="00D34C6F" w:rsidP="00C05C97">
            <w:pPr>
              <w:spacing w:before="120" w:after="120"/>
              <w:jc w:val="center"/>
              <w:rPr>
                <w:b/>
                <w:color w:val="auto"/>
                <w:sz w:val="10"/>
                <w:szCs w:val="10"/>
              </w:rPr>
            </w:pPr>
          </w:p>
        </w:tc>
        <w:tc>
          <w:tcPr>
            <w:tcW w:w="567" w:type="dxa"/>
            <w:vAlign w:val="center"/>
          </w:tcPr>
          <w:p w14:paraId="2FA4F21A" w14:textId="77777777" w:rsidR="00D34C6F" w:rsidRPr="00F9037E" w:rsidRDefault="00D34C6F" w:rsidP="00C05C97">
            <w:pPr>
              <w:spacing w:before="120" w:after="120"/>
              <w:jc w:val="center"/>
              <w:rPr>
                <w:b/>
                <w:color w:val="auto"/>
                <w:sz w:val="10"/>
                <w:szCs w:val="10"/>
              </w:rPr>
            </w:pPr>
          </w:p>
        </w:tc>
        <w:tc>
          <w:tcPr>
            <w:tcW w:w="567" w:type="dxa"/>
            <w:vAlign w:val="center"/>
          </w:tcPr>
          <w:p w14:paraId="65E896A0" w14:textId="77777777" w:rsidR="00D34C6F" w:rsidRPr="00F9037E" w:rsidRDefault="00D34C6F" w:rsidP="00C05C97">
            <w:pPr>
              <w:spacing w:before="120" w:after="120"/>
              <w:jc w:val="center"/>
              <w:rPr>
                <w:b/>
                <w:color w:val="auto"/>
                <w:sz w:val="10"/>
                <w:szCs w:val="10"/>
              </w:rPr>
            </w:pPr>
          </w:p>
        </w:tc>
      </w:tr>
      <w:tr w:rsidR="00D34C6F" w:rsidRPr="00F9037E" w14:paraId="1DA079A0" w14:textId="77777777" w:rsidTr="00C05C97">
        <w:trPr>
          <w:trHeight w:val="465"/>
          <w:jc w:val="center"/>
        </w:trPr>
        <w:tc>
          <w:tcPr>
            <w:tcW w:w="662" w:type="dxa"/>
            <w:shd w:val="clear" w:color="auto" w:fill="auto"/>
            <w:vAlign w:val="center"/>
          </w:tcPr>
          <w:p w14:paraId="16765D6B" w14:textId="77777777" w:rsidR="00D34C6F" w:rsidRPr="00F9037E" w:rsidRDefault="00D34C6F" w:rsidP="00C05C97">
            <w:pPr>
              <w:spacing w:before="120" w:after="120"/>
              <w:rPr>
                <w:color w:val="auto"/>
                <w:sz w:val="12"/>
                <w:szCs w:val="12"/>
              </w:rPr>
            </w:pPr>
            <w:r w:rsidRPr="00F9037E">
              <w:rPr>
                <w:color w:val="auto"/>
                <w:sz w:val="12"/>
                <w:szCs w:val="12"/>
              </w:rPr>
              <w:t>USA</w:t>
            </w:r>
          </w:p>
        </w:tc>
        <w:tc>
          <w:tcPr>
            <w:tcW w:w="824" w:type="dxa"/>
            <w:shd w:val="clear" w:color="auto" w:fill="auto"/>
            <w:vAlign w:val="center"/>
          </w:tcPr>
          <w:p w14:paraId="55EA8F89" w14:textId="77777777" w:rsidR="00D34C6F" w:rsidRPr="00F9037E" w:rsidRDefault="00D34C6F" w:rsidP="00C05C97">
            <w:pPr>
              <w:spacing w:before="120" w:after="120"/>
              <w:rPr>
                <w:color w:val="auto"/>
                <w:sz w:val="12"/>
                <w:szCs w:val="12"/>
              </w:rPr>
            </w:pPr>
            <w:r w:rsidRPr="00F9037E">
              <w:rPr>
                <w:color w:val="auto"/>
                <w:sz w:val="12"/>
                <w:szCs w:val="12"/>
              </w:rPr>
              <w:t>Research</w:t>
            </w:r>
          </w:p>
        </w:tc>
        <w:tc>
          <w:tcPr>
            <w:tcW w:w="708" w:type="dxa"/>
            <w:shd w:val="clear" w:color="auto" w:fill="auto"/>
            <w:vAlign w:val="center"/>
          </w:tcPr>
          <w:p w14:paraId="2291676B"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3F3935E2"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10D4F9EB" w14:textId="77777777"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5584658A"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53384FAD" w14:textId="77777777"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325572F2" w14:textId="77777777"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13277240" w14:textId="77777777"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B56CDE6" w14:textId="1B36703F" w:rsidR="00D34C6F" w:rsidRPr="00F9037E" w:rsidRDefault="00D34C6F" w:rsidP="00C05C97">
            <w:pPr>
              <w:spacing w:before="120" w:after="120"/>
              <w:jc w:val="center"/>
              <w:rPr>
                <w:color w:val="auto"/>
                <w:sz w:val="10"/>
                <w:szCs w:val="10"/>
              </w:rPr>
            </w:pPr>
            <w:r w:rsidRPr="00F9037E">
              <w:rPr>
                <w:color w:val="auto"/>
                <w:sz w:val="10"/>
                <w:szCs w:val="10"/>
              </w:rPr>
              <w:t>2.768</w:t>
            </w:r>
          </w:p>
        </w:tc>
        <w:tc>
          <w:tcPr>
            <w:tcW w:w="567" w:type="dxa"/>
            <w:shd w:val="clear" w:color="auto" w:fill="auto"/>
            <w:vAlign w:val="center"/>
          </w:tcPr>
          <w:p w14:paraId="7C25E9C9" w14:textId="77777777" w:rsidR="00D34C6F" w:rsidRPr="00F9037E" w:rsidRDefault="00D34C6F" w:rsidP="00C05C97">
            <w:pPr>
              <w:spacing w:before="120" w:after="120"/>
              <w:jc w:val="center"/>
              <w:rPr>
                <w:color w:val="auto"/>
                <w:sz w:val="10"/>
                <w:szCs w:val="10"/>
              </w:rPr>
            </w:pPr>
            <w:r w:rsidRPr="00F9037E">
              <w:rPr>
                <w:color w:val="auto"/>
                <w:sz w:val="10"/>
                <w:szCs w:val="10"/>
              </w:rPr>
              <w:t>2.768</w:t>
            </w:r>
          </w:p>
        </w:tc>
        <w:tc>
          <w:tcPr>
            <w:tcW w:w="629" w:type="dxa"/>
            <w:vAlign w:val="center"/>
          </w:tcPr>
          <w:p w14:paraId="5586C053" w14:textId="77777777" w:rsidR="00D34C6F" w:rsidRPr="00F9037E" w:rsidRDefault="00D34C6F" w:rsidP="00C05C97">
            <w:pPr>
              <w:spacing w:before="120" w:after="120"/>
              <w:jc w:val="center"/>
              <w:rPr>
                <w:color w:val="auto"/>
                <w:sz w:val="10"/>
                <w:szCs w:val="10"/>
              </w:rPr>
            </w:pPr>
          </w:p>
        </w:tc>
        <w:tc>
          <w:tcPr>
            <w:tcW w:w="567" w:type="dxa"/>
            <w:vAlign w:val="center"/>
          </w:tcPr>
          <w:p w14:paraId="2D8D172E" w14:textId="77777777" w:rsidR="00D34C6F" w:rsidRPr="00F9037E" w:rsidRDefault="00D34C6F" w:rsidP="00C05C97">
            <w:pPr>
              <w:spacing w:before="120" w:after="120"/>
              <w:jc w:val="center"/>
              <w:rPr>
                <w:color w:val="auto"/>
                <w:sz w:val="10"/>
                <w:szCs w:val="10"/>
              </w:rPr>
            </w:pPr>
          </w:p>
        </w:tc>
        <w:tc>
          <w:tcPr>
            <w:tcW w:w="567" w:type="dxa"/>
            <w:vAlign w:val="center"/>
          </w:tcPr>
          <w:p w14:paraId="18BF1030"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74DCB80F"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528E013F" w14:textId="77777777" w:rsidR="00D34C6F" w:rsidRPr="00F9037E" w:rsidRDefault="00D34C6F" w:rsidP="00C05C97">
            <w:pPr>
              <w:spacing w:before="120" w:after="120"/>
              <w:jc w:val="center"/>
              <w:rPr>
                <w:color w:val="auto"/>
                <w:sz w:val="10"/>
                <w:szCs w:val="10"/>
              </w:rPr>
            </w:pPr>
          </w:p>
        </w:tc>
        <w:tc>
          <w:tcPr>
            <w:tcW w:w="708" w:type="dxa"/>
            <w:shd w:val="clear" w:color="auto" w:fill="auto"/>
            <w:vAlign w:val="center"/>
          </w:tcPr>
          <w:p w14:paraId="2CD2BA02" w14:textId="77777777" w:rsidR="00D34C6F" w:rsidRPr="00F9037E" w:rsidRDefault="00D34C6F" w:rsidP="00C05C97">
            <w:pPr>
              <w:spacing w:before="120" w:after="120"/>
              <w:jc w:val="center"/>
              <w:rPr>
                <w:color w:val="auto"/>
                <w:sz w:val="10"/>
                <w:szCs w:val="10"/>
              </w:rPr>
            </w:pPr>
          </w:p>
        </w:tc>
        <w:tc>
          <w:tcPr>
            <w:tcW w:w="709" w:type="dxa"/>
            <w:shd w:val="clear" w:color="auto" w:fill="auto"/>
            <w:vAlign w:val="center"/>
          </w:tcPr>
          <w:p w14:paraId="2B36BCB0" w14:textId="77777777"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6DF17D3B" w14:textId="77777777" w:rsidR="00D34C6F" w:rsidRPr="00F9037E" w:rsidRDefault="00D34C6F" w:rsidP="00C05C97">
            <w:pPr>
              <w:spacing w:before="120" w:after="120"/>
              <w:jc w:val="center"/>
              <w:rPr>
                <w:color w:val="auto"/>
                <w:sz w:val="10"/>
                <w:szCs w:val="10"/>
              </w:rPr>
            </w:pPr>
          </w:p>
        </w:tc>
        <w:tc>
          <w:tcPr>
            <w:tcW w:w="647" w:type="dxa"/>
            <w:shd w:val="clear" w:color="auto" w:fill="auto"/>
            <w:vAlign w:val="center"/>
          </w:tcPr>
          <w:p w14:paraId="645E43B5" w14:textId="77777777" w:rsidR="00D34C6F" w:rsidRPr="00F9037E" w:rsidRDefault="00D34C6F" w:rsidP="00C05C97">
            <w:pPr>
              <w:spacing w:before="120" w:after="120"/>
              <w:jc w:val="center"/>
              <w:rPr>
                <w:color w:val="auto"/>
                <w:sz w:val="10"/>
                <w:szCs w:val="10"/>
              </w:rPr>
            </w:pPr>
          </w:p>
        </w:tc>
        <w:tc>
          <w:tcPr>
            <w:tcW w:w="567" w:type="dxa"/>
            <w:shd w:val="clear" w:color="auto" w:fill="auto"/>
            <w:vAlign w:val="center"/>
          </w:tcPr>
          <w:p w14:paraId="0F585996" w14:textId="77777777" w:rsidR="00D34C6F" w:rsidRPr="00F9037E" w:rsidRDefault="00D34C6F" w:rsidP="00C05C97">
            <w:pPr>
              <w:spacing w:before="120" w:after="120"/>
              <w:jc w:val="center"/>
              <w:rPr>
                <w:color w:val="auto"/>
                <w:sz w:val="10"/>
                <w:szCs w:val="10"/>
              </w:rPr>
            </w:pPr>
          </w:p>
        </w:tc>
        <w:tc>
          <w:tcPr>
            <w:tcW w:w="567" w:type="dxa"/>
            <w:shd w:val="clear" w:color="auto" w:fill="auto"/>
            <w:noWrap/>
            <w:vAlign w:val="center"/>
          </w:tcPr>
          <w:p w14:paraId="4B71995F" w14:textId="77777777" w:rsidR="00D34C6F" w:rsidRPr="00F9037E" w:rsidRDefault="00D34C6F" w:rsidP="00C05C97">
            <w:pPr>
              <w:spacing w:before="120" w:after="120"/>
              <w:jc w:val="center"/>
              <w:rPr>
                <w:b/>
                <w:color w:val="auto"/>
                <w:sz w:val="10"/>
                <w:szCs w:val="10"/>
              </w:rPr>
            </w:pPr>
          </w:p>
        </w:tc>
        <w:tc>
          <w:tcPr>
            <w:tcW w:w="567" w:type="dxa"/>
            <w:vAlign w:val="center"/>
          </w:tcPr>
          <w:p w14:paraId="6015AF18" w14:textId="77777777" w:rsidR="00D34C6F" w:rsidRPr="00F9037E" w:rsidRDefault="00D34C6F" w:rsidP="00C05C97">
            <w:pPr>
              <w:spacing w:before="120" w:after="120"/>
              <w:jc w:val="center"/>
              <w:rPr>
                <w:b/>
                <w:color w:val="auto"/>
                <w:sz w:val="10"/>
                <w:szCs w:val="10"/>
              </w:rPr>
            </w:pPr>
          </w:p>
        </w:tc>
        <w:tc>
          <w:tcPr>
            <w:tcW w:w="567" w:type="dxa"/>
            <w:vAlign w:val="center"/>
          </w:tcPr>
          <w:p w14:paraId="3AEB26E7" w14:textId="77777777" w:rsidR="00D34C6F" w:rsidRPr="00F9037E" w:rsidRDefault="00D34C6F" w:rsidP="00C05C97">
            <w:pPr>
              <w:spacing w:before="120" w:after="120"/>
              <w:jc w:val="center"/>
              <w:rPr>
                <w:b/>
                <w:color w:val="auto"/>
                <w:sz w:val="10"/>
                <w:szCs w:val="10"/>
              </w:rPr>
            </w:pPr>
          </w:p>
        </w:tc>
        <w:tc>
          <w:tcPr>
            <w:tcW w:w="567" w:type="dxa"/>
            <w:vAlign w:val="center"/>
          </w:tcPr>
          <w:p w14:paraId="6A403712" w14:textId="77777777" w:rsidR="00D34C6F" w:rsidRPr="00F9037E" w:rsidRDefault="00D34C6F" w:rsidP="00C05C97">
            <w:pPr>
              <w:spacing w:before="120" w:after="120"/>
              <w:jc w:val="center"/>
              <w:rPr>
                <w:b/>
                <w:color w:val="auto"/>
                <w:sz w:val="10"/>
                <w:szCs w:val="10"/>
              </w:rPr>
            </w:pPr>
          </w:p>
        </w:tc>
        <w:tc>
          <w:tcPr>
            <w:tcW w:w="567" w:type="dxa"/>
            <w:vAlign w:val="center"/>
          </w:tcPr>
          <w:p w14:paraId="3C8D8E7F" w14:textId="77777777" w:rsidR="00D34C6F" w:rsidRPr="00F9037E" w:rsidRDefault="00D34C6F" w:rsidP="00C05C97">
            <w:pPr>
              <w:spacing w:before="120" w:after="120"/>
              <w:jc w:val="center"/>
              <w:rPr>
                <w:b/>
                <w:color w:val="auto"/>
                <w:sz w:val="10"/>
                <w:szCs w:val="10"/>
              </w:rPr>
            </w:pPr>
          </w:p>
        </w:tc>
      </w:tr>
    </w:tbl>
    <w:p w14:paraId="3066C0A6" w14:textId="77777777" w:rsidR="00E723F5" w:rsidRPr="00F9037E" w:rsidRDefault="00E723F5" w:rsidP="00E723F5">
      <w:pPr>
        <w:rPr>
          <w:color w:val="auto"/>
          <w:sz w:val="14"/>
          <w:szCs w:val="14"/>
        </w:rPr>
      </w:pPr>
    </w:p>
    <w:p w14:paraId="70F96BC1" w14:textId="77777777" w:rsidR="00D41068" w:rsidRPr="00F9037E" w:rsidRDefault="00D41068">
      <w:pPr>
        <w:spacing w:after="0"/>
        <w:rPr>
          <w:rStyle w:val="Heading1Char3"/>
          <w:rFonts w:ascii="Times" w:hAnsi="Times"/>
          <w:color w:val="auto"/>
          <w:szCs w:val="24"/>
        </w:rPr>
      </w:pPr>
      <w:r w:rsidRPr="00F9037E">
        <w:rPr>
          <w:rStyle w:val="Heading1Char3"/>
          <w:b w:val="0"/>
          <w:color w:val="auto"/>
        </w:rPr>
        <w:br w:type="page"/>
      </w:r>
    </w:p>
    <w:p w14:paraId="2BA7C7F2" w14:textId="77777777" w:rsidR="008D5F24" w:rsidRPr="003655C2" w:rsidRDefault="008D5F24" w:rsidP="006A54A1">
      <w:pPr>
        <w:pStyle w:val="Heading1"/>
        <w:rPr>
          <w:rStyle w:val="Heading1Char2"/>
          <w:rFonts w:ascii="Times New Roman" w:hAnsi="Times New Roman"/>
          <w:b/>
        </w:rPr>
      </w:pPr>
      <w:bookmarkStart w:id="147" w:name="_Toc293054762"/>
      <w:bookmarkStart w:id="148" w:name="_Toc321747478"/>
      <w:bookmarkStart w:id="149" w:name="_Toc461183788"/>
      <w:r w:rsidRPr="003655C2">
        <w:rPr>
          <w:rStyle w:val="Heading1Char2"/>
          <w:rFonts w:ascii="Times New Roman" w:hAnsi="Times New Roman"/>
          <w:b/>
        </w:rPr>
        <w:lastRenderedPageBreak/>
        <w:t>ANNEX I</w:t>
      </w:r>
      <w:r w:rsidR="007E3C82" w:rsidRPr="003655C2">
        <w:rPr>
          <w:rStyle w:val="Heading1Char2"/>
          <w:rFonts w:ascii="Times New Roman" w:hAnsi="Times New Roman"/>
          <w:b/>
        </w:rPr>
        <w:t>V</w:t>
      </w:r>
      <w:r w:rsidRPr="003655C2">
        <w:rPr>
          <w:rStyle w:val="Heading1Char2"/>
          <w:rFonts w:ascii="Times New Roman" w:hAnsi="Times New Roman"/>
          <w:b/>
        </w:rPr>
        <w:t xml:space="preserve">– Part B: </w:t>
      </w:r>
      <w:r w:rsidR="00DD40B2" w:rsidRPr="003655C2">
        <w:rPr>
          <w:rStyle w:val="Heading1Char2"/>
          <w:rFonts w:ascii="Times New Roman" w:hAnsi="Times New Roman"/>
          <w:b/>
        </w:rPr>
        <w:t xml:space="preserve">Historic </w:t>
      </w:r>
      <w:r w:rsidRPr="003655C2">
        <w:rPr>
          <w:rStyle w:val="Heading1Char2"/>
          <w:rFonts w:ascii="Times New Roman" w:hAnsi="Times New Roman"/>
          <w:b/>
        </w:rPr>
        <w:t xml:space="preserve">Trends in </w:t>
      </w:r>
      <w:r w:rsidR="007E3C82" w:rsidRPr="003655C2">
        <w:rPr>
          <w:rStyle w:val="Heading1Char2"/>
          <w:rFonts w:ascii="Times New Roman" w:hAnsi="Times New Roman"/>
          <w:b/>
        </w:rPr>
        <w:t xml:space="preserve">non A5 </w:t>
      </w:r>
      <w:r w:rsidRPr="003655C2">
        <w:rPr>
          <w:rStyle w:val="Heading1Char2"/>
          <w:rFonts w:ascii="Times New Roman" w:hAnsi="Times New Roman"/>
          <w:b/>
        </w:rPr>
        <w:t>Structural and Commodity Nominations and Exemptions</w:t>
      </w:r>
      <w:r w:rsidR="003753FB" w:rsidRPr="003655C2">
        <w:rPr>
          <w:rStyle w:val="Heading1Char2"/>
          <w:rFonts w:ascii="Times New Roman" w:hAnsi="Times New Roman"/>
          <w:b/>
        </w:rPr>
        <w:t xml:space="preserve"> </w:t>
      </w:r>
      <w:r w:rsidR="00DC7383" w:rsidRPr="003655C2">
        <w:rPr>
          <w:rStyle w:val="Heading1Char2"/>
          <w:rFonts w:ascii="Times New Roman" w:hAnsi="Times New Roman"/>
          <w:b/>
        </w:rPr>
        <w:t>for</w:t>
      </w:r>
      <w:bookmarkEnd w:id="145"/>
      <w:bookmarkEnd w:id="146"/>
      <w:r w:rsidR="00DC7383" w:rsidRPr="003655C2">
        <w:rPr>
          <w:rStyle w:val="Heading1Char2"/>
          <w:rFonts w:ascii="Times New Roman" w:hAnsi="Times New Roman"/>
          <w:b/>
        </w:rPr>
        <w:t xml:space="preserve"> MB Use</w:t>
      </w:r>
      <w:bookmarkEnd w:id="147"/>
      <w:bookmarkEnd w:id="148"/>
      <w:bookmarkEnd w:id="149"/>
    </w:p>
    <w:p w14:paraId="5EAE5A11" w14:textId="77777777" w:rsidR="008D5F24" w:rsidRPr="000F08B5" w:rsidRDefault="008D5F24" w:rsidP="00F9037E">
      <w:pPr>
        <w:pStyle w:val="Tableandfigureheadings"/>
        <w:rPr>
          <w:lang w:eastAsia="ja-JP"/>
        </w:rPr>
      </w:pPr>
      <w:r w:rsidRPr="00563BC0">
        <w:t>List of nominated (2005- 201</w:t>
      </w:r>
      <w:r w:rsidR="007E3C82" w:rsidRPr="00563BC0">
        <w:t>6</w:t>
      </w:r>
      <w:r w:rsidRPr="00563BC0">
        <w:t>) and exempted (2005 - 201</w:t>
      </w:r>
      <w:r w:rsidR="007E3C82" w:rsidRPr="00563BC0">
        <w:t>6</w:t>
      </w:r>
      <w:r w:rsidRPr="000F08B5">
        <w:t xml:space="preserve">) amounts of MB granted by Parties under the CUE process for each commodity. </w:t>
      </w:r>
    </w:p>
    <w:tbl>
      <w:tblPr>
        <w:tblW w:w="15381" w:type="dxa"/>
        <w:jc w:val="center"/>
        <w:tblLayout w:type="fixed"/>
        <w:tblLook w:val="0000" w:firstRow="0" w:lastRow="0" w:firstColumn="0" w:lastColumn="0" w:noHBand="0" w:noVBand="0"/>
      </w:tblPr>
      <w:tblGrid>
        <w:gridCol w:w="813"/>
        <w:gridCol w:w="818"/>
        <w:gridCol w:w="567"/>
        <w:gridCol w:w="567"/>
        <w:gridCol w:w="567"/>
        <w:gridCol w:w="567"/>
        <w:gridCol w:w="567"/>
        <w:gridCol w:w="567"/>
        <w:gridCol w:w="567"/>
        <w:gridCol w:w="567"/>
        <w:gridCol w:w="567"/>
        <w:gridCol w:w="567"/>
        <w:gridCol w:w="567"/>
        <w:gridCol w:w="567"/>
        <w:gridCol w:w="709"/>
        <w:gridCol w:w="567"/>
        <w:gridCol w:w="567"/>
        <w:gridCol w:w="567"/>
        <w:gridCol w:w="567"/>
        <w:gridCol w:w="567"/>
        <w:gridCol w:w="567"/>
        <w:gridCol w:w="567"/>
        <w:gridCol w:w="567"/>
        <w:gridCol w:w="567"/>
        <w:gridCol w:w="567"/>
        <w:gridCol w:w="567"/>
      </w:tblGrid>
      <w:tr w:rsidR="00D41068" w:rsidRPr="00F9037E" w14:paraId="5FA37204" w14:textId="77777777" w:rsidTr="00C05C97">
        <w:trPr>
          <w:cantSplit/>
          <w:trHeight w:val="214"/>
          <w:tblHeader/>
          <w:jc w:val="center"/>
        </w:trPr>
        <w:tc>
          <w:tcPr>
            <w:tcW w:w="813" w:type="dxa"/>
            <w:vMerge w:val="restart"/>
            <w:tcBorders>
              <w:top w:val="single" w:sz="8" w:space="0" w:color="auto"/>
              <w:left w:val="single" w:sz="8" w:space="0" w:color="auto"/>
              <w:right w:val="single" w:sz="8" w:space="0" w:color="auto"/>
            </w:tcBorders>
            <w:shd w:val="clear" w:color="auto" w:fill="auto"/>
            <w:vAlign w:val="center"/>
          </w:tcPr>
          <w:p w14:paraId="61C21F22" w14:textId="77777777" w:rsidR="00D41068" w:rsidRPr="00220275" w:rsidRDefault="00D41068" w:rsidP="00C05C97">
            <w:pPr>
              <w:spacing w:before="120" w:after="120"/>
              <w:rPr>
                <w:b/>
                <w:color w:val="auto"/>
                <w:sz w:val="12"/>
                <w:szCs w:val="12"/>
              </w:rPr>
            </w:pPr>
            <w:r w:rsidRPr="00220275">
              <w:rPr>
                <w:b/>
                <w:color w:val="auto"/>
                <w:sz w:val="12"/>
                <w:szCs w:val="12"/>
              </w:rPr>
              <w:t>Party</w:t>
            </w:r>
          </w:p>
        </w:tc>
        <w:tc>
          <w:tcPr>
            <w:tcW w:w="818" w:type="dxa"/>
            <w:vMerge w:val="restart"/>
            <w:tcBorders>
              <w:top w:val="single" w:sz="8" w:space="0" w:color="auto"/>
              <w:left w:val="nil"/>
              <w:right w:val="single" w:sz="8" w:space="0" w:color="auto"/>
            </w:tcBorders>
            <w:shd w:val="clear" w:color="auto" w:fill="auto"/>
            <w:vAlign w:val="center"/>
          </w:tcPr>
          <w:p w14:paraId="6F3136D6" w14:textId="77777777" w:rsidR="00D41068" w:rsidRPr="00220275" w:rsidRDefault="00D41068" w:rsidP="00C05C97">
            <w:pPr>
              <w:spacing w:before="120" w:after="120"/>
              <w:rPr>
                <w:b/>
                <w:color w:val="auto"/>
                <w:sz w:val="12"/>
                <w:szCs w:val="12"/>
              </w:rPr>
            </w:pPr>
            <w:r w:rsidRPr="00220275">
              <w:rPr>
                <w:b/>
                <w:color w:val="auto"/>
                <w:sz w:val="12"/>
                <w:szCs w:val="12"/>
              </w:rPr>
              <w:t>Industry</w:t>
            </w:r>
          </w:p>
        </w:tc>
        <w:tc>
          <w:tcPr>
            <w:tcW w:w="6804" w:type="dxa"/>
            <w:gridSpan w:val="12"/>
            <w:tcBorders>
              <w:top w:val="single" w:sz="8" w:space="0" w:color="auto"/>
              <w:left w:val="nil"/>
              <w:bottom w:val="single" w:sz="8" w:space="0" w:color="auto"/>
              <w:right w:val="single" w:sz="4" w:space="0" w:color="auto"/>
            </w:tcBorders>
            <w:shd w:val="clear" w:color="auto" w:fill="auto"/>
            <w:vAlign w:val="center"/>
          </w:tcPr>
          <w:p w14:paraId="4E11A7A0" w14:textId="77777777" w:rsidR="00D41068" w:rsidRPr="00082015" w:rsidRDefault="00D41068" w:rsidP="00C05C97">
            <w:pPr>
              <w:spacing w:before="120" w:after="120"/>
              <w:jc w:val="center"/>
              <w:rPr>
                <w:b/>
                <w:color w:val="auto"/>
                <w:sz w:val="12"/>
                <w:szCs w:val="12"/>
              </w:rPr>
            </w:pPr>
            <w:r w:rsidRPr="00082015">
              <w:rPr>
                <w:b/>
                <w:color w:val="auto"/>
                <w:sz w:val="12"/>
                <w:szCs w:val="12"/>
              </w:rPr>
              <w:t>Total CUN MB Quantities</w:t>
            </w:r>
          </w:p>
        </w:tc>
        <w:tc>
          <w:tcPr>
            <w:tcW w:w="6946" w:type="dxa"/>
            <w:gridSpan w:val="12"/>
            <w:tcBorders>
              <w:top w:val="single" w:sz="8" w:space="0" w:color="auto"/>
              <w:left w:val="single" w:sz="4" w:space="0" w:color="auto"/>
              <w:bottom w:val="single" w:sz="8" w:space="0" w:color="auto"/>
              <w:right w:val="single" w:sz="8" w:space="0" w:color="auto"/>
            </w:tcBorders>
            <w:shd w:val="clear" w:color="auto" w:fill="auto"/>
            <w:vAlign w:val="center"/>
          </w:tcPr>
          <w:p w14:paraId="165896F2" w14:textId="77777777" w:rsidR="00D41068" w:rsidRPr="00082015" w:rsidRDefault="00D41068" w:rsidP="00C05C97">
            <w:pPr>
              <w:spacing w:before="120" w:after="120"/>
              <w:jc w:val="center"/>
              <w:rPr>
                <w:b/>
                <w:color w:val="auto"/>
                <w:sz w:val="12"/>
                <w:szCs w:val="12"/>
              </w:rPr>
            </w:pPr>
            <w:r w:rsidRPr="00082015">
              <w:rPr>
                <w:b/>
                <w:color w:val="auto"/>
                <w:sz w:val="12"/>
                <w:szCs w:val="12"/>
              </w:rPr>
              <w:t>Total CUE Quantities</w:t>
            </w:r>
          </w:p>
        </w:tc>
      </w:tr>
      <w:tr w:rsidR="004B0524" w:rsidRPr="00F9037E" w14:paraId="2D0FA4F7" w14:textId="77777777" w:rsidTr="00C05C97">
        <w:trPr>
          <w:cantSplit/>
          <w:trHeight w:val="214"/>
          <w:tblHeader/>
          <w:jc w:val="center"/>
        </w:trPr>
        <w:tc>
          <w:tcPr>
            <w:tcW w:w="813" w:type="dxa"/>
            <w:vMerge/>
            <w:tcBorders>
              <w:left w:val="single" w:sz="8" w:space="0" w:color="auto"/>
              <w:bottom w:val="single" w:sz="8" w:space="0" w:color="auto"/>
              <w:right w:val="single" w:sz="8" w:space="0" w:color="auto"/>
            </w:tcBorders>
            <w:shd w:val="clear" w:color="auto" w:fill="auto"/>
            <w:vAlign w:val="center"/>
          </w:tcPr>
          <w:p w14:paraId="1C59F4D2" w14:textId="77777777" w:rsidR="004B0524" w:rsidRPr="00F9037E" w:rsidRDefault="004B0524" w:rsidP="00C05C97">
            <w:pPr>
              <w:spacing w:before="120" w:after="120"/>
              <w:rPr>
                <w:color w:val="auto"/>
                <w:sz w:val="12"/>
                <w:szCs w:val="12"/>
              </w:rPr>
            </w:pPr>
          </w:p>
        </w:tc>
        <w:tc>
          <w:tcPr>
            <w:tcW w:w="818" w:type="dxa"/>
            <w:vMerge/>
            <w:tcBorders>
              <w:left w:val="nil"/>
              <w:bottom w:val="single" w:sz="8" w:space="0" w:color="auto"/>
              <w:right w:val="single" w:sz="8" w:space="0" w:color="auto"/>
            </w:tcBorders>
            <w:shd w:val="clear" w:color="auto" w:fill="auto"/>
            <w:vAlign w:val="center"/>
          </w:tcPr>
          <w:p w14:paraId="4211EF4F" w14:textId="77777777" w:rsidR="004B0524" w:rsidRPr="00F9037E" w:rsidRDefault="004B0524" w:rsidP="00C05C97">
            <w:pPr>
              <w:spacing w:before="120" w:after="120"/>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5168D6E" w14:textId="77777777" w:rsidR="004B0524" w:rsidRPr="00220275" w:rsidRDefault="004B0524" w:rsidP="00C05C97">
            <w:pPr>
              <w:spacing w:before="120" w:after="120"/>
              <w:jc w:val="center"/>
              <w:rPr>
                <w:b/>
                <w:color w:val="auto"/>
                <w:sz w:val="12"/>
                <w:szCs w:val="12"/>
              </w:rPr>
            </w:pPr>
            <w:r w:rsidRPr="00220275">
              <w:rPr>
                <w:b/>
                <w:color w:val="auto"/>
                <w:sz w:val="12"/>
                <w:szCs w:val="12"/>
              </w:rPr>
              <w:t>2005</w:t>
            </w:r>
          </w:p>
        </w:tc>
        <w:tc>
          <w:tcPr>
            <w:tcW w:w="567" w:type="dxa"/>
            <w:tcBorders>
              <w:top w:val="nil"/>
              <w:left w:val="nil"/>
              <w:bottom w:val="single" w:sz="8" w:space="0" w:color="auto"/>
              <w:right w:val="single" w:sz="8" w:space="0" w:color="auto"/>
            </w:tcBorders>
            <w:shd w:val="clear" w:color="auto" w:fill="auto"/>
            <w:vAlign w:val="center"/>
          </w:tcPr>
          <w:p w14:paraId="0D3C85BD" w14:textId="77777777" w:rsidR="004B0524" w:rsidRPr="00B87B95" w:rsidRDefault="004B0524" w:rsidP="00C05C97">
            <w:pPr>
              <w:spacing w:before="120" w:after="120"/>
              <w:jc w:val="center"/>
              <w:rPr>
                <w:b/>
                <w:color w:val="auto"/>
                <w:sz w:val="12"/>
                <w:szCs w:val="12"/>
              </w:rPr>
            </w:pPr>
            <w:r w:rsidRPr="00B87B95">
              <w:rPr>
                <w:b/>
                <w:color w:val="auto"/>
                <w:sz w:val="12"/>
                <w:szCs w:val="12"/>
              </w:rPr>
              <w:t>2006</w:t>
            </w:r>
          </w:p>
        </w:tc>
        <w:tc>
          <w:tcPr>
            <w:tcW w:w="567" w:type="dxa"/>
            <w:tcBorders>
              <w:top w:val="nil"/>
              <w:left w:val="nil"/>
              <w:bottom w:val="single" w:sz="8" w:space="0" w:color="auto"/>
              <w:right w:val="single" w:sz="8" w:space="0" w:color="auto"/>
            </w:tcBorders>
            <w:shd w:val="clear" w:color="auto" w:fill="auto"/>
            <w:vAlign w:val="center"/>
          </w:tcPr>
          <w:p w14:paraId="65E34FCA" w14:textId="77777777" w:rsidR="004B0524" w:rsidRPr="00B87B95" w:rsidRDefault="004B0524" w:rsidP="00C05C97">
            <w:pPr>
              <w:spacing w:before="120" w:after="120"/>
              <w:jc w:val="center"/>
              <w:rPr>
                <w:b/>
                <w:color w:val="auto"/>
                <w:sz w:val="12"/>
                <w:szCs w:val="12"/>
              </w:rPr>
            </w:pPr>
            <w:r w:rsidRPr="00B87B95">
              <w:rPr>
                <w:b/>
                <w:color w:val="auto"/>
                <w:sz w:val="12"/>
                <w:szCs w:val="12"/>
              </w:rPr>
              <w:t>2007</w:t>
            </w:r>
          </w:p>
        </w:tc>
        <w:tc>
          <w:tcPr>
            <w:tcW w:w="567" w:type="dxa"/>
            <w:tcBorders>
              <w:top w:val="nil"/>
              <w:left w:val="nil"/>
              <w:bottom w:val="single" w:sz="8" w:space="0" w:color="auto"/>
              <w:right w:val="single" w:sz="8" w:space="0" w:color="auto"/>
            </w:tcBorders>
            <w:shd w:val="clear" w:color="auto" w:fill="auto"/>
            <w:vAlign w:val="center"/>
          </w:tcPr>
          <w:p w14:paraId="5C78F80F" w14:textId="77777777" w:rsidR="004B0524" w:rsidRPr="00B87B95" w:rsidRDefault="004B0524" w:rsidP="00C05C97">
            <w:pPr>
              <w:spacing w:before="120" w:after="120"/>
              <w:jc w:val="center"/>
              <w:rPr>
                <w:b/>
                <w:color w:val="auto"/>
                <w:sz w:val="12"/>
                <w:szCs w:val="12"/>
              </w:rPr>
            </w:pPr>
            <w:r w:rsidRPr="00B87B95">
              <w:rPr>
                <w:b/>
                <w:color w:val="auto"/>
                <w:sz w:val="12"/>
                <w:szCs w:val="12"/>
              </w:rPr>
              <w:t>2008</w:t>
            </w:r>
          </w:p>
        </w:tc>
        <w:tc>
          <w:tcPr>
            <w:tcW w:w="567" w:type="dxa"/>
            <w:tcBorders>
              <w:top w:val="nil"/>
              <w:left w:val="nil"/>
              <w:bottom w:val="single" w:sz="8" w:space="0" w:color="auto"/>
              <w:right w:val="single" w:sz="8" w:space="0" w:color="auto"/>
            </w:tcBorders>
            <w:shd w:val="clear" w:color="auto" w:fill="auto"/>
            <w:vAlign w:val="center"/>
          </w:tcPr>
          <w:p w14:paraId="27D14512" w14:textId="77777777" w:rsidR="004B0524" w:rsidRPr="00563BC0" w:rsidRDefault="004B0524" w:rsidP="00C05C97">
            <w:pPr>
              <w:spacing w:before="120" w:after="120"/>
              <w:jc w:val="center"/>
              <w:rPr>
                <w:b/>
                <w:color w:val="auto"/>
                <w:sz w:val="12"/>
                <w:szCs w:val="12"/>
              </w:rPr>
            </w:pPr>
            <w:r w:rsidRPr="00563BC0">
              <w:rPr>
                <w:b/>
                <w:color w:val="auto"/>
                <w:sz w:val="12"/>
                <w:szCs w:val="12"/>
              </w:rPr>
              <w:t>2009</w:t>
            </w:r>
          </w:p>
        </w:tc>
        <w:tc>
          <w:tcPr>
            <w:tcW w:w="567" w:type="dxa"/>
            <w:tcBorders>
              <w:top w:val="nil"/>
              <w:left w:val="nil"/>
              <w:bottom w:val="single" w:sz="8" w:space="0" w:color="auto"/>
              <w:right w:val="single" w:sz="8" w:space="0" w:color="auto"/>
            </w:tcBorders>
            <w:shd w:val="clear" w:color="auto" w:fill="auto"/>
            <w:vAlign w:val="center"/>
          </w:tcPr>
          <w:p w14:paraId="2253936A" w14:textId="77777777" w:rsidR="004B0524" w:rsidRPr="00563BC0" w:rsidRDefault="004B0524" w:rsidP="00C05C97">
            <w:pPr>
              <w:spacing w:before="120" w:after="120"/>
              <w:jc w:val="center"/>
              <w:rPr>
                <w:b/>
                <w:color w:val="auto"/>
                <w:sz w:val="12"/>
                <w:szCs w:val="12"/>
              </w:rPr>
            </w:pPr>
            <w:r w:rsidRPr="00563BC0">
              <w:rPr>
                <w:b/>
                <w:color w:val="auto"/>
                <w:sz w:val="12"/>
                <w:szCs w:val="12"/>
              </w:rPr>
              <w:t>2010</w:t>
            </w:r>
          </w:p>
        </w:tc>
        <w:tc>
          <w:tcPr>
            <w:tcW w:w="567" w:type="dxa"/>
            <w:tcBorders>
              <w:top w:val="nil"/>
              <w:left w:val="nil"/>
              <w:bottom w:val="single" w:sz="8" w:space="0" w:color="auto"/>
              <w:right w:val="single" w:sz="8" w:space="0" w:color="auto"/>
            </w:tcBorders>
            <w:shd w:val="clear" w:color="auto" w:fill="auto"/>
            <w:vAlign w:val="center"/>
          </w:tcPr>
          <w:p w14:paraId="7B4B151B" w14:textId="77777777" w:rsidR="004B0524" w:rsidRPr="00563BC0" w:rsidRDefault="004B0524" w:rsidP="00C05C97">
            <w:pPr>
              <w:spacing w:before="120" w:after="120"/>
              <w:jc w:val="center"/>
              <w:rPr>
                <w:b/>
                <w:color w:val="auto"/>
                <w:sz w:val="12"/>
                <w:szCs w:val="12"/>
              </w:rPr>
            </w:pPr>
            <w:r w:rsidRPr="00563BC0">
              <w:rPr>
                <w:b/>
                <w:color w:val="auto"/>
                <w:sz w:val="12"/>
                <w:szCs w:val="12"/>
              </w:rPr>
              <w:t>2011</w:t>
            </w:r>
          </w:p>
        </w:tc>
        <w:tc>
          <w:tcPr>
            <w:tcW w:w="567" w:type="dxa"/>
            <w:tcBorders>
              <w:top w:val="nil"/>
              <w:left w:val="nil"/>
              <w:bottom w:val="single" w:sz="8" w:space="0" w:color="auto"/>
              <w:right w:val="single" w:sz="8" w:space="0" w:color="auto"/>
            </w:tcBorders>
            <w:shd w:val="clear" w:color="auto" w:fill="auto"/>
            <w:vAlign w:val="center"/>
          </w:tcPr>
          <w:p w14:paraId="0A75B794" w14:textId="77777777" w:rsidR="004B0524" w:rsidRPr="00563BC0" w:rsidRDefault="004B0524" w:rsidP="00C05C97">
            <w:pPr>
              <w:spacing w:before="120" w:after="120"/>
              <w:jc w:val="center"/>
              <w:rPr>
                <w:b/>
                <w:color w:val="auto"/>
                <w:sz w:val="12"/>
                <w:szCs w:val="12"/>
              </w:rPr>
            </w:pPr>
            <w:r w:rsidRPr="00563BC0">
              <w:rPr>
                <w:b/>
                <w:color w:val="auto"/>
                <w:sz w:val="12"/>
                <w:szCs w:val="12"/>
              </w:rPr>
              <w:t>2012</w:t>
            </w:r>
          </w:p>
        </w:tc>
        <w:tc>
          <w:tcPr>
            <w:tcW w:w="567" w:type="dxa"/>
            <w:tcBorders>
              <w:top w:val="nil"/>
              <w:left w:val="nil"/>
              <w:bottom w:val="single" w:sz="8" w:space="0" w:color="auto"/>
              <w:right w:val="single" w:sz="8" w:space="0" w:color="auto"/>
            </w:tcBorders>
            <w:shd w:val="clear" w:color="auto" w:fill="auto"/>
            <w:vAlign w:val="center"/>
          </w:tcPr>
          <w:p w14:paraId="61106B86" w14:textId="77777777" w:rsidR="004B0524" w:rsidRPr="00563BC0" w:rsidRDefault="004B0524" w:rsidP="00C05C97">
            <w:pPr>
              <w:spacing w:before="120" w:after="120"/>
              <w:jc w:val="center"/>
              <w:rPr>
                <w:b/>
                <w:color w:val="auto"/>
                <w:sz w:val="12"/>
                <w:szCs w:val="12"/>
              </w:rPr>
            </w:pPr>
            <w:r w:rsidRPr="00563BC0">
              <w:rPr>
                <w:b/>
                <w:color w:val="auto"/>
                <w:sz w:val="12"/>
                <w:szCs w:val="12"/>
              </w:rPr>
              <w:t>2013</w:t>
            </w:r>
          </w:p>
        </w:tc>
        <w:tc>
          <w:tcPr>
            <w:tcW w:w="567" w:type="dxa"/>
            <w:tcBorders>
              <w:top w:val="nil"/>
              <w:left w:val="nil"/>
              <w:bottom w:val="single" w:sz="8" w:space="0" w:color="auto"/>
              <w:right w:val="single" w:sz="4" w:space="0" w:color="auto"/>
            </w:tcBorders>
            <w:vAlign w:val="center"/>
          </w:tcPr>
          <w:p w14:paraId="4DF9EDD0" w14:textId="77777777" w:rsidR="004B0524" w:rsidRPr="00563BC0" w:rsidRDefault="004B0524" w:rsidP="00C05C97">
            <w:pPr>
              <w:spacing w:before="120" w:after="120"/>
              <w:jc w:val="center"/>
              <w:rPr>
                <w:b/>
                <w:color w:val="auto"/>
                <w:sz w:val="12"/>
                <w:szCs w:val="12"/>
              </w:rPr>
            </w:pPr>
            <w:r w:rsidRPr="00563BC0">
              <w:rPr>
                <w:b/>
                <w:color w:val="auto"/>
                <w:sz w:val="12"/>
                <w:szCs w:val="12"/>
              </w:rPr>
              <w:t>2014</w:t>
            </w:r>
          </w:p>
        </w:tc>
        <w:tc>
          <w:tcPr>
            <w:tcW w:w="567" w:type="dxa"/>
            <w:tcBorders>
              <w:top w:val="nil"/>
              <w:left w:val="single" w:sz="4" w:space="0" w:color="auto"/>
              <w:bottom w:val="single" w:sz="8" w:space="0" w:color="auto"/>
              <w:right w:val="single" w:sz="4" w:space="0" w:color="auto"/>
            </w:tcBorders>
            <w:vAlign w:val="center"/>
          </w:tcPr>
          <w:p w14:paraId="08252141" w14:textId="77777777" w:rsidR="004B0524" w:rsidRPr="000F08B5" w:rsidRDefault="004B0524" w:rsidP="00C05C97">
            <w:pPr>
              <w:spacing w:before="120" w:after="120"/>
              <w:jc w:val="center"/>
              <w:rPr>
                <w:b/>
                <w:color w:val="auto"/>
                <w:sz w:val="12"/>
                <w:szCs w:val="12"/>
              </w:rPr>
            </w:pPr>
            <w:r w:rsidRPr="000F08B5">
              <w:rPr>
                <w:b/>
                <w:color w:val="auto"/>
                <w:sz w:val="12"/>
                <w:szCs w:val="12"/>
              </w:rPr>
              <w:t>2015</w:t>
            </w:r>
          </w:p>
        </w:tc>
        <w:tc>
          <w:tcPr>
            <w:tcW w:w="567" w:type="dxa"/>
            <w:tcBorders>
              <w:top w:val="nil"/>
              <w:left w:val="single" w:sz="4" w:space="0" w:color="auto"/>
              <w:bottom w:val="single" w:sz="8" w:space="0" w:color="auto"/>
              <w:right w:val="single" w:sz="4" w:space="0" w:color="auto"/>
            </w:tcBorders>
            <w:vAlign w:val="center"/>
          </w:tcPr>
          <w:p w14:paraId="1379622E" w14:textId="77777777" w:rsidR="004B0524" w:rsidRPr="000F08B5" w:rsidRDefault="004B0524" w:rsidP="00C05C97">
            <w:pPr>
              <w:spacing w:before="120" w:after="120"/>
              <w:jc w:val="center"/>
              <w:rPr>
                <w:b/>
                <w:color w:val="auto"/>
                <w:sz w:val="12"/>
                <w:szCs w:val="12"/>
              </w:rPr>
            </w:pPr>
            <w:r w:rsidRPr="000F08B5">
              <w:rPr>
                <w:b/>
                <w:color w:val="auto"/>
                <w:sz w:val="12"/>
                <w:szCs w:val="12"/>
              </w:rPr>
              <w:t>2016</w:t>
            </w:r>
          </w:p>
        </w:tc>
        <w:tc>
          <w:tcPr>
            <w:tcW w:w="709" w:type="dxa"/>
            <w:tcBorders>
              <w:top w:val="nil"/>
              <w:left w:val="single" w:sz="4" w:space="0" w:color="auto"/>
              <w:bottom w:val="single" w:sz="8" w:space="0" w:color="auto"/>
              <w:right w:val="single" w:sz="8" w:space="0" w:color="auto"/>
            </w:tcBorders>
            <w:shd w:val="clear" w:color="auto" w:fill="auto"/>
            <w:vAlign w:val="center"/>
          </w:tcPr>
          <w:p w14:paraId="32B82E97" w14:textId="77777777" w:rsidR="004B0524" w:rsidRPr="00365366" w:rsidRDefault="004B0524" w:rsidP="00C05C97">
            <w:pPr>
              <w:spacing w:before="120" w:after="120"/>
              <w:jc w:val="center"/>
              <w:rPr>
                <w:b/>
                <w:color w:val="auto"/>
                <w:sz w:val="12"/>
                <w:szCs w:val="12"/>
              </w:rPr>
            </w:pPr>
            <w:r w:rsidRPr="00365366">
              <w:rPr>
                <w:b/>
                <w:color w:val="auto"/>
                <w:sz w:val="12"/>
                <w:szCs w:val="12"/>
              </w:rPr>
              <w:t>2005</w:t>
            </w:r>
          </w:p>
        </w:tc>
        <w:tc>
          <w:tcPr>
            <w:tcW w:w="567" w:type="dxa"/>
            <w:tcBorders>
              <w:top w:val="nil"/>
              <w:left w:val="nil"/>
              <w:bottom w:val="single" w:sz="8" w:space="0" w:color="auto"/>
              <w:right w:val="single" w:sz="8" w:space="0" w:color="auto"/>
            </w:tcBorders>
            <w:shd w:val="clear" w:color="auto" w:fill="auto"/>
            <w:vAlign w:val="center"/>
          </w:tcPr>
          <w:p w14:paraId="5EE03351" w14:textId="77777777" w:rsidR="004B0524" w:rsidRPr="00F9037E" w:rsidRDefault="004B0524" w:rsidP="00C05C97">
            <w:pPr>
              <w:spacing w:before="120" w:after="120"/>
              <w:jc w:val="center"/>
              <w:rPr>
                <w:b/>
                <w:color w:val="auto"/>
                <w:sz w:val="12"/>
                <w:szCs w:val="12"/>
              </w:rPr>
            </w:pPr>
            <w:r w:rsidRPr="00F9037E">
              <w:rPr>
                <w:b/>
                <w:color w:val="auto"/>
                <w:sz w:val="12"/>
                <w:szCs w:val="12"/>
              </w:rPr>
              <w:t>2006</w:t>
            </w:r>
          </w:p>
        </w:tc>
        <w:tc>
          <w:tcPr>
            <w:tcW w:w="567" w:type="dxa"/>
            <w:tcBorders>
              <w:top w:val="nil"/>
              <w:left w:val="nil"/>
              <w:bottom w:val="single" w:sz="8" w:space="0" w:color="auto"/>
              <w:right w:val="single" w:sz="8" w:space="0" w:color="auto"/>
            </w:tcBorders>
            <w:shd w:val="clear" w:color="auto" w:fill="auto"/>
            <w:vAlign w:val="center"/>
          </w:tcPr>
          <w:p w14:paraId="5A1D89CF" w14:textId="77777777" w:rsidR="004B0524" w:rsidRPr="00F9037E" w:rsidRDefault="004B0524" w:rsidP="00C05C97">
            <w:pPr>
              <w:spacing w:before="120" w:after="120"/>
              <w:jc w:val="center"/>
              <w:rPr>
                <w:b/>
                <w:color w:val="auto"/>
                <w:sz w:val="12"/>
                <w:szCs w:val="12"/>
              </w:rPr>
            </w:pPr>
            <w:r w:rsidRPr="00F9037E">
              <w:rPr>
                <w:b/>
                <w:color w:val="auto"/>
                <w:sz w:val="12"/>
                <w:szCs w:val="12"/>
              </w:rPr>
              <w:t>2007</w:t>
            </w:r>
          </w:p>
        </w:tc>
        <w:tc>
          <w:tcPr>
            <w:tcW w:w="567" w:type="dxa"/>
            <w:tcBorders>
              <w:top w:val="nil"/>
              <w:left w:val="nil"/>
              <w:bottom w:val="single" w:sz="8" w:space="0" w:color="auto"/>
              <w:right w:val="single" w:sz="8" w:space="0" w:color="auto"/>
            </w:tcBorders>
            <w:shd w:val="clear" w:color="auto" w:fill="auto"/>
            <w:vAlign w:val="center"/>
          </w:tcPr>
          <w:p w14:paraId="3A3CACCE" w14:textId="77777777" w:rsidR="004B0524" w:rsidRPr="00F9037E" w:rsidRDefault="004B0524" w:rsidP="00C05C97">
            <w:pPr>
              <w:spacing w:before="120" w:after="120"/>
              <w:jc w:val="center"/>
              <w:rPr>
                <w:b/>
                <w:color w:val="auto"/>
                <w:sz w:val="12"/>
                <w:szCs w:val="12"/>
              </w:rPr>
            </w:pPr>
            <w:r w:rsidRPr="00F9037E">
              <w:rPr>
                <w:b/>
                <w:color w:val="auto"/>
                <w:sz w:val="12"/>
                <w:szCs w:val="12"/>
              </w:rPr>
              <w:t>2008</w:t>
            </w:r>
          </w:p>
        </w:tc>
        <w:tc>
          <w:tcPr>
            <w:tcW w:w="567" w:type="dxa"/>
            <w:tcBorders>
              <w:top w:val="nil"/>
              <w:left w:val="nil"/>
              <w:bottom w:val="single" w:sz="8" w:space="0" w:color="auto"/>
              <w:right w:val="single" w:sz="8" w:space="0" w:color="auto"/>
            </w:tcBorders>
            <w:shd w:val="clear" w:color="auto" w:fill="auto"/>
            <w:vAlign w:val="center"/>
          </w:tcPr>
          <w:p w14:paraId="44BE362C" w14:textId="77777777" w:rsidR="004B0524" w:rsidRPr="00F9037E" w:rsidRDefault="004B0524" w:rsidP="00C05C97">
            <w:pPr>
              <w:spacing w:before="120" w:after="120"/>
              <w:jc w:val="center"/>
              <w:rPr>
                <w:b/>
                <w:color w:val="auto"/>
                <w:sz w:val="12"/>
                <w:szCs w:val="12"/>
              </w:rPr>
            </w:pPr>
            <w:r w:rsidRPr="00F9037E">
              <w:rPr>
                <w:b/>
                <w:color w:val="auto"/>
                <w:sz w:val="12"/>
                <w:szCs w:val="12"/>
              </w:rPr>
              <w:t>2009</w:t>
            </w:r>
          </w:p>
        </w:tc>
        <w:tc>
          <w:tcPr>
            <w:tcW w:w="567" w:type="dxa"/>
            <w:tcBorders>
              <w:top w:val="nil"/>
              <w:left w:val="nil"/>
              <w:bottom w:val="single" w:sz="8" w:space="0" w:color="auto"/>
              <w:right w:val="single" w:sz="8" w:space="0" w:color="auto"/>
            </w:tcBorders>
            <w:shd w:val="clear" w:color="auto" w:fill="auto"/>
            <w:vAlign w:val="center"/>
          </w:tcPr>
          <w:p w14:paraId="50311FEF" w14:textId="77777777" w:rsidR="004B0524" w:rsidRPr="00F9037E" w:rsidRDefault="004B0524" w:rsidP="00C05C97">
            <w:pPr>
              <w:spacing w:before="120" w:after="120"/>
              <w:jc w:val="center"/>
              <w:rPr>
                <w:b/>
                <w:color w:val="auto"/>
                <w:sz w:val="12"/>
                <w:szCs w:val="12"/>
              </w:rPr>
            </w:pPr>
            <w:r w:rsidRPr="00F9037E">
              <w:rPr>
                <w:b/>
                <w:color w:val="auto"/>
                <w:sz w:val="12"/>
                <w:szCs w:val="12"/>
              </w:rPr>
              <w:t>2010</w:t>
            </w:r>
          </w:p>
        </w:tc>
        <w:tc>
          <w:tcPr>
            <w:tcW w:w="567" w:type="dxa"/>
            <w:tcBorders>
              <w:top w:val="nil"/>
              <w:left w:val="nil"/>
              <w:bottom w:val="single" w:sz="8" w:space="0" w:color="auto"/>
              <w:right w:val="single" w:sz="8" w:space="0" w:color="auto"/>
            </w:tcBorders>
            <w:shd w:val="clear" w:color="auto" w:fill="auto"/>
            <w:vAlign w:val="center"/>
          </w:tcPr>
          <w:p w14:paraId="07A2E786" w14:textId="77777777" w:rsidR="004B0524" w:rsidRPr="00F9037E" w:rsidRDefault="004B0524" w:rsidP="00C05C97">
            <w:pPr>
              <w:spacing w:before="120" w:after="120"/>
              <w:jc w:val="center"/>
              <w:rPr>
                <w:b/>
                <w:color w:val="auto"/>
                <w:sz w:val="12"/>
                <w:szCs w:val="12"/>
              </w:rPr>
            </w:pPr>
            <w:r w:rsidRPr="00F9037E">
              <w:rPr>
                <w:b/>
                <w:color w:val="auto"/>
                <w:sz w:val="12"/>
                <w:szCs w:val="12"/>
              </w:rPr>
              <w:t>2011</w:t>
            </w:r>
          </w:p>
        </w:tc>
        <w:tc>
          <w:tcPr>
            <w:tcW w:w="567" w:type="dxa"/>
            <w:tcBorders>
              <w:top w:val="single" w:sz="4" w:space="0" w:color="auto"/>
              <w:left w:val="nil"/>
              <w:bottom w:val="single" w:sz="8" w:space="0" w:color="auto"/>
              <w:right w:val="single" w:sz="8" w:space="0" w:color="auto"/>
            </w:tcBorders>
            <w:shd w:val="clear" w:color="auto" w:fill="auto"/>
            <w:vAlign w:val="center"/>
          </w:tcPr>
          <w:p w14:paraId="0F98AF0A" w14:textId="77777777" w:rsidR="004B0524" w:rsidRPr="00F9037E" w:rsidRDefault="004B0524" w:rsidP="00C05C97">
            <w:pPr>
              <w:spacing w:before="120" w:after="120"/>
              <w:jc w:val="center"/>
              <w:rPr>
                <w:b/>
                <w:color w:val="auto"/>
                <w:sz w:val="12"/>
                <w:szCs w:val="12"/>
              </w:rPr>
            </w:pPr>
            <w:r w:rsidRPr="00F9037E">
              <w:rPr>
                <w:b/>
                <w:color w:val="auto"/>
                <w:sz w:val="12"/>
                <w:szCs w:val="12"/>
              </w:rPr>
              <w:t>2012</w:t>
            </w:r>
          </w:p>
        </w:tc>
        <w:tc>
          <w:tcPr>
            <w:tcW w:w="567" w:type="dxa"/>
            <w:tcBorders>
              <w:top w:val="single" w:sz="4" w:space="0" w:color="auto"/>
              <w:left w:val="nil"/>
              <w:bottom w:val="single" w:sz="8" w:space="0" w:color="auto"/>
              <w:right w:val="single" w:sz="8" w:space="0" w:color="auto"/>
            </w:tcBorders>
            <w:vAlign w:val="center"/>
          </w:tcPr>
          <w:p w14:paraId="6F7FBE50" w14:textId="77777777" w:rsidR="004B0524" w:rsidRPr="00F9037E" w:rsidRDefault="004B0524" w:rsidP="00C05C97">
            <w:pPr>
              <w:spacing w:before="120" w:after="120"/>
              <w:jc w:val="center"/>
              <w:rPr>
                <w:b/>
                <w:color w:val="auto"/>
                <w:sz w:val="12"/>
                <w:szCs w:val="12"/>
              </w:rPr>
            </w:pPr>
            <w:r w:rsidRPr="00F9037E">
              <w:rPr>
                <w:b/>
                <w:color w:val="auto"/>
                <w:sz w:val="12"/>
                <w:szCs w:val="12"/>
              </w:rPr>
              <w:t>2013</w:t>
            </w:r>
          </w:p>
        </w:tc>
        <w:tc>
          <w:tcPr>
            <w:tcW w:w="567" w:type="dxa"/>
            <w:tcBorders>
              <w:top w:val="single" w:sz="4" w:space="0" w:color="auto"/>
              <w:left w:val="nil"/>
              <w:bottom w:val="single" w:sz="8" w:space="0" w:color="auto"/>
              <w:right w:val="single" w:sz="8" w:space="0" w:color="auto"/>
            </w:tcBorders>
            <w:vAlign w:val="center"/>
          </w:tcPr>
          <w:p w14:paraId="12B4FF4C" w14:textId="77777777" w:rsidR="004B0524" w:rsidRPr="00F9037E" w:rsidRDefault="004B0524" w:rsidP="00C05C97">
            <w:pPr>
              <w:spacing w:before="120" w:after="120"/>
              <w:jc w:val="center"/>
              <w:rPr>
                <w:b/>
                <w:color w:val="auto"/>
                <w:sz w:val="12"/>
                <w:szCs w:val="12"/>
              </w:rPr>
            </w:pPr>
            <w:r w:rsidRPr="00F9037E">
              <w:rPr>
                <w:b/>
                <w:color w:val="auto"/>
                <w:sz w:val="12"/>
                <w:szCs w:val="12"/>
              </w:rPr>
              <w:t>2014</w:t>
            </w:r>
          </w:p>
        </w:tc>
        <w:tc>
          <w:tcPr>
            <w:tcW w:w="567" w:type="dxa"/>
            <w:tcBorders>
              <w:top w:val="single" w:sz="4" w:space="0" w:color="auto"/>
              <w:left w:val="nil"/>
              <w:bottom w:val="single" w:sz="8" w:space="0" w:color="auto"/>
              <w:right w:val="single" w:sz="8" w:space="0" w:color="auto"/>
            </w:tcBorders>
            <w:vAlign w:val="center"/>
          </w:tcPr>
          <w:p w14:paraId="44B2C061" w14:textId="77777777" w:rsidR="004B0524" w:rsidRPr="00F9037E" w:rsidRDefault="004B0524" w:rsidP="00C05C97">
            <w:pPr>
              <w:spacing w:before="120" w:after="120"/>
              <w:jc w:val="center"/>
              <w:rPr>
                <w:b/>
                <w:color w:val="auto"/>
                <w:sz w:val="12"/>
                <w:szCs w:val="12"/>
              </w:rPr>
            </w:pPr>
            <w:r w:rsidRPr="00F9037E">
              <w:rPr>
                <w:b/>
                <w:color w:val="auto"/>
                <w:sz w:val="12"/>
                <w:szCs w:val="12"/>
              </w:rPr>
              <w:t>2015</w:t>
            </w:r>
          </w:p>
        </w:tc>
        <w:tc>
          <w:tcPr>
            <w:tcW w:w="567" w:type="dxa"/>
            <w:tcBorders>
              <w:top w:val="single" w:sz="4" w:space="0" w:color="auto"/>
              <w:left w:val="nil"/>
              <w:bottom w:val="single" w:sz="8" w:space="0" w:color="auto"/>
              <w:right w:val="single" w:sz="8" w:space="0" w:color="auto"/>
            </w:tcBorders>
            <w:vAlign w:val="center"/>
          </w:tcPr>
          <w:p w14:paraId="188B24CE" w14:textId="77777777" w:rsidR="004B0524" w:rsidRPr="00F9037E" w:rsidRDefault="004B0524" w:rsidP="00C05C97">
            <w:pPr>
              <w:spacing w:before="120" w:after="120"/>
              <w:jc w:val="center"/>
              <w:rPr>
                <w:b/>
                <w:color w:val="auto"/>
                <w:sz w:val="12"/>
                <w:szCs w:val="12"/>
              </w:rPr>
            </w:pPr>
            <w:r w:rsidRPr="00F9037E">
              <w:rPr>
                <w:b/>
                <w:color w:val="auto"/>
                <w:sz w:val="12"/>
                <w:szCs w:val="12"/>
              </w:rPr>
              <w:t>2016</w:t>
            </w:r>
          </w:p>
        </w:tc>
      </w:tr>
      <w:tr w:rsidR="004B0524" w:rsidRPr="00F9037E" w14:paraId="3F3ED3D9" w14:textId="77777777" w:rsidTr="00C05C97">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4C385F10" w14:textId="1340A739" w:rsidR="004B0524" w:rsidRPr="00F9037E" w:rsidRDefault="004B0524" w:rsidP="00C05C97">
            <w:pPr>
              <w:spacing w:before="120" w:after="120"/>
              <w:rPr>
                <w:color w:val="auto"/>
                <w:sz w:val="12"/>
                <w:szCs w:val="12"/>
              </w:rPr>
            </w:pPr>
            <w:r w:rsidRPr="00F9037E">
              <w:rPr>
                <w:color w:val="auto"/>
                <w:sz w:val="12"/>
                <w:szCs w:val="12"/>
              </w:rPr>
              <w:t>Australia</w:t>
            </w:r>
          </w:p>
        </w:tc>
        <w:tc>
          <w:tcPr>
            <w:tcW w:w="818" w:type="dxa"/>
            <w:tcBorders>
              <w:top w:val="nil"/>
              <w:left w:val="nil"/>
              <w:bottom w:val="single" w:sz="8" w:space="0" w:color="auto"/>
              <w:right w:val="single" w:sz="8" w:space="0" w:color="auto"/>
            </w:tcBorders>
            <w:shd w:val="clear" w:color="auto" w:fill="auto"/>
            <w:vAlign w:val="center"/>
          </w:tcPr>
          <w:p w14:paraId="29A3BFA8" w14:textId="77777777" w:rsidR="004B0524" w:rsidRPr="00F9037E" w:rsidRDefault="004B0524" w:rsidP="00C05C97">
            <w:pPr>
              <w:spacing w:before="120" w:after="120"/>
              <w:rPr>
                <w:color w:val="auto"/>
                <w:sz w:val="12"/>
                <w:szCs w:val="12"/>
              </w:rPr>
            </w:pPr>
            <w:r w:rsidRPr="00F9037E">
              <w:rPr>
                <w:color w:val="auto"/>
                <w:sz w:val="12"/>
                <w:szCs w:val="12"/>
              </w:rPr>
              <w:t>Almonds</w:t>
            </w:r>
          </w:p>
        </w:tc>
        <w:tc>
          <w:tcPr>
            <w:tcW w:w="567" w:type="dxa"/>
            <w:tcBorders>
              <w:top w:val="nil"/>
              <w:left w:val="nil"/>
              <w:bottom w:val="single" w:sz="8" w:space="0" w:color="auto"/>
              <w:right w:val="single" w:sz="8" w:space="0" w:color="auto"/>
            </w:tcBorders>
            <w:shd w:val="clear" w:color="auto" w:fill="auto"/>
            <w:vAlign w:val="center"/>
          </w:tcPr>
          <w:p w14:paraId="09FC5784" w14:textId="77777777" w:rsidR="004B0524" w:rsidRPr="00F9037E" w:rsidRDefault="004B0524" w:rsidP="00C05C97">
            <w:pPr>
              <w:spacing w:before="120" w:after="120"/>
              <w:jc w:val="center"/>
              <w:rPr>
                <w:color w:val="auto"/>
                <w:sz w:val="12"/>
                <w:szCs w:val="12"/>
              </w:rPr>
            </w:pPr>
            <w:r w:rsidRPr="00F9037E">
              <w:rPr>
                <w:color w:val="auto"/>
                <w:sz w:val="12"/>
                <w:szCs w:val="12"/>
              </w:rPr>
              <w:t>1.900</w:t>
            </w:r>
          </w:p>
        </w:tc>
        <w:tc>
          <w:tcPr>
            <w:tcW w:w="567" w:type="dxa"/>
            <w:tcBorders>
              <w:top w:val="nil"/>
              <w:left w:val="nil"/>
              <w:bottom w:val="single" w:sz="8" w:space="0" w:color="auto"/>
              <w:right w:val="single" w:sz="8" w:space="0" w:color="auto"/>
            </w:tcBorders>
            <w:shd w:val="clear" w:color="auto" w:fill="auto"/>
            <w:vAlign w:val="center"/>
          </w:tcPr>
          <w:p w14:paraId="30B6215F" w14:textId="77777777" w:rsidR="004B0524" w:rsidRPr="00F9037E" w:rsidRDefault="004B0524" w:rsidP="00C05C97">
            <w:pPr>
              <w:spacing w:before="120" w:after="120"/>
              <w:jc w:val="center"/>
              <w:rPr>
                <w:color w:val="auto"/>
                <w:sz w:val="12"/>
                <w:szCs w:val="12"/>
              </w:rPr>
            </w:pPr>
            <w:r w:rsidRPr="00F9037E">
              <w:rPr>
                <w:color w:val="auto"/>
                <w:sz w:val="12"/>
                <w:szCs w:val="12"/>
              </w:rPr>
              <w:t>2.100</w:t>
            </w:r>
          </w:p>
        </w:tc>
        <w:tc>
          <w:tcPr>
            <w:tcW w:w="567" w:type="dxa"/>
            <w:tcBorders>
              <w:top w:val="nil"/>
              <w:left w:val="nil"/>
              <w:bottom w:val="single" w:sz="8" w:space="0" w:color="auto"/>
              <w:right w:val="single" w:sz="8" w:space="0" w:color="auto"/>
            </w:tcBorders>
            <w:shd w:val="clear" w:color="auto" w:fill="auto"/>
            <w:vAlign w:val="center"/>
          </w:tcPr>
          <w:p w14:paraId="562AF8C0" w14:textId="325BE8F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995C347" w14:textId="0B04E223"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171595B" w14:textId="5564181A"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47DB460" w14:textId="7BFD90E8"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57DA92F" w14:textId="49AD10F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0D02F89" w14:textId="0F7090CD"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DBC9534" w14:textId="6C6FBD5F"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36B4BE16"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EED35CC"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D35AAD9"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EE83B93" w14:textId="77777777" w:rsidR="004B0524" w:rsidRPr="00F9037E" w:rsidRDefault="004B0524" w:rsidP="00C05C97">
            <w:pPr>
              <w:spacing w:before="120" w:after="120"/>
              <w:jc w:val="center"/>
              <w:rPr>
                <w:color w:val="auto"/>
                <w:sz w:val="12"/>
                <w:szCs w:val="12"/>
              </w:rPr>
            </w:pPr>
            <w:r w:rsidRPr="00F9037E">
              <w:rPr>
                <w:color w:val="auto"/>
                <w:sz w:val="12"/>
                <w:szCs w:val="12"/>
              </w:rPr>
              <w:t>1.900</w:t>
            </w:r>
          </w:p>
        </w:tc>
        <w:tc>
          <w:tcPr>
            <w:tcW w:w="567" w:type="dxa"/>
            <w:tcBorders>
              <w:top w:val="nil"/>
              <w:left w:val="nil"/>
              <w:bottom w:val="single" w:sz="8" w:space="0" w:color="auto"/>
              <w:right w:val="single" w:sz="8" w:space="0" w:color="auto"/>
            </w:tcBorders>
            <w:shd w:val="clear" w:color="auto" w:fill="auto"/>
            <w:vAlign w:val="center"/>
          </w:tcPr>
          <w:p w14:paraId="7E4229E0" w14:textId="77777777" w:rsidR="004B0524" w:rsidRPr="00F9037E" w:rsidRDefault="004B0524" w:rsidP="00C05C97">
            <w:pPr>
              <w:spacing w:before="120" w:after="120"/>
              <w:jc w:val="center"/>
              <w:rPr>
                <w:color w:val="auto"/>
                <w:sz w:val="12"/>
                <w:szCs w:val="12"/>
              </w:rPr>
            </w:pPr>
            <w:r w:rsidRPr="00F9037E">
              <w:rPr>
                <w:color w:val="auto"/>
                <w:sz w:val="12"/>
                <w:szCs w:val="12"/>
              </w:rPr>
              <w:t>2.100</w:t>
            </w:r>
          </w:p>
        </w:tc>
        <w:tc>
          <w:tcPr>
            <w:tcW w:w="567" w:type="dxa"/>
            <w:tcBorders>
              <w:top w:val="nil"/>
              <w:left w:val="nil"/>
              <w:bottom w:val="single" w:sz="8" w:space="0" w:color="auto"/>
              <w:right w:val="single" w:sz="8" w:space="0" w:color="auto"/>
            </w:tcBorders>
            <w:shd w:val="clear" w:color="auto" w:fill="auto"/>
            <w:vAlign w:val="center"/>
          </w:tcPr>
          <w:p w14:paraId="4B4D6E69" w14:textId="15C0C87F"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4918BAE" w14:textId="1FD861AB"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EA894BD" w14:textId="4B279312"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45EDA51" w14:textId="4841EAFC"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5EA5673" w14:textId="23E0B06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3A0371E3" w14:textId="7DDBED4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134F1E6"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730D5A0"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7804980"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F9055F7" w14:textId="77777777" w:rsidR="004B0524" w:rsidRPr="00F9037E" w:rsidRDefault="004B0524" w:rsidP="00C05C97">
            <w:pPr>
              <w:spacing w:before="120" w:after="120"/>
              <w:jc w:val="center"/>
              <w:rPr>
                <w:color w:val="auto"/>
                <w:sz w:val="12"/>
                <w:szCs w:val="12"/>
              </w:rPr>
            </w:pPr>
          </w:p>
        </w:tc>
      </w:tr>
      <w:tr w:rsidR="004B0524" w:rsidRPr="00F9037E" w14:paraId="4A548DF2" w14:textId="77777777" w:rsidTr="00C05C97">
        <w:trPr>
          <w:cantSplit/>
          <w:trHeight w:val="405"/>
          <w:jc w:val="center"/>
        </w:trPr>
        <w:tc>
          <w:tcPr>
            <w:tcW w:w="813" w:type="dxa"/>
            <w:vMerge w:val="restart"/>
            <w:tcBorders>
              <w:top w:val="nil"/>
              <w:left w:val="single" w:sz="8" w:space="0" w:color="auto"/>
              <w:bottom w:val="single" w:sz="8" w:space="0" w:color="000000"/>
              <w:right w:val="single" w:sz="8" w:space="0" w:color="auto"/>
            </w:tcBorders>
            <w:shd w:val="clear" w:color="auto" w:fill="auto"/>
            <w:vAlign w:val="center"/>
          </w:tcPr>
          <w:p w14:paraId="685213FB" w14:textId="792AADC8" w:rsidR="004B0524" w:rsidRPr="00F9037E" w:rsidRDefault="004B0524" w:rsidP="00C05C97">
            <w:pPr>
              <w:spacing w:before="120" w:after="120"/>
              <w:rPr>
                <w:color w:val="auto"/>
                <w:sz w:val="12"/>
                <w:szCs w:val="12"/>
              </w:rPr>
            </w:pPr>
            <w:r w:rsidRPr="00F9037E">
              <w:rPr>
                <w:color w:val="auto"/>
                <w:sz w:val="12"/>
                <w:szCs w:val="12"/>
              </w:rPr>
              <w:t>Australia</w:t>
            </w:r>
          </w:p>
        </w:tc>
        <w:tc>
          <w:tcPr>
            <w:tcW w:w="818" w:type="dxa"/>
            <w:vMerge w:val="restart"/>
            <w:tcBorders>
              <w:top w:val="nil"/>
              <w:left w:val="single" w:sz="8" w:space="0" w:color="auto"/>
              <w:bottom w:val="single" w:sz="8" w:space="0" w:color="000000"/>
              <w:right w:val="single" w:sz="8" w:space="0" w:color="auto"/>
            </w:tcBorders>
            <w:shd w:val="clear" w:color="auto" w:fill="auto"/>
            <w:vAlign w:val="center"/>
          </w:tcPr>
          <w:p w14:paraId="2FD57075" w14:textId="77777777" w:rsidR="004B0524" w:rsidRPr="00F9037E" w:rsidRDefault="004B0524" w:rsidP="00C05C97">
            <w:pPr>
              <w:spacing w:before="120" w:after="120"/>
              <w:rPr>
                <w:color w:val="auto"/>
                <w:sz w:val="12"/>
                <w:szCs w:val="12"/>
              </w:rPr>
            </w:pPr>
            <w:r w:rsidRPr="00F9037E">
              <w:rPr>
                <w:color w:val="auto"/>
                <w:sz w:val="12"/>
                <w:szCs w:val="12"/>
              </w:rPr>
              <w:t>Rice consumer packs</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2A47FE0A" w14:textId="77777777" w:rsidR="004B0524" w:rsidRPr="00F9037E" w:rsidRDefault="004B0524" w:rsidP="00C05C97">
            <w:pPr>
              <w:spacing w:before="120" w:after="120"/>
              <w:jc w:val="center"/>
              <w:rPr>
                <w:color w:val="auto"/>
                <w:sz w:val="12"/>
                <w:szCs w:val="12"/>
              </w:rPr>
            </w:pPr>
            <w:r w:rsidRPr="00F9037E">
              <w:rPr>
                <w:color w:val="auto"/>
                <w:sz w:val="12"/>
                <w:szCs w:val="12"/>
              </w:rPr>
              <w:t>12.300</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26E98EB1" w14:textId="77777777" w:rsidR="004B0524" w:rsidRPr="00F9037E" w:rsidRDefault="004B0524" w:rsidP="00C05C97">
            <w:pPr>
              <w:spacing w:before="120" w:after="120"/>
              <w:jc w:val="center"/>
              <w:rPr>
                <w:color w:val="auto"/>
                <w:sz w:val="12"/>
                <w:szCs w:val="12"/>
              </w:rPr>
            </w:pPr>
            <w:r w:rsidRPr="00F9037E">
              <w:rPr>
                <w:color w:val="auto"/>
                <w:sz w:val="12"/>
                <w:szCs w:val="12"/>
              </w:rPr>
              <w:t>12.300</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6913D398" w14:textId="77777777" w:rsidR="004B0524" w:rsidRPr="00F9037E" w:rsidRDefault="004B0524" w:rsidP="00C05C97">
            <w:pPr>
              <w:spacing w:before="120" w:after="120"/>
              <w:jc w:val="center"/>
              <w:rPr>
                <w:color w:val="auto"/>
                <w:sz w:val="12"/>
                <w:szCs w:val="12"/>
              </w:rPr>
            </w:pPr>
            <w:r w:rsidRPr="00F9037E">
              <w:rPr>
                <w:color w:val="auto"/>
                <w:sz w:val="12"/>
                <w:szCs w:val="12"/>
              </w:rPr>
              <w:t>10.225</w:t>
            </w:r>
          </w:p>
        </w:tc>
        <w:tc>
          <w:tcPr>
            <w:tcW w:w="567" w:type="dxa"/>
            <w:tcBorders>
              <w:top w:val="nil"/>
              <w:left w:val="nil"/>
              <w:bottom w:val="nil"/>
              <w:right w:val="single" w:sz="8" w:space="0" w:color="auto"/>
            </w:tcBorders>
            <w:shd w:val="clear" w:color="auto" w:fill="auto"/>
            <w:vAlign w:val="center"/>
          </w:tcPr>
          <w:p w14:paraId="38A9705F" w14:textId="77777777" w:rsidR="004B0524" w:rsidRPr="00F9037E" w:rsidRDefault="004B0524" w:rsidP="00C05C97">
            <w:pPr>
              <w:spacing w:before="120" w:after="120"/>
              <w:jc w:val="center"/>
              <w:rPr>
                <w:color w:val="auto"/>
                <w:sz w:val="12"/>
                <w:szCs w:val="12"/>
              </w:rPr>
            </w:pPr>
            <w:r w:rsidRPr="00F9037E">
              <w:rPr>
                <w:color w:val="auto"/>
                <w:sz w:val="12"/>
                <w:szCs w:val="12"/>
              </w:rPr>
              <w:t>9.200</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5748B38B" w14:textId="77777777" w:rsidR="004B0524" w:rsidRPr="00F9037E" w:rsidRDefault="004B0524" w:rsidP="00C05C97">
            <w:pPr>
              <w:spacing w:before="120" w:after="120"/>
              <w:jc w:val="center"/>
              <w:rPr>
                <w:color w:val="auto"/>
                <w:sz w:val="12"/>
                <w:szCs w:val="12"/>
              </w:rPr>
            </w:pPr>
            <w:r w:rsidRPr="00F9037E">
              <w:rPr>
                <w:color w:val="auto"/>
                <w:sz w:val="12"/>
                <w:szCs w:val="12"/>
              </w:rPr>
              <w:t>9.2</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1B1CBCD5" w14:textId="77777777" w:rsidR="004B0524" w:rsidRPr="00F9037E" w:rsidRDefault="004B0524" w:rsidP="00C05C97">
            <w:pPr>
              <w:spacing w:before="120" w:after="120"/>
              <w:jc w:val="center"/>
              <w:rPr>
                <w:color w:val="auto"/>
                <w:sz w:val="12"/>
                <w:szCs w:val="12"/>
              </w:rPr>
            </w:pPr>
            <w:r w:rsidRPr="00F9037E">
              <w:rPr>
                <w:color w:val="auto"/>
                <w:sz w:val="12"/>
                <w:szCs w:val="12"/>
              </w:rPr>
              <w:t>7.82</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3884E8FB" w14:textId="77777777" w:rsidR="004B0524" w:rsidRPr="00F9037E" w:rsidRDefault="004B0524" w:rsidP="00C05C97">
            <w:pPr>
              <w:spacing w:before="120" w:after="120"/>
              <w:jc w:val="center"/>
              <w:rPr>
                <w:color w:val="auto"/>
                <w:sz w:val="12"/>
                <w:szCs w:val="12"/>
              </w:rPr>
            </w:pPr>
            <w:r w:rsidRPr="00F9037E">
              <w:rPr>
                <w:color w:val="auto"/>
                <w:sz w:val="12"/>
                <w:szCs w:val="12"/>
              </w:rPr>
              <w:t>5.66</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5DEAC876" w14:textId="77777777" w:rsidR="004B0524" w:rsidRPr="00F9037E" w:rsidRDefault="004B0524" w:rsidP="00C05C97">
            <w:pPr>
              <w:spacing w:before="120" w:after="120"/>
              <w:jc w:val="center"/>
              <w:rPr>
                <w:color w:val="auto"/>
                <w:sz w:val="12"/>
                <w:szCs w:val="12"/>
              </w:rPr>
            </w:pPr>
            <w:r w:rsidRPr="00F9037E">
              <w:rPr>
                <w:color w:val="auto"/>
                <w:sz w:val="12"/>
                <w:szCs w:val="12"/>
              </w:rPr>
              <w:t>3.653</w:t>
            </w:r>
          </w:p>
        </w:tc>
        <w:tc>
          <w:tcPr>
            <w:tcW w:w="56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3194A8F" w14:textId="77777777" w:rsidR="004B0524" w:rsidRPr="00F9037E" w:rsidRDefault="004B0524" w:rsidP="00C05C97">
            <w:pPr>
              <w:spacing w:before="120" w:after="120"/>
              <w:jc w:val="center"/>
              <w:rPr>
                <w:color w:val="auto"/>
                <w:sz w:val="12"/>
                <w:szCs w:val="12"/>
              </w:rPr>
            </w:pPr>
            <w:r w:rsidRPr="00F9037E">
              <w:rPr>
                <w:color w:val="auto"/>
                <w:sz w:val="12"/>
                <w:szCs w:val="12"/>
              </w:rPr>
              <w:t>2.374</w:t>
            </w:r>
          </w:p>
          <w:p w14:paraId="4C4E14CF" w14:textId="7559CE8F" w:rsidR="004B0524" w:rsidRPr="00F9037E" w:rsidRDefault="004B0524" w:rsidP="00C05C97">
            <w:pPr>
              <w:spacing w:before="120" w:after="120"/>
              <w:jc w:val="center"/>
              <w:rPr>
                <w:color w:val="auto"/>
                <w:sz w:val="12"/>
                <w:szCs w:val="12"/>
              </w:rPr>
            </w:pPr>
          </w:p>
        </w:tc>
        <w:tc>
          <w:tcPr>
            <w:tcW w:w="567" w:type="dxa"/>
            <w:vMerge w:val="restart"/>
            <w:tcBorders>
              <w:top w:val="single" w:sz="8" w:space="0" w:color="auto"/>
              <w:left w:val="single" w:sz="8" w:space="0" w:color="auto"/>
              <w:right w:val="single" w:sz="8" w:space="0" w:color="auto"/>
            </w:tcBorders>
            <w:vAlign w:val="center"/>
          </w:tcPr>
          <w:p w14:paraId="6A812043" w14:textId="77777777" w:rsidR="004B0524" w:rsidRPr="00F9037E" w:rsidRDefault="004B0524" w:rsidP="00C05C97">
            <w:pPr>
              <w:spacing w:before="120" w:after="120"/>
              <w:jc w:val="center"/>
              <w:rPr>
                <w:color w:val="auto"/>
                <w:sz w:val="12"/>
                <w:szCs w:val="12"/>
              </w:rPr>
            </w:pPr>
            <w:r w:rsidRPr="00F9037E">
              <w:rPr>
                <w:color w:val="auto"/>
                <w:sz w:val="12"/>
                <w:szCs w:val="12"/>
              </w:rPr>
              <w:t>1.187</w:t>
            </w:r>
          </w:p>
        </w:tc>
        <w:tc>
          <w:tcPr>
            <w:tcW w:w="567" w:type="dxa"/>
            <w:tcBorders>
              <w:top w:val="nil"/>
              <w:left w:val="single" w:sz="8" w:space="0" w:color="auto"/>
              <w:right w:val="single" w:sz="8" w:space="0" w:color="auto"/>
            </w:tcBorders>
            <w:vAlign w:val="center"/>
          </w:tcPr>
          <w:p w14:paraId="76BFAD16" w14:textId="77777777" w:rsidR="004B0524" w:rsidRPr="00F9037E" w:rsidRDefault="004B0524" w:rsidP="00C05C97">
            <w:pPr>
              <w:spacing w:before="120" w:after="120"/>
              <w:jc w:val="center"/>
              <w:rPr>
                <w:color w:val="auto"/>
                <w:sz w:val="12"/>
                <w:szCs w:val="12"/>
              </w:rPr>
            </w:pPr>
            <w:r w:rsidRPr="00F9037E">
              <w:rPr>
                <w:color w:val="auto"/>
                <w:sz w:val="12"/>
                <w:szCs w:val="12"/>
              </w:rPr>
              <w:t>1.187</w:t>
            </w:r>
          </w:p>
        </w:tc>
        <w:tc>
          <w:tcPr>
            <w:tcW w:w="567" w:type="dxa"/>
            <w:tcBorders>
              <w:top w:val="nil"/>
              <w:left w:val="single" w:sz="8" w:space="0" w:color="auto"/>
              <w:right w:val="single" w:sz="8" w:space="0" w:color="auto"/>
            </w:tcBorders>
            <w:vAlign w:val="center"/>
          </w:tcPr>
          <w:p w14:paraId="326023C6" w14:textId="77777777" w:rsidR="004B0524" w:rsidRPr="00F9037E" w:rsidRDefault="004B0524" w:rsidP="00C05C97">
            <w:pPr>
              <w:spacing w:before="120" w:after="120"/>
              <w:jc w:val="center"/>
              <w:rPr>
                <w:b/>
                <w:color w:val="auto"/>
                <w:sz w:val="12"/>
                <w:szCs w:val="12"/>
              </w:rPr>
            </w:pPr>
          </w:p>
        </w:tc>
        <w:tc>
          <w:tcPr>
            <w:tcW w:w="709" w:type="dxa"/>
            <w:vMerge w:val="restart"/>
            <w:tcBorders>
              <w:top w:val="nil"/>
              <w:left w:val="single" w:sz="8" w:space="0" w:color="auto"/>
              <w:bottom w:val="single" w:sz="8" w:space="0" w:color="000000"/>
              <w:right w:val="single" w:sz="8" w:space="0" w:color="auto"/>
            </w:tcBorders>
            <w:shd w:val="clear" w:color="auto" w:fill="auto"/>
            <w:vAlign w:val="center"/>
          </w:tcPr>
          <w:p w14:paraId="2D49234B" w14:textId="77777777" w:rsidR="004B0524" w:rsidRPr="00F9037E" w:rsidRDefault="004B0524" w:rsidP="00C05C97">
            <w:pPr>
              <w:spacing w:before="120" w:after="120"/>
              <w:jc w:val="center"/>
              <w:rPr>
                <w:color w:val="auto"/>
                <w:sz w:val="12"/>
                <w:szCs w:val="12"/>
              </w:rPr>
            </w:pPr>
            <w:r w:rsidRPr="00F9037E">
              <w:rPr>
                <w:color w:val="auto"/>
                <w:sz w:val="12"/>
                <w:szCs w:val="12"/>
              </w:rPr>
              <w:t>6.150</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69DBCF35" w14:textId="77777777" w:rsidR="004B0524" w:rsidRPr="00F9037E" w:rsidRDefault="004B0524" w:rsidP="00C05C97">
            <w:pPr>
              <w:spacing w:before="120" w:after="120"/>
              <w:jc w:val="center"/>
              <w:rPr>
                <w:color w:val="auto"/>
                <w:sz w:val="12"/>
                <w:szCs w:val="12"/>
              </w:rPr>
            </w:pPr>
            <w:r w:rsidRPr="00F9037E">
              <w:rPr>
                <w:color w:val="auto"/>
                <w:sz w:val="12"/>
                <w:szCs w:val="12"/>
              </w:rPr>
              <w:t>6.150</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30A911BA" w14:textId="77777777" w:rsidR="004B0524" w:rsidRPr="00F9037E" w:rsidRDefault="004B0524" w:rsidP="00C05C97">
            <w:pPr>
              <w:spacing w:before="120" w:after="120"/>
              <w:jc w:val="center"/>
              <w:rPr>
                <w:color w:val="auto"/>
                <w:sz w:val="12"/>
                <w:szCs w:val="12"/>
              </w:rPr>
            </w:pPr>
            <w:r w:rsidRPr="00F9037E">
              <w:rPr>
                <w:color w:val="auto"/>
                <w:sz w:val="12"/>
                <w:szCs w:val="12"/>
              </w:rPr>
              <w:t>9.205</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6119CE81" w14:textId="77777777" w:rsidR="004B0524" w:rsidRPr="00F9037E" w:rsidRDefault="004B0524" w:rsidP="00C05C97">
            <w:pPr>
              <w:spacing w:before="120" w:after="120"/>
              <w:jc w:val="center"/>
              <w:rPr>
                <w:color w:val="auto"/>
                <w:sz w:val="12"/>
                <w:szCs w:val="12"/>
              </w:rPr>
            </w:pPr>
            <w:r w:rsidRPr="00F9037E">
              <w:rPr>
                <w:color w:val="auto"/>
                <w:sz w:val="12"/>
                <w:szCs w:val="12"/>
              </w:rPr>
              <w:t>9.200</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36142512" w14:textId="77777777" w:rsidR="004B0524" w:rsidRPr="00F9037E" w:rsidRDefault="004B0524" w:rsidP="00C05C97">
            <w:pPr>
              <w:spacing w:before="120" w:after="120"/>
              <w:jc w:val="center"/>
              <w:rPr>
                <w:color w:val="auto"/>
                <w:sz w:val="12"/>
                <w:szCs w:val="12"/>
              </w:rPr>
            </w:pPr>
            <w:r w:rsidRPr="00F9037E">
              <w:rPr>
                <w:color w:val="auto"/>
                <w:sz w:val="12"/>
                <w:szCs w:val="12"/>
              </w:rPr>
              <w:t>7.820</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3DDF0732" w14:textId="77777777" w:rsidR="004B0524" w:rsidRPr="00F9037E" w:rsidRDefault="004B0524" w:rsidP="00C05C97">
            <w:pPr>
              <w:spacing w:before="120" w:after="120"/>
              <w:jc w:val="center"/>
              <w:rPr>
                <w:color w:val="auto"/>
                <w:sz w:val="12"/>
                <w:szCs w:val="12"/>
              </w:rPr>
            </w:pPr>
            <w:r w:rsidRPr="00F9037E">
              <w:rPr>
                <w:color w:val="auto"/>
                <w:sz w:val="12"/>
                <w:szCs w:val="12"/>
              </w:rPr>
              <w:t>6.650</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3023D2F8" w14:textId="77777777" w:rsidR="004B0524" w:rsidRPr="00F9037E" w:rsidRDefault="004B0524" w:rsidP="00C05C97">
            <w:pPr>
              <w:spacing w:before="120" w:after="120"/>
              <w:jc w:val="center"/>
              <w:rPr>
                <w:color w:val="auto"/>
                <w:sz w:val="12"/>
                <w:szCs w:val="12"/>
              </w:rPr>
            </w:pPr>
            <w:r w:rsidRPr="00F9037E">
              <w:rPr>
                <w:color w:val="auto"/>
                <w:sz w:val="12"/>
                <w:szCs w:val="12"/>
              </w:rPr>
              <w:t>4.870</w:t>
            </w:r>
          </w:p>
        </w:tc>
        <w:tc>
          <w:tcPr>
            <w:tcW w:w="567" w:type="dxa"/>
            <w:vMerge w:val="restart"/>
            <w:tcBorders>
              <w:top w:val="nil"/>
              <w:left w:val="nil"/>
              <w:right w:val="single" w:sz="8" w:space="0" w:color="auto"/>
            </w:tcBorders>
            <w:shd w:val="clear" w:color="auto" w:fill="auto"/>
            <w:noWrap/>
            <w:vAlign w:val="center"/>
          </w:tcPr>
          <w:p w14:paraId="69614AB5" w14:textId="11563C5D" w:rsidR="004B0524" w:rsidRPr="00F9037E" w:rsidRDefault="004B0524" w:rsidP="00C05C97">
            <w:pPr>
              <w:spacing w:before="120" w:after="120"/>
              <w:jc w:val="center"/>
              <w:rPr>
                <w:color w:val="auto"/>
                <w:sz w:val="12"/>
                <w:szCs w:val="12"/>
              </w:rPr>
            </w:pPr>
            <w:r w:rsidRPr="00F9037E">
              <w:rPr>
                <w:color w:val="auto"/>
                <w:sz w:val="12"/>
                <w:szCs w:val="12"/>
              </w:rPr>
              <w:t>3.653</w:t>
            </w:r>
          </w:p>
          <w:p w14:paraId="547C010E" w14:textId="34566B5E" w:rsidR="004B0524" w:rsidRPr="00F9037E" w:rsidRDefault="004B0524" w:rsidP="00C05C97">
            <w:pPr>
              <w:spacing w:before="120" w:after="120"/>
              <w:jc w:val="center"/>
              <w:rPr>
                <w:color w:val="auto"/>
                <w:sz w:val="12"/>
                <w:szCs w:val="12"/>
              </w:rPr>
            </w:pPr>
          </w:p>
        </w:tc>
        <w:tc>
          <w:tcPr>
            <w:tcW w:w="567" w:type="dxa"/>
            <w:vMerge w:val="restart"/>
            <w:tcBorders>
              <w:top w:val="nil"/>
              <w:left w:val="nil"/>
              <w:right w:val="single" w:sz="8" w:space="0" w:color="auto"/>
            </w:tcBorders>
            <w:vAlign w:val="center"/>
          </w:tcPr>
          <w:p w14:paraId="3441673B" w14:textId="77777777" w:rsidR="004B0524" w:rsidRPr="00F9037E" w:rsidRDefault="004B0524" w:rsidP="00C05C97">
            <w:pPr>
              <w:spacing w:before="120" w:after="120"/>
              <w:jc w:val="center"/>
              <w:rPr>
                <w:color w:val="auto"/>
                <w:sz w:val="12"/>
                <w:szCs w:val="12"/>
              </w:rPr>
            </w:pPr>
            <w:r w:rsidRPr="00F9037E">
              <w:rPr>
                <w:color w:val="auto"/>
                <w:sz w:val="12"/>
                <w:szCs w:val="12"/>
              </w:rPr>
              <w:t>1.187</w:t>
            </w:r>
          </w:p>
        </w:tc>
        <w:tc>
          <w:tcPr>
            <w:tcW w:w="567" w:type="dxa"/>
            <w:tcBorders>
              <w:top w:val="nil"/>
              <w:left w:val="nil"/>
              <w:right w:val="single" w:sz="8" w:space="0" w:color="auto"/>
            </w:tcBorders>
            <w:vAlign w:val="center"/>
          </w:tcPr>
          <w:p w14:paraId="4C22008C" w14:textId="77777777" w:rsidR="004B0524" w:rsidRPr="00F9037E" w:rsidRDefault="004B0524" w:rsidP="00C05C97">
            <w:pPr>
              <w:spacing w:before="120" w:after="120"/>
              <w:jc w:val="center"/>
              <w:rPr>
                <w:color w:val="auto"/>
                <w:sz w:val="12"/>
                <w:szCs w:val="12"/>
              </w:rPr>
            </w:pPr>
            <w:r w:rsidRPr="00F9037E">
              <w:rPr>
                <w:color w:val="auto"/>
                <w:sz w:val="12"/>
                <w:szCs w:val="12"/>
              </w:rPr>
              <w:t>1.187</w:t>
            </w:r>
          </w:p>
        </w:tc>
        <w:tc>
          <w:tcPr>
            <w:tcW w:w="567" w:type="dxa"/>
            <w:tcBorders>
              <w:top w:val="nil"/>
              <w:left w:val="nil"/>
              <w:right w:val="single" w:sz="8" w:space="0" w:color="auto"/>
            </w:tcBorders>
            <w:vAlign w:val="center"/>
          </w:tcPr>
          <w:p w14:paraId="4F7BEAF4" w14:textId="77777777" w:rsidR="004B0524" w:rsidRPr="00F9037E" w:rsidRDefault="004B0524" w:rsidP="00C05C97">
            <w:pPr>
              <w:spacing w:before="120" w:after="120"/>
              <w:jc w:val="center"/>
              <w:rPr>
                <w:b/>
                <w:color w:val="auto"/>
                <w:sz w:val="12"/>
                <w:szCs w:val="12"/>
              </w:rPr>
            </w:pPr>
          </w:p>
        </w:tc>
        <w:tc>
          <w:tcPr>
            <w:tcW w:w="567" w:type="dxa"/>
            <w:tcBorders>
              <w:top w:val="nil"/>
              <w:left w:val="nil"/>
              <w:right w:val="single" w:sz="8" w:space="0" w:color="auto"/>
            </w:tcBorders>
            <w:vAlign w:val="center"/>
          </w:tcPr>
          <w:p w14:paraId="5FF1624A" w14:textId="77777777" w:rsidR="004B0524" w:rsidRPr="00F9037E" w:rsidRDefault="004B0524" w:rsidP="00C05C97">
            <w:pPr>
              <w:spacing w:before="120" w:after="120"/>
              <w:jc w:val="center"/>
              <w:rPr>
                <w:b/>
                <w:color w:val="auto"/>
                <w:sz w:val="12"/>
                <w:szCs w:val="12"/>
              </w:rPr>
            </w:pPr>
          </w:p>
        </w:tc>
      </w:tr>
      <w:tr w:rsidR="004B0524" w:rsidRPr="00F9037E" w14:paraId="3B137081" w14:textId="77777777" w:rsidTr="00C05C97">
        <w:trPr>
          <w:cantSplit/>
          <w:trHeight w:val="270"/>
          <w:jc w:val="center"/>
        </w:trPr>
        <w:tc>
          <w:tcPr>
            <w:tcW w:w="813" w:type="dxa"/>
            <w:vMerge/>
            <w:tcBorders>
              <w:top w:val="nil"/>
              <w:left w:val="single" w:sz="8" w:space="0" w:color="auto"/>
              <w:bottom w:val="single" w:sz="8" w:space="0" w:color="000000"/>
              <w:right w:val="single" w:sz="8" w:space="0" w:color="auto"/>
            </w:tcBorders>
            <w:vAlign w:val="center"/>
          </w:tcPr>
          <w:p w14:paraId="28D64752" w14:textId="77777777" w:rsidR="004B0524" w:rsidRPr="00F9037E" w:rsidRDefault="004B0524" w:rsidP="00C05C97">
            <w:pPr>
              <w:spacing w:before="120" w:after="120"/>
              <w:rPr>
                <w:color w:val="auto"/>
                <w:sz w:val="12"/>
                <w:szCs w:val="12"/>
              </w:rPr>
            </w:pPr>
          </w:p>
        </w:tc>
        <w:tc>
          <w:tcPr>
            <w:tcW w:w="818" w:type="dxa"/>
            <w:vMerge/>
            <w:tcBorders>
              <w:top w:val="nil"/>
              <w:left w:val="single" w:sz="8" w:space="0" w:color="auto"/>
              <w:bottom w:val="single" w:sz="8" w:space="0" w:color="000000"/>
              <w:right w:val="single" w:sz="8" w:space="0" w:color="auto"/>
            </w:tcBorders>
            <w:vAlign w:val="center"/>
          </w:tcPr>
          <w:p w14:paraId="3F7AD66D" w14:textId="77777777" w:rsidR="004B0524" w:rsidRPr="00F9037E" w:rsidRDefault="004B0524" w:rsidP="00C05C97">
            <w:pPr>
              <w:spacing w:before="120" w:after="120"/>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6680F1EE" w14:textId="77777777" w:rsidR="004B0524" w:rsidRPr="00F9037E" w:rsidRDefault="004B0524" w:rsidP="00C05C97">
            <w:pPr>
              <w:spacing w:before="120" w:after="120"/>
              <w:jc w:val="cente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7BCE2B99" w14:textId="77777777" w:rsidR="004B0524" w:rsidRPr="00F9037E" w:rsidRDefault="004B0524" w:rsidP="00C05C97">
            <w:pPr>
              <w:spacing w:before="120" w:after="120"/>
              <w:jc w:val="cente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2F6B7B41"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9642B07" w14:textId="77777777" w:rsidR="004B0524" w:rsidRPr="00F9037E" w:rsidRDefault="004B0524" w:rsidP="00C05C97">
            <w:pPr>
              <w:spacing w:before="120" w:after="120"/>
              <w:jc w:val="center"/>
              <w:rPr>
                <w:color w:val="auto"/>
                <w:sz w:val="12"/>
                <w:szCs w:val="12"/>
              </w:rPr>
            </w:pPr>
            <w:r w:rsidRPr="00F9037E">
              <w:rPr>
                <w:color w:val="auto"/>
                <w:sz w:val="12"/>
                <w:szCs w:val="12"/>
              </w:rPr>
              <w:t>+1.8</w:t>
            </w:r>
          </w:p>
        </w:tc>
        <w:tc>
          <w:tcPr>
            <w:tcW w:w="567" w:type="dxa"/>
            <w:vMerge/>
            <w:tcBorders>
              <w:top w:val="nil"/>
              <w:left w:val="single" w:sz="8" w:space="0" w:color="auto"/>
              <w:bottom w:val="single" w:sz="8" w:space="0" w:color="000000"/>
              <w:right w:val="single" w:sz="8" w:space="0" w:color="auto"/>
            </w:tcBorders>
            <w:vAlign w:val="center"/>
          </w:tcPr>
          <w:p w14:paraId="22D39126" w14:textId="77777777" w:rsidR="004B0524" w:rsidRPr="00F9037E" w:rsidRDefault="004B0524" w:rsidP="00C05C97">
            <w:pPr>
              <w:spacing w:before="120" w:after="120"/>
              <w:jc w:val="cente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29741DF9" w14:textId="77777777" w:rsidR="004B0524" w:rsidRPr="00F9037E" w:rsidRDefault="004B0524" w:rsidP="00C05C97">
            <w:pPr>
              <w:spacing w:before="120" w:after="120"/>
              <w:jc w:val="cente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66AE91A7" w14:textId="77777777" w:rsidR="004B0524" w:rsidRPr="00F9037E" w:rsidRDefault="004B0524" w:rsidP="00C05C97">
            <w:pPr>
              <w:spacing w:before="120" w:after="120"/>
              <w:jc w:val="cente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52169659" w14:textId="77777777" w:rsidR="004B0524" w:rsidRPr="00F9037E" w:rsidRDefault="004B0524" w:rsidP="00C05C97">
            <w:pPr>
              <w:spacing w:before="120" w:after="120"/>
              <w:jc w:val="center"/>
              <w:rPr>
                <w:color w:val="auto"/>
                <w:sz w:val="12"/>
                <w:szCs w:val="12"/>
              </w:rPr>
            </w:pPr>
          </w:p>
        </w:tc>
        <w:tc>
          <w:tcPr>
            <w:tcW w:w="567" w:type="dxa"/>
            <w:vMerge/>
            <w:tcBorders>
              <w:left w:val="single" w:sz="8" w:space="0" w:color="auto"/>
              <w:bottom w:val="single" w:sz="8" w:space="0" w:color="auto"/>
              <w:right w:val="single" w:sz="8" w:space="0" w:color="auto"/>
            </w:tcBorders>
            <w:shd w:val="clear" w:color="auto" w:fill="auto"/>
            <w:vAlign w:val="center"/>
          </w:tcPr>
          <w:p w14:paraId="4792B6A3" w14:textId="77777777" w:rsidR="004B0524" w:rsidRPr="00F9037E" w:rsidRDefault="004B0524" w:rsidP="00C05C97">
            <w:pPr>
              <w:spacing w:before="120" w:after="120"/>
              <w:jc w:val="center"/>
              <w:rPr>
                <w:color w:val="auto"/>
                <w:sz w:val="12"/>
                <w:szCs w:val="12"/>
              </w:rPr>
            </w:pPr>
          </w:p>
        </w:tc>
        <w:tc>
          <w:tcPr>
            <w:tcW w:w="567" w:type="dxa"/>
            <w:vMerge/>
            <w:tcBorders>
              <w:left w:val="single" w:sz="8" w:space="0" w:color="auto"/>
              <w:bottom w:val="single" w:sz="8" w:space="0" w:color="000000"/>
              <w:right w:val="single" w:sz="8" w:space="0" w:color="auto"/>
            </w:tcBorders>
            <w:vAlign w:val="center"/>
          </w:tcPr>
          <w:p w14:paraId="6275710A" w14:textId="77777777" w:rsidR="004B0524" w:rsidRPr="00F9037E" w:rsidRDefault="004B0524" w:rsidP="00C05C97">
            <w:pPr>
              <w:spacing w:before="120" w:after="120"/>
              <w:jc w:val="center"/>
              <w:rPr>
                <w:color w:val="auto"/>
                <w:sz w:val="12"/>
                <w:szCs w:val="12"/>
              </w:rPr>
            </w:pPr>
          </w:p>
        </w:tc>
        <w:tc>
          <w:tcPr>
            <w:tcW w:w="567" w:type="dxa"/>
            <w:tcBorders>
              <w:left w:val="single" w:sz="8" w:space="0" w:color="auto"/>
              <w:bottom w:val="single" w:sz="8" w:space="0" w:color="000000"/>
              <w:right w:val="single" w:sz="8" w:space="0" w:color="auto"/>
            </w:tcBorders>
            <w:vAlign w:val="center"/>
          </w:tcPr>
          <w:p w14:paraId="4E7E8711" w14:textId="77777777" w:rsidR="004B0524" w:rsidRPr="00F9037E" w:rsidRDefault="004B0524" w:rsidP="00C05C97">
            <w:pPr>
              <w:spacing w:before="120" w:after="120"/>
              <w:jc w:val="center"/>
              <w:rPr>
                <w:color w:val="auto"/>
                <w:sz w:val="12"/>
                <w:szCs w:val="12"/>
              </w:rPr>
            </w:pPr>
          </w:p>
        </w:tc>
        <w:tc>
          <w:tcPr>
            <w:tcW w:w="567" w:type="dxa"/>
            <w:tcBorders>
              <w:left w:val="single" w:sz="8" w:space="0" w:color="auto"/>
              <w:bottom w:val="single" w:sz="8" w:space="0" w:color="000000"/>
              <w:right w:val="single" w:sz="8" w:space="0" w:color="auto"/>
            </w:tcBorders>
            <w:vAlign w:val="center"/>
          </w:tcPr>
          <w:p w14:paraId="6710695F" w14:textId="77777777" w:rsidR="004B0524" w:rsidRPr="00F9037E" w:rsidRDefault="004B0524" w:rsidP="00C05C97">
            <w:pPr>
              <w:spacing w:before="120" w:after="120"/>
              <w:jc w:val="center"/>
              <w:rPr>
                <w:color w:val="auto"/>
                <w:sz w:val="12"/>
                <w:szCs w:val="12"/>
              </w:rPr>
            </w:pPr>
          </w:p>
        </w:tc>
        <w:tc>
          <w:tcPr>
            <w:tcW w:w="709" w:type="dxa"/>
            <w:vMerge/>
            <w:tcBorders>
              <w:top w:val="nil"/>
              <w:left w:val="single" w:sz="8" w:space="0" w:color="auto"/>
              <w:bottom w:val="single" w:sz="8" w:space="0" w:color="000000"/>
              <w:right w:val="single" w:sz="8" w:space="0" w:color="auto"/>
            </w:tcBorders>
            <w:vAlign w:val="center"/>
          </w:tcPr>
          <w:p w14:paraId="7BA74550" w14:textId="77777777" w:rsidR="004B0524" w:rsidRPr="00F9037E" w:rsidRDefault="004B0524" w:rsidP="00C05C97">
            <w:pPr>
              <w:spacing w:before="120" w:after="120"/>
              <w:jc w:val="cente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5B1B0C2A" w14:textId="77777777" w:rsidR="004B0524" w:rsidRPr="00F9037E" w:rsidRDefault="004B0524" w:rsidP="00C05C97">
            <w:pPr>
              <w:spacing w:before="120" w:after="120"/>
              <w:jc w:val="cente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37AE9C12" w14:textId="77777777" w:rsidR="004B0524" w:rsidRPr="00F9037E" w:rsidRDefault="004B0524" w:rsidP="00C05C97">
            <w:pPr>
              <w:spacing w:before="120" w:after="120"/>
              <w:jc w:val="cente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40A63F32" w14:textId="77777777" w:rsidR="004B0524" w:rsidRPr="00F9037E" w:rsidRDefault="004B0524" w:rsidP="00C05C97">
            <w:pPr>
              <w:spacing w:before="120" w:after="120"/>
              <w:jc w:val="cente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44D34724" w14:textId="77777777" w:rsidR="004B0524" w:rsidRPr="00F9037E" w:rsidRDefault="004B0524" w:rsidP="00C05C97">
            <w:pPr>
              <w:spacing w:before="120" w:after="120"/>
              <w:jc w:val="cente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785D1215" w14:textId="77777777" w:rsidR="004B0524" w:rsidRPr="00F9037E" w:rsidRDefault="004B0524" w:rsidP="00C05C97">
            <w:pPr>
              <w:spacing w:before="120" w:after="120"/>
              <w:jc w:val="cente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258B9FF3" w14:textId="77777777" w:rsidR="004B0524" w:rsidRPr="00F9037E" w:rsidRDefault="004B0524" w:rsidP="00C05C97">
            <w:pPr>
              <w:spacing w:before="120" w:after="120"/>
              <w:jc w:val="center"/>
              <w:rPr>
                <w:color w:val="auto"/>
                <w:sz w:val="12"/>
                <w:szCs w:val="12"/>
              </w:rPr>
            </w:pPr>
          </w:p>
        </w:tc>
        <w:tc>
          <w:tcPr>
            <w:tcW w:w="567" w:type="dxa"/>
            <w:vMerge/>
            <w:tcBorders>
              <w:left w:val="nil"/>
              <w:bottom w:val="single" w:sz="8" w:space="0" w:color="auto"/>
              <w:right w:val="single" w:sz="8" w:space="0" w:color="auto"/>
            </w:tcBorders>
            <w:shd w:val="clear" w:color="auto" w:fill="auto"/>
            <w:noWrap/>
            <w:vAlign w:val="center"/>
          </w:tcPr>
          <w:p w14:paraId="7883EB8A" w14:textId="77777777" w:rsidR="004B0524" w:rsidRPr="00F9037E" w:rsidRDefault="004B0524" w:rsidP="00C05C97">
            <w:pPr>
              <w:spacing w:before="120" w:after="120"/>
              <w:jc w:val="center"/>
              <w:rPr>
                <w:color w:val="auto"/>
                <w:sz w:val="12"/>
                <w:szCs w:val="12"/>
              </w:rPr>
            </w:pPr>
          </w:p>
        </w:tc>
        <w:tc>
          <w:tcPr>
            <w:tcW w:w="567" w:type="dxa"/>
            <w:vMerge/>
            <w:tcBorders>
              <w:left w:val="nil"/>
              <w:bottom w:val="single" w:sz="8" w:space="0" w:color="auto"/>
              <w:right w:val="single" w:sz="8" w:space="0" w:color="auto"/>
            </w:tcBorders>
            <w:vAlign w:val="center"/>
          </w:tcPr>
          <w:p w14:paraId="77F00B29" w14:textId="77777777" w:rsidR="004B0524" w:rsidRPr="00F9037E" w:rsidRDefault="004B0524" w:rsidP="00C05C97">
            <w:pPr>
              <w:spacing w:before="120" w:after="120"/>
              <w:jc w:val="center"/>
              <w:rPr>
                <w:color w:val="auto"/>
                <w:sz w:val="12"/>
                <w:szCs w:val="12"/>
              </w:rPr>
            </w:pPr>
          </w:p>
        </w:tc>
        <w:tc>
          <w:tcPr>
            <w:tcW w:w="567" w:type="dxa"/>
            <w:tcBorders>
              <w:left w:val="nil"/>
              <w:bottom w:val="single" w:sz="8" w:space="0" w:color="auto"/>
              <w:right w:val="single" w:sz="8" w:space="0" w:color="auto"/>
            </w:tcBorders>
            <w:vAlign w:val="center"/>
          </w:tcPr>
          <w:p w14:paraId="4EE911D0" w14:textId="77777777" w:rsidR="004B0524" w:rsidRPr="00F9037E" w:rsidRDefault="004B0524" w:rsidP="00C05C97">
            <w:pPr>
              <w:spacing w:before="120" w:after="120"/>
              <w:jc w:val="center"/>
              <w:rPr>
                <w:color w:val="auto"/>
                <w:sz w:val="12"/>
                <w:szCs w:val="12"/>
              </w:rPr>
            </w:pPr>
          </w:p>
        </w:tc>
        <w:tc>
          <w:tcPr>
            <w:tcW w:w="567" w:type="dxa"/>
            <w:tcBorders>
              <w:left w:val="nil"/>
              <w:bottom w:val="single" w:sz="8" w:space="0" w:color="auto"/>
              <w:right w:val="single" w:sz="8" w:space="0" w:color="auto"/>
            </w:tcBorders>
            <w:vAlign w:val="center"/>
          </w:tcPr>
          <w:p w14:paraId="5E5D4462" w14:textId="77777777" w:rsidR="004B0524" w:rsidRPr="00F9037E" w:rsidRDefault="004B0524" w:rsidP="00C05C97">
            <w:pPr>
              <w:spacing w:before="120" w:after="120"/>
              <w:jc w:val="center"/>
              <w:rPr>
                <w:color w:val="auto"/>
                <w:sz w:val="12"/>
                <w:szCs w:val="12"/>
              </w:rPr>
            </w:pPr>
          </w:p>
        </w:tc>
        <w:tc>
          <w:tcPr>
            <w:tcW w:w="567" w:type="dxa"/>
            <w:tcBorders>
              <w:left w:val="nil"/>
              <w:bottom w:val="single" w:sz="8" w:space="0" w:color="auto"/>
              <w:right w:val="single" w:sz="8" w:space="0" w:color="auto"/>
            </w:tcBorders>
            <w:vAlign w:val="center"/>
          </w:tcPr>
          <w:p w14:paraId="3B154C0D" w14:textId="77777777" w:rsidR="004B0524" w:rsidRPr="00F9037E" w:rsidRDefault="004B0524" w:rsidP="00C05C97">
            <w:pPr>
              <w:spacing w:before="120" w:after="120"/>
              <w:jc w:val="center"/>
              <w:rPr>
                <w:color w:val="auto"/>
                <w:sz w:val="12"/>
                <w:szCs w:val="12"/>
              </w:rPr>
            </w:pPr>
          </w:p>
        </w:tc>
      </w:tr>
      <w:tr w:rsidR="004B0524" w:rsidRPr="00F9037E" w14:paraId="21FB151C" w14:textId="77777777" w:rsidTr="00C05C97">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73CFE046" w14:textId="7261B5BC" w:rsidR="004B0524" w:rsidRPr="00F9037E" w:rsidRDefault="004B0524" w:rsidP="00C05C97">
            <w:pPr>
              <w:spacing w:before="120" w:after="120"/>
              <w:rPr>
                <w:color w:val="auto"/>
                <w:sz w:val="12"/>
                <w:szCs w:val="12"/>
              </w:rPr>
            </w:pPr>
            <w:r w:rsidRPr="00F9037E">
              <w:rPr>
                <w:color w:val="auto"/>
                <w:sz w:val="12"/>
                <w:szCs w:val="12"/>
              </w:rPr>
              <w:t>Belgium</w:t>
            </w:r>
          </w:p>
        </w:tc>
        <w:tc>
          <w:tcPr>
            <w:tcW w:w="818" w:type="dxa"/>
            <w:tcBorders>
              <w:top w:val="nil"/>
              <w:left w:val="nil"/>
              <w:bottom w:val="single" w:sz="8" w:space="0" w:color="auto"/>
              <w:right w:val="single" w:sz="8" w:space="0" w:color="auto"/>
            </w:tcBorders>
            <w:shd w:val="clear" w:color="auto" w:fill="auto"/>
            <w:vAlign w:val="center"/>
          </w:tcPr>
          <w:p w14:paraId="08DBCE5A" w14:textId="77777777" w:rsidR="004B0524" w:rsidRPr="00F9037E" w:rsidRDefault="004B0524" w:rsidP="00C05C97">
            <w:pPr>
              <w:spacing w:before="120" w:after="120"/>
              <w:rPr>
                <w:color w:val="auto"/>
                <w:sz w:val="12"/>
                <w:szCs w:val="12"/>
              </w:rPr>
            </w:pPr>
            <w:r w:rsidRPr="00F9037E">
              <w:rPr>
                <w:color w:val="auto"/>
                <w:sz w:val="12"/>
                <w:szCs w:val="12"/>
              </w:rPr>
              <w:t>Artefacts and structures</w:t>
            </w:r>
          </w:p>
        </w:tc>
        <w:tc>
          <w:tcPr>
            <w:tcW w:w="567" w:type="dxa"/>
            <w:tcBorders>
              <w:top w:val="nil"/>
              <w:left w:val="nil"/>
              <w:bottom w:val="single" w:sz="8" w:space="0" w:color="auto"/>
              <w:right w:val="single" w:sz="8" w:space="0" w:color="auto"/>
            </w:tcBorders>
            <w:shd w:val="clear" w:color="auto" w:fill="auto"/>
            <w:vAlign w:val="center"/>
          </w:tcPr>
          <w:p w14:paraId="7387FBFA" w14:textId="77777777" w:rsidR="004B0524" w:rsidRPr="00F9037E" w:rsidRDefault="004B0524" w:rsidP="00C05C97">
            <w:pPr>
              <w:spacing w:before="120" w:after="120"/>
              <w:jc w:val="center"/>
              <w:rPr>
                <w:color w:val="auto"/>
                <w:sz w:val="12"/>
                <w:szCs w:val="12"/>
              </w:rPr>
            </w:pPr>
            <w:r w:rsidRPr="00F9037E">
              <w:rPr>
                <w:color w:val="auto"/>
                <w:sz w:val="12"/>
                <w:szCs w:val="12"/>
              </w:rPr>
              <w:t>0.600</w:t>
            </w:r>
          </w:p>
        </w:tc>
        <w:tc>
          <w:tcPr>
            <w:tcW w:w="567" w:type="dxa"/>
            <w:tcBorders>
              <w:top w:val="nil"/>
              <w:left w:val="nil"/>
              <w:bottom w:val="single" w:sz="8" w:space="0" w:color="auto"/>
              <w:right w:val="single" w:sz="8" w:space="0" w:color="auto"/>
            </w:tcBorders>
            <w:shd w:val="clear" w:color="auto" w:fill="auto"/>
            <w:vAlign w:val="center"/>
          </w:tcPr>
          <w:p w14:paraId="42DAA93F" w14:textId="77777777" w:rsidR="004B0524" w:rsidRPr="00F9037E" w:rsidRDefault="004B0524" w:rsidP="00C05C97">
            <w:pPr>
              <w:spacing w:before="120" w:after="120"/>
              <w:jc w:val="center"/>
              <w:rPr>
                <w:color w:val="auto"/>
                <w:sz w:val="12"/>
                <w:szCs w:val="12"/>
              </w:rPr>
            </w:pPr>
            <w:r w:rsidRPr="00F9037E">
              <w:rPr>
                <w:color w:val="auto"/>
                <w:sz w:val="12"/>
                <w:szCs w:val="12"/>
              </w:rPr>
              <w:t>0.307</w:t>
            </w:r>
          </w:p>
        </w:tc>
        <w:tc>
          <w:tcPr>
            <w:tcW w:w="567" w:type="dxa"/>
            <w:tcBorders>
              <w:top w:val="nil"/>
              <w:left w:val="nil"/>
              <w:bottom w:val="single" w:sz="8" w:space="0" w:color="auto"/>
              <w:right w:val="single" w:sz="8" w:space="0" w:color="auto"/>
            </w:tcBorders>
            <w:shd w:val="clear" w:color="auto" w:fill="auto"/>
            <w:vAlign w:val="center"/>
          </w:tcPr>
          <w:p w14:paraId="599BA070" w14:textId="2985DD2B"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266DEA0" w14:textId="0F827571"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F777637" w14:textId="1AE03A15"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4FF10DF" w14:textId="2720FCCA"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836FC46" w14:textId="378E9DF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078EB4A" w14:textId="754EB244"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9E731E6" w14:textId="6719DAFA"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1572315A"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8DC19A5"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ED0A184"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74D0FEDF" w14:textId="77777777" w:rsidR="004B0524" w:rsidRPr="00F9037E" w:rsidRDefault="004B0524" w:rsidP="00C05C97">
            <w:pPr>
              <w:spacing w:before="120" w:after="120"/>
              <w:jc w:val="center"/>
              <w:rPr>
                <w:color w:val="auto"/>
                <w:sz w:val="12"/>
                <w:szCs w:val="12"/>
              </w:rPr>
            </w:pPr>
            <w:r w:rsidRPr="00F9037E">
              <w:rPr>
                <w:color w:val="auto"/>
                <w:sz w:val="12"/>
                <w:szCs w:val="12"/>
              </w:rPr>
              <w:t>0.590</w:t>
            </w:r>
          </w:p>
        </w:tc>
        <w:tc>
          <w:tcPr>
            <w:tcW w:w="567" w:type="dxa"/>
            <w:tcBorders>
              <w:top w:val="nil"/>
              <w:left w:val="nil"/>
              <w:bottom w:val="single" w:sz="8" w:space="0" w:color="auto"/>
              <w:right w:val="single" w:sz="8" w:space="0" w:color="auto"/>
            </w:tcBorders>
            <w:shd w:val="clear" w:color="auto" w:fill="auto"/>
            <w:vAlign w:val="center"/>
          </w:tcPr>
          <w:p w14:paraId="10CE9A84" w14:textId="77777777" w:rsidR="004B0524" w:rsidRPr="00F9037E" w:rsidRDefault="004B0524" w:rsidP="00C05C97">
            <w:pPr>
              <w:spacing w:before="120" w:after="120"/>
              <w:jc w:val="center"/>
              <w:rPr>
                <w:color w:val="auto"/>
                <w:sz w:val="12"/>
                <w:szCs w:val="12"/>
              </w:rPr>
            </w:pPr>
            <w:r w:rsidRPr="00F9037E">
              <w:rPr>
                <w:color w:val="auto"/>
                <w:sz w:val="12"/>
                <w:szCs w:val="12"/>
              </w:rPr>
              <w:t>0.307</w:t>
            </w:r>
          </w:p>
        </w:tc>
        <w:tc>
          <w:tcPr>
            <w:tcW w:w="567" w:type="dxa"/>
            <w:tcBorders>
              <w:top w:val="nil"/>
              <w:left w:val="nil"/>
              <w:bottom w:val="single" w:sz="8" w:space="0" w:color="auto"/>
              <w:right w:val="single" w:sz="8" w:space="0" w:color="auto"/>
            </w:tcBorders>
            <w:shd w:val="clear" w:color="auto" w:fill="auto"/>
            <w:vAlign w:val="center"/>
          </w:tcPr>
          <w:p w14:paraId="610A63D6" w14:textId="65F2A7D2"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6A4F72F" w14:textId="291D1EEC"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1ABBC3C" w14:textId="5D381255"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46134CC" w14:textId="4B243579"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0333845" w14:textId="472440B1"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780297D0" w14:textId="54D2A90E"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687045F"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4BF6316"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D493422"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C61E0D5" w14:textId="77777777" w:rsidR="004B0524" w:rsidRPr="00F9037E" w:rsidRDefault="004B0524" w:rsidP="00C05C97">
            <w:pPr>
              <w:spacing w:before="120" w:after="120"/>
              <w:jc w:val="center"/>
              <w:rPr>
                <w:color w:val="auto"/>
                <w:sz w:val="12"/>
                <w:szCs w:val="12"/>
              </w:rPr>
            </w:pPr>
          </w:p>
        </w:tc>
      </w:tr>
      <w:tr w:rsidR="004B0524" w:rsidRPr="00F9037E" w14:paraId="1BBDBC30" w14:textId="77777777" w:rsidTr="00C05C97">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3865A2D2" w14:textId="30AC675D" w:rsidR="004B0524" w:rsidRPr="00F9037E" w:rsidRDefault="004B0524" w:rsidP="00C05C97">
            <w:pPr>
              <w:spacing w:before="120" w:after="120"/>
              <w:rPr>
                <w:color w:val="auto"/>
                <w:sz w:val="12"/>
                <w:szCs w:val="12"/>
              </w:rPr>
            </w:pPr>
            <w:r w:rsidRPr="00F9037E">
              <w:rPr>
                <w:color w:val="auto"/>
                <w:sz w:val="12"/>
                <w:szCs w:val="12"/>
              </w:rPr>
              <w:t>Belgium</w:t>
            </w:r>
          </w:p>
        </w:tc>
        <w:tc>
          <w:tcPr>
            <w:tcW w:w="818" w:type="dxa"/>
            <w:tcBorders>
              <w:top w:val="nil"/>
              <w:left w:val="nil"/>
              <w:bottom w:val="single" w:sz="8" w:space="0" w:color="auto"/>
              <w:right w:val="single" w:sz="8" w:space="0" w:color="auto"/>
            </w:tcBorders>
            <w:shd w:val="clear" w:color="auto" w:fill="auto"/>
            <w:vAlign w:val="center"/>
          </w:tcPr>
          <w:p w14:paraId="2E242F5A" w14:textId="77777777" w:rsidR="004B0524" w:rsidRPr="00F9037E" w:rsidRDefault="004B0524" w:rsidP="00C05C97">
            <w:pPr>
              <w:spacing w:before="120" w:after="120"/>
              <w:rPr>
                <w:color w:val="auto"/>
                <w:sz w:val="12"/>
                <w:szCs w:val="12"/>
              </w:rPr>
            </w:pPr>
            <w:r w:rsidRPr="00F9037E">
              <w:rPr>
                <w:color w:val="auto"/>
                <w:sz w:val="12"/>
                <w:szCs w:val="12"/>
              </w:rPr>
              <w:t>Antique structure &amp; furniture</w:t>
            </w:r>
          </w:p>
        </w:tc>
        <w:tc>
          <w:tcPr>
            <w:tcW w:w="567" w:type="dxa"/>
            <w:tcBorders>
              <w:top w:val="nil"/>
              <w:left w:val="nil"/>
              <w:bottom w:val="single" w:sz="8" w:space="0" w:color="auto"/>
              <w:right w:val="single" w:sz="8" w:space="0" w:color="auto"/>
            </w:tcBorders>
            <w:shd w:val="clear" w:color="auto" w:fill="auto"/>
            <w:vAlign w:val="center"/>
          </w:tcPr>
          <w:p w14:paraId="3D395A19" w14:textId="77777777" w:rsidR="004B0524" w:rsidRPr="00F9037E" w:rsidRDefault="004B0524" w:rsidP="00C05C97">
            <w:pPr>
              <w:spacing w:before="120" w:after="120"/>
              <w:jc w:val="center"/>
              <w:rPr>
                <w:color w:val="auto"/>
                <w:sz w:val="12"/>
                <w:szCs w:val="12"/>
              </w:rPr>
            </w:pPr>
            <w:r w:rsidRPr="00F9037E">
              <w:rPr>
                <w:color w:val="auto"/>
                <w:sz w:val="12"/>
                <w:szCs w:val="12"/>
              </w:rPr>
              <w:t>0.750</w:t>
            </w:r>
          </w:p>
        </w:tc>
        <w:tc>
          <w:tcPr>
            <w:tcW w:w="567" w:type="dxa"/>
            <w:tcBorders>
              <w:top w:val="nil"/>
              <w:left w:val="nil"/>
              <w:bottom w:val="single" w:sz="8" w:space="0" w:color="auto"/>
              <w:right w:val="single" w:sz="8" w:space="0" w:color="auto"/>
            </w:tcBorders>
            <w:shd w:val="clear" w:color="auto" w:fill="auto"/>
            <w:vAlign w:val="center"/>
          </w:tcPr>
          <w:p w14:paraId="5C425915" w14:textId="77777777" w:rsidR="004B0524" w:rsidRPr="00F9037E" w:rsidRDefault="004B0524" w:rsidP="00C05C97">
            <w:pPr>
              <w:spacing w:before="120" w:after="120"/>
              <w:jc w:val="center"/>
              <w:rPr>
                <w:color w:val="auto"/>
                <w:sz w:val="12"/>
                <w:szCs w:val="12"/>
              </w:rPr>
            </w:pPr>
            <w:r w:rsidRPr="00F9037E">
              <w:rPr>
                <w:color w:val="auto"/>
                <w:sz w:val="12"/>
                <w:szCs w:val="12"/>
              </w:rPr>
              <w:t>0.199</w:t>
            </w:r>
          </w:p>
        </w:tc>
        <w:tc>
          <w:tcPr>
            <w:tcW w:w="567" w:type="dxa"/>
            <w:tcBorders>
              <w:top w:val="nil"/>
              <w:left w:val="nil"/>
              <w:bottom w:val="single" w:sz="8" w:space="0" w:color="auto"/>
              <w:right w:val="single" w:sz="8" w:space="0" w:color="auto"/>
            </w:tcBorders>
            <w:shd w:val="clear" w:color="auto" w:fill="auto"/>
            <w:vAlign w:val="center"/>
          </w:tcPr>
          <w:p w14:paraId="786058F6" w14:textId="61061620"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341C982" w14:textId="418BC46F"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DDC48AF" w14:textId="29FBA500"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6DD2DD9" w14:textId="35F5C033"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E34DA97" w14:textId="2FDB3E25"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CB296F6" w14:textId="08EBCE3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A565FD8" w14:textId="5952AD01"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7EA79A56"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ED8D045"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EBAF128"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44C282BE" w14:textId="77777777" w:rsidR="004B0524" w:rsidRPr="00F9037E" w:rsidRDefault="004B0524" w:rsidP="00C05C97">
            <w:pPr>
              <w:spacing w:before="120" w:after="120"/>
              <w:jc w:val="center"/>
              <w:rPr>
                <w:color w:val="auto"/>
                <w:sz w:val="12"/>
                <w:szCs w:val="12"/>
              </w:rPr>
            </w:pPr>
            <w:r w:rsidRPr="00F9037E">
              <w:rPr>
                <w:color w:val="auto"/>
                <w:sz w:val="12"/>
                <w:szCs w:val="12"/>
              </w:rPr>
              <w:t>0.319</w:t>
            </w:r>
          </w:p>
        </w:tc>
        <w:tc>
          <w:tcPr>
            <w:tcW w:w="567" w:type="dxa"/>
            <w:tcBorders>
              <w:top w:val="nil"/>
              <w:left w:val="nil"/>
              <w:bottom w:val="single" w:sz="8" w:space="0" w:color="auto"/>
              <w:right w:val="single" w:sz="8" w:space="0" w:color="auto"/>
            </w:tcBorders>
            <w:shd w:val="clear" w:color="auto" w:fill="auto"/>
            <w:vAlign w:val="center"/>
          </w:tcPr>
          <w:p w14:paraId="751E8C7C" w14:textId="77777777" w:rsidR="004B0524" w:rsidRPr="00F9037E" w:rsidRDefault="004B0524" w:rsidP="00C05C97">
            <w:pPr>
              <w:spacing w:before="120" w:after="120"/>
              <w:jc w:val="center"/>
              <w:rPr>
                <w:color w:val="auto"/>
                <w:sz w:val="12"/>
                <w:szCs w:val="12"/>
              </w:rPr>
            </w:pPr>
            <w:r w:rsidRPr="00F9037E">
              <w:rPr>
                <w:color w:val="auto"/>
                <w:sz w:val="12"/>
                <w:szCs w:val="12"/>
              </w:rPr>
              <w:t>0.199</w:t>
            </w:r>
          </w:p>
        </w:tc>
        <w:tc>
          <w:tcPr>
            <w:tcW w:w="567" w:type="dxa"/>
            <w:tcBorders>
              <w:top w:val="nil"/>
              <w:left w:val="nil"/>
              <w:bottom w:val="single" w:sz="8" w:space="0" w:color="auto"/>
              <w:right w:val="single" w:sz="8" w:space="0" w:color="auto"/>
            </w:tcBorders>
            <w:shd w:val="clear" w:color="auto" w:fill="auto"/>
            <w:vAlign w:val="center"/>
          </w:tcPr>
          <w:p w14:paraId="30006C9B" w14:textId="53C3F2D4"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B533E04" w14:textId="1F47855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37EF2C6" w14:textId="15D2F150"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8346F2C" w14:textId="58803EF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E99AB46" w14:textId="4AFC4659"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584C706C" w14:textId="4B239C2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781D0D4"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A351695"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1B00323"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875013F" w14:textId="77777777" w:rsidR="004B0524" w:rsidRPr="00F9037E" w:rsidRDefault="004B0524" w:rsidP="00C05C97">
            <w:pPr>
              <w:spacing w:before="120" w:after="120"/>
              <w:jc w:val="center"/>
              <w:rPr>
                <w:color w:val="auto"/>
                <w:sz w:val="12"/>
                <w:szCs w:val="12"/>
              </w:rPr>
            </w:pPr>
          </w:p>
        </w:tc>
      </w:tr>
      <w:tr w:rsidR="004B0524" w:rsidRPr="00F9037E" w14:paraId="0A02703C" w14:textId="77777777" w:rsidTr="00C05C97">
        <w:trPr>
          <w:cantSplit/>
          <w:trHeight w:val="91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58E92FF0" w14:textId="302A3326" w:rsidR="004B0524" w:rsidRPr="00F9037E" w:rsidRDefault="004B0524" w:rsidP="00C05C97">
            <w:pPr>
              <w:spacing w:before="120" w:after="120"/>
              <w:rPr>
                <w:color w:val="auto"/>
                <w:sz w:val="12"/>
                <w:szCs w:val="12"/>
              </w:rPr>
            </w:pPr>
            <w:r w:rsidRPr="00F9037E">
              <w:rPr>
                <w:color w:val="auto"/>
                <w:sz w:val="12"/>
                <w:szCs w:val="12"/>
              </w:rPr>
              <w:t>Belgium</w:t>
            </w:r>
          </w:p>
        </w:tc>
        <w:tc>
          <w:tcPr>
            <w:tcW w:w="818" w:type="dxa"/>
            <w:tcBorders>
              <w:top w:val="nil"/>
              <w:left w:val="nil"/>
              <w:bottom w:val="single" w:sz="8" w:space="0" w:color="auto"/>
              <w:right w:val="single" w:sz="8" w:space="0" w:color="auto"/>
            </w:tcBorders>
            <w:shd w:val="clear" w:color="auto" w:fill="auto"/>
            <w:vAlign w:val="center"/>
          </w:tcPr>
          <w:p w14:paraId="04E0F45D" w14:textId="77777777" w:rsidR="004B0524" w:rsidRPr="00F9037E" w:rsidRDefault="004B0524" w:rsidP="00C05C97">
            <w:pPr>
              <w:spacing w:before="120" w:after="120"/>
              <w:rPr>
                <w:color w:val="auto"/>
                <w:sz w:val="12"/>
                <w:szCs w:val="12"/>
              </w:rPr>
            </w:pPr>
            <w:r w:rsidRPr="00F9037E">
              <w:rPr>
                <w:color w:val="auto"/>
                <w:sz w:val="12"/>
                <w:szCs w:val="12"/>
              </w:rPr>
              <w:t>Churches, monuments and ships' quarters</w:t>
            </w:r>
          </w:p>
        </w:tc>
        <w:tc>
          <w:tcPr>
            <w:tcW w:w="567" w:type="dxa"/>
            <w:tcBorders>
              <w:top w:val="nil"/>
              <w:left w:val="nil"/>
              <w:bottom w:val="single" w:sz="8" w:space="0" w:color="auto"/>
              <w:right w:val="single" w:sz="8" w:space="0" w:color="auto"/>
            </w:tcBorders>
            <w:shd w:val="clear" w:color="auto" w:fill="auto"/>
            <w:vAlign w:val="center"/>
          </w:tcPr>
          <w:p w14:paraId="450B5606" w14:textId="77777777" w:rsidR="004B0524" w:rsidRPr="00F9037E" w:rsidRDefault="004B0524" w:rsidP="00C05C97">
            <w:pPr>
              <w:spacing w:before="120" w:after="120"/>
              <w:jc w:val="center"/>
              <w:rPr>
                <w:color w:val="auto"/>
                <w:sz w:val="12"/>
                <w:szCs w:val="12"/>
              </w:rPr>
            </w:pPr>
            <w:r w:rsidRPr="00F9037E">
              <w:rPr>
                <w:color w:val="auto"/>
                <w:sz w:val="12"/>
                <w:szCs w:val="12"/>
              </w:rPr>
              <w:t>0.150</w:t>
            </w:r>
          </w:p>
        </w:tc>
        <w:tc>
          <w:tcPr>
            <w:tcW w:w="567" w:type="dxa"/>
            <w:tcBorders>
              <w:top w:val="nil"/>
              <w:left w:val="nil"/>
              <w:bottom w:val="single" w:sz="8" w:space="0" w:color="auto"/>
              <w:right w:val="single" w:sz="8" w:space="0" w:color="auto"/>
            </w:tcBorders>
            <w:shd w:val="clear" w:color="auto" w:fill="auto"/>
            <w:vAlign w:val="center"/>
          </w:tcPr>
          <w:p w14:paraId="5EEFED88" w14:textId="77777777" w:rsidR="004B0524" w:rsidRPr="00F9037E" w:rsidRDefault="004B0524" w:rsidP="00C05C97">
            <w:pPr>
              <w:spacing w:before="120" w:after="120"/>
              <w:jc w:val="center"/>
              <w:rPr>
                <w:color w:val="auto"/>
                <w:sz w:val="12"/>
                <w:szCs w:val="12"/>
              </w:rPr>
            </w:pPr>
            <w:r w:rsidRPr="00F9037E">
              <w:rPr>
                <w:color w:val="auto"/>
                <w:sz w:val="12"/>
                <w:szCs w:val="12"/>
              </w:rPr>
              <w:t>0.059</w:t>
            </w:r>
          </w:p>
        </w:tc>
        <w:tc>
          <w:tcPr>
            <w:tcW w:w="567" w:type="dxa"/>
            <w:tcBorders>
              <w:top w:val="nil"/>
              <w:left w:val="nil"/>
              <w:bottom w:val="single" w:sz="8" w:space="0" w:color="auto"/>
              <w:right w:val="single" w:sz="8" w:space="0" w:color="auto"/>
            </w:tcBorders>
            <w:shd w:val="clear" w:color="auto" w:fill="auto"/>
            <w:vAlign w:val="center"/>
          </w:tcPr>
          <w:p w14:paraId="357873F1" w14:textId="5DF90E5F"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904AFDA" w14:textId="36A93CFC"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3DB2D16" w14:textId="15956DA9"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A5D9E9A" w14:textId="209CA544"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49A4C4B" w14:textId="347CF660"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E6DA4A0" w14:textId="39047E18"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F515D9F" w14:textId="7C66218D"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1F819240"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8D473E5"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96EFF72"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24A776E" w14:textId="77777777" w:rsidR="004B0524" w:rsidRPr="00F9037E" w:rsidRDefault="004B0524" w:rsidP="00C05C97">
            <w:pPr>
              <w:spacing w:before="120" w:after="120"/>
              <w:jc w:val="center"/>
              <w:rPr>
                <w:color w:val="auto"/>
                <w:sz w:val="12"/>
                <w:szCs w:val="12"/>
              </w:rPr>
            </w:pPr>
            <w:r w:rsidRPr="00F9037E">
              <w:rPr>
                <w:color w:val="auto"/>
                <w:sz w:val="12"/>
                <w:szCs w:val="12"/>
              </w:rPr>
              <w:t>0.150</w:t>
            </w:r>
          </w:p>
        </w:tc>
        <w:tc>
          <w:tcPr>
            <w:tcW w:w="567" w:type="dxa"/>
            <w:tcBorders>
              <w:top w:val="nil"/>
              <w:left w:val="nil"/>
              <w:bottom w:val="single" w:sz="8" w:space="0" w:color="auto"/>
              <w:right w:val="single" w:sz="8" w:space="0" w:color="auto"/>
            </w:tcBorders>
            <w:shd w:val="clear" w:color="auto" w:fill="auto"/>
            <w:vAlign w:val="center"/>
          </w:tcPr>
          <w:p w14:paraId="0DD48796" w14:textId="77777777" w:rsidR="004B0524" w:rsidRPr="00F9037E" w:rsidRDefault="004B0524" w:rsidP="00C05C97">
            <w:pPr>
              <w:spacing w:before="120" w:after="120"/>
              <w:jc w:val="center"/>
              <w:rPr>
                <w:color w:val="auto"/>
                <w:sz w:val="12"/>
                <w:szCs w:val="12"/>
              </w:rPr>
            </w:pPr>
            <w:r w:rsidRPr="00F9037E">
              <w:rPr>
                <w:color w:val="auto"/>
                <w:sz w:val="12"/>
                <w:szCs w:val="12"/>
              </w:rPr>
              <w:t>0.059</w:t>
            </w:r>
          </w:p>
        </w:tc>
        <w:tc>
          <w:tcPr>
            <w:tcW w:w="567" w:type="dxa"/>
            <w:tcBorders>
              <w:top w:val="nil"/>
              <w:left w:val="nil"/>
              <w:bottom w:val="single" w:sz="8" w:space="0" w:color="auto"/>
              <w:right w:val="single" w:sz="8" w:space="0" w:color="auto"/>
            </w:tcBorders>
            <w:shd w:val="clear" w:color="auto" w:fill="auto"/>
            <w:vAlign w:val="center"/>
          </w:tcPr>
          <w:p w14:paraId="2D624A0E" w14:textId="75221F52"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EBFB648" w14:textId="39188BCB"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BC0AEAB" w14:textId="7DB7C01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9F986AC" w14:textId="0D5107ED"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4B0694B" w14:textId="78A9D334"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2EC46958" w14:textId="2618765E"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00A1BA0"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ED2ADFA"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3693C64"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73EA9BD" w14:textId="77777777" w:rsidR="004B0524" w:rsidRPr="00F9037E" w:rsidRDefault="004B0524" w:rsidP="00C05C97">
            <w:pPr>
              <w:spacing w:before="120" w:after="120"/>
              <w:jc w:val="center"/>
              <w:rPr>
                <w:color w:val="auto"/>
                <w:sz w:val="12"/>
                <w:szCs w:val="12"/>
              </w:rPr>
            </w:pPr>
          </w:p>
        </w:tc>
      </w:tr>
      <w:tr w:rsidR="004B0524" w:rsidRPr="00F9037E" w14:paraId="0EE0D7A5" w14:textId="77777777" w:rsidTr="00C05C97">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1A986698" w14:textId="1381AD06" w:rsidR="004B0524" w:rsidRPr="00F9037E" w:rsidRDefault="004B0524" w:rsidP="00C05C97">
            <w:pPr>
              <w:spacing w:before="120" w:after="120"/>
              <w:rPr>
                <w:color w:val="auto"/>
                <w:sz w:val="12"/>
                <w:szCs w:val="12"/>
              </w:rPr>
            </w:pPr>
            <w:r w:rsidRPr="00F9037E">
              <w:rPr>
                <w:color w:val="auto"/>
                <w:sz w:val="12"/>
                <w:szCs w:val="12"/>
              </w:rPr>
              <w:t>Belgium</w:t>
            </w:r>
          </w:p>
        </w:tc>
        <w:tc>
          <w:tcPr>
            <w:tcW w:w="818" w:type="dxa"/>
            <w:tcBorders>
              <w:top w:val="nil"/>
              <w:left w:val="nil"/>
              <w:bottom w:val="single" w:sz="8" w:space="0" w:color="auto"/>
              <w:right w:val="single" w:sz="8" w:space="0" w:color="auto"/>
            </w:tcBorders>
            <w:shd w:val="clear" w:color="auto" w:fill="auto"/>
            <w:vAlign w:val="center"/>
          </w:tcPr>
          <w:p w14:paraId="63A4A2EB" w14:textId="77777777" w:rsidR="004B0524" w:rsidRPr="00F9037E" w:rsidRDefault="004B0524" w:rsidP="00C05C97">
            <w:pPr>
              <w:spacing w:before="120" w:after="120"/>
              <w:rPr>
                <w:color w:val="auto"/>
                <w:sz w:val="12"/>
                <w:szCs w:val="12"/>
              </w:rPr>
            </w:pPr>
            <w:r w:rsidRPr="00F9037E">
              <w:rPr>
                <w:color w:val="auto"/>
                <w:sz w:val="12"/>
                <w:szCs w:val="12"/>
              </w:rPr>
              <w:t>Electronic equipment</w:t>
            </w:r>
          </w:p>
        </w:tc>
        <w:tc>
          <w:tcPr>
            <w:tcW w:w="567" w:type="dxa"/>
            <w:tcBorders>
              <w:top w:val="nil"/>
              <w:left w:val="nil"/>
              <w:bottom w:val="single" w:sz="8" w:space="0" w:color="auto"/>
              <w:right w:val="single" w:sz="8" w:space="0" w:color="auto"/>
            </w:tcBorders>
            <w:shd w:val="clear" w:color="auto" w:fill="auto"/>
            <w:vAlign w:val="center"/>
          </w:tcPr>
          <w:p w14:paraId="3E0AF913" w14:textId="77777777" w:rsidR="004B0524" w:rsidRPr="00F9037E" w:rsidRDefault="004B0524" w:rsidP="00C05C97">
            <w:pPr>
              <w:spacing w:before="120" w:after="120"/>
              <w:jc w:val="center"/>
              <w:rPr>
                <w:color w:val="auto"/>
                <w:sz w:val="12"/>
                <w:szCs w:val="12"/>
              </w:rPr>
            </w:pPr>
            <w:r w:rsidRPr="00F9037E">
              <w:rPr>
                <w:color w:val="auto"/>
                <w:sz w:val="12"/>
                <w:szCs w:val="12"/>
              </w:rPr>
              <w:t>0.100</w:t>
            </w:r>
          </w:p>
        </w:tc>
        <w:tc>
          <w:tcPr>
            <w:tcW w:w="567" w:type="dxa"/>
            <w:tcBorders>
              <w:top w:val="nil"/>
              <w:left w:val="nil"/>
              <w:bottom w:val="single" w:sz="8" w:space="0" w:color="auto"/>
              <w:right w:val="single" w:sz="8" w:space="0" w:color="auto"/>
            </w:tcBorders>
            <w:shd w:val="clear" w:color="auto" w:fill="auto"/>
            <w:vAlign w:val="center"/>
          </w:tcPr>
          <w:p w14:paraId="4602105D" w14:textId="77777777" w:rsidR="004B0524" w:rsidRPr="00F9037E" w:rsidRDefault="004B0524" w:rsidP="00C05C97">
            <w:pPr>
              <w:spacing w:before="120" w:after="120"/>
              <w:jc w:val="center"/>
              <w:rPr>
                <w:color w:val="auto"/>
                <w:sz w:val="12"/>
                <w:szCs w:val="12"/>
              </w:rPr>
            </w:pPr>
            <w:r w:rsidRPr="00F9037E">
              <w:rPr>
                <w:color w:val="auto"/>
                <w:sz w:val="12"/>
                <w:szCs w:val="12"/>
              </w:rPr>
              <w:t>0.035</w:t>
            </w:r>
          </w:p>
        </w:tc>
        <w:tc>
          <w:tcPr>
            <w:tcW w:w="567" w:type="dxa"/>
            <w:tcBorders>
              <w:top w:val="nil"/>
              <w:left w:val="nil"/>
              <w:bottom w:val="single" w:sz="8" w:space="0" w:color="auto"/>
              <w:right w:val="single" w:sz="8" w:space="0" w:color="auto"/>
            </w:tcBorders>
            <w:shd w:val="clear" w:color="auto" w:fill="auto"/>
            <w:vAlign w:val="center"/>
          </w:tcPr>
          <w:p w14:paraId="583A9E0B" w14:textId="70D76D7C"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BCDF92A" w14:textId="139011A1"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7DCB30D" w14:textId="1901106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8CDB7B0" w14:textId="58DEFAC3"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70CBD18" w14:textId="7D46DF48"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EBF199C" w14:textId="22F0C232"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44651FD" w14:textId="0956C75E"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68C401FE"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28D581F"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37A77DA"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4C54B0D3" w14:textId="77777777" w:rsidR="004B0524" w:rsidRPr="00F9037E" w:rsidRDefault="004B0524" w:rsidP="00C05C97">
            <w:pPr>
              <w:spacing w:before="120" w:after="120"/>
              <w:jc w:val="center"/>
              <w:rPr>
                <w:color w:val="auto"/>
                <w:sz w:val="12"/>
                <w:szCs w:val="12"/>
              </w:rPr>
            </w:pPr>
            <w:r w:rsidRPr="00F9037E">
              <w:rPr>
                <w:color w:val="auto"/>
                <w:sz w:val="12"/>
                <w:szCs w:val="12"/>
              </w:rPr>
              <w:t>0.100</w:t>
            </w:r>
          </w:p>
        </w:tc>
        <w:tc>
          <w:tcPr>
            <w:tcW w:w="567" w:type="dxa"/>
            <w:tcBorders>
              <w:top w:val="nil"/>
              <w:left w:val="nil"/>
              <w:bottom w:val="single" w:sz="8" w:space="0" w:color="auto"/>
              <w:right w:val="single" w:sz="8" w:space="0" w:color="auto"/>
            </w:tcBorders>
            <w:shd w:val="clear" w:color="auto" w:fill="auto"/>
            <w:vAlign w:val="center"/>
          </w:tcPr>
          <w:p w14:paraId="68106531" w14:textId="77777777" w:rsidR="004B0524" w:rsidRPr="00F9037E" w:rsidRDefault="004B0524" w:rsidP="00C05C97">
            <w:pPr>
              <w:spacing w:before="120" w:after="120"/>
              <w:jc w:val="center"/>
              <w:rPr>
                <w:color w:val="auto"/>
                <w:sz w:val="12"/>
                <w:szCs w:val="12"/>
              </w:rPr>
            </w:pPr>
            <w:r w:rsidRPr="00F9037E">
              <w:rPr>
                <w:color w:val="auto"/>
                <w:sz w:val="12"/>
                <w:szCs w:val="12"/>
              </w:rPr>
              <w:t>0.035</w:t>
            </w:r>
          </w:p>
        </w:tc>
        <w:tc>
          <w:tcPr>
            <w:tcW w:w="567" w:type="dxa"/>
            <w:tcBorders>
              <w:top w:val="nil"/>
              <w:left w:val="nil"/>
              <w:bottom w:val="single" w:sz="8" w:space="0" w:color="auto"/>
              <w:right w:val="single" w:sz="8" w:space="0" w:color="auto"/>
            </w:tcBorders>
            <w:shd w:val="clear" w:color="auto" w:fill="auto"/>
            <w:vAlign w:val="center"/>
          </w:tcPr>
          <w:p w14:paraId="58070122" w14:textId="612B146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FC36A9E" w14:textId="4CBA702F"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6DDED24" w14:textId="276EA0D4"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ADF4B55" w14:textId="5A1CB21E"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359B9C5" w14:textId="19E9FF38"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343895C1" w14:textId="40F0C469"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9D5E91F"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E5D4C90"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C4F055A"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E8D541D" w14:textId="77777777" w:rsidR="004B0524" w:rsidRPr="00F9037E" w:rsidRDefault="004B0524" w:rsidP="00C05C97">
            <w:pPr>
              <w:spacing w:before="120" w:after="120"/>
              <w:jc w:val="center"/>
              <w:rPr>
                <w:color w:val="auto"/>
                <w:sz w:val="12"/>
                <w:szCs w:val="12"/>
              </w:rPr>
            </w:pPr>
          </w:p>
        </w:tc>
      </w:tr>
      <w:tr w:rsidR="004B0524" w:rsidRPr="00F9037E" w14:paraId="57E9F3EC" w14:textId="77777777" w:rsidTr="00C05C97">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2BD9933" w14:textId="6FABCB68" w:rsidR="004B0524" w:rsidRPr="00F9037E" w:rsidRDefault="004B0524" w:rsidP="00C05C97">
            <w:pPr>
              <w:spacing w:before="120" w:after="120"/>
              <w:rPr>
                <w:color w:val="auto"/>
                <w:sz w:val="12"/>
                <w:szCs w:val="12"/>
              </w:rPr>
            </w:pPr>
            <w:r w:rsidRPr="00F9037E">
              <w:rPr>
                <w:color w:val="auto"/>
                <w:sz w:val="12"/>
                <w:szCs w:val="12"/>
              </w:rPr>
              <w:t>Belgium</w:t>
            </w:r>
          </w:p>
        </w:tc>
        <w:tc>
          <w:tcPr>
            <w:tcW w:w="818" w:type="dxa"/>
            <w:tcBorders>
              <w:top w:val="nil"/>
              <w:left w:val="nil"/>
              <w:bottom w:val="single" w:sz="8" w:space="0" w:color="auto"/>
              <w:right w:val="single" w:sz="8" w:space="0" w:color="auto"/>
            </w:tcBorders>
            <w:shd w:val="clear" w:color="auto" w:fill="auto"/>
            <w:vAlign w:val="center"/>
          </w:tcPr>
          <w:p w14:paraId="1EAB2594" w14:textId="77777777" w:rsidR="004B0524" w:rsidRPr="00F9037E" w:rsidRDefault="004B0524" w:rsidP="00C05C97">
            <w:pPr>
              <w:spacing w:before="120" w:after="120"/>
              <w:rPr>
                <w:color w:val="auto"/>
                <w:sz w:val="12"/>
                <w:szCs w:val="12"/>
              </w:rPr>
            </w:pPr>
            <w:r w:rsidRPr="00F9037E">
              <w:rPr>
                <w:color w:val="auto"/>
                <w:sz w:val="12"/>
                <w:szCs w:val="12"/>
              </w:rPr>
              <w:t>Empty silo</w:t>
            </w:r>
          </w:p>
        </w:tc>
        <w:tc>
          <w:tcPr>
            <w:tcW w:w="567" w:type="dxa"/>
            <w:tcBorders>
              <w:top w:val="nil"/>
              <w:left w:val="nil"/>
              <w:bottom w:val="single" w:sz="8" w:space="0" w:color="auto"/>
              <w:right w:val="single" w:sz="8" w:space="0" w:color="auto"/>
            </w:tcBorders>
            <w:shd w:val="clear" w:color="auto" w:fill="auto"/>
            <w:vAlign w:val="center"/>
          </w:tcPr>
          <w:p w14:paraId="26CD4F65" w14:textId="77777777" w:rsidR="004B0524" w:rsidRPr="00F9037E" w:rsidRDefault="004B0524" w:rsidP="00C05C97">
            <w:pPr>
              <w:spacing w:before="120" w:after="120"/>
              <w:jc w:val="center"/>
              <w:rPr>
                <w:color w:val="auto"/>
                <w:sz w:val="12"/>
                <w:szCs w:val="12"/>
              </w:rPr>
            </w:pPr>
            <w:r w:rsidRPr="00F9037E">
              <w:rPr>
                <w:color w:val="auto"/>
                <w:sz w:val="12"/>
                <w:szCs w:val="12"/>
              </w:rPr>
              <w:t>0.050</w:t>
            </w:r>
          </w:p>
        </w:tc>
        <w:tc>
          <w:tcPr>
            <w:tcW w:w="567" w:type="dxa"/>
            <w:tcBorders>
              <w:top w:val="nil"/>
              <w:left w:val="nil"/>
              <w:bottom w:val="single" w:sz="8" w:space="0" w:color="auto"/>
              <w:right w:val="single" w:sz="8" w:space="0" w:color="auto"/>
            </w:tcBorders>
            <w:shd w:val="clear" w:color="auto" w:fill="auto"/>
            <w:vAlign w:val="center"/>
          </w:tcPr>
          <w:p w14:paraId="2D6BAB1C" w14:textId="77777777" w:rsidR="004B0524" w:rsidRPr="00F9037E" w:rsidRDefault="004B0524" w:rsidP="00C05C97">
            <w:pPr>
              <w:spacing w:before="120" w:after="120"/>
              <w:jc w:val="center"/>
              <w:rPr>
                <w:color w:val="auto"/>
                <w:sz w:val="12"/>
                <w:szCs w:val="12"/>
              </w:rPr>
            </w:pPr>
            <w:r w:rsidRPr="00F9037E">
              <w:rPr>
                <w:color w:val="auto"/>
                <w:sz w:val="12"/>
                <w:szCs w:val="12"/>
              </w:rPr>
              <w:t>0.043</w:t>
            </w:r>
          </w:p>
        </w:tc>
        <w:tc>
          <w:tcPr>
            <w:tcW w:w="567" w:type="dxa"/>
            <w:tcBorders>
              <w:top w:val="nil"/>
              <w:left w:val="nil"/>
              <w:bottom w:val="single" w:sz="8" w:space="0" w:color="auto"/>
              <w:right w:val="single" w:sz="8" w:space="0" w:color="auto"/>
            </w:tcBorders>
            <w:shd w:val="clear" w:color="auto" w:fill="auto"/>
            <w:vAlign w:val="center"/>
          </w:tcPr>
          <w:p w14:paraId="16902DB6" w14:textId="2CA737C3"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4365F1B" w14:textId="26130BBC"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4EB6D4C" w14:textId="43B5E13F"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6CCB1F5" w14:textId="338EFF5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5D3EA6F" w14:textId="0FE64ABB"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DD5637D" w14:textId="10CD9C29"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E5690F9" w14:textId="3AEC9B8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2A045CC7"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467FA3D"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3F7B5A0"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70FF8F31" w14:textId="77777777" w:rsidR="004B0524" w:rsidRPr="00F9037E" w:rsidRDefault="004B0524" w:rsidP="00C05C97">
            <w:pPr>
              <w:spacing w:before="120" w:after="120"/>
              <w:jc w:val="center"/>
              <w:rPr>
                <w:color w:val="auto"/>
                <w:sz w:val="12"/>
                <w:szCs w:val="12"/>
              </w:rPr>
            </w:pPr>
            <w:r w:rsidRPr="00F9037E">
              <w:rPr>
                <w:color w:val="auto"/>
                <w:sz w:val="12"/>
                <w:szCs w:val="12"/>
              </w:rPr>
              <w:t>0.050</w:t>
            </w:r>
          </w:p>
        </w:tc>
        <w:tc>
          <w:tcPr>
            <w:tcW w:w="567" w:type="dxa"/>
            <w:tcBorders>
              <w:top w:val="nil"/>
              <w:left w:val="nil"/>
              <w:bottom w:val="single" w:sz="8" w:space="0" w:color="auto"/>
              <w:right w:val="single" w:sz="8" w:space="0" w:color="auto"/>
            </w:tcBorders>
            <w:shd w:val="clear" w:color="auto" w:fill="auto"/>
            <w:vAlign w:val="center"/>
          </w:tcPr>
          <w:p w14:paraId="1725435D" w14:textId="77777777" w:rsidR="004B0524" w:rsidRPr="00F9037E" w:rsidRDefault="004B0524" w:rsidP="00C05C97">
            <w:pPr>
              <w:spacing w:before="120" w:after="120"/>
              <w:jc w:val="center"/>
              <w:rPr>
                <w:color w:val="auto"/>
                <w:sz w:val="12"/>
                <w:szCs w:val="12"/>
              </w:rPr>
            </w:pPr>
            <w:r w:rsidRPr="00F9037E">
              <w:rPr>
                <w:color w:val="auto"/>
                <w:sz w:val="12"/>
                <w:szCs w:val="12"/>
              </w:rPr>
              <w:t>0.043</w:t>
            </w:r>
          </w:p>
        </w:tc>
        <w:tc>
          <w:tcPr>
            <w:tcW w:w="567" w:type="dxa"/>
            <w:tcBorders>
              <w:top w:val="nil"/>
              <w:left w:val="nil"/>
              <w:bottom w:val="single" w:sz="8" w:space="0" w:color="auto"/>
              <w:right w:val="single" w:sz="8" w:space="0" w:color="auto"/>
            </w:tcBorders>
            <w:shd w:val="clear" w:color="auto" w:fill="auto"/>
            <w:vAlign w:val="center"/>
          </w:tcPr>
          <w:p w14:paraId="0B96044E" w14:textId="22173A39"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52FDCAF" w14:textId="70216EAD"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831EFD3" w14:textId="4D9FD81C"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ECA7214" w14:textId="08328E5B"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7874FD8" w14:textId="168BE6EB"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3D0EDE7F" w14:textId="10267F25"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E7A7D7B"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C2CE599"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170F99F"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62516D7" w14:textId="77777777" w:rsidR="004B0524" w:rsidRPr="00F9037E" w:rsidRDefault="004B0524" w:rsidP="00C05C97">
            <w:pPr>
              <w:spacing w:before="120" w:after="120"/>
              <w:jc w:val="center"/>
              <w:rPr>
                <w:color w:val="auto"/>
                <w:sz w:val="12"/>
                <w:szCs w:val="12"/>
              </w:rPr>
            </w:pPr>
          </w:p>
        </w:tc>
      </w:tr>
      <w:tr w:rsidR="004B0524" w:rsidRPr="00F9037E" w14:paraId="2908E262" w14:textId="77777777" w:rsidTr="00C05C97">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453F78F4" w14:textId="2FE863A4" w:rsidR="004B0524" w:rsidRPr="00F9037E" w:rsidRDefault="004B0524" w:rsidP="00C05C97">
            <w:pPr>
              <w:spacing w:before="120" w:after="120"/>
              <w:rPr>
                <w:color w:val="auto"/>
                <w:sz w:val="12"/>
                <w:szCs w:val="12"/>
              </w:rPr>
            </w:pPr>
            <w:r w:rsidRPr="00F9037E">
              <w:rPr>
                <w:color w:val="auto"/>
                <w:sz w:val="12"/>
                <w:szCs w:val="12"/>
              </w:rPr>
              <w:t>Belgium</w:t>
            </w:r>
          </w:p>
        </w:tc>
        <w:tc>
          <w:tcPr>
            <w:tcW w:w="818" w:type="dxa"/>
            <w:tcBorders>
              <w:top w:val="nil"/>
              <w:left w:val="nil"/>
              <w:bottom w:val="single" w:sz="8" w:space="0" w:color="auto"/>
              <w:right w:val="single" w:sz="8" w:space="0" w:color="auto"/>
            </w:tcBorders>
            <w:shd w:val="clear" w:color="auto" w:fill="auto"/>
            <w:vAlign w:val="center"/>
          </w:tcPr>
          <w:p w14:paraId="2F1008C6" w14:textId="77777777" w:rsidR="004B0524" w:rsidRPr="00F9037E" w:rsidRDefault="004B0524" w:rsidP="00C05C97">
            <w:pPr>
              <w:spacing w:before="120" w:after="120"/>
              <w:rPr>
                <w:color w:val="auto"/>
                <w:sz w:val="12"/>
                <w:szCs w:val="12"/>
              </w:rPr>
            </w:pPr>
            <w:r w:rsidRPr="00F9037E">
              <w:rPr>
                <w:color w:val="auto"/>
                <w:sz w:val="12"/>
                <w:szCs w:val="12"/>
              </w:rPr>
              <w:t>Flour mill see mills below</w:t>
            </w:r>
          </w:p>
        </w:tc>
        <w:tc>
          <w:tcPr>
            <w:tcW w:w="567" w:type="dxa"/>
            <w:tcBorders>
              <w:top w:val="nil"/>
              <w:left w:val="nil"/>
              <w:bottom w:val="single" w:sz="8" w:space="0" w:color="auto"/>
              <w:right w:val="single" w:sz="8" w:space="0" w:color="auto"/>
            </w:tcBorders>
            <w:shd w:val="clear" w:color="auto" w:fill="auto"/>
            <w:vAlign w:val="center"/>
          </w:tcPr>
          <w:p w14:paraId="152D6F7F" w14:textId="77777777" w:rsidR="004B0524" w:rsidRPr="00F9037E" w:rsidRDefault="004B0524" w:rsidP="00C05C97">
            <w:pPr>
              <w:spacing w:before="120" w:after="120"/>
              <w:jc w:val="center"/>
              <w:rPr>
                <w:color w:val="auto"/>
                <w:sz w:val="12"/>
                <w:szCs w:val="12"/>
              </w:rPr>
            </w:pPr>
            <w:r w:rsidRPr="00F9037E">
              <w:rPr>
                <w:color w:val="auto"/>
                <w:sz w:val="12"/>
                <w:szCs w:val="12"/>
              </w:rPr>
              <w:t>0.125</w:t>
            </w:r>
          </w:p>
        </w:tc>
        <w:tc>
          <w:tcPr>
            <w:tcW w:w="567" w:type="dxa"/>
            <w:tcBorders>
              <w:top w:val="nil"/>
              <w:left w:val="nil"/>
              <w:bottom w:val="single" w:sz="8" w:space="0" w:color="auto"/>
              <w:right w:val="single" w:sz="8" w:space="0" w:color="auto"/>
            </w:tcBorders>
            <w:shd w:val="clear" w:color="auto" w:fill="auto"/>
            <w:vAlign w:val="center"/>
          </w:tcPr>
          <w:p w14:paraId="0B1B0D44" w14:textId="77777777" w:rsidR="004B0524" w:rsidRPr="00F9037E" w:rsidRDefault="004B0524" w:rsidP="00C05C97">
            <w:pPr>
              <w:spacing w:before="120" w:after="120"/>
              <w:jc w:val="center"/>
              <w:rPr>
                <w:color w:val="auto"/>
                <w:sz w:val="12"/>
                <w:szCs w:val="12"/>
              </w:rPr>
            </w:pPr>
            <w:r w:rsidRPr="00F9037E">
              <w:rPr>
                <w:color w:val="auto"/>
                <w:sz w:val="12"/>
                <w:szCs w:val="12"/>
              </w:rPr>
              <w:t>0.072</w:t>
            </w:r>
          </w:p>
        </w:tc>
        <w:tc>
          <w:tcPr>
            <w:tcW w:w="567" w:type="dxa"/>
            <w:tcBorders>
              <w:top w:val="nil"/>
              <w:left w:val="nil"/>
              <w:bottom w:val="single" w:sz="8" w:space="0" w:color="auto"/>
              <w:right w:val="single" w:sz="8" w:space="0" w:color="auto"/>
            </w:tcBorders>
            <w:shd w:val="clear" w:color="auto" w:fill="auto"/>
            <w:vAlign w:val="center"/>
          </w:tcPr>
          <w:p w14:paraId="27D8B109" w14:textId="01436313"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F0C7D1D" w14:textId="113C70E0"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D288904" w14:textId="56C2F1DB"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71D433B" w14:textId="0FC5318C"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8A9140A" w14:textId="1B0A6E9A"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97282CC" w14:textId="7A41B9E5"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910AAAB" w14:textId="46858FFC"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1F7044CE"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10C4EC8"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0370E1F"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1B258F55" w14:textId="77777777" w:rsidR="004B0524" w:rsidRPr="00F9037E" w:rsidRDefault="004B0524" w:rsidP="00C05C97">
            <w:pPr>
              <w:spacing w:before="120" w:after="120"/>
              <w:jc w:val="center"/>
              <w:rPr>
                <w:color w:val="auto"/>
                <w:sz w:val="12"/>
                <w:szCs w:val="12"/>
              </w:rPr>
            </w:pPr>
            <w:r w:rsidRPr="00F9037E">
              <w:rPr>
                <w:color w:val="auto"/>
                <w:sz w:val="12"/>
                <w:szCs w:val="12"/>
              </w:rPr>
              <w:t>See mills below</w:t>
            </w:r>
          </w:p>
        </w:tc>
        <w:tc>
          <w:tcPr>
            <w:tcW w:w="567" w:type="dxa"/>
            <w:tcBorders>
              <w:top w:val="nil"/>
              <w:left w:val="nil"/>
              <w:bottom w:val="single" w:sz="8" w:space="0" w:color="auto"/>
              <w:right w:val="single" w:sz="8" w:space="0" w:color="auto"/>
            </w:tcBorders>
            <w:shd w:val="clear" w:color="auto" w:fill="auto"/>
            <w:vAlign w:val="center"/>
          </w:tcPr>
          <w:p w14:paraId="0AF88214" w14:textId="77777777" w:rsidR="004B0524" w:rsidRPr="00F9037E" w:rsidRDefault="004B0524" w:rsidP="00C05C97">
            <w:pPr>
              <w:spacing w:before="120" w:after="120"/>
              <w:jc w:val="center"/>
              <w:rPr>
                <w:color w:val="auto"/>
                <w:sz w:val="12"/>
                <w:szCs w:val="12"/>
              </w:rPr>
            </w:pPr>
            <w:r w:rsidRPr="00F9037E">
              <w:rPr>
                <w:color w:val="auto"/>
                <w:sz w:val="12"/>
                <w:szCs w:val="12"/>
              </w:rPr>
              <w:t>0.072</w:t>
            </w:r>
          </w:p>
        </w:tc>
        <w:tc>
          <w:tcPr>
            <w:tcW w:w="567" w:type="dxa"/>
            <w:tcBorders>
              <w:top w:val="nil"/>
              <w:left w:val="nil"/>
              <w:bottom w:val="single" w:sz="8" w:space="0" w:color="auto"/>
              <w:right w:val="single" w:sz="8" w:space="0" w:color="auto"/>
            </w:tcBorders>
            <w:shd w:val="clear" w:color="auto" w:fill="auto"/>
            <w:vAlign w:val="center"/>
          </w:tcPr>
          <w:p w14:paraId="7AA2F6B4" w14:textId="0CF191E3"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8DF557E" w14:textId="2A76750D"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ADFB797" w14:textId="1D75476C"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392D626" w14:textId="3741A99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32E55C7" w14:textId="6D13D7E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539DBBA9" w14:textId="2D4E8ECA"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53532B6"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4E754AC"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9A81B2E"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127A59A" w14:textId="77777777" w:rsidR="004B0524" w:rsidRPr="00F9037E" w:rsidRDefault="004B0524" w:rsidP="00C05C97">
            <w:pPr>
              <w:spacing w:before="120" w:after="120"/>
              <w:jc w:val="center"/>
              <w:rPr>
                <w:color w:val="auto"/>
                <w:sz w:val="12"/>
                <w:szCs w:val="12"/>
              </w:rPr>
            </w:pPr>
          </w:p>
        </w:tc>
      </w:tr>
      <w:tr w:rsidR="004B0524" w:rsidRPr="00F9037E" w14:paraId="60895F91" w14:textId="77777777" w:rsidTr="00C05C97">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54E1907C" w14:textId="39C89501" w:rsidR="004B0524" w:rsidRPr="00F9037E" w:rsidRDefault="004B0524" w:rsidP="00C05C97">
            <w:pPr>
              <w:spacing w:before="120" w:after="120"/>
              <w:rPr>
                <w:color w:val="auto"/>
                <w:sz w:val="12"/>
                <w:szCs w:val="12"/>
              </w:rPr>
            </w:pPr>
            <w:r w:rsidRPr="00F9037E">
              <w:rPr>
                <w:color w:val="auto"/>
                <w:sz w:val="12"/>
                <w:szCs w:val="12"/>
              </w:rPr>
              <w:t>Belgium</w:t>
            </w:r>
          </w:p>
        </w:tc>
        <w:tc>
          <w:tcPr>
            <w:tcW w:w="818" w:type="dxa"/>
            <w:tcBorders>
              <w:top w:val="nil"/>
              <w:left w:val="nil"/>
              <w:bottom w:val="single" w:sz="8" w:space="0" w:color="auto"/>
              <w:right w:val="single" w:sz="8" w:space="0" w:color="auto"/>
            </w:tcBorders>
            <w:shd w:val="clear" w:color="auto" w:fill="auto"/>
            <w:vAlign w:val="center"/>
          </w:tcPr>
          <w:p w14:paraId="6C70B871" w14:textId="77777777" w:rsidR="004B0524" w:rsidRPr="00F9037E" w:rsidRDefault="004B0524" w:rsidP="00C05C97">
            <w:pPr>
              <w:spacing w:before="120" w:after="120"/>
              <w:rPr>
                <w:color w:val="auto"/>
                <w:sz w:val="12"/>
                <w:szCs w:val="12"/>
              </w:rPr>
            </w:pPr>
            <w:r w:rsidRPr="00F9037E">
              <w:rPr>
                <w:color w:val="auto"/>
                <w:sz w:val="12"/>
                <w:szCs w:val="12"/>
              </w:rPr>
              <w:t>Flour mills</w:t>
            </w:r>
          </w:p>
        </w:tc>
        <w:tc>
          <w:tcPr>
            <w:tcW w:w="567" w:type="dxa"/>
            <w:tcBorders>
              <w:top w:val="nil"/>
              <w:left w:val="nil"/>
              <w:bottom w:val="single" w:sz="8" w:space="0" w:color="auto"/>
              <w:right w:val="single" w:sz="8" w:space="0" w:color="auto"/>
            </w:tcBorders>
            <w:shd w:val="clear" w:color="auto" w:fill="auto"/>
            <w:vAlign w:val="center"/>
          </w:tcPr>
          <w:p w14:paraId="3B60A742" w14:textId="77777777" w:rsidR="004B0524" w:rsidRPr="00F9037E" w:rsidRDefault="004B0524" w:rsidP="00C05C97">
            <w:pPr>
              <w:spacing w:before="120" w:after="120"/>
              <w:jc w:val="center"/>
              <w:rPr>
                <w:color w:val="auto"/>
                <w:sz w:val="12"/>
                <w:szCs w:val="12"/>
              </w:rPr>
            </w:pPr>
            <w:r w:rsidRPr="00F9037E">
              <w:rPr>
                <w:color w:val="auto"/>
                <w:sz w:val="12"/>
                <w:szCs w:val="12"/>
              </w:rPr>
              <w:t>10.000</w:t>
            </w:r>
          </w:p>
        </w:tc>
        <w:tc>
          <w:tcPr>
            <w:tcW w:w="567" w:type="dxa"/>
            <w:tcBorders>
              <w:top w:val="nil"/>
              <w:left w:val="nil"/>
              <w:bottom w:val="single" w:sz="8" w:space="0" w:color="auto"/>
              <w:right w:val="single" w:sz="8" w:space="0" w:color="auto"/>
            </w:tcBorders>
            <w:shd w:val="clear" w:color="auto" w:fill="auto"/>
            <w:vAlign w:val="center"/>
          </w:tcPr>
          <w:p w14:paraId="05FD7183" w14:textId="77777777" w:rsidR="004B0524" w:rsidRPr="00F9037E" w:rsidRDefault="004B0524" w:rsidP="00C05C97">
            <w:pPr>
              <w:spacing w:before="120" w:after="120"/>
              <w:jc w:val="center"/>
              <w:rPr>
                <w:color w:val="auto"/>
                <w:sz w:val="12"/>
                <w:szCs w:val="12"/>
              </w:rPr>
            </w:pPr>
            <w:r w:rsidRPr="00F9037E">
              <w:rPr>
                <w:color w:val="auto"/>
                <w:sz w:val="12"/>
                <w:szCs w:val="12"/>
              </w:rPr>
              <w:t>4.170</w:t>
            </w:r>
          </w:p>
        </w:tc>
        <w:tc>
          <w:tcPr>
            <w:tcW w:w="567" w:type="dxa"/>
            <w:tcBorders>
              <w:top w:val="nil"/>
              <w:left w:val="nil"/>
              <w:bottom w:val="single" w:sz="8" w:space="0" w:color="auto"/>
              <w:right w:val="single" w:sz="8" w:space="0" w:color="auto"/>
            </w:tcBorders>
            <w:shd w:val="clear" w:color="auto" w:fill="auto"/>
            <w:vAlign w:val="center"/>
          </w:tcPr>
          <w:p w14:paraId="66F85C98" w14:textId="5F0914FD"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1052149" w14:textId="7A770EA4"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CDAE735" w14:textId="4479968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4E48F22" w14:textId="07907092"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F53CBA4" w14:textId="4B3B3501"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CB82692" w14:textId="396D4865"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FACA0A1" w14:textId="307F2D2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4C9B286A"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76A41F2"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270E024"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7F53AF66" w14:textId="77777777" w:rsidR="004B0524" w:rsidRPr="00F9037E" w:rsidRDefault="004B0524" w:rsidP="00C05C97">
            <w:pPr>
              <w:spacing w:before="120" w:after="120"/>
              <w:jc w:val="center"/>
              <w:rPr>
                <w:color w:val="auto"/>
                <w:sz w:val="12"/>
                <w:szCs w:val="12"/>
              </w:rPr>
            </w:pPr>
            <w:r w:rsidRPr="00F9037E">
              <w:rPr>
                <w:color w:val="auto"/>
                <w:sz w:val="12"/>
                <w:szCs w:val="12"/>
              </w:rPr>
              <w:t>9.515</w:t>
            </w:r>
          </w:p>
        </w:tc>
        <w:tc>
          <w:tcPr>
            <w:tcW w:w="567" w:type="dxa"/>
            <w:tcBorders>
              <w:top w:val="nil"/>
              <w:left w:val="nil"/>
              <w:bottom w:val="single" w:sz="8" w:space="0" w:color="auto"/>
              <w:right w:val="single" w:sz="8" w:space="0" w:color="auto"/>
            </w:tcBorders>
            <w:shd w:val="clear" w:color="auto" w:fill="auto"/>
            <w:vAlign w:val="center"/>
          </w:tcPr>
          <w:p w14:paraId="487CD297" w14:textId="77777777" w:rsidR="004B0524" w:rsidRPr="00F9037E" w:rsidRDefault="004B0524" w:rsidP="00C05C97">
            <w:pPr>
              <w:spacing w:before="120" w:after="120"/>
              <w:jc w:val="center"/>
              <w:rPr>
                <w:color w:val="auto"/>
                <w:sz w:val="12"/>
                <w:szCs w:val="12"/>
              </w:rPr>
            </w:pPr>
            <w:r w:rsidRPr="00F9037E">
              <w:rPr>
                <w:color w:val="auto"/>
                <w:sz w:val="12"/>
                <w:szCs w:val="12"/>
              </w:rPr>
              <w:t>4.170</w:t>
            </w:r>
          </w:p>
        </w:tc>
        <w:tc>
          <w:tcPr>
            <w:tcW w:w="567" w:type="dxa"/>
            <w:tcBorders>
              <w:top w:val="nil"/>
              <w:left w:val="nil"/>
              <w:bottom w:val="single" w:sz="8" w:space="0" w:color="auto"/>
              <w:right w:val="single" w:sz="8" w:space="0" w:color="auto"/>
            </w:tcBorders>
            <w:shd w:val="clear" w:color="auto" w:fill="auto"/>
            <w:vAlign w:val="center"/>
          </w:tcPr>
          <w:p w14:paraId="77A7D27A" w14:textId="19F3D835"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C429A89" w14:textId="3ABA3515"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22F82AA" w14:textId="14933994"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3B48834" w14:textId="6F149929"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FDA0192" w14:textId="0444B528"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397AE6E0" w14:textId="5AE66B5D"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AF7F8FD"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617E50A"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DBA9662"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A282111" w14:textId="77777777" w:rsidR="004B0524" w:rsidRPr="00F9037E" w:rsidRDefault="004B0524" w:rsidP="00C05C97">
            <w:pPr>
              <w:spacing w:before="120" w:after="120"/>
              <w:jc w:val="center"/>
              <w:rPr>
                <w:color w:val="auto"/>
                <w:sz w:val="12"/>
                <w:szCs w:val="12"/>
              </w:rPr>
            </w:pPr>
          </w:p>
        </w:tc>
      </w:tr>
      <w:tr w:rsidR="004B0524" w:rsidRPr="00F9037E" w14:paraId="711F2A3A" w14:textId="77777777" w:rsidTr="00C05C97">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11242814" w14:textId="54B1B297" w:rsidR="004B0524" w:rsidRPr="00F9037E" w:rsidRDefault="004B0524" w:rsidP="00C05C97">
            <w:pPr>
              <w:spacing w:before="120" w:after="120"/>
              <w:rPr>
                <w:color w:val="auto"/>
                <w:sz w:val="12"/>
                <w:szCs w:val="12"/>
              </w:rPr>
            </w:pPr>
            <w:r w:rsidRPr="00F9037E">
              <w:rPr>
                <w:color w:val="auto"/>
                <w:sz w:val="12"/>
                <w:szCs w:val="12"/>
              </w:rPr>
              <w:t>Belgium</w:t>
            </w:r>
          </w:p>
        </w:tc>
        <w:tc>
          <w:tcPr>
            <w:tcW w:w="818" w:type="dxa"/>
            <w:tcBorders>
              <w:top w:val="nil"/>
              <w:left w:val="nil"/>
              <w:bottom w:val="single" w:sz="8" w:space="0" w:color="auto"/>
              <w:right w:val="single" w:sz="8" w:space="0" w:color="auto"/>
            </w:tcBorders>
            <w:shd w:val="clear" w:color="auto" w:fill="auto"/>
            <w:vAlign w:val="center"/>
          </w:tcPr>
          <w:p w14:paraId="3322380C" w14:textId="77777777" w:rsidR="004B0524" w:rsidRPr="00F9037E" w:rsidRDefault="004B0524" w:rsidP="00C05C97">
            <w:pPr>
              <w:spacing w:before="120" w:after="120"/>
              <w:rPr>
                <w:color w:val="auto"/>
                <w:sz w:val="12"/>
                <w:szCs w:val="12"/>
              </w:rPr>
            </w:pPr>
            <w:r w:rsidRPr="00F9037E">
              <w:rPr>
                <w:color w:val="auto"/>
                <w:sz w:val="12"/>
                <w:szCs w:val="12"/>
              </w:rPr>
              <w:t>Mills</w:t>
            </w:r>
          </w:p>
        </w:tc>
        <w:tc>
          <w:tcPr>
            <w:tcW w:w="567" w:type="dxa"/>
            <w:tcBorders>
              <w:top w:val="nil"/>
              <w:left w:val="nil"/>
              <w:bottom w:val="single" w:sz="8" w:space="0" w:color="auto"/>
              <w:right w:val="single" w:sz="8" w:space="0" w:color="auto"/>
            </w:tcBorders>
            <w:shd w:val="clear" w:color="auto" w:fill="auto"/>
            <w:vAlign w:val="center"/>
          </w:tcPr>
          <w:p w14:paraId="42CCE15A" w14:textId="77777777" w:rsidR="004B0524" w:rsidRPr="00F9037E" w:rsidRDefault="004B0524" w:rsidP="00C05C97">
            <w:pPr>
              <w:spacing w:before="120" w:after="120"/>
              <w:jc w:val="center"/>
              <w:rPr>
                <w:color w:val="auto"/>
                <w:sz w:val="12"/>
                <w:szCs w:val="12"/>
              </w:rPr>
            </w:pPr>
            <w:r w:rsidRPr="00F9037E">
              <w:rPr>
                <w:color w:val="auto"/>
                <w:sz w:val="12"/>
                <w:szCs w:val="12"/>
              </w:rPr>
              <w:t>0.200</w:t>
            </w:r>
          </w:p>
        </w:tc>
        <w:tc>
          <w:tcPr>
            <w:tcW w:w="567" w:type="dxa"/>
            <w:tcBorders>
              <w:top w:val="nil"/>
              <w:left w:val="nil"/>
              <w:bottom w:val="single" w:sz="8" w:space="0" w:color="auto"/>
              <w:right w:val="single" w:sz="8" w:space="0" w:color="auto"/>
            </w:tcBorders>
            <w:shd w:val="clear" w:color="auto" w:fill="auto"/>
            <w:vAlign w:val="center"/>
          </w:tcPr>
          <w:p w14:paraId="48EE0DFD" w14:textId="77777777" w:rsidR="004B0524" w:rsidRPr="00F9037E" w:rsidRDefault="004B0524" w:rsidP="00C05C97">
            <w:pPr>
              <w:spacing w:before="120" w:after="120"/>
              <w:jc w:val="center"/>
              <w:rPr>
                <w:color w:val="auto"/>
                <w:sz w:val="12"/>
                <w:szCs w:val="12"/>
              </w:rPr>
            </w:pPr>
            <w:r w:rsidRPr="00F9037E">
              <w:rPr>
                <w:color w:val="auto"/>
                <w:sz w:val="12"/>
                <w:szCs w:val="12"/>
              </w:rPr>
              <w:t>0.200</w:t>
            </w:r>
          </w:p>
        </w:tc>
        <w:tc>
          <w:tcPr>
            <w:tcW w:w="567" w:type="dxa"/>
            <w:tcBorders>
              <w:top w:val="nil"/>
              <w:left w:val="nil"/>
              <w:bottom w:val="single" w:sz="8" w:space="0" w:color="auto"/>
              <w:right w:val="single" w:sz="8" w:space="0" w:color="auto"/>
            </w:tcBorders>
            <w:shd w:val="clear" w:color="auto" w:fill="auto"/>
            <w:vAlign w:val="center"/>
          </w:tcPr>
          <w:p w14:paraId="6F9B8A02" w14:textId="401D2299"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D0A6C88" w14:textId="38C515F5"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3F27658" w14:textId="7BE831B1"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7B2FF1D" w14:textId="15C73D6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8F1B9A7" w14:textId="178B53B0"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C6C0565" w14:textId="5716546A"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717E9B4" w14:textId="0EB1394F"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4B6D7B87"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228BB6A"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FAAB563"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42FD75AD" w14:textId="77777777" w:rsidR="004B0524" w:rsidRPr="00F9037E" w:rsidRDefault="004B0524" w:rsidP="00C05C97">
            <w:pPr>
              <w:spacing w:before="120" w:after="120"/>
              <w:jc w:val="center"/>
              <w:rPr>
                <w:color w:val="auto"/>
                <w:sz w:val="12"/>
                <w:szCs w:val="12"/>
              </w:rPr>
            </w:pPr>
            <w:r w:rsidRPr="00F9037E">
              <w:rPr>
                <w:color w:val="auto"/>
                <w:sz w:val="12"/>
                <w:szCs w:val="12"/>
              </w:rPr>
              <w:t>0.200</w:t>
            </w:r>
          </w:p>
        </w:tc>
        <w:tc>
          <w:tcPr>
            <w:tcW w:w="567" w:type="dxa"/>
            <w:tcBorders>
              <w:top w:val="nil"/>
              <w:left w:val="nil"/>
              <w:bottom w:val="single" w:sz="8" w:space="0" w:color="auto"/>
              <w:right w:val="single" w:sz="8" w:space="0" w:color="auto"/>
            </w:tcBorders>
            <w:shd w:val="clear" w:color="auto" w:fill="auto"/>
            <w:vAlign w:val="center"/>
          </w:tcPr>
          <w:p w14:paraId="1098381B" w14:textId="77777777" w:rsidR="004B0524" w:rsidRPr="00F9037E" w:rsidRDefault="004B0524" w:rsidP="00C05C97">
            <w:pPr>
              <w:spacing w:before="120" w:after="120"/>
              <w:jc w:val="center"/>
              <w:rPr>
                <w:color w:val="auto"/>
                <w:sz w:val="12"/>
                <w:szCs w:val="12"/>
              </w:rPr>
            </w:pPr>
            <w:r w:rsidRPr="00F9037E">
              <w:rPr>
                <w:color w:val="auto"/>
                <w:sz w:val="12"/>
                <w:szCs w:val="12"/>
              </w:rPr>
              <w:t>0.200</w:t>
            </w:r>
          </w:p>
        </w:tc>
        <w:tc>
          <w:tcPr>
            <w:tcW w:w="567" w:type="dxa"/>
            <w:tcBorders>
              <w:top w:val="nil"/>
              <w:left w:val="nil"/>
              <w:bottom w:val="single" w:sz="8" w:space="0" w:color="auto"/>
              <w:right w:val="single" w:sz="8" w:space="0" w:color="auto"/>
            </w:tcBorders>
            <w:shd w:val="clear" w:color="auto" w:fill="auto"/>
            <w:vAlign w:val="center"/>
          </w:tcPr>
          <w:p w14:paraId="3AAD1783" w14:textId="3FF03429"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D6BBCCE" w14:textId="7D0DE60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936F7DD" w14:textId="193E9248"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CCFA8A2" w14:textId="107E91AD"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5853668" w14:textId="62A75231"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0284E84F" w14:textId="4809126B"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FD0DED7"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B01A42A"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903C9BC"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15EE90B" w14:textId="77777777" w:rsidR="004B0524" w:rsidRPr="00F9037E" w:rsidRDefault="004B0524" w:rsidP="00C05C97">
            <w:pPr>
              <w:spacing w:before="120" w:after="120"/>
              <w:jc w:val="center"/>
              <w:rPr>
                <w:color w:val="auto"/>
                <w:sz w:val="12"/>
                <w:szCs w:val="12"/>
              </w:rPr>
            </w:pPr>
          </w:p>
        </w:tc>
      </w:tr>
      <w:tr w:rsidR="004B0524" w:rsidRPr="00F9037E" w14:paraId="5AB0B821" w14:textId="77777777" w:rsidTr="00C05C97">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53A3EE1A" w14:textId="1F146CF0" w:rsidR="004B0524" w:rsidRPr="00F9037E" w:rsidRDefault="004B0524" w:rsidP="00C05C97">
            <w:pPr>
              <w:spacing w:before="120" w:after="120"/>
              <w:rPr>
                <w:color w:val="auto"/>
                <w:sz w:val="12"/>
                <w:szCs w:val="12"/>
              </w:rPr>
            </w:pPr>
            <w:r w:rsidRPr="00F9037E">
              <w:rPr>
                <w:color w:val="auto"/>
                <w:sz w:val="12"/>
                <w:szCs w:val="12"/>
              </w:rPr>
              <w:t>Belgium</w:t>
            </w:r>
          </w:p>
        </w:tc>
        <w:tc>
          <w:tcPr>
            <w:tcW w:w="818" w:type="dxa"/>
            <w:tcBorders>
              <w:top w:val="nil"/>
              <w:left w:val="nil"/>
              <w:bottom w:val="single" w:sz="8" w:space="0" w:color="auto"/>
              <w:right w:val="single" w:sz="8" w:space="0" w:color="auto"/>
            </w:tcBorders>
            <w:shd w:val="clear" w:color="auto" w:fill="auto"/>
            <w:vAlign w:val="center"/>
          </w:tcPr>
          <w:p w14:paraId="52F23F2D" w14:textId="77777777" w:rsidR="004B0524" w:rsidRPr="00F9037E" w:rsidRDefault="004B0524" w:rsidP="00C05C97">
            <w:pPr>
              <w:spacing w:before="120" w:after="120"/>
              <w:rPr>
                <w:color w:val="auto"/>
                <w:sz w:val="12"/>
                <w:szCs w:val="12"/>
              </w:rPr>
            </w:pPr>
            <w:r w:rsidRPr="00F9037E">
              <w:rPr>
                <w:color w:val="auto"/>
                <w:sz w:val="12"/>
                <w:szCs w:val="12"/>
              </w:rPr>
              <w:t>Food processing facilities</w:t>
            </w:r>
          </w:p>
        </w:tc>
        <w:tc>
          <w:tcPr>
            <w:tcW w:w="567" w:type="dxa"/>
            <w:tcBorders>
              <w:top w:val="nil"/>
              <w:left w:val="nil"/>
              <w:bottom w:val="single" w:sz="8" w:space="0" w:color="auto"/>
              <w:right w:val="single" w:sz="8" w:space="0" w:color="auto"/>
            </w:tcBorders>
            <w:shd w:val="clear" w:color="auto" w:fill="auto"/>
            <w:vAlign w:val="center"/>
          </w:tcPr>
          <w:p w14:paraId="326E721F" w14:textId="77777777" w:rsidR="004B0524" w:rsidRPr="00F9037E" w:rsidRDefault="004B0524" w:rsidP="00C05C97">
            <w:pPr>
              <w:spacing w:before="120" w:after="120"/>
              <w:jc w:val="center"/>
              <w:rPr>
                <w:color w:val="auto"/>
                <w:sz w:val="12"/>
                <w:szCs w:val="12"/>
              </w:rPr>
            </w:pPr>
            <w:r w:rsidRPr="00F9037E">
              <w:rPr>
                <w:color w:val="auto"/>
                <w:sz w:val="12"/>
                <w:szCs w:val="12"/>
              </w:rPr>
              <w:t>0.300</w:t>
            </w:r>
          </w:p>
        </w:tc>
        <w:tc>
          <w:tcPr>
            <w:tcW w:w="567" w:type="dxa"/>
            <w:tcBorders>
              <w:top w:val="nil"/>
              <w:left w:val="nil"/>
              <w:bottom w:val="single" w:sz="8" w:space="0" w:color="auto"/>
              <w:right w:val="single" w:sz="8" w:space="0" w:color="auto"/>
            </w:tcBorders>
            <w:shd w:val="clear" w:color="auto" w:fill="auto"/>
            <w:vAlign w:val="center"/>
          </w:tcPr>
          <w:p w14:paraId="521CE1C2" w14:textId="77777777" w:rsidR="004B0524" w:rsidRPr="00F9037E" w:rsidRDefault="004B0524" w:rsidP="00C05C97">
            <w:pPr>
              <w:spacing w:before="120" w:after="120"/>
              <w:jc w:val="center"/>
              <w:rPr>
                <w:color w:val="auto"/>
                <w:sz w:val="12"/>
                <w:szCs w:val="12"/>
              </w:rPr>
            </w:pPr>
            <w:r w:rsidRPr="00F9037E">
              <w:rPr>
                <w:color w:val="auto"/>
                <w:sz w:val="12"/>
                <w:szCs w:val="12"/>
              </w:rPr>
              <w:t>0.300</w:t>
            </w:r>
          </w:p>
        </w:tc>
        <w:tc>
          <w:tcPr>
            <w:tcW w:w="567" w:type="dxa"/>
            <w:tcBorders>
              <w:top w:val="nil"/>
              <w:left w:val="nil"/>
              <w:bottom w:val="single" w:sz="8" w:space="0" w:color="auto"/>
              <w:right w:val="single" w:sz="8" w:space="0" w:color="auto"/>
            </w:tcBorders>
            <w:shd w:val="clear" w:color="auto" w:fill="auto"/>
            <w:vAlign w:val="center"/>
          </w:tcPr>
          <w:p w14:paraId="390DA8CB" w14:textId="6DA3F36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C113B00" w14:textId="45BD8372"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C11653D" w14:textId="12687BC4"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265A0C3" w14:textId="4D60CF64"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FD53D3E" w14:textId="16010A38"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29B5CA5" w14:textId="40F1C67C"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D3E2025" w14:textId="1658491C"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53643575"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663B9D2"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ADC91D7"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7AD3DC2A" w14:textId="77777777" w:rsidR="004B0524" w:rsidRPr="00F9037E" w:rsidRDefault="004B0524" w:rsidP="00C05C97">
            <w:pPr>
              <w:spacing w:before="120" w:after="120"/>
              <w:jc w:val="center"/>
              <w:rPr>
                <w:color w:val="auto"/>
                <w:sz w:val="12"/>
                <w:szCs w:val="12"/>
              </w:rPr>
            </w:pPr>
            <w:r w:rsidRPr="00F9037E">
              <w:rPr>
                <w:color w:val="auto"/>
                <w:sz w:val="12"/>
                <w:szCs w:val="12"/>
              </w:rPr>
              <w:t>0.300</w:t>
            </w:r>
          </w:p>
        </w:tc>
        <w:tc>
          <w:tcPr>
            <w:tcW w:w="567" w:type="dxa"/>
            <w:tcBorders>
              <w:top w:val="nil"/>
              <w:left w:val="nil"/>
              <w:bottom w:val="single" w:sz="8" w:space="0" w:color="auto"/>
              <w:right w:val="single" w:sz="8" w:space="0" w:color="auto"/>
            </w:tcBorders>
            <w:shd w:val="clear" w:color="auto" w:fill="auto"/>
            <w:vAlign w:val="center"/>
          </w:tcPr>
          <w:p w14:paraId="2CB2293A" w14:textId="77777777" w:rsidR="004B0524" w:rsidRPr="00F9037E" w:rsidRDefault="004B0524" w:rsidP="00C05C97">
            <w:pPr>
              <w:spacing w:before="120" w:after="120"/>
              <w:jc w:val="center"/>
              <w:rPr>
                <w:color w:val="auto"/>
                <w:sz w:val="12"/>
                <w:szCs w:val="12"/>
              </w:rPr>
            </w:pPr>
            <w:r w:rsidRPr="00F9037E">
              <w:rPr>
                <w:color w:val="auto"/>
                <w:sz w:val="12"/>
                <w:szCs w:val="12"/>
              </w:rPr>
              <w:t>0.300</w:t>
            </w:r>
          </w:p>
        </w:tc>
        <w:tc>
          <w:tcPr>
            <w:tcW w:w="567" w:type="dxa"/>
            <w:tcBorders>
              <w:top w:val="nil"/>
              <w:left w:val="nil"/>
              <w:bottom w:val="single" w:sz="8" w:space="0" w:color="auto"/>
              <w:right w:val="single" w:sz="8" w:space="0" w:color="auto"/>
            </w:tcBorders>
            <w:shd w:val="clear" w:color="auto" w:fill="auto"/>
            <w:vAlign w:val="center"/>
          </w:tcPr>
          <w:p w14:paraId="49E45430" w14:textId="53F9644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77E7F2A" w14:textId="2188DEF9"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AE16445" w14:textId="1ADEAE82"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3D08821" w14:textId="6BD95F9B"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2032465" w14:textId="0D35A7DC"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1D97F855" w14:textId="5E7561A3"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A1E8CD9"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10E54F9"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DDE9CC4"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030C98B" w14:textId="77777777" w:rsidR="004B0524" w:rsidRPr="00F9037E" w:rsidRDefault="004B0524" w:rsidP="00C05C97">
            <w:pPr>
              <w:spacing w:before="120" w:after="120"/>
              <w:jc w:val="center"/>
              <w:rPr>
                <w:color w:val="auto"/>
                <w:sz w:val="12"/>
                <w:szCs w:val="12"/>
              </w:rPr>
            </w:pPr>
          </w:p>
        </w:tc>
      </w:tr>
      <w:tr w:rsidR="004B0524" w:rsidRPr="00F9037E" w14:paraId="6B3E70A5" w14:textId="77777777" w:rsidTr="00C05C97">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4894B3A3" w14:textId="582F8554" w:rsidR="004B0524" w:rsidRPr="00220275" w:rsidRDefault="004B0524" w:rsidP="00C05C97">
            <w:pPr>
              <w:spacing w:before="120" w:after="120"/>
              <w:rPr>
                <w:color w:val="auto"/>
                <w:sz w:val="12"/>
                <w:szCs w:val="12"/>
              </w:rPr>
            </w:pPr>
            <w:r w:rsidRPr="00220275">
              <w:rPr>
                <w:color w:val="auto"/>
                <w:sz w:val="12"/>
                <w:szCs w:val="12"/>
              </w:rPr>
              <w:lastRenderedPageBreak/>
              <w:t>Belgium</w:t>
            </w:r>
          </w:p>
        </w:tc>
        <w:tc>
          <w:tcPr>
            <w:tcW w:w="818" w:type="dxa"/>
            <w:tcBorders>
              <w:top w:val="nil"/>
              <w:left w:val="nil"/>
              <w:bottom w:val="single" w:sz="8" w:space="0" w:color="auto"/>
              <w:right w:val="single" w:sz="8" w:space="0" w:color="auto"/>
            </w:tcBorders>
            <w:shd w:val="clear" w:color="auto" w:fill="auto"/>
            <w:vAlign w:val="center"/>
          </w:tcPr>
          <w:p w14:paraId="0BBC5267" w14:textId="77777777" w:rsidR="004B0524" w:rsidRPr="00220275" w:rsidRDefault="004B0524" w:rsidP="00C05C97">
            <w:pPr>
              <w:spacing w:before="120" w:after="120"/>
              <w:rPr>
                <w:color w:val="auto"/>
                <w:sz w:val="12"/>
                <w:szCs w:val="12"/>
              </w:rPr>
            </w:pPr>
            <w:r w:rsidRPr="00220275">
              <w:rPr>
                <w:color w:val="auto"/>
                <w:sz w:val="12"/>
                <w:szCs w:val="12"/>
              </w:rPr>
              <w:t>Food Processing premises</w:t>
            </w:r>
          </w:p>
        </w:tc>
        <w:tc>
          <w:tcPr>
            <w:tcW w:w="567" w:type="dxa"/>
            <w:tcBorders>
              <w:top w:val="nil"/>
              <w:left w:val="nil"/>
              <w:bottom w:val="single" w:sz="8" w:space="0" w:color="auto"/>
              <w:right w:val="single" w:sz="8" w:space="0" w:color="auto"/>
            </w:tcBorders>
            <w:shd w:val="clear" w:color="auto" w:fill="auto"/>
            <w:vAlign w:val="center"/>
          </w:tcPr>
          <w:p w14:paraId="52B1F942" w14:textId="77777777" w:rsidR="004B0524" w:rsidRPr="00B87B95" w:rsidRDefault="004B0524" w:rsidP="00C05C97">
            <w:pPr>
              <w:spacing w:before="120" w:after="120"/>
              <w:jc w:val="center"/>
              <w:rPr>
                <w:color w:val="auto"/>
                <w:sz w:val="12"/>
                <w:szCs w:val="12"/>
              </w:rPr>
            </w:pPr>
            <w:r w:rsidRPr="00B87B95">
              <w:rPr>
                <w:color w:val="auto"/>
                <w:sz w:val="12"/>
                <w:szCs w:val="12"/>
              </w:rPr>
              <w:t>0.030</w:t>
            </w:r>
          </w:p>
        </w:tc>
        <w:tc>
          <w:tcPr>
            <w:tcW w:w="567" w:type="dxa"/>
            <w:tcBorders>
              <w:top w:val="nil"/>
              <w:left w:val="nil"/>
              <w:bottom w:val="single" w:sz="8" w:space="0" w:color="auto"/>
              <w:right w:val="single" w:sz="8" w:space="0" w:color="auto"/>
            </w:tcBorders>
            <w:shd w:val="clear" w:color="auto" w:fill="auto"/>
            <w:vAlign w:val="center"/>
          </w:tcPr>
          <w:p w14:paraId="10B42987" w14:textId="77777777" w:rsidR="004B0524" w:rsidRPr="00B87B95" w:rsidRDefault="004B0524" w:rsidP="00C05C97">
            <w:pPr>
              <w:spacing w:before="120" w:after="120"/>
              <w:jc w:val="center"/>
              <w:rPr>
                <w:color w:val="auto"/>
                <w:sz w:val="12"/>
                <w:szCs w:val="12"/>
              </w:rPr>
            </w:pPr>
            <w:r w:rsidRPr="00B87B95">
              <w:rPr>
                <w:color w:val="auto"/>
                <w:sz w:val="12"/>
                <w:szCs w:val="12"/>
              </w:rPr>
              <w:t>0.030</w:t>
            </w:r>
          </w:p>
        </w:tc>
        <w:tc>
          <w:tcPr>
            <w:tcW w:w="567" w:type="dxa"/>
            <w:tcBorders>
              <w:top w:val="nil"/>
              <w:left w:val="nil"/>
              <w:bottom w:val="single" w:sz="8" w:space="0" w:color="auto"/>
              <w:right w:val="single" w:sz="8" w:space="0" w:color="auto"/>
            </w:tcBorders>
            <w:shd w:val="clear" w:color="auto" w:fill="auto"/>
            <w:vAlign w:val="center"/>
          </w:tcPr>
          <w:p w14:paraId="6AA9DDA2" w14:textId="321ABC8F" w:rsidR="004B0524" w:rsidRPr="00B87B95"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1A87588" w14:textId="46C09A02" w:rsidR="004B0524" w:rsidRPr="00563BC0"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6B1A88B" w14:textId="65E11352" w:rsidR="004B0524" w:rsidRPr="00563BC0"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89B9092" w14:textId="06AF0D67" w:rsidR="004B0524" w:rsidRPr="00563BC0"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3061418" w14:textId="04A1EF61" w:rsidR="004B0524" w:rsidRPr="00563BC0"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B3DBB82" w14:textId="5369103D" w:rsidR="004B0524" w:rsidRPr="00563BC0"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A4F1516" w14:textId="00A0D040" w:rsidR="004B0524" w:rsidRPr="00563BC0"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26E8C2F0" w14:textId="77777777" w:rsidR="004B0524" w:rsidRPr="000F08B5"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A8B31C6" w14:textId="77777777" w:rsidR="004B0524" w:rsidRPr="000F08B5"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90168CC" w14:textId="77777777" w:rsidR="004B0524" w:rsidRPr="00365366"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261E3B38" w14:textId="77777777" w:rsidR="004B0524" w:rsidRPr="00F9037E" w:rsidRDefault="004B0524" w:rsidP="00C05C97">
            <w:pPr>
              <w:spacing w:before="120" w:after="120"/>
              <w:jc w:val="center"/>
              <w:rPr>
                <w:color w:val="auto"/>
                <w:sz w:val="12"/>
                <w:szCs w:val="12"/>
              </w:rPr>
            </w:pPr>
            <w:r w:rsidRPr="00F9037E">
              <w:rPr>
                <w:color w:val="auto"/>
                <w:sz w:val="12"/>
                <w:szCs w:val="12"/>
              </w:rPr>
              <w:t>0.030</w:t>
            </w:r>
          </w:p>
        </w:tc>
        <w:tc>
          <w:tcPr>
            <w:tcW w:w="567" w:type="dxa"/>
            <w:tcBorders>
              <w:top w:val="nil"/>
              <w:left w:val="nil"/>
              <w:bottom w:val="single" w:sz="8" w:space="0" w:color="auto"/>
              <w:right w:val="single" w:sz="8" w:space="0" w:color="auto"/>
            </w:tcBorders>
            <w:shd w:val="clear" w:color="auto" w:fill="auto"/>
            <w:vAlign w:val="center"/>
          </w:tcPr>
          <w:p w14:paraId="70D29667" w14:textId="77777777" w:rsidR="004B0524" w:rsidRPr="00F9037E" w:rsidRDefault="004B0524" w:rsidP="00C05C97">
            <w:pPr>
              <w:spacing w:before="120" w:after="120"/>
              <w:jc w:val="center"/>
              <w:rPr>
                <w:color w:val="auto"/>
                <w:sz w:val="12"/>
                <w:szCs w:val="12"/>
              </w:rPr>
            </w:pPr>
            <w:r w:rsidRPr="00F9037E">
              <w:rPr>
                <w:color w:val="auto"/>
                <w:sz w:val="12"/>
                <w:szCs w:val="12"/>
              </w:rPr>
              <w:t>0.030</w:t>
            </w:r>
          </w:p>
        </w:tc>
        <w:tc>
          <w:tcPr>
            <w:tcW w:w="567" w:type="dxa"/>
            <w:tcBorders>
              <w:top w:val="nil"/>
              <w:left w:val="nil"/>
              <w:bottom w:val="single" w:sz="8" w:space="0" w:color="auto"/>
              <w:right w:val="single" w:sz="8" w:space="0" w:color="auto"/>
            </w:tcBorders>
            <w:shd w:val="clear" w:color="auto" w:fill="auto"/>
            <w:vAlign w:val="center"/>
          </w:tcPr>
          <w:p w14:paraId="59E0DD0F" w14:textId="3461E3CB"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28D7B2B" w14:textId="2A6CB399"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8BAD79F" w14:textId="2732B330"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2EEAEAD" w14:textId="5F10F5EA"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9AFFA5D" w14:textId="28B7006B"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2F24A19F" w14:textId="0F97C20B"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B591074"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2D8F4C1"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83255F3"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E1809D8" w14:textId="77777777" w:rsidR="004B0524" w:rsidRPr="00F9037E" w:rsidRDefault="004B0524" w:rsidP="00C05C97">
            <w:pPr>
              <w:spacing w:before="120" w:after="120"/>
              <w:jc w:val="center"/>
              <w:rPr>
                <w:color w:val="auto"/>
                <w:sz w:val="12"/>
                <w:szCs w:val="12"/>
              </w:rPr>
            </w:pPr>
          </w:p>
        </w:tc>
      </w:tr>
      <w:tr w:rsidR="004B0524" w:rsidRPr="00F9037E" w14:paraId="1D530F50" w14:textId="77777777" w:rsidTr="00C05C97">
        <w:trPr>
          <w:cantSplit/>
          <w:trHeight w:val="91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5574473A" w14:textId="4BFBEA2D" w:rsidR="004B0524" w:rsidRPr="00F9037E" w:rsidRDefault="004B0524" w:rsidP="00C05C97">
            <w:pPr>
              <w:spacing w:before="120" w:after="120"/>
              <w:rPr>
                <w:color w:val="auto"/>
                <w:sz w:val="12"/>
                <w:szCs w:val="12"/>
              </w:rPr>
            </w:pPr>
            <w:r w:rsidRPr="00F9037E">
              <w:rPr>
                <w:color w:val="auto"/>
                <w:sz w:val="12"/>
                <w:szCs w:val="12"/>
              </w:rPr>
              <w:t>Belgium</w:t>
            </w:r>
          </w:p>
        </w:tc>
        <w:tc>
          <w:tcPr>
            <w:tcW w:w="818" w:type="dxa"/>
            <w:tcBorders>
              <w:top w:val="nil"/>
              <w:left w:val="nil"/>
              <w:bottom w:val="single" w:sz="8" w:space="0" w:color="auto"/>
              <w:right w:val="single" w:sz="8" w:space="0" w:color="auto"/>
            </w:tcBorders>
            <w:shd w:val="clear" w:color="auto" w:fill="auto"/>
            <w:vAlign w:val="center"/>
          </w:tcPr>
          <w:p w14:paraId="68DD5B74" w14:textId="77777777" w:rsidR="004B0524" w:rsidRPr="00F9037E" w:rsidRDefault="004B0524" w:rsidP="00C05C97">
            <w:pPr>
              <w:spacing w:before="120" w:after="120"/>
              <w:rPr>
                <w:color w:val="auto"/>
                <w:sz w:val="12"/>
                <w:szCs w:val="12"/>
              </w:rPr>
            </w:pPr>
            <w:r w:rsidRPr="00F9037E">
              <w:rPr>
                <w:color w:val="auto"/>
                <w:sz w:val="12"/>
                <w:szCs w:val="12"/>
              </w:rPr>
              <w:t>Food storage (dry) structure</w:t>
            </w:r>
          </w:p>
        </w:tc>
        <w:tc>
          <w:tcPr>
            <w:tcW w:w="567" w:type="dxa"/>
            <w:tcBorders>
              <w:top w:val="nil"/>
              <w:left w:val="nil"/>
              <w:bottom w:val="single" w:sz="8" w:space="0" w:color="auto"/>
              <w:right w:val="single" w:sz="8" w:space="0" w:color="auto"/>
            </w:tcBorders>
            <w:shd w:val="clear" w:color="auto" w:fill="auto"/>
            <w:vAlign w:val="center"/>
          </w:tcPr>
          <w:p w14:paraId="0F0A53C0" w14:textId="77777777" w:rsidR="004B0524" w:rsidRPr="00F9037E" w:rsidRDefault="004B0524" w:rsidP="00C05C97">
            <w:pPr>
              <w:spacing w:before="120" w:after="120"/>
              <w:jc w:val="center"/>
              <w:rPr>
                <w:color w:val="auto"/>
                <w:sz w:val="12"/>
                <w:szCs w:val="12"/>
              </w:rPr>
            </w:pPr>
            <w:r w:rsidRPr="00F9037E">
              <w:rPr>
                <w:color w:val="auto"/>
                <w:sz w:val="12"/>
                <w:szCs w:val="12"/>
              </w:rPr>
              <w:t>0.120</w:t>
            </w:r>
          </w:p>
        </w:tc>
        <w:tc>
          <w:tcPr>
            <w:tcW w:w="567" w:type="dxa"/>
            <w:tcBorders>
              <w:top w:val="nil"/>
              <w:left w:val="nil"/>
              <w:bottom w:val="single" w:sz="8" w:space="0" w:color="auto"/>
              <w:right w:val="single" w:sz="8" w:space="0" w:color="auto"/>
            </w:tcBorders>
            <w:shd w:val="clear" w:color="auto" w:fill="auto"/>
            <w:vAlign w:val="center"/>
          </w:tcPr>
          <w:p w14:paraId="1A3BA1BA" w14:textId="77777777" w:rsidR="004B0524" w:rsidRPr="00F9037E" w:rsidRDefault="004B0524" w:rsidP="00C05C97">
            <w:pPr>
              <w:spacing w:before="120" w:after="120"/>
              <w:jc w:val="center"/>
              <w:rPr>
                <w:color w:val="auto"/>
                <w:sz w:val="12"/>
                <w:szCs w:val="12"/>
              </w:rPr>
            </w:pPr>
            <w:r w:rsidRPr="00F9037E">
              <w:rPr>
                <w:color w:val="auto"/>
                <w:sz w:val="12"/>
                <w:szCs w:val="12"/>
              </w:rPr>
              <w:t>0.120</w:t>
            </w:r>
          </w:p>
        </w:tc>
        <w:tc>
          <w:tcPr>
            <w:tcW w:w="567" w:type="dxa"/>
            <w:tcBorders>
              <w:top w:val="nil"/>
              <w:left w:val="nil"/>
              <w:bottom w:val="single" w:sz="8" w:space="0" w:color="auto"/>
              <w:right w:val="single" w:sz="8" w:space="0" w:color="auto"/>
            </w:tcBorders>
            <w:shd w:val="clear" w:color="auto" w:fill="auto"/>
            <w:vAlign w:val="center"/>
          </w:tcPr>
          <w:p w14:paraId="7CB82027" w14:textId="1A539372"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EB6723A" w14:textId="134C40C0"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848F0DC" w14:textId="6F5CD26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14D274D" w14:textId="57008C4A"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7E986B9" w14:textId="4B12C8AD"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4E22134" w14:textId="2AA96DDD"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22091FF" w14:textId="40E88908"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268DAFC4"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49CBAA9"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BB1B1AC"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AF9E9E0" w14:textId="77777777" w:rsidR="004B0524" w:rsidRPr="00F9037E" w:rsidRDefault="004B0524" w:rsidP="00C05C97">
            <w:pPr>
              <w:spacing w:before="120" w:after="120"/>
              <w:jc w:val="center"/>
              <w:rPr>
                <w:color w:val="auto"/>
                <w:sz w:val="12"/>
                <w:szCs w:val="12"/>
              </w:rPr>
            </w:pPr>
            <w:r w:rsidRPr="00F9037E">
              <w:rPr>
                <w:color w:val="auto"/>
                <w:sz w:val="12"/>
                <w:szCs w:val="12"/>
              </w:rPr>
              <w:t>0.120</w:t>
            </w:r>
          </w:p>
        </w:tc>
        <w:tc>
          <w:tcPr>
            <w:tcW w:w="567" w:type="dxa"/>
            <w:tcBorders>
              <w:top w:val="nil"/>
              <w:left w:val="nil"/>
              <w:bottom w:val="single" w:sz="8" w:space="0" w:color="auto"/>
              <w:right w:val="single" w:sz="8" w:space="0" w:color="auto"/>
            </w:tcBorders>
            <w:shd w:val="clear" w:color="auto" w:fill="auto"/>
            <w:vAlign w:val="center"/>
          </w:tcPr>
          <w:p w14:paraId="408E20C6" w14:textId="77777777" w:rsidR="004B0524" w:rsidRPr="00F9037E" w:rsidRDefault="004B0524" w:rsidP="00C05C97">
            <w:pPr>
              <w:spacing w:before="120" w:after="120"/>
              <w:jc w:val="center"/>
              <w:rPr>
                <w:color w:val="auto"/>
                <w:sz w:val="12"/>
                <w:szCs w:val="12"/>
              </w:rPr>
            </w:pPr>
            <w:r w:rsidRPr="00F9037E">
              <w:rPr>
                <w:color w:val="auto"/>
                <w:sz w:val="12"/>
                <w:szCs w:val="12"/>
              </w:rPr>
              <w:t>0</w:t>
            </w:r>
          </w:p>
        </w:tc>
        <w:tc>
          <w:tcPr>
            <w:tcW w:w="567" w:type="dxa"/>
            <w:tcBorders>
              <w:top w:val="nil"/>
              <w:left w:val="nil"/>
              <w:bottom w:val="single" w:sz="8" w:space="0" w:color="auto"/>
              <w:right w:val="single" w:sz="8" w:space="0" w:color="auto"/>
            </w:tcBorders>
            <w:shd w:val="clear" w:color="auto" w:fill="auto"/>
            <w:vAlign w:val="center"/>
          </w:tcPr>
          <w:p w14:paraId="278C2313" w14:textId="33DDD844"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62A4CE5" w14:textId="60BE72CE"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FD4C17C" w14:textId="05473B55"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00F9927" w14:textId="18BBCDF9"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1731E3E" w14:textId="77D995BB"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685C2FC0" w14:textId="715223B0"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3A0D0B6"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B73A88A"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F15887A"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821A20F" w14:textId="77777777" w:rsidR="004B0524" w:rsidRPr="00F9037E" w:rsidRDefault="004B0524" w:rsidP="00C05C97">
            <w:pPr>
              <w:spacing w:before="120" w:after="120"/>
              <w:jc w:val="center"/>
              <w:rPr>
                <w:color w:val="auto"/>
                <w:sz w:val="12"/>
                <w:szCs w:val="12"/>
              </w:rPr>
            </w:pPr>
          </w:p>
        </w:tc>
      </w:tr>
      <w:tr w:rsidR="004B0524" w:rsidRPr="00F9037E" w14:paraId="7A004895" w14:textId="77777777" w:rsidTr="00C05C97">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167F3F31" w14:textId="77300168" w:rsidR="004B0524" w:rsidRPr="00F9037E" w:rsidRDefault="004B0524" w:rsidP="00C05C97">
            <w:pPr>
              <w:spacing w:before="120" w:after="120"/>
              <w:rPr>
                <w:color w:val="auto"/>
                <w:sz w:val="12"/>
                <w:szCs w:val="12"/>
              </w:rPr>
            </w:pPr>
            <w:r w:rsidRPr="00F9037E">
              <w:rPr>
                <w:color w:val="auto"/>
                <w:sz w:val="12"/>
                <w:szCs w:val="12"/>
              </w:rPr>
              <w:t>Belgium</w:t>
            </w:r>
          </w:p>
        </w:tc>
        <w:tc>
          <w:tcPr>
            <w:tcW w:w="818" w:type="dxa"/>
            <w:tcBorders>
              <w:top w:val="nil"/>
              <w:left w:val="nil"/>
              <w:bottom w:val="single" w:sz="8" w:space="0" w:color="auto"/>
              <w:right w:val="single" w:sz="8" w:space="0" w:color="auto"/>
            </w:tcBorders>
            <w:shd w:val="clear" w:color="auto" w:fill="auto"/>
            <w:vAlign w:val="center"/>
          </w:tcPr>
          <w:p w14:paraId="2AA7E716" w14:textId="77777777" w:rsidR="004B0524" w:rsidRPr="00F9037E" w:rsidRDefault="004B0524" w:rsidP="00C05C97">
            <w:pPr>
              <w:spacing w:before="120" w:after="120"/>
              <w:rPr>
                <w:color w:val="auto"/>
                <w:sz w:val="12"/>
                <w:szCs w:val="12"/>
              </w:rPr>
            </w:pPr>
            <w:r w:rsidRPr="00F9037E">
              <w:rPr>
                <w:color w:val="auto"/>
                <w:sz w:val="12"/>
                <w:szCs w:val="12"/>
              </w:rPr>
              <w:t>Old buildings</w:t>
            </w:r>
          </w:p>
        </w:tc>
        <w:tc>
          <w:tcPr>
            <w:tcW w:w="567" w:type="dxa"/>
            <w:tcBorders>
              <w:top w:val="nil"/>
              <w:left w:val="nil"/>
              <w:bottom w:val="single" w:sz="8" w:space="0" w:color="auto"/>
              <w:right w:val="single" w:sz="8" w:space="0" w:color="auto"/>
            </w:tcBorders>
            <w:shd w:val="clear" w:color="auto" w:fill="auto"/>
            <w:vAlign w:val="center"/>
          </w:tcPr>
          <w:p w14:paraId="0658F7E2" w14:textId="77777777" w:rsidR="004B0524" w:rsidRPr="00F9037E" w:rsidRDefault="004B0524" w:rsidP="00C05C97">
            <w:pPr>
              <w:spacing w:before="120" w:after="120"/>
              <w:jc w:val="center"/>
              <w:rPr>
                <w:color w:val="auto"/>
                <w:sz w:val="12"/>
                <w:szCs w:val="12"/>
              </w:rPr>
            </w:pPr>
            <w:r w:rsidRPr="00F9037E">
              <w:rPr>
                <w:color w:val="auto"/>
                <w:sz w:val="12"/>
                <w:szCs w:val="12"/>
              </w:rPr>
              <w:t>7.000</w:t>
            </w:r>
          </w:p>
        </w:tc>
        <w:tc>
          <w:tcPr>
            <w:tcW w:w="567" w:type="dxa"/>
            <w:tcBorders>
              <w:top w:val="nil"/>
              <w:left w:val="nil"/>
              <w:bottom w:val="single" w:sz="8" w:space="0" w:color="auto"/>
              <w:right w:val="single" w:sz="8" w:space="0" w:color="auto"/>
            </w:tcBorders>
            <w:shd w:val="clear" w:color="auto" w:fill="auto"/>
            <w:vAlign w:val="center"/>
          </w:tcPr>
          <w:p w14:paraId="1E2A581E" w14:textId="77777777" w:rsidR="004B0524" w:rsidRPr="00F9037E" w:rsidRDefault="004B0524" w:rsidP="00C05C97">
            <w:pPr>
              <w:spacing w:before="120" w:after="120"/>
              <w:jc w:val="center"/>
              <w:rPr>
                <w:color w:val="auto"/>
                <w:sz w:val="12"/>
                <w:szCs w:val="12"/>
              </w:rPr>
            </w:pPr>
            <w:r w:rsidRPr="00F9037E">
              <w:rPr>
                <w:color w:val="auto"/>
                <w:sz w:val="12"/>
                <w:szCs w:val="12"/>
              </w:rPr>
              <w:t>0 .306</w:t>
            </w:r>
          </w:p>
        </w:tc>
        <w:tc>
          <w:tcPr>
            <w:tcW w:w="567" w:type="dxa"/>
            <w:tcBorders>
              <w:top w:val="nil"/>
              <w:left w:val="nil"/>
              <w:bottom w:val="single" w:sz="8" w:space="0" w:color="auto"/>
              <w:right w:val="single" w:sz="8" w:space="0" w:color="auto"/>
            </w:tcBorders>
            <w:shd w:val="clear" w:color="auto" w:fill="auto"/>
            <w:vAlign w:val="center"/>
          </w:tcPr>
          <w:p w14:paraId="59834785" w14:textId="07B2F755"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C5BA43E" w14:textId="77C737CA"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2B899B9" w14:textId="30B43E43"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EEDEE59" w14:textId="0DC5702D"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8DDC99E" w14:textId="6A6D2E09"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F8C7190" w14:textId="798BF83E"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9ED7FE0" w14:textId="09BF4EB9"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774F70B0"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DA3189B"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4F3D823"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9B78ACA" w14:textId="77777777" w:rsidR="004B0524" w:rsidRPr="00F9037E" w:rsidRDefault="004B0524" w:rsidP="00C05C97">
            <w:pPr>
              <w:spacing w:before="120" w:after="120"/>
              <w:jc w:val="center"/>
              <w:rPr>
                <w:color w:val="auto"/>
                <w:sz w:val="12"/>
                <w:szCs w:val="12"/>
              </w:rPr>
            </w:pPr>
            <w:r w:rsidRPr="00F9037E">
              <w:rPr>
                <w:color w:val="auto"/>
                <w:sz w:val="12"/>
                <w:szCs w:val="12"/>
              </w:rPr>
              <w:t>1.150</w:t>
            </w:r>
          </w:p>
        </w:tc>
        <w:tc>
          <w:tcPr>
            <w:tcW w:w="567" w:type="dxa"/>
            <w:tcBorders>
              <w:top w:val="nil"/>
              <w:left w:val="nil"/>
              <w:bottom w:val="single" w:sz="8" w:space="0" w:color="auto"/>
              <w:right w:val="single" w:sz="8" w:space="0" w:color="auto"/>
            </w:tcBorders>
            <w:shd w:val="clear" w:color="auto" w:fill="auto"/>
            <w:vAlign w:val="center"/>
          </w:tcPr>
          <w:p w14:paraId="61541337" w14:textId="77777777" w:rsidR="004B0524" w:rsidRPr="00F9037E" w:rsidRDefault="004B0524" w:rsidP="00C05C97">
            <w:pPr>
              <w:spacing w:before="120" w:after="120"/>
              <w:jc w:val="center"/>
              <w:rPr>
                <w:color w:val="auto"/>
                <w:sz w:val="12"/>
                <w:szCs w:val="12"/>
              </w:rPr>
            </w:pPr>
            <w:r w:rsidRPr="00F9037E">
              <w:rPr>
                <w:color w:val="auto"/>
                <w:sz w:val="12"/>
                <w:szCs w:val="12"/>
              </w:rPr>
              <w:t>0.306</w:t>
            </w:r>
          </w:p>
        </w:tc>
        <w:tc>
          <w:tcPr>
            <w:tcW w:w="567" w:type="dxa"/>
            <w:tcBorders>
              <w:top w:val="nil"/>
              <w:left w:val="nil"/>
              <w:bottom w:val="single" w:sz="8" w:space="0" w:color="auto"/>
              <w:right w:val="single" w:sz="8" w:space="0" w:color="auto"/>
            </w:tcBorders>
            <w:shd w:val="clear" w:color="auto" w:fill="auto"/>
            <w:vAlign w:val="center"/>
          </w:tcPr>
          <w:p w14:paraId="717208C8" w14:textId="0B3BCDC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EC7DEC3" w14:textId="1051F21C"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4B9AD4B" w14:textId="32C1D318"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239D08B" w14:textId="50CC1F0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F02241C" w14:textId="41CF2B2E"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4030282E" w14:textId="43B8632B"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28236AB"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877FC50"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E1759C3"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0DB595F" w14:textId="77777777" w:rsidR="004B0524" w:rsidRPr="00F9037E" w:rsidRDefault="004B0524" w:rsidP="00C05C97">
            <w:pPr>
              <w:spacing w:before="120" w:after="120"/>
              <w:jc w:val="center"/>
              <w:rPr>
                <w:color w:val="auto"/>
                <w:sz w:val="12"/>
                <w:szCs w:val="12"/>
              </w:rPr>
            </w:pPr>
          </w:p>
        </w:tc>
      </w:tr>
      <w:tr w:rsidR="004B0524" w:rsidRPr="00F9037E" w14:paraId="5E0622E4" w14:textId="77777777" w:rsidTr="00C05C97">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77ED695F" w14:textId="13C15233" w:rsidR="004B0524" w:rsidRPr="00F9037E" w:rsidRDefault="004B0524" w:rsidP="00C05C97">
            <w:pPr>
              <w:spacing w:before="120" w:after="120"/>
              <w:rPr>
                <w:color w:val="auto"/>
                <w:sz w:val="12"/>
                <w:szCs w:val="12"/>
              </w:rPr>
            </w:pPr>
            <w:r w:rsidRPr="00F9037E">
              <w:rPr>
                <w:color w:val="auto"/>
                <w:sz w:val="12"/>
                <w:szCs w:val="12"/>
              </w:rPr>
              <w:t>Belgium</w:t>
            </w:r>
          </w:p>
        </w:tc>
        <w:tc>
          <w:tcPr>
            <w:tcW w:w="818" w:type="dxa"/>
            <w:tcBorders>
              <w:top w:val="nil"/>
              <w:left w:val="nil"/>
              <w:bottom w:val="single" w:sz="8" w:space="0" w:color="auto"/>
              <w:right w:val="single" w:sz="8" w:space="0" w:color="auto"/>
            </w:tcBorders>
            <w:shd w:val="clear" w:color="auto" w:fill="auto"/>
            <w:vAlign w:val="center"/>
          </w:tcPr>
          <w:p w14:paraId="69F066CF" w14:textId="77777777" w:rsidR="004B0524" w:rsidRPr="00F9037E" w:rsidRDefault="004B0524" w:rsidP="00C05C97">
            <w:pPr>
              <w:spacing w:before="120" w:after="120"/>
              <w:rPr>
                <w:color w:val="auto"/>
                <w:sz w:val="12"/>
                <w:szCs w:val="12"/>
              </w:rPr>
            </w:pPr>
            <w:r w:rsidRPr="00F9037E">
              <w:rPr>
                <w:color w:val="auto"/>
                <w:sz w:val="12"/>
                <w:szCs w:val="12"/>
              </w:rPr>
              <w:t>Old buildings and objects</w:t>
            </w:r>
          </w:p>
        </w:tc>
        <w:tc>
          <w:tcPr>
            <w:tcW w:w="567" w:type="dxa"/>
            <w:tcBorders>
              <w:top w:val="nil"/>
              <w:left w:val="nil"/>
              <w:bottom w:val="single" w:sz="8" w:space="0" w:color="auto"/>
              <w:right w:val="single" w:sz="8" w:space="0" w:color="auto"/>
            </w:tcBorders>
            <w:shd w:val="clear" w:color="auto" w:fill="auto"/>
            <w:vAlign w:val="center"/>
          </w:tcPr>
          <w:p w14:paraId="46A4F26F" w14:textId="77777777" w:rsidR="004B0524" w:rsidRPr="00F9037E" w:rsidRDefault="004B0524" w:rsidP="00C05C97">
            <w:pPr>
              <w:spacing w:before="120" w:after="120"/>
              <w:jc w:val="center"/>
              <w:rPr>
                <w:color w:val="auto"/>
                <w:sz w:val="12"/>
                <w:szCs w:val="12"/>
              </w:rPr>
            </w:pPr>
            <w:r w:rsidRPr="00F9037E">
              <w:rPr>
                <w:color w:val="auto"/>
                <w:sz w:val="12"/>
                <w:szCs w:val="12"/>
              </w:rPr>
              <w:t>0.450</w:t>
            </w:r>
          </w:p>
        </w:tc>
        <w:tc>
          <w:tcPr>
            <w:tcW w:w="567" w:type="dxa"/>
            <w:tcBorders>
              <w:top w:val="nil"/>
              <w:left w:val="nil"/>
              <w:bottom w:val="single" w:sz="8" w:space="0" w:color="auto"/>
              <w:right w:val="single" w:sz="8" w:space="0" w:color="auto"/>
            </w:tcBorders>
            <w:shd w:val="clear" w:color="auto" w:fill="auto"/>
            <w:vAlign w:val="center"/>
          </w:tcPr>
          <w:p w14:paraId="40F560FE" w14:textId="77777777" w:rsidR="004B0524" w:rsidRPr="00F9037E" w:rsidRDefault="004B0524" w:rsidP="00C05C97">
            <w:pPr>
              <w:spacing w:before="120" w:after="120"/>
              <w:jc w:val="center"/>
              <w:rPr>
                <w:color w:val="auto"/>
                <w:sz w:val="12"/>
                <w:szCs w:val="12"/>
              </w:rPr>
            </w:pPr>
            <w:r w:rsidRPr="00F9037E">
              <w:rPr>
                <w:color w:val="auto"/>
                <w:sz w:val="12"/>
                <w:szCs w:val="12"/>
              </w:rPr>
              <w:t>0.282</w:t>
            </w:r>
          </w:p>
        </w:tc>
        <w:tc>
          <w:tcPr>
            <w:tcW w:w="567" w:type="dxa"/>
            <w:tcBorders>
              <w:top w:val="nil"/>
              <w:left w:val="nil"/>
              <w:bottom w:val="single" w:sz="8" w:space="0" w:color="auto"/>
              <w:right w:val="single" w:sz="8" w:space="0" w:color="auto"/>
            </w:tcBorders>
            <w:shd w:val="clear" w:color="auto" w:fill="auto"/>
            <w:vAlign w:val="center"/>
          </w:tcPr>
          <w:p w14:paraId="2096D3DB" w14:textId="7A7B1F61"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54A3B65" w14:textId="606FB68F"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BD56C6F" w14:textId="38BB8290"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5AD9086" w14:textId="0C8C966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E8E5958" w14:textId="0872707E"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60657B1" w14:textId="29525669"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C5EE927" w14:textId="56C9BC4E"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602384C9"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DAA0A88"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F62D262"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D2DBE4F" w14:textId="77777777" w:rsidR="004B0524" w:rsidRPr="00F9037E" w:rsidRDefault="004B0524" w:rsidP="00C05C97">
            <w:pPr>
              <w:spacing w:before="120" w:after="120"/>
              <w:jc w:val="center"/>
              <w:rPr>
                <w:color w:val="auto"/>
                <w:sz w:val="12"/>
                <w:szCs w:val="12"/>
              </w:rPr>
            </w:pPr>
            <w:r w:rsidRPr="00F9037E">
              <w:rPr>
                <w:color w:val="auto"/>
                <w:sz w:val="12"/>
                <w:szCs w:val="12"/>
              </w:rPr>
              <w:t>0</w:t>
            </w:r>
          </w:p>
        </w:tc>
        <w:tc>
          <w:tcPr>
            <w:tcW w:w="567" w:type="dxa"/>
            <w:tcBorders>
              <w:top w:val="nil"/>
              <w:left w:val="nil"/>
              <w:bottom w:val="single" w:sz="8" w:space="0" w:color="auto"/>
              <w:right w:val="single" w:sz="8" w:space="0" w:color="auto"/>
            </w:tcBorders>
            <w:shd w:val="clear" w:color="auto" w:fill="auto"/>
            <w:vAlign w:val="center"/>
          </w:tcPr>
          <w:p w14:paraId="3EEACC31" w14:textId="77777777" w:rsidR="004B0524" w:rsidRPr="00F9037E" w:rsidRDefault="004B0524" w:rsidP="00C05C97">
            <w:pPr>
              <w:spacing w:before="120" w:after="120"/>
              <w:jc w:val="center"/>
              <w:rPr>
                <w:color w:val="auto"/>
                <w:sz w:val="12"/>
                <w:szCs w:val="12"/>
              </w:rPr>
            </w:pPr>
            <w:r w:rsidRPr="00F9037E">
              <w:rPr>
                <w:color w:val="auto"/>
                <w:sz w:val="12"/>
                <w:szCs w:val="12"/>
              </w:rPr>
              <w:t>0.282</w:t>
            </w:r>
          </w:p>
        </w:tc>
        <w:tc>
          <w:tcPr>
            <w:tcW w:w="567" w:type="dxa"/>
            <w:tcBorders>
              <w:top w:val="nil"/>
              <w:left w:val="nil"/>
              <w:bottom w:val="single" w:sz="8" w:space="0" w:color="auto"/>
              <w:right w:val="single" w:sz="8" w:space="0" w:color="auto"/>
            </w:tcBorders>
            <w:shd w:val="clear" w:color="auto" w:fill="auto"/>
            <w:vAlign w:val="center"/>
          </w:tcPr>
          <w:p w14:paraId="50A8586E" w14:textId="1449E51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5554BA0" w14:textId="71E65448"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44326E6" w14:textId="2C3C3F73"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F37FD00" w14:textId="1E5AEAD5"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1F1D2B9" w14:textId="20EFAEDE"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452DE86F" w14:textId="26144B0C"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D3AD361"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4CBD6AE"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AF78BA8"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5B57995" w14:textId="77777777" w:rsidR="004B0524" w:rsidRPr="00F9037E" w:rsidRDefault="004B0524" w:rsidP="00C05C97">
            <w:pPr>
              <w:spacing w:before="120" w:after="120"/>
              <w:jc w:val="center"/>
              <w:rPr>
                <w:color w:val="auto"/>
                <w:sz w:val="12"/>
                <w:szCs w:val="12"/>
              </w:rPr>
            </w:pPr>
          </w:p>
        </w:tc>
      </w:tr>
      <w:tr w:rsidR="004B0524" w:rsidRPr="00F9037E" w14:paraId="41DD4F5F" w14:textId="77777777" w:rsidTr="00C05C97">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2C7575E5" w14:textId="738FE160" w:rsidR="004B0524" w:rsidRPr="00F9037E" w:rsidRDefault="004B0524" w:rsidP="00C05C97">
            <w:pPr>
              <w:spacing w:before="120" w:after="120"/>
              <w:rPr>
                <w:color w:val="auto"/>
                <w:sz w:val="12"/>
                <w:szCs w:val="12"/>
              </w:rPr>
            </w:pPr>
            <w:r w:rsidRPr="00F9037E">
              <w:rPr>
                <w:color w:val="auto"/>
                <w:sz w:val="12"/>
                <w:szCs w:val="12"/>
              </w:rPr>
              <w:t>Belgium</w:t>
            </w:r>
          </w:p>
        </w:tc>
        <w:tc>
          <w:tcPr>
            <w:tcW w:w="818" w:type="dxa"/>
            <w:tcBorders>
              <w:top w:val="nil"/>
              <w:left w:val="nil"/>
              <w:bottom w:val="single" w:sz="8" w:space="0" w:color="auto"/>
              <w:right w:val="single" w:sz="8" w:space="0" w:color="auto"/>
            </w:tcBorders>
            <w:shd w:val="clear" w:color="auto" w:fill="auto"/>
            <w:vAlign w:val="center"/>
          </w:tcPr>
          <w:p w14:paraId="3138AFB4" w14:textId="77777777" w:rsidR="004B0524" w:rsidRPr="00F9037E" w:rsidRDefault="004B0524" w:rsidP="00C05C97">
            <w:pPr>
              <w:spacing w:before="120" w:after="120"/>
              <w:rPr>
                <w:color w:val="auto"/>
                <w:sz w:val="12"/>
                <w:szCs w:val="12"/>
              </w:rPr>
            </w:pPr>
            <w:r w:rsidRPr="00F9037E">
              <w:rPr>
                <w:color w:val="auto"/>
                <w:sz w:val="12"/>
                <w:szCs w:val="12"/>
              </w:rPr>
              <w:t>Woodworking premises</w:t>
            </w:r>
          </w:p>
        </w:tc>
        <w:tc>
          <w:tcPr>
            <w:tcW w:w="567" w:type="dxa"/>
            <w:tcBorders>
              <w:top w:val="nil"/>
              <w:left w:val="nil"/>
              <w:bottom w:val="single" w:sz="8" w:space="0" w:color="auto"/>
              <w:right w:val="single" w:sz="8" w:space="0" w:color="auto"/>
            </w:tcBorders>
            <w:shd w:val="clear" w:color="auto" w:fill="auto"/>
            <w:vAlign w:val="center"/>
          </w:tcPr>
          <w:p w14:paraId="66B95A3D" w14:textId="77777777" w:rsidR="004B0524" w:rsidRPr="00F9037E" w:rsidRDefault="004B0524" w:rsidP="00C05C97">
            <w:pPr>
              <w:spacing w:before="120" w:after="120"/>
              <w:jc w:val="center"/>
              <w:rPr>
                <w:color w:val="auto"/>
                <w:sz w:val="12"/>
                <w:szCs w:val="12"/>
              </w:rPr>
            </w:pPr>
            <w:r w:rsidRPr="00F9037E">
              <w:rPr>
                <w:color w:val="auto"/>
                <w:sz w:val="12"/>
                <w:szCs w:val="12"/>
              </w:rPr>
              <w:t>0.300</w:t>
            </w:r>
          </w:p>
        </w:tc>
        <w:tc>
          <w:tcPr>
            <w:tcW w:w="567" w:type="dxa"/>
            <w:tcBorders>
              <w:top w:val="nil"/>
              <w:left w:val="nil"/>
              <w:bottom w:val="single" w:sz="8" w:space="0" w:color="auto"/>
              <w:right w:val="single" w:sz="8" w:space="0" w:color="auto"/>
            </w:tcBorders>
            <w:shd w:val="clear" w:color="auto" w:fill="auto"/>
            <w:vAlign w:val="center"/>
          </w:tcPr>
          <w:p w14:paraId="6FC7CBCC" w14:textId="77777777" w:rsidR="004B0524" w:rsidRPr="00F9037E" w:rsidRDefault="004B0524" w:rsidP="00C05C97">
            <w:pPr>
              <w:spacing w:before="120" w:after="120"/>
              <w:jc w:val="center"/>
              <w:rPr>
                <w:color w:val="auto"/>
                <w:sz w:val="12"/>
                <w:szCs w:val="12"/>
              </w:rPr>
            </w:pPr>
            <w:r w:rsidRPr="00F9037E">
              <w:rPr>
                <w:color w:val="auto"/>
                <w:sz w:val="12"/>
                <w:szCs w:val="12"/>
              </w:rPr>
              <w:t>0.101</w:t>
            </w:r>
          </w:p>
        </w:tc>
        <w:tc>
          <w:tcPr>
            <w:tcW w:w="567" w:type="dxa"/>
            <w:tcBorders>
              <w:top w:val="nil"/>
              <w:left w:val="nil"/>
              <w:bottom w:val="single" w:sz="8" w:space="0" w:color="auto"/>
              <w:right w:val="single" w:sz="8" w:space="0" w:color="auto"/>
            </w:tcBorders>
            <w:shd w:val="clear" w:color="auto" w:fill="auto"/>
            <w:vAlign w:val="center"/>
          </w:tcPr>
          <w:p w14:paraId="5EE231B1" w14:textId="71C60DCB"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6993263" w14:textId="560C1091"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E2EC6B2" w14:textId="27E47334"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389867C" w14:textId="02245448"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DF92B80" w14:textId="46C1FF1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B0688EB" w14:textId="1B63B9ED"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4BF7AC9" w14:textId="5BE075CA"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30D63B93"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5B845FA"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9615DEA"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175CA889" w14:textId="77777777" w:rsidR="004B0524" w:rsidRPr="00F9037E" w:rsidRDefault="004B0524" w:rsidP="00C05C97">
            <w:pPr>
              <w:spacing w:before="120" w:after="120"/>
              <w:jc w:val="center"/>
              <w:rPr>
                <w:color w:val="auto"/>
                <w:sz w:val="12"/>
                <w:szCs w:val="12"/>
              </w:rPr>
            </w:pPr>
            <w:r w:rsidRPr="00F9037E">
              <w:rPr>
                <w:color w:val="auto"/>
                <w:sz w:val="12"/>
                <w:szCs w:val="12"/>
              </w:rPr>
              <w:t>0.300</w:t>
            </w:r>
          </w:p>
        </w:tc>
        <w:tc>
          <w:tcPr>
            <w:tcW w:w="567" w:type="dxa"/>
            <w:tcBorders>
              <w:top w:val="nil"/>
              <w:left w:val="nil"/>
              <w:bottom w:val="single" w:sz="8" w:space="0" w:color="auto"/>
              <w:right w:val="single" w:sz="8" w:space="0" w:color="auto"/>
            </w:tcBorders>
            <w:shd w:val="clear" w:color="auto" w:fill="auto"/>
            <w:vAlign w:val="center"/>
          </w:tcPr>
          <w:p w14:paraId="58BA5108" w14:textId="77777777" w:rsidR="004B0524" w:rsidRPr="00F9037E" w:rsidRDefault="004B0524" w:rsidP="00C05C97">
            <w:pPr>
              <w:spacing w:before="120" w:after="120"/>
              <w:jc w:val="center"/>
              <w:rPr>
                <w:color w:val="auto"/>
                <w:sz w:val="12"/>
                <w:szCs w:val="12"/>
              </w:rPr>
            </w:pPr>
            <w:r w:rsidRPr="00F9037E">
              <w:rPr>
                <w:color w:val="auto"/>
                <w:sz w:val="12"/>
                <w:szCs w:val="12"/>
              </w:rPr>
              <w:t>0.101</w:t>
            </w:r>
          </w:p>
        </w:tc>
        <w:tc>
          <w:tcPr>
            <w:tcW w:w="567" w:type="dxa"/>
            <w:tcBorders>
              <w:top w:val="nil"/>
              <w:left w:val="nil"/>
              <w:bottom w:val="single" w:sz="8" w:space="0" w:color="auto"/>
              <w:right w:val="single" w:sz="8" w:space="0" w:color="auto"/>
            </w:tcBorders>
            <w:shd w:val="clear" w:color="auto" w:fill="auto"/>
            <w:vAlign w:val="center"/>
          </w:tcPr>
          <w:p w14:paraId="7EC381C2" w14:textId="4D13A52B"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D55F839" w14:textId="05B433D9"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6206937" w14:textId="6D35BB69"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47139E6" w14:textId="41639219"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6C6FB00" w14:textId="23E8929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4A983605" w14:textId="2C4C659A"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C5D43F1"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104647F"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0901DDA"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3D5F324" w14:textId="77777777" w:rsidR="004B0524" w:rsidRPr="00F9037E" w:rsidRDefault="004B0524" w:rsidP="00C05C97">
            <w:pPr>
              <w:spacing w:before="120" w:after="120"/>
              <w:jc w:val="center"/>
              <w:rPr>
                <w:color w:val="auto"/>
                <w:sz w:val="12"/>
                <w:szCs w:val="12"/>
              </w:rPr>
            </w:pPr>
          </w:p>
        </w:tc>
      </w:tr>
      <w:tr w:rsidR="004B0524" w:rsidRPr="00F9037E" w14:paraId="24EE0538" w14:textId="77777777" w:rsidTr="00C05C97">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23AB831" w14:textId="09E28802" w:rsidR="004B0524" w:rsidRPr="00F9037E" w:rsidRDefault="004B0524" w:rsidP="00C05C97">
            <w:pPr>
              <w:spacing w:before="120" w:after="120"/>
              <w:rPr>
                <w:color w:val="auto"/>
                <w:sz w:val="12"/>
                <w:szCs w:val="12"/>
              </w:rPr>
            </w:pPr>
            <w:r w:rsidRPr="00F9037E">
              <w:rPr>
                <w:color w:val="auto"/>
                <w:sz w:val="12"/>
                <w:szCs w:val="12"/>
              </w:rPr>
              <w:t>Canada</w:t>
            </w:r>
          </w:p>
        </w:tc>
        <w:tc>
          <w:tcPr>
            <w:tcW w:w="818" w:type="dxa"/>
            <w:tcBorders>
              <w:top w:val="nil"/>
              <w:left w:val="nil"/>
              <w:bottom w:val="single" w:sz="8" w:space="0" w:color="auto"/>
              <w:right w:val="single" w:sz="8" w:space="0" w:color="auto"/>
            </w:tcBorders>
            <w:shd w:val="clear" w:color="auto" w:fill="auto"/>
            <w:vAlign w:val="center"/>
          </w:tcPr>
          <w:p w14:paraId="01B910FD" w14:textId="77777777" w:rsidR="004B0524" w:rsidRPr="00F9037E" w:rsidRDefault="004B0524" w:rsidP="00C05C97">
            <w:pPr>
              <w:spacing w:before="120" w:after="120"/>
              <w:rPr>
                <w:color w:val="auto"/>
                <w:sz w:val="12"/>
                <w:szCs w:val="12"/>
              </w:rPr>
            </w:pPr>
            <w:r w:rsidRPr="00F9037E">
              <w:rPr>
                <w:color w:val="auto"/>
                <w:sz w:val="12"/>
                <w:szCs w:val="12"/>
              </w:rPr>
              <w:t>Flour mills</w:t>
            </w:r>
          </w:p>
        </w:tc>
        <w:tc>
          <w:tcPr>
            <w:tcW w:w="567" w:type="dxa"/>
            <w:tcBorders>
              <w:top w:val="nil"/>
              <w:left w:val="nil"/>
              <w:bottom w:val="single" w:sz="8" w:space="0" w:color="auto"/>
              <w:right w:val="single" w:sz="8" w:space="0" w:color="auto"/>
            </w:tcBorders>
            <w:shd w:val="clear" w:color="auto" w:fill="auto"/>
            <w:vAlign w:val="center"/>
          </w:tcPr>
          <w:p w14:paraId="33CD5D94" w14:textId="77777777" w:rsidR="004B0524" w:rsidRPr="00F9037E" w:rsidRDefault="004B0524" w:rsidP="00C05C97">
            <w:pPr>
              <w:spacing w:before="120" w:after="120"/>
              <w:jc w:val="center"/>
              <w:rPr>
                <w:color w:val="auto"/>
                <w:sz w:val="12"/>
                <w:szCs w:val="12"/>
              </w:rPr>
            </w:pPr>
            <w:r w:rsidRPr="00F9037E">
              <w:rPr>
                <w:color w:val="auto"/>
                <w:sz w:val="12"/>
                <w:szCs w:val="12"/>
              </w:rPr>
              <w:t>47.200</w:t>
            </w:r>
          </w:p>
        </w:tc>
        <w:tc>
          <w:tcPr>
            <w:tcW w:w="567" w:type="dxa"/>
            <w:tcBorders>
              <w:top w:val="nil"/>
              <w:left w:val="nil"/>
              <w:bottom w:val="single" w:sz="8" w:space="0" w:color="auto"/>
              <w:right w:val="single" w:sz="8" w:space="0" w:color="auto"/>
            </w:tcBorders>
            <w:shd w:val="clear" w:color="auto" w:fill="auto"/>
            <w:vAlign w:val="center"/>
          </w:tcPr>
          <w:p w14:paraId="688BBBED" w14:textId="77777777" w:rsidR="004B0524" w:rsidRPr="00F9037E" w:rsidRDefault="004B0524" w:rsidP="00C05C97">
            <w:pPr>
              <w:spacing w:before="120" w:after="120"/>
              <w:jc w:val="center"/>
              <w:rPr>
                <w:color w:val="auto"/>
                <w:sz w:val="12"/>
                <w:szCs w:val="12"/>
              </w:rPr>
            </w:pPr>
            <w:r w:rsidRPr="00F9037E">
              <w:rPr>
                <w:color w:val="auto"/>
                <w:sz w:val="12"/>
                <w:szCs w:val="12"/>
              </w:rPr>
              <w:t>34.774</w:t>
            </w:r>
          </w:p>
        </w:tc>
        <w:tc>
          <w:tcPr>
            <w:tcW w:w="567" w:type="dxa"/>
            <w:tcBorders>
              <w:top w:val="nil"/>
              <w:left w:val="nil"/>
              <w:bottom w:val="single" w:sz="8" w:space="0" w:color="auto"/>
              <w:right w:val="single" w:sz="8" w:space="0" w:color="auto"/>
            </w:tcBorders>
            <w:shd w:val="clear" w:color="auto" w:fill="auto"/>
            <w:vAlign w:val="center"/>
          </w:tcPr>
          <w:p w14:paraId="53B556AD" w14:textId="77777777" w:rsidR="004B0524" w:rsidRPr="00F9037E" w:rsidRDefault="004B0524" w:rsidP="00C05C97">
            <w:pPr>
              <w:spacing w:before="120" w:after="120"/>
              <w:jc w:val="center"/>
              <w:rPr>
                <w:color w:val="auto"/>
                <w:sz w:val="12"/>
                <w:szCs w:val="12"/>
              </w:rPr>
            </w:pPr>
            <w:r w:rsidRPr="00F9037E">
              <w:rPr>
                <w:color w:val="auto"/>
                <w:sz w:val="12"/>
                <w:szCs w:val="12"/>
              </w:rPr>
              <w:t>30.167</w:t>
            </w:r>
          </w:p>
        </w:tc>
        <w:tc>
          <w:tcPr>
            <w:tcW w:w="567" w:type="dxa"/>
            <w:tcBorders>
              <w:top w:val="nil"/>
              <w:left w:val="nil"/>
              <w:bottom w:val="single" w:sz="8" w:space="0" w:color="auto"/>
              <w:right w:val="single" w:sz="8" w:space="0" w:color="auto"/>
            </w:tcBorders>
            <w:shd w:val="clear" w:color="auto" w:fill="auto"/>
            <w:vAlign w:val="center"/>
          </w:tcPr>
          <w:p w14:paraId="6ECB140B" w14:textId="77777777" w:rsidR="004B0524" w:rsidRPr="00F9037E" w:rsidRDefault="004B0524" w:rsidP="00C05C97">
            <w:pPr>
              <w:spacing w:before="120" w:after="120"/>
              <w:jc w:val="center"/>
              <w:rPr>
                <w:color w:val="auto"/>
                <w:sz w:val="12"/>
                <w:szCs w:val="12"/>
              </w:rPr>
            </w:pPr>
            <w:r w:rsidRPr="00F9037E">
              <w:rPr>
                <w:color w:val="auto"/>
                <w:sz w:val="12"/>
                <w:szCs w:val="12"/>
              </w:rPr>
              <w:t>28.650</w:t>
            </w:r>
          </w:p>
        </w:tc>
        <w:tc>
          <w:tcPr>
            <w:tcW w:w="567" w:type="dxa"/>
            <w:tcBorders>
              <w:top w:val="nil"/>
              <w:left w:val="nil"/>
              <w:bottom w:val="single" w:sz="8" w:space="0" w:color="auto"/>
              <w:right w:val="single" w:sz="8" w:space="0" w:color="auto"/>
            </w:tcBorders>
            <w:shd w:val="clear" w:color="auto" w:fill="auto"/>
            <w:vAlign w:val="center"/>
          </w:tcPr>
          <w:p w14:paraId="7FCCEB18" w14:textId="77777777" w:rsidR="004B0524" w:rsidRPr="00F9037E" w:rsidRDefault="004B0524" w:rsidP="00C05C97">
            <w:pPr>
              <w:spacing w:before="120" w:after="120"/>
              <w:jc w:val="center"/>
              <w:rPr>
                <w:color w:val="auto"/>
                <w:sz w:val="12"/>
                <w:szCs w:val="12"/>
              </w:rPr>
            </w:pPr>
            <w:r w:rsidRPr="00F9037E">
              <w:rPr>
                <w:color w:val="auto"/>
                <w:sz w:val="12"/>
                <w:szCs w:val="12"/>
              </w:rPr>
              <w:t>26.913</w:t>
            </w:r>
          </w:p>
        </w:tc>
        <w:tc>
          <w:tcPr>
            <w:tcW w:w="567" w:type="dxa"/>
            <w:tcBorders>
              <w:top w:val="nil"/>
              <w:left w:val="nil"/>
              <w:bottom w:val="single" w:sz="8" w:space="0" w:color="auto"/>
              <w:right w:val="single" w:sz="8" w:space="0" w:color="auto"/>
            </w:tcBorders>
            <w:shd w:val="clear" w:color="auto" w:fill="auto"/>
            <w:vAlign w:val="center"/>
          </w:tcPr>
          <w:p w14:paraId="7363F6B8" w14:textId="77777777" w:rsidR="004B0524" w:rsidRPr="00F9037E" w:rsidRDefault="004B0524" w:rsidP="00C05C97">
            <w:pPr>
              <w:spacing w:before="120" w:after="120"/>
              <w:jc w:val="center"/>
              <w:rPr>
                <w:color w:val="auto"/>
                <w:sz w:val="12"/>
                <w:szCs w:val="12"/>
              </w:rPr>
            </w:pPr>
            <w:r w:rsidRPr="00F9037E">
              <w:rPr>
                <w:color w:val="auto"/>
                <w:sz w:val="12"/>
                <w:szCs w:val="12"/>
              </w:rPr>
              <w:t>22.878</w:t>
            </w:r>
          </w:p>
        </w:tc>
        <w:tc>
          <w:tcPr>
            <w:tcW w:w="567" w:type="dxa"/>
            <w:tcBorders>
              <w:top w:val="nil"/>
              <w:left w:val="nil"/>
              <w:bottom w:val="single" w:sz="8" w:space="0" w:color="auto"/>
              <w:right w:val="single" w:sz="8" w:space="0" w:color="auto"/>
            </w:tcBorders>
            <w:shd w:val="clear" w:color="auto" w:fill="auto"/>
            <w:vAlign w:val="center"/>
          </w:tcPr>
          <w:p w14:paraId="5CFCEC8D" w14:textId="77777777" w:rsidR="004B0524" w:rsidRPr="00F9037E" w:rsidRDefault="004B0524" w:rsidP="00C05C97">
            <w:pPr>
              <w:spacing w:before="120" w:after="120"/>
              <w:jc w:val="center"/>
              <w:rPr>
                <w:color w:val="auto"/>
                <w:sz w:val="12"/>
                <w:szCs w:val="12"/>
              </w:rPr>
            </w:pPr>
            <w:r w:rsidRPr="00F9037E">
              <w:rPr>
                <w:color w:val="auto"/>
                <w:sz w:val="12"/>
                <w:szCs w:val="12"/>
              </w:rPr>
              <w:t>14.107</w:t>
            </w:r>
          </w:p>
        </w:tc>
        <w:tc>
          <w:tcPr>
            <w:tcW w:w="567" w:type="dxa"/>
            <w:tcBorders>
              <w:top w:val="nil"/>
              <w:left w:val="nil"/>
              <w:bottom w:val="single" w:sz="8" w:space="0" w:color="auto"/>
              <w:right w:val="single" w:sz="8" w:space="0" w:color="auto"/>
            </w:tcBorders>
            <w:shd w:val="clear" w:color="auto" w:fill="auto"/>
            <w:vAlign w:val="center"/>
          </w:tcPr>
          <w:p w14:paraId="6E0BB2DD" w14:textId="77777777" w:rsidR="004B0524" w:rsidRPr="00F9037E" w:rsidRDefault="004B0524" w:rsidP="00C05C97">
            <w:pPr>
              <w:spacing w:before="120" w:after="120"/>
              <w:jc w:val="center"/>
              <w:rPr>
                <w:color w:val="auto"/>
                <w:sz w:val="12"/>
                <w:szCs w:val="12"/>
              </w:rPr>
            </w:pPr>
            <w:r w:rsidRPr="00F9037E">
              <w:rPr>
                <w:color w:val="auto"/>
                <w:sz w:val="12"/>
                <w:szCs w:val="12"/>
              </w:rPr>
              <w:t>11.020</w:t>
            </w:r>
          </w:p>
        </w:tc>
        <w:tc>
          <w:tcPr>
            <w:tcW w:w="567" w:type="dxa"/>
            <w:tcBorders>
              <w:top w:val="nil"/>
              <w:left w:val="nil"/>
              <w:bottom w:val="single" w:sz="8" w:space="0" w:color="auto"/>
              <w:right w:val="single" w:sz="8" w:space="0" w:color="auto"/>
            </w:tcBorders>
            <w:shd w:val="clear" w:color="auto" w:fill="auto"/>
            <w:vAlign w:val="center"/>
          </w:tcPr>
          <w:p w14:paraId="51D9B9BA" w14:textId="77777777" w:rsidR="004B0524" w:rsidRPr="00F9037E" w:rsidRDefault="004B0524" w:rsidP="00C05C97">
            <w:pPr>
              <w:spacing w:before="120" w:after="120"/>
              <w:jc w:val="center"/>
              <w:rPr>
                <w:color w:val="auto"/>
                <w:sz w:val="12"/>
                <w:szCs w:val="12"/>
              </w:rPr>
            </w:pPr>
            <w:r w:rsidRPr="00F9037E">
              <w:rPr>
                <w:color w:val="auto"/>
                <w:sz w:val="12"/>
                <w:szCs w:val="12"/>
              </w:rPr>
              <w:t>7.848</w:t>
            </w:r>
          </w:p>
        </w:tc>
        <w:tc>
          <w:tcPr>
            <w:tcW w:w="567" w:type="dxa"/>
            <w:tcBorders>
              <w:top w:val="nil"/>
              <w:left w:val="nil"/>
              <w:bottom w:val="single" w:sz="8" w:space="0" w:color="auto"/>
              <w:right w:val="single" w:sz="4" w:space="0" w:color="auto"/>
            </w:tcBorders>
            <w:vAlign w:val="center"/>
          </w:tcPr>
          <w:p w14:paraId="28B6EEB6" w14:textId="77777777" w:rsidR="004B0524" w:rsidRPr="00F9037E" w:rsidRDefault="004B0524" w:rsidP="00C05C97">
            <w:pPr>
              <w:spacing w:before="120" w:after="120"/>
              <w:jc w:val="center"/>
              <w:rPr>
                <w:color w:val="auto"/>
                <w:sz w:val="12"/>
                <w:szCs w:val="12"/>
              </w:rPr>
            </w:pPr>
            <w:r w:rsidRPr="00F9037E">
              <w:rPr>
                <w:color w:val="auto"/>
                <w:sz w:val="12"/>
                <w:szCs w:val="12"/>
              </w:rPr>
              <w:t>5.044</w:t>
            </w:r>
          </w:p>
        </w:tc>
        <w:tc>
          <w:tcPr>
            <w:tcW w:w="567" w:type="dxa"/>
            <w:tcBorders>
              <w:top w:val="nil"/>
              <w:left w:val="single" w:sz="4" w:space="0" w:color="auto"/>
              <w:bottom w:val="single" w:sz="8" w:space="0" w:color="auto"/>
              <w:right w:val="single" w:sz="4" w:space="0" w:color="auto"/>
            </w:tcBorders>
            <w:vAlign w:val="center"/>
          </w:tcPr>
          <w:p w14:paraId="0CF0834D" w14:textId="77777777" w:rsidR="004B0524" w:rsidRPr="00F9037E" w:rsidRDefault="004B0524" w:rsidP="00C05C97">
            <w:pPr>
              <w:spacing w:before="120" w:after="120"/>
              <w:jc w:val="center"/>
              <w:rPr>
                <w:b/>
                <w:color w:val="auto"/>
                <w:sz w:val="12"/>
                <w:szCs w:val="12"/>
              </w:rPr>
            </w:pPr>
            <w:r w:rsidRPr="00F9037E">
              <w:rPr>
                <w:b/>
                <w:color w:val="auto"/>
                <w:sz w:val="12"/>
                <w:szCs w:val="12"/>
              </w:rPr>
              <w:t>5.044</w:t>
            </w:r>
          </w:p>
        </w:tc>
        <w:tc>
          <w:tcPr>
            <w:tcW w:w="567" w:type="dxa"/>
            <w:tcBorders>
              <w:top w:val="nil"/>
              <w:left w:val="single" w:sz="4" w:space="0" w:color="auto"/>
              <w:bottom w:val="single" w:sz="8" w:space="0" w:color="auto"/>
              <w:right w:val="single" w:sz="4" w:space="0" w:color="auto"/>
            </w:tcBorders>
            <w:vAlign w:val="center"/>
          </w:tcPr>
          <w:p w14:paraId="01E9E9E2" w14:textId="77777777" w:rsidR="004B0524" w:rsidRPr="00F9037E" w:rsidRDefault="004B0524" w:rsidP="00C05C97">
            <w:pPr>
              <w:spacing w:before="120" w:after="120"/>
              <w:jc w:val="center"/>
              <w:rPr>
                <w:b/>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5BE2C77" w14:textId="77777777" w:rsidR="004B0524" w:rsidRPr="00F9037E" w:rsidRDefault="004B0524" w:rsidP="00C05C97">
            <w:pPr>
              <w:spacing w:before="120" w:after="120"/>
              <w:jc w:val="center"/>
              <w:rPr>
                <w:color w:val="auto"/>
                <w:sz w:val="12"/>
                <w:szCs w:val="12"/>
              </w:rPr>
            </w:pPr>
            <w:r w:rsidRPr="00F9037E">
              <w:rPr>
                <w:color w:val="auto"/>
                <w:sz w:val="12"/>
                <w:szCs w:val="12"/>
              </w:rPr>
              <w:t>(a)47</w:t>
            </w:r>
          </w:p>
        </w:tc>
        <w:tc>
          <w:tcPr>
            <w:tcW w:w="567" w:type="dxa"/>
            <w:tcBorders>
              <w:top w:val="nil"/>
              <w:left w:val="nil"/>
              <w:bottom w:val="single" w:sz="8" w:space="0" w:color="auto"/>
              <w:right w:val="single" w:sz="8" w:space="0" w:color="auto"/>
            </w:tcBorders>
            <w:shd w:val="clear" w:color="auto" w:fill="auto"/>
            <w:vAlign w:val="center"/>
          </w:tcPr>
          <w:p w14:paraId="6BBC8EE5" w14:textId="77777777" w:rsidR="004B0524" w:rsidRPr="00F9037E" w:rsidRDefault="004B0524" w:rsidP="00C05C97">
            <w:pPr>
              <w:spacing w:before="120" w:after="120"/>
              <w:jc w:val="center"/>
              <w:rPr>
                <w:color w:val="auto"/>
                <w:sz w:val="12"/>
                <w:szCs w:val="12"/>
              </w:rPr>
            </w:pPr>
            <w:r w:rsidRPr="00F9037E">
              <w:rPr>
                <w:color w:val="auto"/>
                <w:sz w:val="12"/>
                <w:szCs w:val="12"/>
              </w:rPr>
              <w:t>34.774</w:t>
            </w:r>
          </w:p>
        </w:tc>
        <w:tc>
          <w:tcPr>
            <w:tcW w:w="567" w:type="dxa"/>
            <w:tcBorders>
              <w:top w:val="nil"/>
              <w:left w:val="nil"/>
              <w:bottom w:val="single" w:sz="8" w:space="0" w:color="auto"/>
              <w:right w:val="single" w:sz="8" w:space="0" w:color="auto"/>
            </w:tcBorders>
            <w:shd w:val="clear" w:color="auto" w:fill="auto"/>
            <w:vAlign w:val="center"/>
          </w:tcPr>
          <w:p w14:paraId="3BC2EAD5" w14:textId="77777777" w:rsidR="004B0524" w:rsidRPr="00F9037E" w:rsidRDefault="004B0524" w:rsidP="00C05C97">
            <w:pPr>
              <w:spacing w:before="120" w:after="120"/>
              <w:jc w:val="center"/>
              <w:rPr>
                <w:color w:val="auto"/>
                <w:sz w:val="12"/>
                <w:szCs w:val="12"/>
              </w:rPr>
            </w:pPr>
            <w:r w:rsidRPr="00F9037E">
              <w:rPr>
                <w:color w:val="auto"/>
                <w:sz w:val="12"/>
                <w:szCs w:val="12"/>
              </w:rPr>
              <w:t>30.167</w:t>
            </w:r>
          </w:p>
        </w:tc>
        <w:tc>
          <w:tcPr>
            <w:tcW w:w="567" w:type="dxa"/>
            <w:tcBorders>
              <w:top w:val="nil"/>
              <w:left w:val="nil"/>
              <w:bottom w:val="single" w:sz="8" w:space="0" w:color="auto"/>
              <w:right w:val="single" w:sz="8" w:space="0" w:color="auto"/>
            </w:tcBorders>
            <w:shd w:val="clear" w:color="auto" w:fill="auto"/>
            <w:vAlign w:val="center"/>
          </w:tcPr>
          <w:p w14:paraId="3FB7BD7A" w14:textId="77777777" w:rsidR="004B0524" w:rsidRPr="00F9037E" w:rsidRDefault="004B0524" w:rsidP="00C05C97">
            <w:pPr>
              <w:spacing w:before="120" w:after="120"/>
              <w:jc w:val="center"/>
              <w:rPr>
                <w:color w:val="auto"/>
                <w:sz w:val="12"/>
                <w:szCs w:val="12"/>
              </w:rPr>
            </w:pPr>
            <w:r w:rsidRPr="00F9037E">
              <w:rPr>
                <w:color w:val="auto"/>
                <w:sz w:val="12"/>
                <w:szCs w:val="12"/>
              </w:rPr>
              <w:t>28.65</w:t>
            </w:r>
          </w:p>
        </w:tc>
        <w:tc>
          <w:tcPr>
            <w:tcW w:w="567" w:type="dxa"/>
            <w:tcBorders>
              <w:top w:val="nil"/>
              <w:left w:val="nil"/>
              <w:bottom w:val="single" w:sz="8" w:space="0" w:color="auto"/>
              <w:right w:val="single" w:sz="8" w:space="0" w:color="auto"/>
            </w:tcBorders>
            <w:shd w:val="clear" w:color="auto" w:fill="auto"/>
            <w:vAlign w:val="center"/>
          </w:tcPr>
          <w:p w14:paraId="06ECD1D5" w14:textId="77777777" w:rsidR="004B0524" w:rsidRPr="00F9037E" w:rsidRDefault="004B0524" w:rsidP="00C05C97">
            <w:pPr>
              <w:spacing w:before="120" w:after="120"/>
              <w:jc w:val="center"/>
              <w:rPr>
                <w:color w:val="auto"/>
                <w:sz w:val="12"/>
                <w:szCs w:val="12"/>
              </w:rPr>
            </w:pPr>
            <w:r w:rsidRPr="00F9037E">
              <w:rPr>
                <w:color w:val="auto"/>
                <w:sz w:val="12"/>
                <w:szCs w:val="12"/>
              </w:rPr>
              <w:t>26.913</w:t>
            </w:r>
          </w:p>
        </w:tc>
        <w:tc>
          <w:tcPr>
            <w:tcW w:w="567" w:type="dxa"/>
            <w:tcBorders>
              <w:top w:val="nil"/>
              <w:left w:val="nil"/>
              <w:bottom w:val="single" w:sz="8" w:space="0" w:color="auto"/>
              <w:right w:val="single" w:sz="8" w:space="0" w:color="auto"/>
            </w:tcBorders>
            <w:shd w:val="clear" w:color="auto" w:fill="auto"/>
            <w:vAlign w:val="center"/>
          </w:tcPr>
          <w:p w14:paraId="463A8A0E" w14:textId="77777777" w:rsidR="004B0524" w:rsidRPr="00F9037E" w:rsidRDefault="004B0524" w:rsidP="00C05C97">
            <w:pPr>
              <w:spacing w:before="120" w:after="120"/>
              <w:jc w:val="center"/>
              <w:rPr>
                <w:color w:val="auto"/>
                <w:sz w:val="12"/>
                <w:szCs w:val="12"/>
              </w:rPr>
            </w:pPr>
            <w:r w:rsidRPr="00F9037E">
              <w:rPr>
                <w:color w:val="auto"/>
                <w:sz w:val="12"/>
                <w:szCs w:val="12"/>
              </w:rPr>
              <w:t>22.878</w:t>
            </w:r>
          </w:p>
        </w:tc>
        <w:tc>
          <w:tcPr>
            <w:tcW w:w="567" w:type="dxa"/>
            <w:tcBorders>
              <w:top w:val="nil"/>
              <w:left w:val="nil"/>
              <w:bottom w:val="single" w:sz="8" w:space="0" w:color="auto"/>
              <w:right w:val="single" w:sz="8" w:space="0" w:color="auto"/>
            </w:tcBorders>
            <w:shd w:val="clear" w:color="auto" w:fill="auto"/>
            <w:vAlign w:val="center"/>
          </w:tcPr>
          <w:p w14:paraId="4ECF2555" w14:textId="77777777" w:rsidR="004B0524" w:rsidRPr="00F9037E" w:rsidRDefault="004B0524" w:rsidP="00C05C97">
            <w:pPr>
              <w:spacing w:before="120" w:after="120"/>
              <w:jc w:val="center"/>
              <w:rPr>
                <w:color w:val="auto"/>
                <w:sz w:val="12"/>
                <w:szCs w:val="12"/>
              </w:rPr>
            </w:pPr>
            <w:r w:rsidRPr="00F9037E">
              <w:rPr>
                <w:color w:val="auto"/>
                <w:sz w:val="12"/>
                <w:szCs w:val="12"/>
              </w:rPr>
              <w:t>14.107</w:t>
            </w:r>
          </w:p>
        </w:tc>
        <w:tc>
          <w:tcPr>
            <w:tcW w:w="567" w:type="dxa"/>
            <w:tcBorders>
              <w:top w:val="nil"/>
              <w:left w:val="nil"/>
              <w:bottom w:val="single" w:sz="8" w:space="0" w:color="auto"/>
              <w:right w:val="single" w:sz="8" w:space="0" w:color="auto"/>
            </w:tcBorders>
            <w:shd w:val="clear" w:color="auto" w:fill="auto"/>
            <w:noWrap/>
            <w:vAlign w:val="center"/>
          </w:tcPr>
          <w:p w14:paraId="7BD81D72" w14:textId="52887E01" w:rsidR="004B0524" w:rsidRPr="00F9037E" w:rsidRDefault="004B0524" w:rsidP="00C05C97">
            <w:pPr>
              <w:spacing w:before="120" w:after="120"/>
              <w:jc w:val="center"/>
              <w:rPr>
                <w:color w:val="auto"/>
                <w:sz w:val="12"/>
                <w:szCs w:val="12"/>
              </w:rPr>
            </w:pPr>
            <w:r w:rsidRPr="00F9037E">
              <w:rPr>
                <w:color w:val="auto"/>
                <w:sz w:val="12"/>
                <w:szCs w:val="12"/>
              </w:rPr>
              <w:t>11.020</w:t>
            </w:r>
          </w:p>
        </w:tc>
        <w:tc>
          <w:tcPr>
            <w:tcW w:w="567" w:type="dxa"/>
            <w:tcBorders>
              <w:top w:val="nil"/>
              <w:left w:val="nil"/>
              <w:bottom w:val="single" w:sz="8" w:space="0" w:color="auto"/>
              <w:right w:val="single" w:sz="8" w:space="0" w:color="auto"/>
            </w:tcBorders>
            <w:vAlign w:val="center"/>
          </w:tcPr>
          <w:p w14:paraId="2CEE8A03" w14:textId="77777777" w:rsidR="004B0524" w:rsidRPr="00F9037E" w:rsidRDefault="004B0524" w:rsidP="00C05C97">
            <w:pPr>
              <w:spacing w:before="120" w:after="120"/>
              <w:jc w:val="center"/>
              <w:rPr>
                <w:color w:val="auto"/>
                <w:sz w:val="12"/>
                <w:szCs w:val="12"/>
              </w:rPr>
            </w:pPr>
            <w:r w:rsidRPr="00F9037E">
              <w:rPr>
                <w:color w:val="auto"/>
                <w:sz w:val="12"/>
                <w:szCs w:val="12"/>
              </w:rPr>
              <w:t>5.044</w:t>
            </w:r>
          </w:p>
        </w:tc>
        <w:tc>
          <w:tcPr>
            <w:tcW w:w="567" w:type="dxa"/>
            <w:tcBorders>
              <w:top w:val="nil"/>
              <w:left w:val="nil"/>
              <w:bottom w:val="single" w:sz="8" w:space="0" w:color="auto"/>
              <w:right w:val="single" w:sz="8" w:space="0" w:color="auto"/>
            </w:tcBorders>
            <w:vAlign w:val="center"/>
          </w:tcPr>
          <w:p w14:paraId="563168A2" w14:textId="77777777" w:rsidR="004B0524" w:rsidRPr="00F9037E" w:rsidRDefault="004B0524" w:rsidP="00C05C97">
            <w:pPr>
              <w:spacing w:before="120" w:after="120"/>
              <w:jc w:val="center"/>
              <w:rPr>
                <w:b/>
                <w:color w:val="auto"/>
                <w:sz w:val="12"/>
                <w:szCs w:val="12"/>
              </w:rPr>
            </w:pPr>
            <w:r w:rsidRPr="00F9037E">
              <w:rPr>
                <w:b/>
                <w:color w:val="auto"/>
                <w:sz w:val="12"/>
                <w:szCs w:val="12"/>
              </w:rPr>
              <w:t>5.044</w:t>
            </w:r>
          </w:p>
        </w:tc>
        <w:tc>
          <w:tcPr>
            <w:tcW w:w="567" w:type="dxa"/>
            <w:tcBorders>
              <w:top w:val="nil"/>
              <w:left w:val="nil"/>
              <w:bottom w:val="single" w:sz="8" w:space="0" w:color="auto"/>
              <w:right w:val="single" w:sz="8" w:space="0" w:color="auto"/>
            </w:tcBorders>
            <w:vAlign w:val="center"/>
          </w:tcPr>
          <w:p w14:paraId="4087FCFF" w14:textId="77777777" w:rsidR="004B0524" w:rsidRPr="00F9037E" w:rsidRDefault="004B0524" w:rsidP="00C05C97">
            <w:pPr>
              <w:spacing w:before="120" w:after="120"/>
              <w:jc w:val="center"/>
              <w:rPr>
                <w:b/>
                <w:color w:val="auto"/>
                <w:sz w:val="12"/>
                <w:szCs w:val="12"/>
              </w:rPr>
            </w:pPr>
          </w:p>
        </w:tc>
        <w:tc>
          <w:tcPr>
            <w:tcW w:w="567" w:type="dxa"/>
            <w:tcBorders>
              <w:top w:val="nil"/>
              <w:left w:val="nil"/>
              <w:bottom w:val="single" w:sz="8" w:space="0" w:color="auto"/>
              <w:right w:val="single" w:sz="8" w:space="0" w:color="auto"/>
            </w:tcBorders>
            <w:vAlign w:val="center"/>
          </w:tcPr>
          <w:p w14:paraId="3C019CED" w14:textId="77777777" w:rsidR="004B0524" w:rsidRPr="00F9037E" w:rsidRDefault="004B0524" w:rsidP="00C05C97">
            <w:pPr>
              <w:spacing w:before="120" w:after="120"/>
              <w:jc w:val="center"/>
              <w:rPr>
                <w:b/>
                <w:color w:val="auto"/>
                <w:sz w:val="12"/>
                <w:szCs w:val="12"/>
              </w:rPr>
            </w:pPr>
          </w:p>
        </w:tc>
      </w:tr>
      <w:tr w:rsidR="004B0524" w:rsidRPr="00F9037E" w14:paraId="2FE65287" w14:textId="77777777" w:rsidTr="00C05C97">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5A4AF601" w14:textId="5956DEED" w:rsidR="004B0524" w:rsidRPr="00F9037E" w:rsidRDefault="004B0524" w:rsidP="00C05C97">
            <w:pPr>
              <w:spacing w:before="120" w:after="120"/>
              <w:rPr>
                <w:color w:val="auto"/>
                <w:sz w:val="12"/>
                <w:szCs w:val="12"/>
              </w:rPr>
            </w:pPr>
            <w:r w:rsidRPr="00F9037E">
              <w:rPr>
                <w:color w:val="auto"/>
                <w:sz w:val="12"/>
                <w:szCs w:val="12"/>
              </w:rPr>
              <w:t>Canada</w:t>
            </w:r>
          </w:p>
        </w:tc>
        <w:tc>
          <w:tcPr>
            <w:tcW w:w="818" w:type="dxa"/>
            <w:tcBorders>
              <w:top w:val="nil"/>
              <w:left w:val="nil"/>
              <w:bottom w:val="single" w:sz="8" w:space="0" w:color="auto"/>
              <w:right w:val="single" w:sz="8" w:space="0" w:color="auto"/>
            </w:tcBorders>
            <w:shd w:val="clear" w:color="auto" w:fill="auto"/>
            <w:vAlign w:val="center"/>
          </w:tcPr>
          <w:p w14:paraId="08CC7B34" w14:textId="77777777" w:rsidR="004B0524" w:rsidRPr="00F9037E" w:rsidRDefault="004B0524" w:rsidP="00C05C97">
            <w:pPr>
              <w:spacing w:before="120" w:after="120"/>
              <w:rPr>
                <w:color w:val="auto"/>
                <w:sz w:val="12"/>
                <w:szCs w:val="12"/>
              </w:rPr>
            </w:pPr>
            <w:r w:rsidRPr="00F9037E">
              <w:rPr>
                <w:color w:val="auto"/>
                <w:sz w:val="12"/>
                <w:szCs w:val="12"/>
              </w:rPr>
              <w:t>Pasta manufacturing facilities</w:t>
            </w:r>
          </w:p>
        </w:tc>
        <w:tc>
          <w:tcPr>
            <w:tcW w:w="567" w:type="dxa"/>
            <w:tcBorders>
              <w:top w:val="nil"/>
              <w:left w:val="nil"/>
              <w:bottom w:val="single" w:sz="8" w:space="0" w:color="auto"/>
              <w:right w:val="single" w:sz="8" w:space="0" w:color="auto"/>
            </w:tcBorders>
            <w:shd w:val="clear" w:color="auto" w:fill="auto"/>
            <w:vAlign w:val="center"/>
          </w:tcPr>
          <w:p w14:paraId="279F3084" w14:textId="77777777" w:rsidR="004B0524" w:rsidRPr="00F9037E" w:rsidRDefault="004B0524" w:rsidP="00C05C97">
            <w:pPr>
              <w:spacing w:before="120" w:after="120"/>
              <w:jc w:val="center"/>
              <w:rPr>
                <w:color w:val="auto"/>
                <w:sz w:val="12"/>
                <w:szCs w:val="12"/>
              </w:rPr>
            </w:pPr>
            <w:r w:rsidRPr="00F9037E">
              <w:rPr>
                <w:color w:val="auto"/>
                <w:sz w:val="12"/>
                <w:szCs w:val="12"/>
              </w:rPr>
              <w:t>(a)</w:t>
            </w:r>
          </w:p>
        </w:tc>
        <w:tc>
          <w:tcPr>
            <w:tcW w:w="567" w:type="dxa"/>
            <w:tcBorders>
              <w:top w:val="nil"/>
              <w:left w:val="nil"/>
              <w:bottom w:val="single" w:sz="8" w:space="0" w:color="auto"/>
              <w:right w:val="single" w:sz="8" w:space="0" w:color="auto"/>
            </w:tcBorders>
            <w:shd w:val="clear" w:color="auto" w:fill="auto"/>
            <w:vAlign w:val="center"/>
          </w:tcPr>
          <w:p w14:paraId="2114FB64" w14:textId="77777777" w:rsidR="004B0524" w:rsidRPr="00F9037E" w:rsidRDefault="004B0524" w:rsidP="00C05C97">
            <w:pPr>
              <w:spacing w:before="120" w:after="120"/>
              <w:jc w:val="center"/>
              <w:rPr>
                <w:color w:val="auto"/>
                <w:sz w:val="12"/>
                <w:szCs w:val="12"/>
              </w:rPr>
            </w:pPr>
            <w:r w:rsidRPr="00F9037E">
              <w:rPr>
                <w:color w:val="auto"/>
                <w:sz w:val="12"/>
                <w:szCs w:val="12"/>
              </w:rPr>
              <w:t>10.457</w:t>
            </w:r>
          </w:p>
        </w:tc>
        <w:tc>
          <w:tcPr>
            <w:tcW w:w="567" w:type="dxa"/>
            <w:tcBorders>
              <w:top w:val="nil"/>
              <w:left w:val="nil"/>
              <w:bottom w:val="single" w:sz="8" w:space="0" w:color="auto"/>
              <w:right w:val="single" w:sz="8" w:space="0" w:color="auto"/>
            </w:tcBorders>
            <w:shd w:val="clear" w:color="auto" w:fill="auto"/>
            <w:vAlign w:val="center"/>
          </w:tcPr>
          <w:p w14:paraId="3CFCF116" w14:textId="77777777" w:rsidR="004B0524" w:rsidRPr="00F9037E" w:rsidRDefault="004B0524" w:rsidP="00C05C97">
            <w:pPr>
              <w:spacing w:before="120" w:after="120"/>
              <w:jc w:val="center"/>
              <w:rPr>
                <w:color w:val="auto"/>
                <w:sz w:val="12"/>
                <w:szCs w:val="12"/>
              </w:rPr>
            </w:pPr>
            <w:r w:rsidRPr="00F9037E">
              <w:rPr>
                <w:color w:val="auto"/>
                <w:sz w:val="12"/>
                <w:szCs w:val="12"/>
              </w:rPr>
              <w:t>6.757</w:t>
            </w:r>
          </w:p>
        </w:tc>
        <w:tc>
          <w:tcPr>
            <w:tcW w:w="567" w:type="dxa"/>
            <w:tcBorders>
              <w:top w:val="nil"/>
              <w:left w:val="nil"/>
              <w:bottom w:val="single" w:sz="8" w:space="0" w:color="auto"/>
              <w:right w:val="single" w:sz="8" w:space="0" w:color="auto"/>
            </w:tcBorders>
            <w:shd w:val="clear" w:color="auto" w:fill="auto"/>
            <w:vAlign w:val="center"/>
          </w:tcPr>
          <w:p w14:paraId="4EB9B6F4" w14:textId="77777777" w:rsidR="004B0524" w:rsidRPr="00F9037E" w:rsidRDefault="004B0524" w:rsidP="00C05C97">
            <w:pPr>
              <w:spacing w:before="120" w:after="120"/>
              <w:jc w:val="center"/>
              <w:rPr>
                <w:color w:val="auto"/>
                <w:sz w:val="12"/>
                <w:szCs w:val="12"/>
              </w:rPr>
            </w:pPr>
            <w:r w:rsidRPr="00F9037E">
              <w:rPr>
                <w:color w:val="auto"/>
                <w:sz w:val="12"/>
                <w:szCs w:val="12"/>
              </w:rPr>
              <w:t>6.067</w:t>
            </w:r>
          </w:p>
        </w:tc>
        <w:tc>
          <w:tcPr>
            <w:tcW w:w="567" w:type="dxa"/>
            <w:tcBorders>
              <w:top w:val="nil"/>
              <w:left w:val="nil"/>
              <w:bottom w:val="single" w:sz="8" w:space="0" w:color="auto"/>
              <w:right w:val="single" w:sz="8" w:space="0" w:color="auto"/>
            </w:tcBorders>
            <w:shd w:val="clear" w:color="auto" w:fill="auto"/>
            <w:vAlign w:val="center"/>
          </w:tcPr>
          <w:p w14:paraId="45AC7FF0" w14:textId="77777777" w:rsidR="004B0524" w:rsidRPr="00F9037E" w:rsidRDefault="004B0524" w:rsidP="00C05C97">
            <w:pPr>
              <w:spacing w:before="120" w:after="120"/>
              <w:jc w:val="center"/>
              <w:rPr>
                <w:color w:val="auto"/>
                <w:sz w:val="12"/>
                <w:szCs w:val="12"/>
              </w:rPr>
            </w:pPr>
            <w:r w:rsidRPr="00F9037E">
              <w:rPr>
                <w:color w:val="auto"/>
                <w:sz w:val="12"/>
                <w:szCs w:val="12"/>
              </w:rPr>
              <w:t>4.740</w:t>
            </w:r>
          </w:p>
        </w:tc>
        <w:tc>
          <w:tcPr>
            <w:tcW w:w="567" w:type="dxa"/>
            <w:tcBorders>
              <w:top w:val="nil"/>
              <w:left w:val="nil"/>
              <w:bottom w:val="single" w:sz="8" w:space="0" w:color="auto"/>
              <w:right w:val="single" w:sz="8" w:space="0" w:color="auto"/>
            </w:tcBorders>
            <w:shd w:val="clear" w:color="auto" w:fill="auto"/>
            <w:vAlign w:val="center"/>
          </w:tcPr>
          <w:p w14:paraId="05B4F71A" w14:textId="77777777" w:rsidR="004B0524" w:rsidRPr="00F9037E" w:rsidRDefault="004B0524" w:rsidP="00C05C97">
            <w:pPr>
              <w:spacing w:before="120" w:after="120"/>
              <w:jc w:val="center"/>
              <w:rPr>
                <w:color w:val="auto"/>
                <w:sz w:val="12"/>
                <w:szCs w:val="12"/>
              </w:rPr>
            </w:pPr>
            <w:r w:rsidRPr="00F9037E">
              <w:rPr>
                <w:color w:val="auto"/>
                <w:sz w:val="12"/>
                <w:szCs w:val="12"/>
              </w:rPr>
              <w:t>4.740</w:t>
            </w:r>
          </w:p>
        </w:tc>
        <w:tc>
          <w:tcPr>
            <w:tcW w:w="567" w:type="dxa"/>
            <w:tcBorders>
              <w:top w:val="nil"/>
              <w:left w:val="nil"/>
              <w:bottom w:val="single" w:sz="8" w:space="0" w:color="auto"/>
              <w:right w:val="single" w:sz="8" w:space="0" w:color="auto"/>
            </w:tcBorders>
            <w:shd w:val="clear" w:color="auto" w:fill="auto"/>
            <w:vAlign w:val="center"/>
          </w:tcPr>
          <w:p w14:paraId="0A785CEB" w14:textId="77777777" w:rsidR="004B0524" w:rsidRPr="00F9037E" w:rsidRDefault="004B0524" w:rsidP="00C05C97">
            <w:pPr>
              <w:spacing w:before="120" w:after="120"/>
              <w:jc w:val="center"/>
              <w:rPr>
                <w:color w:val="auto"/>
                <w:sz w:val="12"/>
                <w:szCs w:val="12"/>
              </w:rPr>
            </w:pPr>
            <w:r w:rsidRPr="00F9037E">
              <w:rPr>
                <w:color w:val="auto"/>
                <w:sz w:val="12"/>
                <w:szCs w:val="12"/>
              </w:rPr>
              <w:t>2.084</w:t>
            </w:r>
          </w:p>
        </w:tc>
        <w:tc>
          <w:tcPr>
            <w:tcW w:w="567" w:type="dxa"/>
            <w:tcBorders>
              <w:top w:val="nil"/>
              <w:left w:val="nil"/>
              <w:bottom w:val="single" w:sz="8" w:space="0" w:color="auto"/>
              <w:right w:val="single" w:sz="8" w:space="0" w:color="auto"/>
            </w:tcBorders>
            <w:shd w:val="clear" w:color="auto" w:fill="auto"/>
            <w:vAlign w:val="center"/>
          </w:tcPr>
          <w:p w14:paraId="469146E3" w14:textId="74B31FE2"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E59500D" w14:textId="16DB0FA0"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5360D78A"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539BAA6"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2BA5343"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1190CD4" w14:textId="77777777" w:rsidR="004B0524" w:rsidRPr="00F9037E" w:rsidRDefault="004B0524" w:rsidP="00C05C97">
            <w:pPr>
              <w:spacing w:before="120" w:after="120"/>
              <w:jc w:val="center"/>
              <w:rPr>
                <w:color w:val="auto"/>
                <w:sz w:val="12"/>
                <w:szCs w:val="12"/>
              </w:rPr>
            </w:pPr>
            <w:r w:rsidRPr="00F9037E">
              <w:rPr>
                <w:color w:val="auto"/>
                <w:sz w:val="12"/>
                <w:szCs w:val="12"/>
              </w:rPr>
              <w:t>(a)</w:t>
            </w:r>
          </w:p>
        </w:tc>
        <w:tc>
          <w:tcPr>
            <w:tcW w:w="567" w:type="dxa"/>
            <w:tcBorders>
              <w:top w:val="nil"/>
              <w:left w:val="nil"/>
              <w:bottom w:val="single" w:sz="8" w:space="0" w:color="auto"/>
              <w:right w:val="single" w:sz="8" w:space="0" w:color="auto"/>
            </w:tcBorders>
            <w:shd w:val="clear" w:color="auto" w:fill="auto"/>
            <w:vAlign w:val="center"/>
          </w:tcPr>
          <w:p w14:paraId="490DF28A" w14:textId="77777777" w:rsidR="004B0524" w:rsidRPr="00F9037E" w:rsidRDefault="004B0524" w:rsidP="00C05C97">
            <w:pPr>
              <w:spacing w:before="120" w:after="120"/>
              <w:jc w:val="center"/>
              <w:rPr>
                <w:color w:val="auto"/>
                <w:sz w:val="12"/>
                <w:szCs w:val="12"/>
              </w:rPr>
            </w:pPr>
            <w:r w:rsidRPr="00F9037E">
              <w:rPr>
                <w:color w:val="auto"/>
                <w:sz w:val="12"/>
                <w:szCs w:val="12"/>
              </w:rPr>
              <w:t>10.457</w:t>
            </w:r>
          </w:p>
        </w:tc>
        <w:tc>
          <w:tcPr>
            <w:tcW w:w="567" w:type="dxa"/>
            <w:tcBorders>
              <w:top w:val="nil"/>
              <w:left w:val="nil"/>
              <w:bottom w:val="single" w:sz="8" w:space="0" w:color="auto"/>
              <w:right w:val="single" w:sz="8" w:space="0" w:color="auto"/>
            </w:tcBorders>
            <w:shd w:val="clear" w:color="auto" w:fill="auto"/>
            <w:vAlign w:val="center"/>
          </w:tcPr>
          <w:p w14:paraId="371E6396" w14:textId="77777777" w:rsidR="004B0524" w:rsidRPr="00F9037E" w:rsidRDefault="004B0524" w:rsidP="00C05C97">
            <w:pPr>
              <w:spacing w:before="120" w:after="120"/>
              <w:jc w:val="center"/>
              <w:rPr>
                <w:color w:val="auto"/>
                <w:sz w:val="12"/>
                <w:szCs w:val="12"/>
              </w:rPr>
            </w:pPr>
            <w:r w:rsidRPr="00F9037E">
              <w:rPr>
                <w:color w:val="auto"/>
                <w:sz w:val="12"/>
                <w:szCs w:val="12"/>
              </w:rPr>
              <w:t>6.757</w:t>
            </w:r>
          </w:p>
        </w:tc>
        <w:tc>
          <w:tcPr>
            <w:tcW w:w="567" w:type="dxa"/>
            <w:tcBorders>
              <w:top w:val="nil"/>
              <w:left w:val="nil"/>
              <w:bottom w:val="single" w:sz="8" w:space="0" w:color="auto"/>
              <w:right w:val="single" w:sz="8" w:space="0" w:color="auto"/>
            </w:tcBorders>
            <w:shd w:val="clear" w:color="auto" w:fill="auto"/>
            <w:vAlign w:val="center"/>
          </w:tcPr>
          <w:p w14:paraId="23DF47F6" w14:textId="77777777" w:rsidR="004B0524" w:rsidRPr="00F9037E" w:rsidRDefault="004B0524" w:rsidP="00C05C97">
            <w:pPr>
              <w:spacing w:before="120" w:after="120"/>
              <w:jc w:val="center"/>
              <w:rPr>
                <w:color w:val="auto"/>
                <w:sz w:val="12"/>
                <w:szCs w:val="12"/>
              </w:rPr>
            </w:pPr>
            <w:r w:rsidRPr="00F9037E">
              <w:rPr>
                <w:color w:val="auto"/>
                <w:sz w:val="12"/>
                <w:szCs w:val="12"/>
              </w:rPr>
              <w:t>6.067</w:t>
            </w:r>
          </w:p>
        </w:tc>
        <w:tc>
          <w:tcPr>
            <w:tcW w:w="567" w:type="dxa"/>
            <w:tcBorders>
              <w:top w:val="nil"/>
              <w:left w:val="nil"/>
              <w:bottom w:val="single" w:sz="8" w:space="0" w:color="auto"/>
              <w:right w:val="single" w:sz="8" w:space="0" w:color="auto"/>
            </w:tcBorders>
            <w:shd w:val="clear" w:color="auto" w:fill="auto"/>
            <w:vAlign w:val="center"/>
          </w:tcPr>
          <w:p w14:paraId="47D8735F" w14:textId="77777777" w:rsidR="004B0524" w:rsidRPr="00F9037E" w:rsidRDefault="004B0524" w:rsidP="00C05C97">
            <w:pPr>
              <w:spacing w:before="120" w:after="120"/>
              <w:jc w:val="center"/>
              <w:rPr>
                <w:color w:val="auto"/>
                <w:sz w:val="12"/>
                <w:szCs w:val="12"/>
              </w:rPr>
            </w:pPr>
            <w:r w:rsidRPr="00F9037E">
              <w:rPr>
                <w:color w:val="auto"/>
                <w:sz w:val="12"/>
                <w:szCs w:val="12"/>
              </w:rPr>
              <w:t>4.740</w:t>
            </w:r>
          </w:p>
        </w:tc>
        <w:tc>
          <w:tcPr>
            <w:tcW w:w="567" w:type="dxa"/>
            <w:tcBorders>
              <w:top w:val="nil"/>
              <w:left w:val="nil"/>
              <w:bottom w:val="single" w:sz="8" w:space="0" w:color="auto"/>
              <w:right w:val="single" w:sz="8" w:space="0" w:color="auto"/>
            </w:tcBorders>
            <w:shd w:val="clear" w:color="auto" w:fill="auto"/>
            <w:vAlign w:val="center"/>
          </w:tcPr>
          <w:p w14:paraId="55CED688" w14:textId="77777777" w:rsidR="004B0524" w:rsidRPr="00F9037E" w:rsidRDefault="004B0524" w:rsidP="00C05C97">
            <w:pPr>
              <w:spacing w:before="120" w:after="120"/>
              <w:jc w:val="center"/>
              <w:rPr>
                <w:color w:val="auto"/>
                <w:sz w:val="12"/>
                <w:szCs w:val="12"/>
              </w:rPr>
            </w:pPr>
            <w:r w:rsidRPr="00F9037E">
              <w:rPr>
                <w:color w:val="auto"/>
                <w:sz w:val="12"/>
                <w:szCs w:val="12"/>
              </w:rPr>
              <w:t>3.529</w:t>
            </w:r>
          </w:p>
        </w:tc>
        <w:tc>
          <w:tcPr>
            <w:tcW w:w="567" w:type="dxa"/>
            <w:tcBorders>
              <w:top w:val="nil"/>
              <w:left w:val="nil"/>
              <w:bottom w:val="single" w:sz="8" w:space="0" w:color="auto"/>
              <w:right w:val="single" w:sz="8" w:space="0" w:color="auto"/>
            </w:tcBorders>
            <w:shd w:val="clear" w:color="auto" w:fill="auto"/>
            <w:vAlign w:val="center"/>
          </w:tcPr>
          <w:p w14:paraId="7B090322" w14:textId="6CF31D9A"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23CA267D" w14:textId="45C38ACA"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D335C0F"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65F6C56"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5CC049F"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EDA1863" w14:textId="77777777" w:rsidR="004B0524" w:rsidRPr="00F9037E" w:rsidRDefault="004B0524" w:rsidP="00C05C97">
            <w:pPr>
              <w:spacing w:before="120" w:after="120"/>
              <w:jc w:val="center"/>
              <w:rPr>
                <w:color w:val="auto"/>
                <w:sz w:val="12"/>
                <w:szCs w:val="12"/>
              </w:rPr>
            </w:pPr>
          </w:p>
        </w:tc>
      </w:tr>
      <w:tr w:rsidR="004B0524" w:rsidRPr="00F9037E" w14:paraId="111BACB2" w14:textId="77777777" w:rsidTr="00C05C97">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31F8C03D" w14:textId="79B04C28" w:rsidR="004B0524" w:rsidRPr="00F9037E" w:rsidRDefault="004B0524" w:rsidP="00C05C97">
            <w:pPr>
              <w:spacing w:before="120" w:after="120"/>
              <w:rPr>
                <w:color w:val="auto"/>
                <w:sz w:val="12"/>
                <w:szCs w:val="12"/>
              </w:rPr>
            </w:pPr>
            <w:r w:rsidRPr="00F9037E">
              <w:rPr>
                <w:color w:val="auto"/>
                <w:sz w:val="12"/>
                <w:szCs w:val="12"/>
              </w:rPr>
              <w:t>Canada</w:t>
            </w:r>
          </w:p>
        </w:tc>
        <w:tc>
          <w:tcPr>
            <w:tcW w:w="818" w:type="dxa"/>
            <w:tcBorders>
              <w:top w:val="nil"/>
              <w:left w:val="nil"/>
              <w:bottom w:val="single" w:sz="8" w:space="0" w:color="auto"/>
              <w:right w:val="single" w:sz="8" w:space="0" w:color="auto"/>
            </w:tcBorders>
            <w:shd w:val="clear" w:color="auto" w:fill="auto"/>
            <w:vAlign w:val="center"/>
          </w:tcPr>
          <w:p w14:paraId="2EF3AAAB" w14:textId="77777777" w:rsidR="004B0524" w:rsidRPr="00F9037E" w:rsidRDefault="004B0524" w:rsidP="00C05C97">
            <w:pPr>
              <w:spacing w:before="120" w:after="120"/>
              <w:rPr>
                <w:color w:val="auto"/>
                <w:sz w:val="12"/>
                <w:szCs w:val="12"/>
              </w:rPr>
            </w:pPr>
            <w:r w:rsidRPr="00F9037E">
              <w:rPr>
                <w:color w:val="auto"/>
                <w:sz w:val="12"/>
                <w:szCs w:val="12"/>
              </w:rPr>
              <w:t>Commodities</w:t>
            </w:r>
          </w:p>
        </w:tc>
        <w:tc>
          <w:tcPr>
            <w:tcW w:w="567" w:type="dxa"/>
            <w:tcBorders>
              <w:top w:val="nil"/>
              <w:left w:val="nil"/>
              <w:bottom w:val="single" w:sz="8" w:space="0" w:color="auto"/>
              <w:right w:val="single" w:sz="8" w:space="0" w:color="auto"/>
            </w:tcBorders>
            <w:shd w:val="clear" w:color="auto" w:fill="auto"/>
            <w:vAlign w:val="center"/>
          </w:tcPr>
          <w:p w14:paraId="54E73909" w14:textId="7B66A67E"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5840315" w14:textId="2C0E3BAB"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4771D49" w14:textId="3913C765"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8AB5F80" w14:textId="46D530FA"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17B6D39" w14:textId="77777777" w:rsidR="004B0524" w:rsidRPr="00F9037E" w:rsidRDefault="004B0524" w:rsidP="00C05C97">
            <w:pPr>
              <w:spacing w:before="120" w:after="120"/>
              <w:jc w:val="center"/>
              <w:rPr>
                <w:color w:val="auto"/>
                <w:sz w:val="12"/>
                <w:szCs w:val="12"/>
              </w:rPr>
            </w:pPr>
            <w:r w:rsidRPr="00F9037E">
              <w:rPr>
                <w:color w:val="auto"/>
                <w:sz w:val="12"/>
                <w:szCs w:val="12"/>
              </w:rPr>
              <w:t>0.068</w:t>
            </w:r>
          </w:p>
        </w:tc>
        <w:tc>
          <w:tcPr>
            <w:tcW w:w="567" w:type="dxa"/>
            <w:tcBorders>
              <w:top w:val="nil"/>
              <w:left w:val="nil"/>
              <w:bottom w:val="single" w:sz="8" w:space="0" w:color="auto"/>
              <w:right w:val="single" w:sz="8" w:space="0" w:color="auto"/>
            </w:tcBorders>
            <w:shd w:val="clear" w:color="auto" w:fill="auto"/>
            <w:vAlign w:val="center"/>
          </w:tcPr>
          <w:p w14:paraId="7719CE43" w14:textId="7BC4C500"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40AE723" w14:textId="46C69D91"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1520667" w14:textId="4C979439"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2CC6B57" w14:textId="6E1E32A9"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573EE536"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2EC2515"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8574FA6"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289775E9" w14:textId="178A6313"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59346FB" w14:textId="3307961C"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E16F523" w14:textId="45169194"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1C6ED0C" w14:textId="0DDBB9B4"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780BB13" w14:textId="416FE730"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095C050" w14:textId="7D04EA22"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BFF92EF" w14:textId="4097286A"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36B49472" w14:textId="01F6535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8AFA70A"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5A80B5E"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AC8DBBB"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6A272D2" w14:textId="77777777" w:rsidR="004B0524" w:rsidRPr="00F9037E" w:rsidRDefault="004B0524" w:rsidP="00C05C97">
            <w:pPr>
              <w:spacing w:before="120" w:after="120"/>
              <w:jc w:val="center"/>
              <w:rPr>
                <w:color w:val="auto"/>
                <w:sz w:val="12"/>
                <w:szCs w:val="12"/>
              </w:rPr>
            </w:pPr>
          </w:p>
        </w:tc>
      </w:tr>
      <w:tr w:rsidR="004B0524" w:rsidRPr="00F9037E" w14:paraId="26FB9553" w14:textId="77777777" w:rsidTr="00C05C97">
        <w:trPr>
          <w:cantSplit/>
          <w:trHeight w:val="91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DBCEA4C" w14:textId="61E7C223" w:rsidR="004B0524" w:rsidRPr="00F9037E" w:rsidRDefault="004B0524" w:rsidP="00C05C97">
            <w:pPr>
              <w:spacing w:before="120" w:after="120"/>
              <w:rPr>
                <w:color w:val="auto"/>
                <w:sz w:val="12"/>
                <w:szCs w:val="12"/>
              </w:rPr>
            </w:pPr>
            <w:r w:rsidRPr="00F9037E">
              <w:rPr>
                <w:color w:val="auto"/>
                <w:sz w:val="12"/>
                <w:szCs w:val="12"/>
              </w:rPr>
              <w:t>France</w:t>
            </w:r>
          </w:p>
        </w:tc>
        <w:tc>
          <w:tcPr>
            <w:tcW w:w="818" w:type="dxa"/>
            <w:tcBorders>
              <w:top w:val="nil"/>
              <w:left w:val="nil"/>
              <w:bottom w:val="single" w:sz="8" w:space="0" w:color="auto"/>
              <w:right w:val="single" w:sz="8" w:space="0" w:color="auto"/>
            </w:tcBorders>
            <w:shd w:val="clear" w:color="auto" w:fill="auto"/>
            <w:vAlign w:val="center"/>
          </w:tcPr>
          <w:p w14:paraId="03756A50" w14:textId="77777777" w:rsidR="004B0524" w:rsidRPr="00F9037E" w:rsidRDefault="004B0524" w:rsidP="00C05C97">
            <w:pPr>
              <w:spacing w:before="120" w:after="120"/>
              <w:rPr>
                <w:color w:val="auto"/>
                <w:sz w:val="12"/>
                <w:szCs w:val="12"/>
              </w:rPr>
            </w:pPr>
            <w:r w:rsidRPr="00F9037E">
              <w:rPr>
                <w:color w:val="auto"/>
                <w:sz w:val="12"/>
                <w:szCs w:val="12"/>
              </w:rPr>
              <w:t>Seeds sold by PLAN-SPG company</w:t>
            </w:r>
          </w:p>
        </w:tc>
        <w:tc>
          <w:tcPr>
            <w:tcW w:w="567" w:type="dxa"/>
            <w:tcBorders>
              <w:top w:val="nil"/>
              <w:left w:val="nil"/>
              <w:bottom w:val="single" w:sz="8" w:space="0" w:color="auto"/>
              <w:right w:val="single" w:sz="8" w:space="0" w:color="auto"/>
            </w:tcBorders>
            <w:shd w:val="clear" w:color="auto" w:fill="auto"/>
            <w:vAlign w:val="center"/>
          </w:tcPr>
          <w:p w14:paraId="4A7C268D" w14:textId="77777777" w:rsidR="004B0524" w:rsidRPr="00F9037E" w:rsidRDefault="004B0524" w:rsidP="00C05C97">
            <w:pPr>
              <w:spacing w:before="120" w:after="120"/>
              <w:jc w:val="center"/>
              <w:rPr>
                <w:color w:val="auto"/>
                <w:sz w:val="12"/>
                <w:szCs w:val="12"/>
              </w:rPr>
            </w:pPr>
            <w:r w:rsidRPr="00F9037E">
              <w:rPr>
                <w:color w:val="auto"/>
                <w:sz w:val="12"/>
                <w:szCs w:val="12"/>
              </w:rPr>
              <w:t>0.135</w:t>
            </w:r>
          </w:p>
        </w:tc>
        <w:tc>
          <w:tcPr>
            <w:tcW w:w="567" w:type="dxa"/>
            <w:tcBorders>
              <w:top w:val="nil"/>
              <w:left w:val="nil"/>
              <w:bottom w:val="single" w:sz="8" w:space="0" w:color="auto"/>
              <w:right w:val="single" w:sz="8" w:space="0" w:color="auto"/>
            </w:tcBorders>
            <w:shd w:val="clear" w:color="auto" w:fill="auto"/>
            <w:vAlign w:val="center"/>
          </w:tcPr>
          <w:p w14:paraId="17DFBE80" w14:textId="77777777" w:rsidR="004B0524" w:rsidRPr="00F9037E" w:rsidRDefault="004B0524" w:rsidP="00C05C97">
            <w:pPr>
              <w:spacing w:before="120" w:after="120"/>
              <w:jc w:val="center"/>
              <w:rPr>
                <w:color w:val="auto"/>
                <w:sz w:val="12"/>
                <w:szCs w:val="12"/>
              </w:rPr>
            </w:pPr>
            <w:r w:rsidRPr="00F9037E">
              <w:rPr>
                <w:color w:val="auto"/>
                <w:sz w:val="12"/>
                <w:szCs w:val="12"/>
              </w:rPr>
              <w:t>0.135</w:t>
            </w:r>
          </w:p>
        </w:tc>
        <w:tc>
          <w:tcPr>
            <w:tcW w:w="567" w:type="dxa"/>
            <w:tcBorders>
              <w:top w:val="nil"/>
              <w:left w:val="nil"/>
              <w:bottom w:val="single" w:sz="8" w:space="0" w:color="auto"/>
              <w:right w:val="single" w:sz="8" w:space="0" w:color="auto"/>
            </w:tcBorders>
            <w:shd w:val="clear" w:color="auto" w:fill="auto"/>
            <w:vAlign w:val="center"/>
          </w:tcPr>
          <w:p w14:paraId="7D9BEEB7" w14:textId="77777777" w:rsidR="004B0524" w:rsidRPr="00F9037E" w:rsidRDefault="004B0524" w:rsidP="00C05C97">
            <w:pPr>
              <w:spacing w:before="120" w:after="120"/>
              <w:jc w:val="center"/>
              <w:rPr>
                <w:color w:val="auto"/>
                <w:sz w:val="12"/>
                <w:szCs w:val="12"/>
              </w:rPr>
            </w:pPr>
            <w:r w:rsidRPr="00F9037E">
              <w:rPr>
                <w:color w:val="auto"/>
                <w:sz w:val="12"/>
                <w:szCs w:val="12"/>
              </w:rPr>
              <w:t>0.100</w:t>
            </w:r>
          </w:p>
        </w:tc>
        <w:tc>
          <w:tcPr>
            <w:tcW w:w="567" w:type="dxa"/>
            <w:tcBorders>
              <w:top w:val="nil"/>
              <w:left w:val="nil"/>
              <w:bottom w:val="single" w:sz="8" w:space="0" w:color="auto"/>
              <w:right w:val="single" w:sz="8" w:space="0" w:color="auto"/>
            </w:tcBorders>
            <w:shd w:val="clear" w:color="auto" w:fill="auto"/>
            <w:vAlign w:val="center"/>
          </w:tcPr>
          <w:p w14:paraId="6221E7DA" w14:textId="130FA5E4"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9C87C53" w14:textId="5A5BD8E5"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B5645BC" w14:textId="109CA475"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7BDFF03" w14:textId="645DD91E"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EECD508" w14:textId="7F5F5213"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EB55D90" w14:textId="06DC9E9D"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2ED325FF"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5656274"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D7EEC88"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194508EE" w14:textId="77777777" w:rsidR="004B0524" w:rsidRPr="00F9037E" w:rsidRDefault="004B0524" w:rsidP="00C05C97">
            <w:pPr>
              <w:spacing w:before="120" w:after="120"/>
              <w:jc w:val="center"/>
              <w:rPr>
                <w:color w:val="auto"/>
                <w:sz w:val="12"/>
                <w:szCs w:val="12"/>
              </w:rPr>
            </w:pPr>
            <w:r w:rsidRPr="00F9037E">
              <w:rPr>
                <w:color w:val="auto"/>
                <w:sz w:val="12"/>
                <w:szCs w:val="12"/>
              </w:rPr>
              <w:t>0.135</w:t>
            </w:r>
          </w:p>
        </w:tc>
        <w:tc>
          <w:tcPr>
            <w:tcW w:w="567" w:type="dxa"/>
            <w:tcBorders>
              <w:top w:val="nil"/>
              <w:left w:val="nil"/>
              <w:bottom w:val="single" w:sz="8" w:space="0" w:color="auto"/>
              <w:right w:val="single" w:sz="8" w:space="0" w:color="auto"/>
            </w:tcBorders>
            <w:shd w:val="clear" w:color="auto" w:fill="auto"/>
            <w:vAlign w:val="center"/>
          </w:tcPr>
          <w:p w14:paraId="08745F0B" w14:textId="77777777" w:rsidR="004B0524" w:rsidRPr="00F9037E" w:rsidRDefault="004B0524" w:rsidP="00C05C97">
            <w:pPr>
              <w:spacing w:before="120" w:after="120"/>
              <w:jc w:val="center"/>
              <w:rPr>
                <w:color w:val="auto"/>
                <w:sz w:val="12"/>
                <w:szCs w:val="12"/>
              </w:rPr>
            </w:pPr>
            <w:r w:rsidRPr="00F9037E">
              <w:rPr>
                <w:color w:val="auto"/>
                <w:sz w:val="12"/>
                <w:szCs w:val="12"/>
              </w:rPr>
              <w:t>0.135</w:t>
            </w:r>
          </w:p>
        </w:tc>
        <w:tc>
          <w:tcPr>
            <w:tcW w:w="567" w:type="dxa"/>
            <w:tcBorders>
              <w:top w:val="nil"/>
              <w:left w:val="nil"/>
              <w:bottom w:val="single" w:sz="8" w:space="0" w:color="auto"/>
              <w:right w:val="single" w:sz="8" w:space="0" w:color="auto"/>
            </w:tcBorders>
            <w:shd w:val="clear" w:color="auto" w:fill="auto"/>
            <w:vAlign w:val="center"/>
          </w:tcPr>
          <w:p w14:paraId="736ECE88" w14:textId="77777777" w:rsidR="004B0524" w:rsidRPr="00F9037E" w:rsidRDefault="004B0524" w:rsidP="00C05C97">
            <w:pPr>
              <w:spacing w:before="120" w:after="120"/>
              <w:jc w:val="center"/>
              <w:rPr>
                <w:color w:val="auto"/>
                <w:sz w:val="12"/>
                <w:szCs w:val="12"/>
              </w:rPr>
            </w:pPr>
            <w:r w:rsidRPr="00F9037E">
              <w:rPr>
                <w:color w:val="auto"/>
                <w:sz w:val="12"/>
                <w:szCs w:val="12"/>
              </w:rPr>
              <w:t>0.096</w:t>
            </w:r>
          </w:p>
        </w:tc>
        <w:tc>
          <w:tcPr>
            <w:tcW w:w="567" w:type="dxa"/>
            <w:tcBorders>
              <w:top w:val="nil"/>
              <w:left w:val="nil"/>
              <w:bottom w:val="single" w:sz="8" w:space="0" w:color="auto"/>
              <w:right w:val="single" w:sz="8" w:space="0" w:color="auto"/>
            </w:tcBorders>
            <w:shd w:val="clear" w:color="auto" w:fill="auto"/>
            <w:vAlign w:val="center"/>
          </w:tcPr>
          <w:p w14:paraId="7CF637AE" w14:textId="58BD9C50"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CC30D38" w14:textId="7D229A80"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1DECC53" w14:textId="338E20DA"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B5161B8" w14:textId="6E8F2AE0"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0C1EBA52" w14:textId="056CD1DC"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1DE938A"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2CECE01"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2C1D108"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07D037D" w14:textId="77777777" w:rsidR="004B0524" w:rsidRPr="00F9037E" w:rsidRDefault="004B0524" w:rsidP="00C05C97">
            <w:pPr>
              <w:spacing w:before="120" w:after="120"/>
              <w:jc w:val="center"/>
              <w:rPr>
                <w:color w:val="auto"/>
                <w:sz w:val="12"/>
                <w:szCs w:val="12"/>
              </w:rPr>
            </w:pPr>
          </w:p>
        </w:tc>
      </w:tr>
      <w:tr w:rsidR="004B0524" w:rsidRPr="00F9037E" w14:paraId="28D978B2" w14:textId="77777777" w:rsidTr="00C05C97">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1C9C4C7F" w14:textId="3ABB896A" w:rsidR="004B0524" w:rsidRPr="00F9037E" w:rsidRDefault="004B0524" w:rsidP="00C05C97">
            <w:pPr>
              <w:spacing w:before="120" w:after="120"/>
              <w:rPr>
                <w:color w:val="auto"/>
                <w:sz w:val="12"/>
                <w:szCs w:val="12"/>
              </w:rPr>
            </w:pPr>
            <w:r w:rsidRPr="00F9037E">
              <w:rPr>
                <w:color w:val="auto"/>
                <w:sz w:val="12"/>
                <w:szCs w:val="12"/>
              </w:rPr>
              <w:t>France</w:t>
            </w:r>
          </w:p>
        </w:tc>
        <w:tc>
          <w:tcPr>
            <w:tcW w:w="818" w:type="dxa"/>
            <w:tcBorders>
              <w:top w:val="nil"/>
              <w:left w:val="nil"/>
              <w:bottom w:val="single" w:sz="8" w:space="0" w:color="auto"/>
              <w:right w:val="single" w:sz="8" w:space="0" w:color="auto"/>
            </w:tcBorders>
            <w:shd w:val="clear" w:color="auto" w:fill="auto"/>
            <w:vAlign w:val="center"/>
          </w:tcPr>
          <w:p w14:paraId="332F7895" w14:textId="77777777" w:rsidR="004B0524" w:rsidRPr="00F9037E" w:rsidRDefault="004B0524" w:rsidP="00C05C97">
            <w:pPr>
              <w:spacing w:before="120" w:after="120"/>
              <w:rPr>
                <w:color w:val="auto"/>
                <w:sz w:val="12"/>
                <w:szCs w:val="12"/>
              </w:rPr>
            </w:pPr>
            <w:r w:rsidRPr="00F9037E">
              <w:rPr>
                <w:color w:val="auto"/>
                <w:sz w:val="12"/>
                <w:szCs w:val="12"/>
              </w:rPr>
              <w:t>Mills</w:t>
            </w:r>
          </w:p>
        </w:tc>
        <w:tc>
          <w:tcPr>
            <w:tcW w:w="567" w:type="dxa"/>
            <w:tcBorders>
              <w:top w:val="nil"/>
              <w:left w:val="nil"/>
              <w:bottom w:val="single" w:sz="8" w:space="0" w:color="auto"/>
              <w:right w:val="single" w:sz="8" w:space="0" w:color="auto"/>
            </w:tcBorders>
            <w:shd w:val="clear" w:color="auto" w:fill="auto"/>
            <w:vAlign w:val="center"/>
          </w:tcPr>
          <w:p w14:paraId="3F31BACE" w14:textId="77777777" w:rsidR="004B0524" w:rsidRPr="00F9037E" w:rsidRDefault="004B0524" w:rsidP="00C05C97">
            <w:pPr>
              <w:spacing w:before="120" w:after="120"/>
              <w:jc w:val="center"/>
              <w:rPr>
                <w:color w:val="auto"/>
                <w:sz w:val="12"/>
                <w:szCs w:val="12"/>
              </w:rPr>
            </w:pPr>
            <w:r w:rsidRPr="00F9037E">
              <w:rPr>
                <w:color w:val="auto"/>
                <w:sz w:val="12"/>
                <w:szCs w:val="12"/>
              </w:rPr>
              <w:t>55.000</w:t>
            </w:r>
          </w:p>
        </w:tc>
        <w:tc>
          <w:tcPr>
            <w:tcW w:w="567" w:type="dxa"/>
            <w:tcBorders>
              <w:top w:val="nil"/>
              <w:left w:val="nil"/>
              <w:bottom w:val="single" w:sz="8" w:space="0" w:color="auto"/>
              <w:right w:val="single" w:sz="8" w:space="0" w:color="auto"/>
            </w:tcBorders>
            <w:shd w:val="clear" w:color="auto" w:fill="auto"/>
            <w:vAlign w:val="center"/>
          </w:tcPr>
          <w:p w14:paraId="71D84008" w14:textId="77777777" w:rsidR="004B0524" w:rsidRPr="00F9037E" w:rsidRDefault="004B0524" w:rsidP="00C05C97">
            <w:pPr>
              <w:spacing w:before="120" w:after="120"/>
              <w:jc w:val="center"/>
              <w:rPr>
                <w:color w:val="auto"/>
                <w:sz w:val="12"/>
                <w:szCs w:val="12"/>
              </w:rPr>
            </w:pPr>
            <w:r w:rsidRPr="00F9037E">
              <w:rPr>
                <w:color w:val="auto"/>
                <w:sz w:val="12"/>
                <w:szCs w:val="12"/>
              </w:rPr>
              <w:t>40.000</w:t>
            </w:r>
          </w:p>
        </w:tc>
        <w:tc>
          <w:tcPr>
            <w:tcW w:w="567" w:type="dxa"/>
            <w:tcBorders>
              <w:top w:val="nil"/>
              <w:left w:val="nil"/>
              <w:bottom w:val="single" w:sz="8" w:space="0" w:color="auto"/>
              <w:right w:val="single" w:sz="8" w:space="0" w:color="auto"/>
            </w:tcBorders>
            <w:shd w:val="clear" w:color="auto" w:fill="auto"/>
            <w:vAlign w:val="center"/>
          </w:tcPr>
          <w:p w14:paraId="101D72E3" w14:textId="77777777" w:rsidR="004B0524" w:rsidRPr="00F9037E" w:rsidRDefault="004B0524" w:rsidP="00C05C97">
            <w:pPr>
              <w:spacing w:before="120" w:after="120"/>
              <w:jc w:val="center"/>
              <w:rPr>
                <w:color w:val="auto"/>
                <w:sz w:val="12"/>
                <w:szCs w:val="12"/>
              </w:rPr>
            </w:pPr>
            <w:r w:rsidRPr="00F9037E">
              <w:rPr>
                <w:color w:val="auto"/>
                <w:sz w:val="12"/>
                <w:szCs w:val="12"/>
              </w:rPr>
              <w:t>8.000</w:t>
            </w:r>
          </w:p>
        </w:tc>
        <w:tc>
          <w:tcPr>
            <w:tcW w:w="567" w:type="dxa"/>
            <w:tcBorders>
              <w:top w:val="nil"/>
              <w:left w:val="nil"/>
              <w:bottom w:val="single" w:sz="8" w:space="0" w:color="auto"/>
              <w:right w:val="single" w:sz="8" w:space="0" w:color="auto"/>
            </w:tcBorders>
            <w:shd w:val="clear" w:color="auto" w:fill="auto"/>
            <w:vAlign w:val="center"/>
          </w:tcPr>
          <w:p w14:paraId="54CD2B3B" w14:textId="47936C9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E005C2F" w14:textId="7DB9C8D3"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EDD6A8A" w14:textId="5B5A3D0A"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F4D0674" w14:textId="2FE4822C"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8FD4D34" w14:textId="6C62AE25"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887C584" w14:textId="20BFAB51"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6BB13BEE"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95517A5"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078C3EC"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4010A4D" w14:textId="77777777" w:rsidR="004B0524" w:rsidRPr="00F9037E" w:rsidRDefault="004B0524" w:rsidP="00C05C97">
            <w:pPr>
              <w:spacing w:before="120" w:after="120"/>
              <w:jc w:val="center"/>
              <w:rPr>
                <w:color w:val="auto"/>
                <w:sz w:val="12"/>
                <w:szCs w:val="12"/>
              </w:rPr>
            </w:pPr>
            <w:r w:rsidRPr="00F9037E">
              <w:rPr>
                <w:color w:val="auto"/>
                <w:sz w:val="12"/>
                <w:szCs w:val="12"/>
              </w:rPr>
              <w:t>40.000</w:t>
            </w:r>
          </w:p>
        </w:tc>
        <w:tc>
          <w:tcPr>
            <w:tcW w:w="567" w:type="dxa"/>
            <w:tcBorders>
              <w:top w:val="nil"/>
              <w:left w:val="nil"/>
              <w:bottom w:val="single" w:sz="8" w:space="0" w:color="auto"/>
              <w:right w:val="single" w:sz="8" w:space="0" w:color="auto"/>
            </w:tcBorders>
            <w:shd w:val="clear" w:color="auto" w:fill="auto"/>
            <w:vAlign w:val="center"/>
          </w:tcPr>
          <w:p w14:paraId="46F51672" w14:textId="77777777" w:rsidR="004B0524" w:rsidRPr="00F9037E" w:rsidRDefault="004B0524" w:rsidP="00C05C97">
            <w:pPr>
              <w:spacing w:before="120" w:after="120"/>
              <w:jc w:val="center"/>
              <w:rPr>
                <w:color w:val="auto"/>
                <w:sz w:val="12"/>
                <w:szCs w:val="12"/>
              </w:rPr>
            </w:pPr>
            <w:r w:rsidRPr="00F9037E">
              <w:rPr>
                <w:color w:val="auto"/>
                <w:sz w:val="12"/>
                <w:szCs w:val="12"/>
              </w:rPr>
              <w:t>35.000</w:t>
            </w:r>
          </w:p>
        </w:tc>
        <w:tc>
          <w:tcPr>
            <w:tcW w:w="567" w:type="dxa"/>
            <w:tcBorders>
              <w:top w:val="nil"/>
              <w:left w:val="nil"/>
              <w:bottom w:val="single" w:sz="8" w:space="0" w:color="auto"/>
              <w:right w:val="single" w:sz="8" w:space="0" w:color="auto"/>
            </w:tcBorders>
            <w:shd w:val="clear" w:color="auto" w:fill="auto"/>
            <w:vAlign w:val="center"/>
          </w:tcPr>
          <w:p w14:paraId="436AF186" w14:textId="77777777" w:rsidR="004B0524" w:rsidRPr="00F9037E" w:rsidRDefault="004B0524" w:rsidP="00C05C97">
            <w:pPr>
              <w:spacing w:before="120" w:after="120"/>
              <w:jc w:val="center"/>
              <w:rPr>
                <w:color w:val="auto"/>
                <w:sz w:val="12"/>
                <w:szCs w:val="12"/>
              </w:rPr>
            </w:pPr>
            <w:r w:rsidRPr="00F9037E">
              <w:rPr>
                <w:color w:val="auto"/>
                <w:sz w:val="12"/>
                <w:szCs w:val="12"/>
              </w:rPr>
              <w:t>8.000</w:t>
            </w:r>
          </w:p>
        </w:tc>
        <w:tc>
          <w:tcPr>
            <w:tcW w:w="567" w:type="dxa"/>
            <w:tcBorders>
              <w:top w:val="nil"/>
              <w:left w:val="nil"/>
              <w:bottom w:val="single" w:sz="8" w:space="0" w:color="auto"/>
              <w:right w:val="single" w:sz="8" w:space="0" w:color="auto"/>
            </w:tcBorders>
            <w:shd w:val="clear" w:color="auto" w:fill="auto"/>
            <w:vAlign w:val="center"/>
          </w:tcPr>
          <w:p w14:paraId="78C080E9" w14:textId="741C0F39"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C1E65AE" w14:textId="738104E0"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52F8195" w14:textId="37A4F94A"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A8ADB8B" w14:textId="4EFC65B9"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0C150FA2" w14:textId="43D73BE1"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F056CCE"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E2BE218"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48D8297"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3D7CCD3" w14:textId="77777777" w:rsidR="004B0524" w:rsidRPr="00F9037E" w:rsidRDefault="004B0524" w:rsidP="00C05C97">
            <w:pPr>
              <w:spacing w:before="120" w:after="120"/>
              <w:jc w:val="center"/>
              <w:rPr>
                <w:color w:val="auto"/>
                <w:sz w:val="12"/>
                <w:szCs w:val="12"/>
              </w:rPr>
            </w:pPr>
          </w:p>
        </w:tc>
      </w:tr>
      <w:tr w:rsidR="004B0524" w:rsidRPr="00F9037E" w14:paraId="11563D30" w14:textId="77777777" w:rsidTr="00C05C97">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39F8076D" w14:textId="33210021" w:rsidR="004B0524" w:rsidRPr="00F9037E" w:rsidRDefault="004B0524" w:rsidP="00C05C97">
            <w:pPr>
              <w:spacing w:before="120" w:after="120"/>
              <w:rPr>
                <w:color w:val="auto"/>
                <w:sz w:val="12"/>
                <w:szCs w:val="12"/>
              </w:rPr>
            </w:pPr>
            <w:r w:rsidRPr="00F9037E">
              <w:rPr>
                <w:color w:val="auto"/>
                <w:sz w:val="12"/>
                <w:szCs w:val="12"/>
              </w:rPr>
              <w:t>France</w:t>
            </w:r>
          </w:p>
        </w:tc>
        <w:tc>
          <w:tcPr>
            <w:tcW w:w="818" w:type="dxa"/>
            <w:tcBorders>
              <w:top w:val="nil"/>
              <w:left w:val="nil"/>
              <w:bottom w:val="single" w:sz="8" w:space="0" w:color="auto"/>
              <w:right w:val="single" w:sz="8" w:space="0" w:color="auto"/>
            </w:tcBorders>
            <w:shd w:val="clear" w:color="auto" w:fill="auto"/>
            <w:vAlign w:val="center"/>
          </w:tcPr>
          <w:p w14:paraId="7B41B45D" w14:textId="77777777" w:rsidR="004B0524" w:rsidRPr="00F9037E" w:rsidRDefault="004B0524" w:rsidP="00C05C97">
            <w:pPr>
              <w:spacing w:before="120" w:after="120"/>
              <w:rPr>
                <w:color w:val="auto"/>
                <w:sz w:val="12"/>
                <w:szCs w:val="12"/>
              </w:rPr>
            </w:pPr>
            <w:r w:rsidRPr="00F9037E">
              <w:rPr>
                <w:color w:val="auto"/>
                <w:sz w:val="12"/>
                <w:szCs w:val="12"/>
              </w:rPr>
              <w:t>Rice consumer packs</w:t>
            </w:r>
          </w:p>
        </w:tc>
        <w:tc>
          <w:tcPr>
            <w:tcW w:w="567" w:type="dxa"/>
            <w:tcBorders>
              <w:top w:val="nil"/>
              <w:left w:val="nil"/>
              <w:bottom w:val="single" w:sz="8" w:space="0" w:color="auto"/>
              <w:right w:val="single" w:sz="8" w:space="0" w:color="auto"/>
            </w:tcBorders>
            <w:shd w:val="clear" w:color="auto" w:fill="auto"/>
            <w:vAlign w:val="center"/>
          </w:tcPr>
          <w:p w14:paraId="22B156D6" w14:textId="77777777" w:rsidR="004B0524" w:rsidRPr="00F9037E" w:rsidRDefault="004B0524" w:rsidP="00C05C97">
            <w:pPr>
              <w:spacing w:before="120" w:after="120"/>
              <w:jc w:val="center"/>
              <w:rPr>
                <w:color w:val="auto"/>
                <w:sz w:val="12"/>
                <w:szCs w:val="12"/>
              </w:rPr>
            </w:pPr>
            <w:r w:rsidRPr="00F9037E">
              <w:rPr>
                <w:color w:val="auto"/>
                <w:sz w:val="12"/>
                <w:szCs w:val="12"/>
              </w:rPr>
              <w:t>2.000</w:t>
            </w:r>
          </w:p>
        </w:tc>
        <w:tc>
          <w:tcPr>
            <w:tcW w:w="567" w:type="dxa"/>
            <w:tcBorders>
              <w:top w:val="nil"/>
              <w:left w:val="nil"/>
              <w:bottom w:val="single" w:sz="8" w:space="0" w:color="auto"/>
              <w:right w:val="single" w:sz="8" w:space="0" w:color="auto"/>
            </w:tcBorders>
            <w:shd w:val="clear" w:color="auto" w:fill="auto"/>
            <w:vAlign w:val="center"/>
          </w:tcPr>
          <w:p w14:paraId="085D1DBF" w14:textId="77777777" w:rsidR="004B0524" w:rsidRPr="00F9037E" w:rsidRDefault="004B0524" w:rsidP="00C05C97">
            <w:pPr>
              <w:spacing w:before="120" w:after="120"/>
              <w:jc w:val="center"/>
              <w:rPr>
                <w:color w:val="auto"/>
                <w:sz w:val="12"/>
                <w:szCs w:val="12"/>
              </w:rPr>
            </w:pPr>
            <w:r w:rsidRPr="00F9037E">
              <w:rPr>
                <w:color w:val="auto"/>
                <w:sz w:val="12"/>
                <w:szCs w:val="12"/>
              </w:rPr>
              <w:t>2.000</w:t>
            </w:r>
          </w:p>
        </w:tc>
        <w:tc>
          <w:tcPr>
            <w:tcW w:w="567" w:type="dxa"/>
            <w:tcBorders>
              <w:top w:val="nil"/>
              <w:left w:val="nil"/>
              <w:bottom w:val="single" w:sz="8" w:space="0" w:color="auto"/>
              <w:right w:val="single" w:sz="8" w:space="0" w:color="auto"/>
            </w:tcBorders>
            <w:shd w:val="clear" w:color="auto" w:fill="auto"/>
            <w:vAlign w:val="center"/>
          </w:tcPr>
          <w:p w14:paraId="774ADF3B" w14:textId="140EC03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E62D924" w14:textId="14F0C9BC"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130F38D" w14:textId="7477FD45"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DFC27E9" w14:textId="3A3C4750"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D93FE9E" w14:textId="35889CA8"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19BEB10" w14:textId="54EEB5A4"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5957B5D" w14:textId="64BB41E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72AA5B40"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C7B967F"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C493D81"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20C986FC" w14:textId="77777777" w:rsidR="004B0524" w:rsidRPr="00F9037E" w:rsidRDefault="004B0524" w:rsidP="00C05C97">
            <w:pPr>
              <w:spacing w:before="120" w:after="120"/>
              <w:jc w:val="center"/>
              <w:rPr>
                <w:color w:val="auto"/>
                <w:sz w:val="12"/>
                <w:szCs w:val="12"/>
              </w:rPr>
            </w:pPr>
            <w:r w:rsidRPr="00F9037E">
              <w:rPr>
                <w:color w:val="auto"/>
                <w:sz w:val="12"/>
                <w:szCs w:val="12"/>
              </w:rPr>
              <w:t>2.000</w:t>
            </w:r>
          </w:p>
        </w:tc>
        <w:tc>
          <w:tcPr>
            <w:tcW w:w="567" w:type="dxa"/>
            <w:tcBorders>
              <w:top w:val="nil"/>
              <w:left w:val="nil"/>
              <w:bottom w:val="single" w:sz="8" w:space="0" w:color="auto"/>
              <w:right w:val="single" w:sz="8" w:space="0" w:color="auto"/>
            </w:tcBorders>
            <w:shd w:val="clear" w:color="auto" w:fill="auto"/>
            <w:vAlign w:val="center"/>
          </w:tcPr>
          <w:p w14:paraId="6E4C349B" w14:textId="77777777" w:rsidR="004B0524" w:rsidRPr="00F9037E" w:rsidRDefault="004B0524" w:rsidP="00C05C97">
            <w:pPr>
              <w:spacing w:before="120" w:after="120"/>
              <w:jc w:val="center"/>
              <w:rPr>
                <w:color w:val="auto"/>
                <w:sz w:val="12"/>
                <w:szCs w:val="12"/>
              </w:rPr>
            </w:pPr>
            <w:r w:rsidRPr="00F9037E">
              <w:rPr>
                <w:color w:val="auto"/>
                <w:sz w:val="12"/>
                <w:szCs w:val="12"/>
              </w:rPr>
              <w:t>2.000</w:t>
            </w:r>
          </w:p>
        </w:tc>
        <w:tc>
          <w:tcPr>
            <w:tcW w:w="567" w:type="dxa"/>
            <w:tcBorders>
              <w:top w:val="nil"/>
              <w:left w:val="nil"/>
              <w:bottom w:val="single" w:sz="8" w:space="0" w:color="auto"/>
              <w:right w:val="single" w:sz="8" w:space="0" w:color="auto"/>
            </w:tcBorders>
            <w:shd w:val="clear" w:color="auto" w:fill="auto"/>
            <w:vAlign w:val="center"/>
          </w:tcPr>
          <w:p w14:paraId="7C8B0DF3" w14:textId="7EDBEEEA"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DA315FD" w14:textId="56698975"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48F8EB5" w14:textId="29CB307C"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262A313" w14:textId="730FDCDC"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D16EA57" w14:textId="4298DFA1"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5328EEA9" w14:textId="7DC7F921"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458A82D"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838BDEF"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3DB4FC4"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F8FF928" w14:textId="77777777" w:rsidR="004B0524" w:rsidRPr="00F9037E" w:rsidRDefault="004B0524" w:rsidP="00C05C97">
            <w:pPr>
              <w:spacing w:before="120" w:after="120"/>
              <w:jc w:val="center"/>
              <w:rPr>
                <w:color w:val="auto"/>
                <w:sz w:val="12"/>
                <w:szCs w:val="12"/>
              </w:rPr>
            </w:pPr>
          </w:p>
        </w:tc>
      </w:tr>
      <w:tr w:rsidR="004B0524" w:rsidRPr="00F9037E" w14:paraId="27E017AA" w14:textId="77777777" w:rsidTr="00C05C97">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3476231E" w14:textId="7BAD586D" w:rsidR="004B0524" w:rsidRPr="00F9037E" w:rsidRDefault="004B0524" w:rsidP="00C05C97">
            <w:pPr>
              <w:spacing w:before="120" w:after="120"/>
              <w:rPr>
                <w:color w:val="auto"/>
                <w:sz w:val="12"/>
                <w:szCs w:val="12"/>
              </w:rPr>
            </w:pPr>
            <w:r w:rsidRPr="00F9037E">
              <w:rPr>
                <w:color w:val="auto"/>
                <w:sz w:val="12"/>
                <w:szCs w:val="12"/>
              </w:rPr>
              <w:t>France</w:t>
            </w:r>
          </w:p>
        </w:tc>
        <w:tc>
          <w:tcPr>
            <w:tcW w:w="818" w:type="dxa"/>
            <w:tcBorders>
              <w:top w:val="nil"/>
              <w:left w:val="nil"/>
              <w:bottom w:val="single" w:sz="8" w:space="0" w:color="auto"/>
              <w:right w:val="single" w:sz="8" w:space="0" w:color="auto"/>
            </w:tcBorders>
            <w:shd w:val="clear" w:color="auto" w:fill="auto"/>
            <w:vAlign w:val="center"/>
          </w:tcPr>
          <w:p w14:paraId="332E1715" w14:textId="77777777" w:rsidR="004B0524" w:rsidRPr="00F9037E" w:rsidRDefault="004B0524" w:rsidP="00C05C97">
            <w:pPr>
              <w:spacing w:before="120" w:after="120"/>
              <w:rPr>
                <w:color w:val="auto"/>
                <w:sz w:val="12"/>
                <w:szCs w:val="12"/>
              </w:rPr>
            </w:pPr>
            <w:r w:rsidRPr="00F9037E">
              <w:rPr>
                <w:color w:val="auto"/>
                <w:sz w:val="12"/>
                <w:szCs w:val="12"/>
              </w:rPr>
              <w:t>Chestnuts</w:t>
            </w:r>
          </w:p>
        </w:tc>
        <w:tc>
          <w:tcPr>
            <w:tcW w:w="567" w:type="dxa"/>
            <w:tcBorders>
              <w:top w:val="nil"/>
              <w:left w:val="nil"/>
              <w:bottom w:val="single" w:sz="8" w:space="0" w:color="auto"/>
              <w:right w:val="single" w:sz="8" w:space="0" w:color="auto"/>
            </w:tcBorders>
            <w:shd w:val="clear" w:color="auto" w:fill="auto"/>
            <w:vAlign w:val="center"/>
          </w:tcPr>
          <w:p w14:paraId="0A384AA9" w14:textId="77777777" w:rsidR="004B0524" w:rsidRPr="00F9037E" w:rsidRDefault="004B0524" w:rsidP="00C05C97">
            <w:pPr>
              <w:spacing w:before="120" w:after="120"/>
              <w:jc w:val="center"/>
              <w:rPr>
                <w:color w:val="auto"/>
                <w:sz w:val="12"/>
                <w:szCs w:val="12"/>
              </w:rPr>
            </w:pPr>
            <w:r w:rsidRPr="00F9037E">
              <w:rPr>
                <w:color w:val="auto"/>
                <w:sz w:val="12"/>
                <w:szCs w:val="12"/>
              </w:rPr>
              <w:t>2.000</w:t>
            </w:r>
          </w:p>
        </w:tc>
        <w:tc>
          <w:tcPr>
            <w:tcW w:w="567" w:type="dxa"/>
            <w:tcBorders>
              <w:top w:val="nil"/>
              <w:left w:val="nil"/>
              <w:bottom w:val="single" w:sz="8" w:space="0" w:color="auto"/>
              <w:right w:val="single" w:sz="8" w:space="0" w:color="auto"/>
            </w:tcBorders>
            <w:shd w:val="clear" w:color="auto" w:fill="auto"/>
            <w:vAlign w:val="center"/>
          </w:tcPr>
          <w:p w14:paraId="2C94FA8E" w14:textId="77777777" w:rsidR="004B0524" w:rsidRPr="00F9037E" w:rsidRDefault="004B0524" w:rsidP="00C05C97">
            <w:pPr>
              <w:spacing w:before="120" w:after="120"/>
              <w:jc w:val="center"/>
              <w:rPr>
                <w:color w:val="auto"/>
                <w:sz w:val="12"/>
                <w:szCs w:val="12"/>
              </w:rPr>
            </w:pPr>
            <w:r w:rsidRPr="00F9037E">
              <w:rPr>
                <w:color w:val="auto"/>
                <w:sz w:val="12"/>
                <w:szCs w:val="12"/>
              </w:rPr>
              <w:t>2.000</w:t>
            </w:r>
          </w:p>
        </w:tc>
        <w:tc>
          <w:tcPr>
            <w:tcW w:w="567" w:type="dxa"/>
            <w:tcBorders>
              <w:top w:val="nil"/>
              <w:left w:val="nil"/>
              <w:bottom w:val="single" w:sz="8" w:space="0" w:color="auto"/>
              <w:right w:val="single" w:sz="8" w:space="0" w:color="auto"/>
            </w:tcBorders>
            <w:shd w:val="clear" w:color="auto" w:fill="auto"/>
            <w:vAlign w:val="center"/>
          </w:tcPr>
          <w:p w14:paraId="6A5CE629" w14:textId="77777777" w:rsidR="004B0524" w:rsidRPr="00F9037E" w:rsidRDefault="004B0524" w:rsidP="00C05C97">
            <w:pPr>
              <w:spacing w:before="120" w:after="120"/>
              <w:jc w:val="center"/>
              <w:rPr>
                <w:color w:val="auto"/>
                <w:sz w:val="12"/>
                <w:szCs w:val="12"/>
              </w:rPr>
            </w:pPr>
            <w:r w:rsidRPr="00F9037E">
              <w:rPr>
                <w:color w:val="auto"/>
                <w:sz w:val="12"/>
                <w:szCs w:val="12"/>
              </w:rPr>
              <w:t>1.800</w:t>
            </w:r>
          </w:p>
        </w:tc>
        <w:tc>
          <w:tcPr>
            <w:tcW w:w="567" w:type="dxa"/>
            <w:tcBorders>
              <w:top w:val="nil"/>
              <w:left w:val="nil"/>
              <w:bottom w:val="single" w:sz="8" w:space="0" w:color="auto"/>
              <w:right w:val="single" w:sz="8" w:space="0" w:color="auto"/>
            </w:tcBorders>
            <w:shd w:val="clear" w:color="auto" w:fill="auto"/>
            <w:vAlign w:val="center"/>
          </w:tcPr>
          <w:p w14:paraId="08F6A52A" w14:textId="44264DF3"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92AEFCE" w14:textId="0C8942F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F3EB0D6" w14:textId="08DAAF7D"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312FD73" w14:textId="488AF2E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A91FA6C" w14:textId="15954D01"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D40CC50" w14:textId="1BB7E4F9"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79EAF30C"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57B1955"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E87A307"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4861284" w14:textId="77777777" w:rsidR="004B0524" w:rsidRPr="00F9037E" w:rsidRDefault="004B0524" w:rsidP="00C05C97">
            <w:pPr>
              <w:spacing w:before="120" w:after="120"/>
              <w:jc w:val="center"/>
              <w:rPr>
                <w:color w:val="auto"/>
                <w:sz w:val="12"/>
                <w:szCs w:val="12"/>
              </w:rPr>
            </w:pPr>
            <w:r w:rsidRPr="00F9037E">
              <w:rPr>
                <w:color w:val="auto"/>
                <w:sz w:val="12"/>
                <w:szCs w:val="12"/>
              </w:rPr>
              <w:t>2.000</w:t>
            </w:r>
          </w:p>
        </w:tc>
        <w:tc>
          <w:tcPr>
            <w:tcW w:w="567" w:type="dxa"/>
            <w:tcBorders>
              <w:top w:val="nil"/>
              <w:left w:val="nil"/>
              <w:bottom w:val="single" w:sz="8" w:space="0" w:color="auto"/>
              <w:right w:val="single" w:sz="8" w:space="0" w:color="auto"/>
            </w:tcBorders>
            <w:shd w:val="clear" w:color="auto" w:fill="auto"/>
            <w:vAlign w:val="center"/>
          </w:tcPr>
          <w:p w14:paraId="36813D07" w14:textId="77777777" w:rsidR="004B0524" w:rsidRPr="00F9037E" w:rsidRDefault="004B0524" w:rsidP="00C05C97">
            <w:pPr>
              <w:spacing w:before="120" w:after="120"/>
              <w:jc w:val="center"/>
              <w:rPr>
                <w:color w:val="auto"/>
                <w:sz w:val="12"/>
                <w:szCs w:val="12"/>
              </w:rPr>
            </w:pPr>
            <w:r w:rsidRPr="00F9037E">
              <w:rPr>
                <w:color w:val="auto"/>
                <w:sz w:val="12"/>
                <w:szCs w:val="12"/>
              </w:rPr>
              <w:t>2.000</w:t>
            </w:r>
          </w:p>
        </w:tc>
        <w:tc>
          <w:tcPr>
            <w:tcW w:w="567" w:type="dxa"/>
            <w:tcBorders>
              <w:top w:val="nil"/>
              <w:left w:val="nil"/>
              <w:bottom w:val="single" w:sz="8" w:space="0" w:color="auto"/>
              <w:right w:val="single" w:sz="8" w:space="0" w:color="auto"/>
            </w:tcBorders>
            <w:shd w:val="clear" w:color="auto" w:fill="auto"/>
            <w:vAlign w:val="center"/>
          </w:tcPr>
          <w:p w14:paraId="170EFEAD" w14:textId="77777777" w:rsidR="004B0524" w:rsidRPr="00F9037E" w:rsidRDefault="004B0524" w:rsidP="00C05C97">
            <w:pPr>
              <w:spacing w:before="120" w:after="120"/>
              <w:jc w:val="center"/>
              <w:rPr>
                <w:color w:val="auto"/>
                <w:sz w:val="12"/>
                <w:szCs w:val="12"/>
              </w:rPr>
            </w:pPr>
            <w:r w:rsidRPr="00F9037E">
              <w:rPr>
                <w:color w:val="auto"/>
                <w:sz w:val="12"/>
                <w:szCs w:val="12"/>
              </w:rPr>
              <w:t>1.800</w:t>
            </w:r>
          </w:p>
        </w:tc>
        <w:tc>
          <w:tcPr>
            <w:tcW w:w="567" w:type="dxa"/>
            <w:tcBorders>
              <w:top w:val="nil"/>
              <w:left w:val="nil"/>
              <w:bottom w:val="single" w:sz="8" w:space="0" w:color="auto"/>
              <w:right w:val="single" w:sz="8" w:space="0" w:color="auto"/>
            </w:tcBorders>
            <w:shd w:val="clear" w:color="auto" w:fill="auto"/>
            <w:vAlign w:val="center"/>
          </w:tcPr>
          <w:p w14:paraId="354CF11D" w14:textId="78D7F47A"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3CABD33" w14:textId="0FCAEC3A"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3C93B4B" w14:textId="76D522F1"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9F4B06C" w14:textId="69AA6864"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0B20E299" w14:textId="4973B34C"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7A1C660"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4440C97"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1A3F425"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9D9E983" w14:textId="77777777" w:rsidR="004B0524" w:rsidRPr="00F9037E" w:rsidRDefault="004B0524" w:rsidP="00C05C97">
            <w:pPr>
              <w:spacing w:before="120" w:after="120"/>
              <w:jc w:val="center"/>
              <w:rPr>
                <w:color w:val="auto"/>
                <w:sz w:val="12"/>
                <w:szCs w:val="12"/>
              </w:rPr>
            </w:pPr>
          </w:p>
        </w:tc>
      </w:tr>
      <w:tr w:rsidR="004B0524" w:rsidRPr="00F9037E" w14:paraId="2BD005E7" w14:textId="77777777" w:rsidTr="00C05C97">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5AF89CC3" w14:textId="76B244D2" w:rsidR="004B0524" w:rsidRPr="00F9037E" w:rsidRDefault="004B0524" w:rsidP="00C05C97">
            <w:pPr>
              <w:spacing w:before="120" w:after="120"/>
              <w:rPr>
                <w:color w:val="auto"/>
                <w:sz w:val="12"/>
                <w:szCs w:val="12"/>
              </w:rPr>
            </w:pPr>
            <w:r w:rsidRPr="00F9037E">
              <w:rPr>
                <w:color w:val="auto"/>
                <w:sz w:val="12"/>
                <w:szCs w:val="12"/>
              </w:rPr>
              <w:t>Germany</w:t>
            </w:r>
          </w:p>
        </w:tc>
        <w:tc>
          <w:tcPr>
            <w:tcW w:w="818" w:type="dxa"/>
            <w:tcBorders>
              <w:top w:val="nil"/>
              <w:left w:val="nil"/>
              <w:bottom w:val="single" w:sz="8" w:space="0" w:color="auto"/>
              <w:right w:val="single" w:sz="8" w:space="0" w:color="auto"/>
            </w:tcBorders>
            <w:shd w:val="clear" w:color="auto" w:fill="auto"/>
            <w:vAlign w:val="center"/>
          </w:tcPr>
          <w:p w14:paraId="0EA2D409" w14:textId="77777777" w:rsidR="004B0524" w:rsidRPr="00F9037E" w:rsidRDefault="004B0524" w:rsidP="00C05C97">
            <w:pPr>
              <w:spacing w:before="120" w:after="120"/>
              <w:rPr>
                <w:color w:val="auto"/>
                <w:sz w:val="12"/>
                <w:szCs w:val="12"/>
              </w:rPr>
            </w:pPr>
            <w:r w:rsidRPr="00F9037E">
              <w:rPr>
                <w:color w:val="auto"/>
                <w:sz w:val="12"/>
                <w:szCs w:val="12"/>
              </w:rPr>
              <w:t>Artefacts</w:t>
            </w:r>
          </w:p>
        </w:tc>
        <w:tc>
          <w:tcPr>
            <w:tcW w:w="567" w:type="dxa"/>
            <w:tcBorders>
              <w:top w:val="nil"/>
              <w:left w:val="nil"/>
              <w:bottom w:val="single" w:sz="8" w:space="0" w:color="auto"/>
              <w:right w:val="single" w:sz="8" w:space="0" w:color="auto"/>
            </w:tcBorders>
            <w:shd w:val="clear" w:color="auto" w:fill="auto"/>
            <w:vAlign w:val="center"/>
          </w:tcPr>
          <w:p w14:paraId="17AD2607" w14:textId="77777777" w:rsidR="004B0524" w:rsidRPr="00F9037E" w:rsidRDefault="004B0524" w:rsidP="00C05C97">
            <w:pPr>
              <w:spacing w:before="120" w:after="120"/>
              <w:jc w:val="center"/>
              <w:rPr>
                <w:color w:val="auto"/>
                <w:sz w:val="12"/>
                <w:szCs w:val="12"/>
              </w:rPr>
            </w:pPr>
            <w:r w:rsidRPr="00F9037E">
              <w:rPr>
                <w:color w:val="auto"/>
                <w:sz w:val="12"/>
                <w:szCs w:val="12"/>
              </w:rPr>
              <w:t>0.250</w:t>
            </w:r>
          </w:p>
        </w:tc>
        <w:tc>
          <w:tcPr>
            <w:tcW w:w="567" w:type="dxa"/>
            <w:tcBorders>
              <w:top w:val="nil"/>
              <w:left w:val="nil"/>
              <w:bottom w:val="single" w:sz="8" w:space="0" w:color="auto"/>
              <w:right w:val="single" w:sz="8" w:space="0" w:color="auto"/>
            </w:tcBorders>
            <w:shd w:val="clear" w:color="auto" w:fill="auto"/>
            <w:vAlign w:val="center"/>
          </w:tcPr>
          <w:p w14:paraId="68989C54" w14:textId="77777777" w:rsidR="004B0524" w:rsidRPr="00F9037E" w:rsidRDefault="004B0524" w:rsidP="00C05C97">
            <w:pPr>
              <w:spacing w:before="120" w:after="120"/>
              <w:jc w:val="center"/>
              <w:rPr>
                <w:color w:val="auto"/>
                <w:sz w:val="12"/>
                <w:szCs w:val="12"/>
              </w:rPr>
            </w:pPr>
            <w:r w:rsidRPr="00F9037E">
              <w:rPr>
                <w:color w:val="auto"/>
                <w:sz w:val="12"/>
                <w:szCs w:val="12"/>
              </w:rPr>
              <w:t>0.100</w:t>
            </w:r>
          </w:p>
        </w:tc>
        <w:tc>
          <w:tcPr>
            <w:tcW w:w="567" w:type="dxa"/>
            <w:tcBorders>
              <w:top w:val="nil"/>
              <w:left w:val="nil"/>
              <w:bottom w:val="single" w:sz="8" w:space="0" w:color="auto"/>
              <w:right w:val="single" w:sz="8" w:space="0" w:color="auto"/>
            </w:tcBorders>
            <w:shd w:val="clear" w:color="auto" w:fill="auto"/>
            <w:vAlign w:val="center"/>
          </w:tcPr>
          <w:p w14:paraId="41B22ECA" w14:textId="300720CE"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BB9C0EA" w14:textId="1C8243B3"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02AC06D" w14:textId="4C6BDABB"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324F356" w14:textId="60B31452"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B97E6A3" w14:textId="511F6634"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D77BE20" w14:textId="3CA0BF9E"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5C5B355" w14:textId="7DE3EB5C"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1C7D9853"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94976D4"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2607237"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390A8198" w14:textId="77777777" w:rsidR="004B0524" w:rsidRPr="00F9037E" w:rsidRDefault="004B0524" w:rsidP="00C05C97">
            <w:pPr>
              <w:spacing w:before="120" w:after="120"/>
              <w:jc w:val="center"/>
              <w:rPr>
                <w:color w:val="auto"/>
                <w:sz w:val="12"/>
                <w:szCs w:val="12"/>
              </w:rPr>
            </w:pPr>
            <w:r w:rsidRPr="00F9037E">
              <w:rPr>
                <w:color w:val="auto"/>
                <w:sz w:val="12"/>
                <w:szCs w:val="12"/>
              </w:rPr>
              <w:t>0.250</w:t>
            </w:r>
          </w:p>
        </w:tc>
        <w:tc>
          <w:tcPr>
            <w:tcW w:w="567" w:type="dxa"/>
            <w:tcBorders>
              <w:top w:val="nil"/>
              <w:left w:val="nil"/>
              <w:bottom w:val="single" w:sz="8" w:space="0" w:color="auto"/>
              <w:right w:val="single" w:sz="8" w:space="0" w:color="auto"/>
            </w:tcBorders>
            <w:shd w:val="clear" w:color="auto" w:fill="auto"/>
            <w:vAlign w:val="center"/>
          </w:tcPr>
          <w:p w14:paraId="631A8759" w14:textId="77777777" w:rsidR="004B0524" w:rsidRPr="00F9037E" w:rsidRDefault="004B0524" w:rsidP="00C05C97">
            <w:pPr>
              <w:spacing w:before="120" w:after="120"/>
              <w:jc w:val="center"/>
              <w:rPr>
                <w:color w:val="auto"/>
                <w:sz w:val="12"/>
                <w:szCs w:val="12"/>
              </w:rPr>
            </w:pPr>
            <w:r w:rsidRPr="00F9037E">
              <w:rPr>
                <w:color w:val="auto"/>
                <w:sz w:val="12"/>
                <w:szCs w:val="12"/>
              </w:rPr>
              <w:t>0.100</w:t>
            </w:r>
          </w:p>
        </w:tc>
        <w:tc>
          <w:tcPr>
            <w:tcW w:w="567" w:type="dxa"/>
            <w:tcBorders>
              <w:top w:val="nil"/>
              <w:left w:val="nil"/>
              <w:bottom w:val="single" w:sz="8" w:space="0" w:color="auto"/>
              <w:right w:val="single" w:sz="8" w:space="0" w:color="auto"/>
            </w:tcBorders>
            <w:shd w:val="clear" w:color="auto" w:fill="auto"/>
            <w:vAlign w:val="center"/>
          </w:tcPr>
          <w:p w14:paraId="0BC74717" w14:textId="2BC915E5"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6FEE417" w14:textId="5C59B434"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B81430A" w14:textId="786309B3"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8F593B4" w14:textId="0A781DEE"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030154B" w14:textId="3D20D75A"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6FAD9ADC" w14:textId="2FF271C3"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21AE819"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D4702CB"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842D506"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6F3389F" w14:textId="77777777" w:rsidR="004B0524" w:rsidRPr="00F9037E" w:rsidRDefault="004B0524" w:rsidP="00C05C97">
            <w:pPr>
              <w:spacing w:before="120" w:after="120"/>
              <w:jc w:val="center"/>
              <w:rPr>
                <w:color w:val="auto"/>
                <w:sz w:val="12"/>
                <w:szCs w:val="12"/>
              </w:rPr>
            </w:pPr>
          </w:p>
        </w:tc>
      </w:tr>
      <w:tr w:rsidR="004B0524" w:rsidRPr="00F9037E" w14:paraId="746ACFDD" w14:textId="77777777" w:rsidTr="00C05C97">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67F3619" w14:textId="0303060F" w:rsidR="004B0524" w:rsidRPr="00082015" w:rsidRDefault="004B0524" w:rsidP="00C05C97">
            <w:pPr>
              <w:spacing w:before="120" w:after="120"/>
              <w:rPr>
                <w:color w:val="auto"/>
                <w:sz w:val="12"/>
                <w:szCs w:val="12"/>
              </w:rPr>
            </w:pPr>
            <w:r w:rsidRPr="00082015">
              <w:rPr>
                <w:color w:val="auto"/>
                <w:sz w:val="12"/>
                <w:szCs w:val="12"/>
              </w:rPr>
              <w:lastRenderedPageBreak/>
              <w:t>Germany</w:t>
            </w:r>
          </w:p>
        </w:tc>
        <w:tc>
          <w:tcPr>
            <w:tcW w:w="818" w:type="dxa"/>
            <w:tcBorders>
              <w:top w:val="nil"/>
              <w:left w:val="nil"/>
              <w:bottom w:val="single" w:sz="8" w:space="0" w:color="auto"/>
              <w:right w:val="single" w:sz="8" w:space="0" w:color="auto"/>
            </w:tcBorders>
            <w:shd w:val="clear" w:color="auto" w:fill="auto"/>
            <w:vAlign w:val="center"/>
          </w:tcPr>
          <w:p w14:paraId="394B4C5A" w14:textId="260C141D" w:rsidR="004B0524" w:rsidRPr="00220275" w:rsidRDefault="004B0524" w:rsidP="00C05C97">
            <w:pPr>
              <w:spacing w:before="120" w:after="120"/>
              <w:rPr>
                <w:color w:val="auto"/>
                <w:sz w:val="12"/>
                <w:szCs w:val="12"/>
              </w:rPr>
            </w:pPr>
            <w:r w:rsidRPr="00220275">
              <w:rPr>
                <w:color w:val="auto"/>
                <w:sz w:val="12"/>
                <w:szCs w:val="12"/>
              </w:rPr>
              <w:t>Mills and Processors</w:t>
            </w:r>
          </w:p>
        </w:tc>
        <w:tc>
          <w:tcPr>
            <w:tcW w:w="567" w:type="dxa"/>
            <w:tcBorders>
              <w:top w:val="nil"/>
              <w:left w:val="nil"/>
              <w:bottom w:val="single" w:sz="8" w:space="0" w:color="auto"/>
              <w:right w:val="single" w:sz="8" w:space="0" w:color="auto"/>
            </w:tcBorders>
            <w:shd w:val="clear" w:color="auto" w:fill="auto"/>
            <w:vAlign w:val="center"/>
          </w:tcPr>
          <w:p w14:paraId="18BCE86C" w14:textId="77777777" w:rsidR="004B0524" w:rsidRPr="00220275" w:rsidRDefault="004B0524" w:rsidP="00C05C97">
            <w:pPr>
              <w:spacing w:before="120" w:after="120"/>
              <w:jc w:val="center"/>
              <w:rPr>
                <w:color w:val="auto"/>
                <w:sz w:val="12"/>
                <w:szCs w:val="12"/>
              </w:rPr>
            </w:pPr>
            <w:r w:rsidRPr="00220275">
              <w:rPr>
                <w:color w:val="auto"/>
                <w:sz w:val="12"/>
                <w:szCs w:val="12"/>
              </w:rPr>
              <w:t>45.000</w:t>
            </w:r>
          </w:p>
        </w:tc>
        <w:tc>
          <w:tcPr>
            <w:tcW w:w="567" w:type="dxa"/>
            <w:tcBorders>
              <w:top w:val="nil"/>
              <w:left w:val="nil"/>
              <w:bottom w:val="single" w:sz="8" w:space="0" w:color="auto"/>
              <w:right w:val="single" w:sz="8" w:space="0" w:color="auto"/>
            </w:tcBorders>
            <w:shd w:val="clear" w:color="auto" w:fill="auto"/>
            <w:vAlign w:val="center"/>
          </w:tcPr>
          <w:p w14:paraId="222D34E7" w14:textId="77777777" w:rsidR="004B0524" w:rsidRPr="00220275" w:rsidRDefault="004B0524" w:rsidP="00C05C97">
            <w:pPr>
              <w:spacing w:before="120" w:after="120"/>
              <w:jc w:val="center"/>
              <w:rPr>
                <w:color w:val="auto"/>
                <w:sz w:val="12"/>
                <w:szCs w:val="12"/>
              </w:rPr>
            </w:pPr>
            <w:r w:rsidRPr="00220275">
              <w:rPr>
                <w:color w:val="auto"/>
                <w:sz w:val="12"/>
                <w:szCs w:val="12"/>
              </w:rPr>
              <w:t>19.350</w:t>
            </w:r>
          </w:p>
        </w:tc>
        <w:tc>
          <w:tcPr>
            <w:tcW w:w="567" w:type="dxa"/>
            <w:tcBorders>
              <w:top w:val="nil"/>
              <w:left w:val="nil"/>
              <w:bottom w:val="single" w:sz="8" w:space="0" w:color="auto"/>
              <w:right w:val="single" w:sz="8" w:space="0" w:color="auto"/>
            </w:tcBorders>
            <w:shd w:val="clear" w:color="auto" w:fill="auto"/>
            <w:vAlign w:val="center"/>
          </w:tcPr>
          <w:p w14:paraId="3B534834" w14:textId="386C6BE3" w:rsidR="004B0524" w:rsidRPr="00220275"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505B4E8" w14:textId="3273BBA8" w:rsidR="004B0524" w:rsidRPr="00B87B95"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6F9DCBB" w14:textId="1CF2EDDB" w:rsidR="004B0524" w:rsidRPr="00B87B95"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A95D177" w14:textId="2E9BAB86" w:rsidR="004B0524" w:rsidRPr="00B87B95"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091B2C5" w14:textId="250FF9AA" w:rsidR="004B0524" w:rsidRPr="00563BC0"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084292D" w14:textId="70E9BB42" w:rsidR="004B0524" w:rsidRPr="00563BC0"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92C759E" w14:textId="51C1BE46" w:rsidR="004B0524" w:rsidRPr="00563BC0"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39A9192C" w14:textId="77777777" w:rsidR="004B0524" w:rsidRPr="00563BC0"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73780AE" w14:textId="77777777" w:rsidR="004B0524" w:rsidRPr="00563BC0"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75068EF" w14:textId="77777777" w:rsidR="004B0524" w:rsidRPr="00563BC0"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2D64483" w14:textId="77777777" w:rsidR="004B0524" w:rsidRPr="000F08B5" w:rsidRDefault="004B0524" w:rsidP="00C05C97">
            <w:pPr>
              <w:spacing w:before="120" w:after="120"/>
              <w:jc w:val="center"/>
              <w:rPr>
                <w:color w:val="auto"/>
                <w:sz w:val="12"/>
                <w:szCs w:val="12"/>
              </w:rPr>
            </w:pPr>
            <w:r w:rsidRPr="000F08B5">
              <w:rPr>
                <w:color w:val="auto"/>
                <w:sz w:val="12"/>
                <w:szCs w:val="12"/>
              </w:rPr>
              <w:t>45.000</w:t>
            </w:r>
          </w:p>
        </w:tc>
        <w:tc>
          <w:tcPr>
            <w:tcW w:w="567" w:type="dxa"/>
            <w:tcBorders>
              <w:top w:val="nil"/>
              <w:left w:val="nil"/>
              <w:bottom w:val="single" w:sz="8" w:space="0" w:color="auto"/>
              <w:right w:val="single" w:sz="8" w:space="0" w:color="auto"/>
            </w:tcBorders>
            <w:shd w:val="clear" w:color="auto" w:fill="auto"/>
            <w:vAlign w:val="center"/>
          </w:tcPr>
          <w:p w14:paraId="710F0517" w14:textId="77777777" w:rsidR="004B0524" w:rsidRPr="000F08B5" w:rsidRDefault="004B0524" w:rsidP="00C05C97">
            <w:pPr>
              <w:spacing w:before="120" w:after="120"/>
              <w:jc w:val="center"/>
              <w:rPr>
                <w:color w:val="auto"/>
                <w:sz w:val="12"/>
                <w:szCs w:val="12"/>
              </w:rPr>
            </w:pPr>
            <w:r w:rsidRPr="000F08B5">
              <w:rPr>
                <w:color w:val="auto"/>
                <w:sz w:val="12"/>
                <w:szCs w:val="12"/>
              </w:rPr>
              <w:t>19.350</w:t>
            </w:r>
          </w:p>
        </w:tc>
        <w:tc>
          <w:tcPr>
            <w:tcW w:w="567" w:type="dxa"/>
            <w:tcBorders>
              <w:top w:val="nil"/>
              <w:left w:val="nil"/>
              <w:bottom w:val="single" w:sz="8" w:space="0" w:color="auto"/>
              <w:right w:val="single" w:sz="8" w:space="0" w:color="auto"/>
            </w:tcBorders>
            <w:shd w:val="clear" w:color="auto" w:fill="auto"/>
            <w:vAlign w:val="center"/>
          </w:tcPr>
          <w:p w14:paraId="684349B4" w14:textId="10AD6178" w:rsidR="004B0524" w:rsidRPr="00365366"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86F6304" w14:textId="6680EA7E"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4368E7B" w14:textId="7AB0E2EC"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C04F29B" w14:textId="6EFE814D"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4DBE9B2" w14:textId="34B353B2"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03A10CC9" w14:textId="5E9E9CB8"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4743A8F"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9F75AFE"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16A69FC"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A70CCBB" w14:textId="77777777" w:rsidR="004B0524" w:rsidRPr="00F9037E" w:rsidRDefault="004B0524" w:rsidP="00C05C97">
            <w:pPr>
              <w:spacing w:before="120" w:after="120"/>
              <w:jc w:val="center"/>
              <w:rPr>
                <w:color w:val="auto"/>
                <w:sz w:val="12"/>
                <w:szCs w:val="12"/>
              </w:rPr>
            </w:pPr>
          </w:p>
        </w:tc>
      </w:tr>
      <w:tr w:rsidR="004B0524" w:rsidRPr="00F9037E" w14:paraId="1F2E88D8" w14:textId="77777777" w:rsidTr="00C05C97">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40B53863" w14:textId="05EF1C82" w:rsidR="004B0524" w:rsidRPr="00F9037E" w:rsidRDefault="004B0524" w:rsidP="00C05C97">
            <w:pPr>
              <w:spacing w:before="120" w:after="120"/>
              <w:rPr>
                <w:color w:val="auto"/>
                <w:sz w:val="12"/>
                <w:szCs w:val="12"/>
              </w:rPr>
            </w:pPr>
            <w:r w:rsidRPr="00F9037E">
              <w:rPr>
                <w:color w:val="auto"/>
                <w:sz w:val="12"/>
                <w:szCs w:val="12"/>
              </w:rPr>
              <w:t>Greece</w:t>
            </w:r>
          </w:p>
        </w:tc>
        <w:tc>
          <w:tcPr>
            <w:tcW w:w="818" w:type="dxa"/>
            <w:tcBorders>
              <w:top w:val="nil"/>
              <w:left w:val="nil"/>
              <w:bottom w:val="single" w:sz="8" w:space="0" w:color="auto"/>
              <w:right w:val="single" w:sz="8" w:space="0" w:color="auto"/>
            </w:tcBorders>
            <w:shd w:val="clear" w:color="auto" w:fill="auto"/>
            <w:vAlign w:val="center"/>
          </w:tcPr>
          <w:p w14:paraId="03410569" w14:textId="77777777" w:rsidR="004B0524" w:rsidRPr="00F9037E" w:rsidRDefault="004B0524" w:rsidP="00C05C97">
            <w:pPr>
              <w:spacing w:before="120" w:after="120"/>
              <w:rPr>
                <w:color w:val="auto"/>
                <w:sz w:val="12"/>
                <w:szCs w:val="12"/>
              </w:rPr>
            </w:pPr>
            <w:r w:rsidRPr="00F9037E">
              <w:rPr>
                <w:color w:val="auto"/>
                <w:sz w:val="12"/>
                <w:szCs w:val="12"/>
              </w:rPr>
              <w:t>Dried fruit</w:t>
            </w:r>
          </w:p>
        </w:tc>
        <w:tc>
          <w:tcPr>
            <w:tcW w:w="567" w:type="dxa"/>
            <w:tcBorders>
              <w:top w:val="nil"/>
              <w:left w:val="nil"/>
              <w:bottom w:val="single" w:sz="8" w:space="0" w:color="auto"/>
              <w:right w:val="single" w:sz="8" w:space="0" w:color="auto"/>
            </w:tcBorders>
            <w:shd w:val="clear" w:color="auto" w:fill="auto"/>
            <w:vAlign w:val="center"/>
          </w:tcPr>
          <w:p w14:paraId="70793FA5" w14:textId="77777777" w:rsidR="004B0524" w:rsidRPr="00F9037E" w:rsidRDefault="004B0524" w:rsidP="00C05C97">
            <w:pPr>
              <w:spacing w:before="120" w:after="120"/>
              <w:jc w:val="center"/>
              <w:rPr>
                <w:color w:val="auto"/>
                <w:sz w:val="12"/>
                <w:szCs w:val="12"/>
              </w:rPr>
            </w:pPr>
            <w:r w:rsidRPr="00F9037E">
              <w:rPr>
                <w:color w:val="auto"/>
                <w:sz w:val="12"/>
                <w:szCs w:val="12"/>
              </w:rPr>
              <w:t>4.280</w:t>
            </w:r>
          </w:p>
        </w:tc>
        <w:tc>
          <w:tcPr>
            <w:tcW w:w="567" w:type="dxa"/>
            <w:tcBorders>
              <w:top w:val="nil"/>
              <w:left w:val="nil"/>
              <w:bottom w:val="single" w:sz="8" w:space="0" w:color="auto"/>
              <w:right w:val="single" w:sz="8" w:space="0" w:color="auto"/>
            </w:tcBorders>
            <w:shd w:val="clear" w:color="auto" w:fill="auto"/>
            <w:vAlign w:val="center"/>
          </w:tcPr>
          <w:p w14:paraId="768B871D" w14:textId="77777777" w:rsidR="004B0524" w:rsidRPr="00F9037E" w:rsidRDefault="004B0524" w:rsidP="00C05C97">
            <w:pPr>
              <w:spacing w:before="120" w:after="120"/>
              <w:jc w:val="center"/>
              <w:rPr>
                <w:color w:val="auto"/>
                <w:sz w:val="12"/>
                <w:szCs w:val="12"/>
              </w:rPr>
            </w:pPr>
            <w:r w:rsidRPr="00F9037E">
              <w:rPr>
                <w:color w:val="auto"/>
                <w:sz w:val="12"/>
                <w:szCs w:val="12"/>
              </w:rPr>
              <w:t>3.081</w:t>
            </w:r>
          </w:p>
        </w:tc>
        <w:tc>
          <w:tcPr>
            <w:tcW w:w="567" w:type="dxa"/>
            <w:tcBorders>
              <w:top w:val="nil"/>
              <w:left w:val="nil"/>
              <w:bottom w:val="single" w:sz="8" w:space="0" w:color="auto"/>
              <w:right w:val="single" w:sz="8" w:space="0" w:color="auto"/>
            </w:tcBorders>
            <w:shd w:val="clear" w:color="auto" w:fill="auto"/>
            <w:vAlign w:val="center"/>
          </w:tcPr>
          <w:p w14:paraId="61CB6323" w14:textId="77777777" w:rsidR="004B0524" w:rsidRPr="00F9037E" w:rsidRDefault="004B0524" w:rsidP="00C05C97">
            <w:pPr>
              <w:spacing w:before="120" w:after="120"/>
              <w:jc w:val="center"/>
              <w:rPr>
                <w:color w:val="auto"/>
                <w:sz w:val="12"/>
                <w:szCs w:val="12"/>
              </w:rPr>
            </w:pPr>
            <w:r w:rsidRPr="00F9037E">
              <w:rPr>
                <w:color w:val="auto"/>
                <w:sz w:val="12"/>
                <w:szCs w:val="12"/>
              </w:rPr>
              <w:t>0.900</w:t>
            </w:r>
          </w:p>
        </w:tc>
        <w:tc>
          <w:tcPr>
            <w:tcW w:w="567" w:type="dxa"/>
            <w:tcBorders>
              <w:top w:val="nil"/>
              <w:left w:val="nil"/>
              <w:bottom w:val="single" w:sz="8" w:space="0" w:color="auto"/>
              <w:right w:val="single" w:sz="8" w:space="0" w:color="auto"/>
            </w:tcBorders>
            <w:shd w:val="clear" w:color="auto" w:fill="auto"/>
            <w:vAlign w:val="center"/>
          </w:tcPr>
          <w:p w14:paraId="52A71C71" w14:textId="41255CA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FFAF603" w14:textId="516039B3"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9BCBE90" w14:textId="7392695B"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8E75C53" w14:textId="52E0C663"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ECDB6F7" w14:textId="1427A73F"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4F10144" w14:textId="5047E93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6CCA57E1"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99A4C33"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F6A04F0"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414C3ECF" w14:textId="77777777" w:rsidR="004B0524" w:rsidRPr="00F9037E" w:rsidRDefault="004B0524" w:rsidP="00C05C97">
            <w:pPr>
              <w:spacing w:before="120" w:after="120"/>
              <w:jc w:val="center"/>
              <w:rPr>
                <w:color w:val="auto"/>
                <w:sz w:val="12"/>
                <w:szCs w:val="12"/>
              </w:rPr>
            </w:pPr>
            <w:r w:rsidRPr="00F9037E">
              <w:rPr>
                <w:color w:val="auto"/>
                <w:sz w:val="12"/>
                <w:szCs w:val="12"/>
              </w:rPr>
              <w:t>4.280</w:t>
            </w:r>
          </w:p>
        </w:tc>
        <w:tc>
          <w:tcPr>
            <w:tcW w:w="567" w:type="dxa"/>
            <w:tcBorders>
              <w:top w:val="nil"/>
              <w:left w:val="nil"/>
              <w:bottom w:val="single" w:sz="8" w:space="0" w:color="auto"/>
              <w:right w:val="single" w:sz="8" w:space="0" w:color="auto"/>
            </w:tcBorders>
            <w:shd w:val="clear" w:color="auto" w:fill="auto"/>
            <w:vAlign w:val="center"/>
          </w:tcPr>
          <w:p w14:paraId="251259F3" w14:textId="77777777" w:rsidR="004B0524" w:rsidRPr="00F9037E" w:rsidRDefault="004B0524" w:rsidP="00C05C97">
            <w:pPr>
              <w:spacing w:before="120" w:after="120"/>
              <w:jc w:val="center"/>
              <w:rPr>
                <w:color w:val="auto"/>
                <w:sz w:val="12"/>
                <w:szCs w:val="12"/>
              </w:rPr>
            </w:pPr>
            <w:r w:rsidRPr="00F9037E">
              <w:rPr>
                <w:color w:val="auto"/>
                <w:sz w:val="12"/>
                <w:szCs w:val="12"/>
              </w:rPr>
              <w:t>3.081</w:t>
            </w:r>
          </w:p>
        </w:tc>
        <w:tc>
          <w:tcPr>
            <w:tcW w:w="567" w:type="dxa"/>
            <w:tcBorders>
              <w:top w:val="nil"/>
              <w:left w:val="nil"/>
              <w:bottom w:val="single" w:sz="8" w:space="0" w:color="auto"/>
              <w:right w:val="single" w:sz="8" w:space="0" w:color="auto"/>
            </w:tcBorders>
            <w:shd w:val="clear" w:color="auto" w:fill="auto"/>
            <w:vAlign w:val="center"/>
          </w:tcPr>
          <w:p w14:paraId="4C119572" w14:textId="77777777" w:rsidR="004B0524" w:rsidRPr="00F9037E" w:rsidRDefault="004B0524" w:rsidP="00C05C97">
            <w:pPr>
              <w:spacing w:before="120" w:after="120"/>
              <w:jc w:val="center"/>
              <w:rPr>
                <w:color w:val="auto"/>
                <w:sz w:val="12"/>
                <w:szCs w:val="12"/>
              </w:rPr>
            </w:pPr>
            <w:r w:rsidRPr="00F9037E">
              <w:rPr>
                <w:color w:val="auto"/>
                <w:sz w:val="12"/>
                <w:szCs w:val="12"/>
              </w:rPr>
              <w:t>0.450</w:t>
            </w:r>
          </w:p>
        </w:tc>
        <w:tc>
          <w:tcPr>
            <w:tcW w:w="567" w:type="dxa"/>
            <w:tcBorders>
              <w:top w:val="nil"/>
              <w:left w:val="nil"/>
              <w:bottom w:val="single" w:sz="8" w:space="0" w:color="auto"/>
              <w:right w:val="single" w:sz="8" w:space="0" w:color="auto"/>
            </w:tcBorders>
            <w:shd w:val="clear" w:color="auto" w:fill="auto"/>
            <w:vAlign w:val="center"/>
          </w:tcPr>
          <w:p w14:paraId="599F0BE8" w14:textId="71CAA7D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598A6C9" w14:textId="0695BA2D"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C434F41" w14:textId="3914065F"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D44291D" w14:textId="504542ED"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0AE9EF5E" w14:textId="0C2564D4"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B90949B"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4A1E5A3"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1F36432"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157C509" w14:textId="77777777" w:rsidR="004B0524" w:rsidRPr="00F9037E" w:rsidRDefault="004B0524" w:rsidP="00C05C97">
            <w:pPr>
              <w:spacing w:before="120" w:after="120"/>
              <w:jc w:val="center"/>
              <w:rPr>
                <w:color w:val="auto"/>
                <w:sz w:val="12"/>
                <w:szCs w:val="12"/>
              </w:rPr>
            </w:pPr>
          </w:p>
        </w:tc>
      </w:tr>
      <w:tr w:rsidR="004B0524" w:rsidRPr="00F9037E" w14:paraId="40D01718" w14:textId="77777777" w:rsidTr="00C05C97">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57447E24" w14:textId="1199CD9E" w:rsidR="004B0524" w:rsidRPr="00F9037E" w:rsidRDefault="004B0524" w:rsidP="00C05C97">
            <w:pPr>
              <w:spacing w:before="120" w:after="120"/>
              <w:rPr>
                <w:color w:val="auto"/>
                <w:sz w:val="12"/>
                <w:szCs w:val="12"/>
              </w:rPr>
            </w:pPr>
            <w:r w:rsidRPr="00F9037E">
              <w:rPr>
                <w:color w:val="auto"/>
                <w:sz w:val="12"/>
                <w:szCs w:val="12"/>
              </w:rPr>
              <w:t>Greece</w:t>
            </w:r>
          </w:p>
        </w:tc>
        <w:tc>
          <w:tcPr>
            <w:tcW w:w="818" w:type="dxa"/>
            <w:tcBorders>
              <w:top w:val="nil"/>
              <w:left w:val="nil"/>
              <w:bottom w:val="single" w:sz="8" w:space="0" w:color="auto"/>
              <w:right w:val="single" w:sz="8" w:space="0" w:color="auto"/>
            </w:tcBorders>
            <w:shd w:val="clear" w:color="auto" w:fill="auto"/>
            <w:vAlign w:val="center"/>
          </w:tcPr>
          <w:p w14:paraId="79A80ED8" w14:textId="5471ED81" w:rsidR="004B0524" w:rsidRPr="00F9037E" w:rsidRDefault="004B0524" w:rsidP="00C05C97">
            <w:pPr>
              <w:spacing w:before="120" w:after="120"/>
              <w:rPr>
                <w:color w:val="auto"/>
                <w:sz w:val="12"/>
                <w:szCs w:val="12"/>
              </w:rPr>
            </w:pPr>
            <w:r w:rsidRPr="00F9037E">
              <w:rPr>
                <w:color w:val="auto"/>
                <w:sz w:val="12"/>
                <w:szCs w:val="12"/>
              </w:rPr>
              <w:t>Mills and Processors</w:t>
            </w:r>
          </w:p>
        </w:tc>
        <w:tc>
          <w:tcPr>
            <w:tcW w:w="567" w:type="dxa"/>
            <w:tcBorders>
              <w:top w:val="nil"/>
              <w:left w:val="nil"/>
              <w:bottom w:val="single" w:sz="8" w:space="0" w:color="auto"/>
              <w:right w:val="single" w:sz="8" w:space="0" w:color="auto"/>
            </w:tcBorders>
            <w:shd w:val="clear" w:color="auto" w:fill="auto"/>
            <w:vAlign w:val="center"/>
          </w:tcPr>
          <w:p w14:paraId="3F4E5BDF" w14:textId="77777777" w:rsidR="004B0524" w:rsidRPr="00F9037E" w:rsidRDefault="004B0524" w:rsidP="00C05C97">
            <w:pPr>
              <w:spacing w:before="120" w:after="120"/>
              <w:jc w:val="center"/>
              <w:rPr>
                <w:color w:val="auto"/>
                <w:sz w:val="12"/>
                <w:szCs w:val="12"/>
              </w:rPr>
            </w:pPr>
            <w:r w:rsidRPr="00F9037E">
              <w:rPr>
                <w:color w:val="auto"/>
                <w:sz w:val="12"/>
                <w:szCs w:val="12"/>
              </w:rPr>
              <w:t>23.000</w:t>
            </w:r>
          </w:p>
        </w:tc>
        <w:tc>
          <w:tcPr>
            <w:tcW w:w="567" w:type="dxa"/>
            <w:tcBorders>
              <w:top w:val="nil"/>
              <w:left w:val="nil"/>
              <w:bottom w:val="single" w:sz="8" w:space="0" w:color="auto"/>
              <w:right w:val="single" w:sz="8" w:space="0" w:color="auto"/>
            </w:tcBorders>
            <w:shd w:val="clear" w:color="auto" w:fill="auto"/>
            <w:vAlign w:val="center"/>
          </w:tcPr>
          <w:p w14:paraId="3C2746F7" w14:textId="77777777" w:rsidR="004B0524" w:rsidRPr="00F9037E" w:rsidRDefault="004B0524" w:rsidP="00C05C97">
            <w:pPr>
              <w:spacing w:before="120" w:after="120"/>
              <w:jc w:val="center"/>
              <w:rPr>
                <w:color w:val="auto"/>
                <w:sz w:val="12"/>
                <w:szCs w:val="12"/>
              </w:rPr>
            </w:pPr>
            <w:r w:rsidRPr="00F9037E">
              <w:rPr>
                <w:color w:val="auto"/>
                <w:sz w:val="12"/>
                <w:szCs w:val="12"/>
              </w:rPr>
              <w:t>16.000</w:t>
            </w:r>
          </w:p>
        </w:tc>
        <w:tc>
          <w:tcPr>
            <w:tcW w:w="567" w:type="dxa"/>
            <w:tcBorders>
              <w:top w:val="nil"/>
              <w:left w:val="nil"/>
              <w:bottom w:val="single" w:sz="8" w:space="0" w:color="auto"/>
              <w:right w:val="single" w:sz="8" w:space="0" w:color="auto"/>
            </w:tcBorders>
            <w:shd w:val="clear" w:color="auto" w:fill="auto"/>
            <w:vAlign w:val="center"/>
          </w:tcPr>
          <w:p w14:paraId="49DA3A1C" w14:textId="77777777" w:rsidR="004B0524" w:rsidRPr="00F9037E" w:rsidRDefault="004B0524" w:rsidP="00C05C97">
            <w:pPr>
              <w:spacing w:before="120" w:after="120"/>
              <w:jc w:val="center"/>
              <w:rPr>
                <w:color w:val="auto"/>
                <w:sz w:val="12"/>
                <w:szCs w:val="12"/>
              </w:rPr>
            </w:pPr>
            <w:r w:rsidRPr="00F9037E">
              <w:rPr>
                <w:color w:val="auto"/>
                <w:sz w:val="12"/>
                <w:szCs w:val="12"/>
              </w:rPr>
              <w:t>1.340</w:t>
            </w:r>
          </w:p>
        </w:tc>
        <w:tc>
          <w:tcPr>
            <w:tcW w:w="567" w:type="dxa"/>
            <w:tcBorders>
              <w:top w:val="nil"/>
              <w:left w:val="nil"/>
              <w:bottom w:val="single" w:sz="8" w:space="0" w:color="auto"/>
              <w:right w:val="single" w:sz="8" w:space="0" w:color="auto"/>
            </w:tcBorders>
            <w:shd w:val="clear" w:color="auto" w:fill="auto"/>
            <w:vAlign w:val="center"/>
          </w:tcPr>
          <w:p w14:paraId="53F42FD8" w14:textId="31B1562A"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9DC4BFB" w14:textId="7B435D19"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35BC634" w14:textId="62579219"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2CFB9EB" w14:textId="548CB940"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61C3E1F" w14:textId="35ABA2DE"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487E541" w14:textId="1493F79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7C72DF14"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DE4F4C1"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38E7EEF"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7CA86319" w14:textId="77777777" w:rsidR="004B0524" w:rsidRPr="00F9037E" w:rsidRDefault="004B0524" w:rsidP="00C05C97">
            <w:pPr>
              <w:spacing w:before="120" w:after="120"/>
              <w:jc w:val="center"/>
              <w:rPr>
                <w:color w:val="auto"/>
                <w:sz w:val="12"/>
                <w:szCs w:val="12"/>
              </w:rPr>
            </w:pPr>
            <w:r w:rsidRPr="00F9037E">
              <w:rPr>
                <w:color w:val="auto"/>
                <w:sz w:val="12"/>
                <w:szCs w:val="12"/>
              </w:rPr>
              <w:t>23.000</w:t>
            </w:r>
          </w:p>
        </w:tc>
        <w:tc>
          <w:tcPr>
            <w:tcW w:w="567" w:type="dxa"/>
            <w:tcBorders>
              <w:top w:val="nil"/>
              <w:left w:val="nil"/>
              <w:bottom w:val="single" w:sz="8" w:space="0" w:color="auto"/>
              <w:right w:val="single" w:sz="8" w:space="0" w:color="auto"/>
            </w:tcBorders>
            <w:shd w:val="clear" w:color="auto" w:fill="auto"/>
            <w:vAlign w:val="center"/>
          </w:tcPr>
          <w:p w14:paraId="62EEB2D6" w14:textId="77777777" w:rsidR="004B0524" w:rsidRPr="00F9037E" w:rsidRDefault="004B0524" w:rsidP="00C05C97">
            <w:pPr>
              <w:spacing w:before="120" w:after="120"/>
              <w:jc w:val="center"/>
              <w:rPr>
                <w:color w:val="auto"/>
                <w:sz w:val="12"/>
                <w:szCs w:val="12"/>
              </w:rPr>
            </w:pPr>
            <w:r w:rsidRPr="00F9037E">
              <w:rPr>
                <w:color w:val="auto"/>
                <w:sz w:val="12"/>
                <w:szCs w:val="12"/>
              </w:rPr>
              <w:t>15.445</w:t>
            </w:r>
          </w:p>
        </w:tc>
        <w:tc>
          <w:tcPr>
            <w:tcW w:w="567" w:type="dxa"/>
            <w:tcBorders>
              <w:top w:val="nil"/>
              <w:left w:val="nil"/>
              <w:bottom w:val="single" w:sz="8" w:space="0" w:color="auto"/>
              <w:right w:val="single" w:sz="8" w:space="0" w:color="auto"/>
            </w:tcBorders>
            <w:shd w:val="clear" w:color="auto" w:fill="auto"/>
            <w:vAlign w:val="center"/>
          </w:tcPr>
          <w:p w14:paraId="7A4FA636" w14:textId="77777777" w:rsidR="004B0524" w:rsidRPr="00F9037E" w:rsidRDefault="004B0524" w:rsidP="00C05C97">
            <w:pPr>
              <w:spacing w:before="120" w:after="120"/>
              <w:jc w:val="center"/>
              <w:rPr>
                <w:color w:val="auto"/>
                <w:sz w:val="12"/>
                <w:szCs w:val="12"/>
              </w:rPr>
            </w:pPr>
            <w:r w:rsidRPr="00F9037E">
              <w:rPr>
                <w:color w:val="auto"/>
                <w:sz w:val="12"/>
                <w:szCs w:val="12"/>
              </w:rPr>
              <w:t>1.340</w:t>
            </w:r>
          </w:p>
        </w:tc>
        <w:tc>
          <w:tcPr>
            <w:tcW w:w="567" w:type="dxa"/>
            <w:tcBorders>
              <w:top w:val="nil"/>
              <w:left w:val="nil"/>
              <w:bottom w:val="single" w:sz="8" w:space="0" w:color="auto"/>
              <w:right w:val="single" w:sz="8" w:space="0" w:color="auto"/>
            </w:tcBorders>
            <w:shd w:val="clear" w:color="auto" w:fill="auto"/>
            <w:vAlign w:val="center"/>
          </w:tcPr>
          <w:p w14:paraId="5CA86A17" w14:textId="0B8E26A3"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3FAD397" w14:textId="676CF954"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8941C87" w14:textId="5AA5FB9B"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5172443" w14:textId="2CB25F52"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53D6E12D" w14:textId="51FFA9D9"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5895615"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0B8628F"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CA9D667"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A92E7B7" w14:textId="77777777" w:rsidR="004B0524" w:rsidRPr="00F9037E" w:rsidRDefault="004B0524" w:rsidP="00C05C97">
            <w:pPr>
              <w:spacing w:before="120" w:after="120"/>
              <w:jc w:val="center"/>
              <w:rPr>
                <w:color w:val="auto"/>
                <w:sz w:val="12"/>
                <w:szCs w:val="12"/>
              </w:rPr>
            </w:pPr>
          </w:p>
        </w:tc>
      </w:tr>
      <w:tr w:rsidR="004B0524" w:rsidRPr="00F9037E" w14:paraId="34660559" w14:textId="77777777" w:rsidTr="00C05C97">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0A12D5BB" w14:textId="5823DA99" w:rsidR="004B0524" w:rsidRPr="00F9037E" w:rsidRDefault="004B0524" w:rsidP="00C05C97">
            <w:pPr>
              <w:spacing w:before="120" w:after="120"/>
              <w:rPr>
                <w:color w:val="auto"/>
                <w:sz w:val="12"/>
                <w:szCs w:val="12"/>
              </w:rPr>
            </w:pPr>
            <w:r w:rsidRPr="00F9037E">
              <w:rPr>
                <w:color w:val="auto"/>
                <w:sz w:val="12"/>
                <w:szCs w:val="12"/>
              </w:rPr>
              <w:t>Greece</w:t>
            </w:r>
          </w:p>
        </w:tc>
        <w:tc>
          <w:tcPr>
            <w:tcW w:w="1385" w:type="dxa"/>
            <w:gridSpan w:val="2"/>
            <w:tcBorders>
              <w:top w:val="single" w:sz="8" w:space="0" w:color="auto"/>
              <w:left w:val="nil"/>
              <w:bottom w:val="single" w:sz="8" w:space="0" w:color="auto"/>
              <w:right w:val="single" w:sz="8" w:space="0" w:color="000000"/>
            </w:tcBorders>
            <w:shd w:val="clear" w:color="auto" w:fill="auto"/>
            <w:vAlign w:val="center"/>
          </w:tcPr>
          <w:p w14:paraId="0F9E0A87" w14:textId="77777777" w:rsidR="004B0524" w:rsidRPr="00F9037E" w:rsidRDefault="004B0524" w:rsidP="00C05C97">
            <w:pPr>
              <w:spacing w:before="120" w:after="120"/>
              <w:rPr>
                <w:color w:val="auto"/>
                <w:sz w:val="12"/>
                <w:szCs w:val="12"/>
              </w:rPr>
            </w:pPr>
            <w:r w:rsidRPr="00F9037E">
              <w:rPr>
                <w:color w:val="auto"/>
                <w:sz w:val="12"/>
                <w:szCs w:val="12"/>
              </w:rPr>
              <w:t>Rice and legumes</w:t>
            </w:r>
          </w:p>
        </w:tc>
        <w:tc>
          <w:tcPr>
            <w:tcW w:w="567" w:type="dxa"/>
            <w:tcBorders>
              <w:top w:val="nil"/>
              <w:left w:val="nil"/>
              <w:bottom w:val="single" w:sz="8" w:space="0" w:color="auto"/>
              <w:right w:val="single" w:sz="8" w:space="0" w:color="auto"/>
            </w:tcBorders>
            <w:shd w:val="clear" w:color="auto" w:fill="auto"/>
            <w:vAlign w:val="center"/>
          </w:tcPr>
          <w:p w14:paraId="3D069B3C" w14:textId="77777777" w:rsidR="004B0524" w:rsidRPr="00F9037E" w:rsidRDefault="004B0524" w:rsidP="00C05C97">
            <w:pPr>
              <w:spacing w:before="120" w:after="120"/>
              <w:jc w:val="center"/>
              <w:rPr>
                <w:color w:val="auto"/>
                <w:sz w:val="12"/>
                <w:szCs w:val="12"/>
              </w:rPr>
            </w:pPr>
            <w:r w:rsidRPr="00F9037E">
              <w:rPr>
                <w:color w:val="auto"/>
                <w:sz w:val="12"/>
                <w:szCs w:val="12"/>
              </w:rPr>
              <w:t>2.355</w:t>
            </w:r>
          </w:p>
        </w:tc>
        <w:tc>
          <w:tcPr>
            <w:tcW w:w="567" w:type="dxa"/>
            <w:tcBorders>
              <w:top w:val="nil"/>
              <w:left w:val="nil"/>
              <w:bottom w:val="single" w:sz="8" w:space="0" w:color="auto"/>
              <w:right w:val="single" w:sz="8" w:space="0" w:color="auto"/>
            </w:tcBorders>
            <w:shd w:val="clear" w:color="auto" w:fill="auto"/>
            <w:vAlign w:val="center"/>
          </w:tcPr>
          <w:p w14:paraId="417E1D7F" w14:textId="72860794"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E3E5CAB" w14:textId="1ADDBD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975C331" w14:textId="47BA4C15"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5CE1C0D" w14:textId="510590E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F16CBC2" w14:textId="5D94CE80"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8938B52" w14:textId="30C2E383"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F54AB51" w14:textId="3F9ED85B"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4E3D3D28"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E60159A"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7298843"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3F5D71F1" w14:textId="4BDEE4A3"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EE91133" w14:textId="77777777" w:rsidR="004B0524" w:rsidRPr="00F9037E" w:rsidRDefault="004B0524" w:rsidP="00C05C97">
            <w:pPr>
              <w:spacing w:before="120" w:after="120"/>
              <w:jc w:val="center"/>
              <w:rPr>
                <w:color w:val="auto"/>
                <w:sz w:val="12"/>
                <w:szCs w:val="12"/>
              </w:rPr>
            </w:pPr>
            <w:r w:rsidRPr="00F9037E">
              <w:rPr>
                <w:color w:val="auto"/>
                <w:sz w:val="12"/>
                <w:szCs w:val="12"/>
              </w:rPr>
              <w:t>2.355</w:t>
            </w:r>
          </w:p>
        </w:tc>
        <w:tc>
          <w:tcPr>
            <w:tcW w:w="567" w:type="dxa"/>
            <w:tcBorders>
              <w:top w:val="nil"/>
              <w:left w:val="nil"/>
              <w:bottom w:val="single" w:sz="8" w:space="0" w:color="auto"/>
              <w:right w:val="single" w:sz="8" w:space="0" w:color="auto"/>
            </w:tcBorders>
            <w:shd w:val="clear" w:color="auto" w:fill="auto"/>
            <w:vAlign w:val="center"/>
          </w:tcPr>
          <w:p w14:paraId="4E45CBE2" w14:textId="40F6294A"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6AB8EC4" w14:textId="3E9AE130"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E90E418" w14:textId="56BDB81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78B6653" w14:textId="474C396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9E176CA" w14:textId="5242DF3C"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1996E7F2" w14:textId="6A7AF130"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D4CEA1B"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ABDFAAF"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546BC22"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5AC0C71" w14:textId="77777777" w:rsidR="004B0524" w:rsidRPr="00F9037E" w:rsidRDefault="004B0524" w:rsidP="00C05C97">
            <w:pPr>
              <w:spacing w:before="120" w:after="120"/>
              <w:jc w:val="center"/>
              <w:rPr>
                <w:color w:val="auto"/>
                <w:sz w:val="12"/>
                <w:szCs w:val="12"/>
              </w:rPr>
            </w:pPr>
          </w:p>
        </w:tc>
      </w:tr>
      <w:tr w:rsidR="004B0524" w:rsidRPr="00F9037E" w14:paraId="433DCBFE" w14:textId="77777777" w:rsidTr="00C05C97">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48E7E6F2" w14:textId="0983A9F7" w:rsidR="004B0524" w:rsidRPr="00F9037E" w:rsidRDefault="004B0524" w:rsidP="00C05C97">
            <w:pPr>
              <w:spacing w:before="120" w:after="120"/>
              <w:rPr>
                <w:color w:val="auto"/>
                <w:sz w:val="12"/>
                <w:szCs w:val="12"/>
              </w:rPr>
            </w:pPr>
            <w:r w:rsidRPr="00F9037E">
              <w:rPr>
                <w:color w:val="auto"/>
                <w:sz w:val="12"/>
                <w:szCs w:val="12"/>
              </w:rPr>
              <w:t>Ireland</w:t>
            </w:r>
          </w:p>
        </w:tc>
        <w:tc>
          <w:tcPr>
            <w:tcW w:w="818" w:type="dxa"/>
            <w:tcBorders>
              <w:top w:val="nil"/>
              <w:left w:val="nil"/>
              <w:bottom w:val="single" w:sz="8" w:space="0" w:color="auto"/>
              <w:right w:val="single" w:sz="8" w:space="0" w:color="auto"/>
            </w:tcBorders>
            <w:shd w:val="clear" w:color="auto" w:fill="auto"/>
            <w:vAlign w:val="center"/>
          </w:tcPr>
          <w:p w14:paraId="0393B3ED" w14:textId="77777777" w:rsidR="004B0524" w:rsidRPr="00F9037E" w:rsidRDefault="004B0524" w:rsidP="00C05C97">
            <w:pPr>
              <w:spacing w:before="120" w:after="120"/>
              <w:rPr>
                <w:color w:val="auto"/>
                <w:sz w:val="12"/>
                <w:szCs w:val="12"/>
              </w:rPr>
            </w:pPr>
            <w:r w:rsidRPr="00F9037E">
              <w:rPr>
                <w:color w:val="auto"/>
                <w:sz w:val="12"/>
                <w:szCs w:val="12"/>
              </w:rPr>
              <w:t>Mills</w:t>
            </w:r>
          </w:p>
        </w:tc>
        <w:tc>
          <w:tcPr>
            <w:tcW w:w="567" w:type="dxa"/>
            <w:tcBorders>
              <w:top w:val="nil"/>
              <w:left w:val="nil"/>
              <w:bottom w:val="single" w:sz="8" w:space="0" w:color="auto"/>
              <w:right w:val="single" w:sz="8" w:space="0" w:color="auto"/>
            </w:tcBorders>
            <w:shd w:val="clear" w:color="auto" w:fill="auto"/>
            <w:vAlign w:val="center"/>
          </w:tcPr>
          <w:p w14:paraId="546A2EB0" w14:textId="1B1C0EF2"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88DFA7F" w14:textId="77777777" w:rsidR="004B0524" w:rsidRPr="00F9037E" w:rsidRDefault="004B0524" w:rsidP="00C05C97">
            <w:pPr>
              <w:spacing w:before="120" w:after="120"/>
              <w:jc w:val="center"/>
              <w:rPr>
                <w:color w:val="auto"/>
                <w:sz w:val="12"/>
                <w:szCs w:val="12"/>
              </w:rPr>
            </w:pPr>
            <w:r w:rsidRPr="00F9037E">
              <w:rPr>
                <w:color w:val="auto"/>
                <w:sz w:val="12"/>
                <w:szCs w:val="12"/>
              </w:rPr>
              <w:t>0.888</w:t>
            </w:r>
          </w:p>
        </w:tc>
        <w:tc>
          <w:tcPr>
            <w:tcW w:w="567" w:type="dxa"/>
            <w:tcBorders>
              <w:top w:val="nil"/>
              <w:left w:val="nil"/>
              <w:bottom w:val="single" w:sz="8" w:space="0" w:color="auto"/>
              <w:right w:val="single" w:sz="8" w:space="0" w:color="auto"/>
            </w:tcBorders>
            <w:shd w:val="clear" w:color="auto" w:fill="auto"/>
            <w:vAlign w:val="center"/>
          </w:tcPr>
          <w:p w14:paraId="49CF8479" w14:textId="77777777" w:rsidR="004B0524" w:rsidRPr="00F9037E" w:rsidRDefault="004B0524" w:rsidP="00C05C97">
            <w:pPr>
              <w:spacing w:before="120" w:after="120"/>
              <w:jc w:val="center"/>
              <w:rPr>
                <w:color w:val="auto"/>
                <w:sz w:val="12"/>
                <w:szCs w:val="12"/>
              </w:rPr>
            </w:pPr>
            <w:r w:rsidRPr="00F9037E">
              <w:rPr>
                <w:color w:val="auto"/>
                <w:sz w:val="12"/>
                <w:szCs w:val="12"/>
              </w:rPr>
              <w:t>0.611</w:t>
            </w:r>
          </w:p>
        </w:tc>
        <w:tc>
          <w:tcPr>
            <w:tcW w:w="567" w:type="dxa"/>
            <w:tcBorders>
              <w:top w:val="nil"/>
              <w:left w:val="nil"/>
              <w:bottom w:val="single" w:sz="8" w:space="0" w:color="auto"/>
              <w:right w:val="single" w:sz="8" w:space="0" w:color="auto"/>
            </w:tcBorders>
            <w:shd w:val="clear" w:color="auto" w:fill="auto"/>
            <w:vAlign w:val="center"/>
          </w:tcPr>
          <w:p w14:paraId="3919E17C" w14:textId="1E7625D2"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0EC2F7C" w14:textId="35959CD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FE66EED" w14:textId="47AEBCBF"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63A73DA" w14:textId="158BC0A8"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B7B78D8" w14:textId="2D6ABBA2"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AD7B9AF" w14:textId="72ACFE14"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10FB1F6E"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CF182ED"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83867E9"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16F716C3" w14:textId="719C495D"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030E466" w14:textId="77777777" w:rsidR="004B0524" w:rsidRPr="00F9037E" w:rsidRDefault="004B0524" w:rsidP="00C05C97">
            <w:pPr>
              <w:spacing w:before="120" w:after="120"/>
              <w:jc w:val="center"/>
              <w:rPr>
                <w:color w:val="auto"/>
                <w:sz w:val="12"/>
                <w:szCs w:val="12"/>
              </w:rPr>
            </w:pPr>
            <w:r w:rsidRPr="00F9037E">
              <w:rPr>
                <w:color w:val="auto"/>
                <w:sz w:val="12"/>
                <w:szCs w:val="12"/>
              </w:rPr>
              <w:t>0.888</w:t>
            </w:r>
          </w:p>
        </w:tc>
        <w:tc>
          <w:tcPr>
            <w:tcW w:w="567" w:type="dxa"/>
            <w:tcBorders>
              <w:top w:val="nil"/>
              <w:left w:val="nil"/>
              <w:bottom w:val="single" w:sz="8" w:space="0" w:color="auto"/>
              <w:right w:val="single" w:sz="8" w:space="0" w:color="auto"/>
            </w:tcBorders>
            <w:shd w:val="clear" w:color="auto" w:fill="auto"/>
            <w:vAlign w:val="center"/>
          </w:tcPr>
          <w:p w14:paraId="0EB6E151" w14:textId="13B7579E"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8EEA61D" w14:textId="7BA91259"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667572B" w14:textId="2031EB40"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587BBAE" w14:textId="361AC6F3"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337B863" w14:textId="3C4F23CE"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5BA96DF4" w14:textId="431D734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DEC0821"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3008F57"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787BCAC"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D5DD192" w14:textId="77777777" w:rsidR="004B0524" w:rsidRPr="00F9037E" w:rsidRDefault="004B0524" w:rsidP="00C05C97">
            <w:pPr>
              <w:spacing w:before="120" w:after="120"/>
              <w:jc w:val="center"/>
              <w:rPr>
                <w:color w:val="auto"/>
                <w:sz w:val="12"/>
                <w:szCs w:val="12"/>
              </w:rPr>
            </w:pPr>
          </w:p>
        </w:tc>
      </w:tr>
      <w:tr w:rsidR="004B0524" w:rsidRPr="00F9037E" w14:paraId="5C3B329D" w14:textId="77777777" w:rsidTr="00C05C97">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34C7B627" w14:textId="5BDC0B4F" w:rsidR="004B0524" w:rsidRPr="00F9037E" w:rsidRDefault="004B0524" w:rsidP="00C05C97">
            <w:pPr>
              <w:spacing w:before="120" w:after="120"/>
              <w:rPr>
                <w:color w:val="auto"/>
                <w:sz w:val="12"/>
                <w:szCs w:val="12"/>
              </w:rPr>
            </w:pPr>
            <w:r w:rsidRPr="00F9037E">
              <w:rPr>
                <w:color w:val="auto"/>
                <w:sz w:val="12"/>
                <w:szCs w:val="12"/>
              </w:rPr>
              <w:t>Israel</w:t>
            </w:r>
          </w:p>
        </w:tc>
        <w:tc>
          <w:tcPr>
            <w:tcW w:w="818" w:type="dxa"/>
            <w:tcBorders>
              <w:top w:val="nil"/>
              <w:left w:val="nil"/>
              <w:bottom w:val="single" w:sz="8" w:space="0" w:color="auto"/>
              <w:right w:val="single" w:sz="8" w:space="0" w:color="auto"/>
            </w:tcBorders>
            <w:shd w:val="clear" w:color="auto" w:fill="auto"/>
            <w:vAlign w:val="center"/>
          </w:tcPr>
          <w:p w14:paraId="6CA3B8B4" w14:textId="77777777" w:rsidR="004B0524" w:rsidRPr="00F9037E" w:rsidRDefault="004B0524" w:rsidP="00C05C97">
            <w:pPr>
              <w:spacing w:before="120" w:after="120"/>
              <w:rPr>
                <w:color w:val="auto"/>
                <w:sz w:val="12"/>
                <w:szCs w:val="12"/>
              </w:rPr>
            </w:pPr>
            <w:r w:rsidRPr="00F9037E">
              <w:rPr>
                <w:color w:val="auto"/>
                <w:sz w:val="12"/>
                <w:szCs w:val="12"/>
              </w:rPr>
              <w:t>Artefacts</w:t>
            </w:r>
          </w:p>
        </w:tc>
        <w:tc>
          <w:tcPr>
            <w:tcW w:w="567" w:type="dxa"/>
            <w:tcBorders>
              <w:top w:val="nil"/>
              <w:left w:val="nil"/>
              <w:bottom w:val="single" w:sz="8" w:space="0" w:color="auto"/>
              <w:right w:val="single" w:sz="8" w:space="0" w:color="auto"/>
            </w:tcBorders>
            <w:shd w:val="clear" w:color="auto" w:fill="auto"/>
            <w:vAlign w:val="center"/>
          </w:tcPr>
          <w:p w14:paraId="5FF1B69E" w14:textId="77777777" w:rsidR="004B0524" w:rsidRPr="00F9037E" w:rsidRDefault="004B0524" w:rsidP="00C05C97">
            <w:pPr>
              <w:spacing w:before="120" w:after="120"/>
              <w:jc w:val="center"/>
              <w:rPr>
                <w:color w:val="auto"/>
                <w:sz w:val="12"/>
                <w:szCs w:val="12"/>
              </w:rPr>
            </w:pPr>
            <w:r w:rsidRPr="00F9037E">
              <w:rPr>
                <w:color w:val="auto"/>
                <w:sz w:val="12"/>
                <w:szCs w:val="12"/>
              </w:rPr>
              <w:t>0.650</w:t>
            </w:r>
          </w:p>
        </w:tc>
        <w:tc>
          <w:tcPr>
            <w:tcW w:w="567" w:type="dxa"/>
            <w:tcBorders>
              <w:top w:val="nil"/>
              <w:left w:val="nil"/>
              <w:bottom w:val="single" w:sz="8" w:space="0" w:color="auto"/>
              <w:right w:val="single" w:sz="8" w:space="0" w:color="auto"/>
            </w:tcBorders>
            <w:shd w:val="clear" w:color="auto" w:fill="auto"/>
            <w:vAlign w:val="center"/>
          </w:tcPr>
          <w:p w14:paraId="56F7B486" w14:textId="77777777" w:rsidR="004B0524" w:rsidRPr="00F9037E" w:rsidRDefault="004B0524" w:rsidP="00C05C97">
            <w:pPr>
              <w:spacing w:before="120" w:after="120"/>
              <w:jc w:val="center"/>
              <w:rPr>
                <w:color w:val="auto"/>
                <w:sz w:val="12"/>
                <w:szCs w:val="12"/>
              </w:rPr>
            </w:pPr>
            <w:r w:rsidRPr="00F9037E">
              <w:rPr>
                <w:color w:val="auto"/>
                <w:sz w:val="12"/>
                <w:szCs w:val="12"/>
              </w:rPr>
              <w:t>0.650</w:t>
            </w:r>
          </w:p>
        </w:tc>
        <w:tc>
          <w:tcPr>
            <w:tcW w:w="567" w:type="dxa"/>
            <w:tcBorders>
              <w:top w:val="nil"/>
              <w:left w:val="nil"/>
              <w:bottom w:val="single" w:sz="8" w:space="0" w:color="auto"/>
              <w:right w:val="single" w:sz="8" w:space="0" w:color="auto"/>
            </w:tcBorders>
            <w:shd w:val="clear" w:color="auto" w:fill="auto"/>
            <w:vAlign w:val="center"/>
          </w:tcPr>
          <w:p w14:paraId="77D54C72" w14:textId="77777777" w:rsidR="004B0524" w:rsidRPr="00F9037E" w:rsidRDefault="004B0524" w:rsidP="00C05C97">
            <w:pPr>
              <w:spacing w:before="120" w:after="120"/>
              <w:jc w:val="center"/>
              <w:rPr>
                <w:color w:val="auto"/>
                <w:sz w:val="12"/>
                <w:szCs w:val="12"/>
              </w:rPr>
            </w:pPr>
            <w:r w:rsidRPr="00F9037E">
              <w:rPr>
                <w:color w:val="auto"/>
                <w:sz w:val="12"/>
                <w:szCs w:val="12"/>
              </w:rPr>
              <w:t>0.600</w:t>
            </w:r>
          </w:p>
        </w:tc>
        <w:tc>
          <w:tcPr>
            <w:tcW w:w="567" w:type="dxa"/>
            <w:tcBorders>
              <w:top w:val="nil"/>
              <w:left w:val="nil"/>
              <w:bottom w:val="single" w:sz="8" w:space="0" w:color="auto"/>
              <w:right w:val="single" w:sz="8" w:space="0" w:color="auto"/>
            </w:tcBorders>
            <w:shd w:val="clear" w:color="auto" w:fill="auto"/>
            <w:vAlign w:val="center"/>
          </w:tcPr>
          <w:p w14:paraId="4CE2B477" w14:textId="23AACF7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032073B" w14:textId="6AE59BB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A4C3FA6" w14:textId="059377A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A327549" w14:textId="0561EFC1"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CCA2AEA" w14:textId="1937676D"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2DD3218" w14:textId="7D878FCB"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1AD78987"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9C3CC78"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787FBEC"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46D86EE4" w14:textId="77777777" w:rsidR="004B0524" w:rsidRPr="00F9037E" w:rsidRDefault="004B0524" w:rsidP="00C05C97">
            <w:pPr>
              <w:spacing w:before="120" w:after="120"/>
              <w:jc w:val="center"/>
              <w:rPr>
                <w:color w:val="auto"/>
                <w:sz w:val="12"/>
                <w:szCs w:val="12"/>
              </w:rPr>
            </w:pPr>
            <w:r w:rsidRPr="00F9037E">
              <w:rPr>
                <w:color w:val="auto"/>
                <w:sz w:val="12"/>
                <w:szCs w:val="12"/>
              </w:rPr>
              <w:t>0.650</w:t>
            </w:r>
          </w:p>
        </w:tc>
        <w:tc>
          <w:tcPr>
            <w:tcW w:w="567" w:type="dxa"/>
            <w:tcBorders>
              <w:top w:val="nil"/>
              <w:left w:val="nil"/>
              <w:bottom w:val="single" w:sz="8" w:space="0" w:color="auto"/>
              <w:right w:val="single" w:sz="8" w:space="0" w:color="auto"/>
            </w:tcBorders>
            <w:shd w:val="clear" w:color="auto" w:fill="auto"/>
            <w:vAlign w:val="center"/>
          </w:tcPr>
          <w:p w14:paraId="7822F8B7" w14:textId="77777777" w:rsidR="004B0524" w:rsidRPr="00F9037E" w:rsidRDefault="004B0524" w:rsidP="00C05C97">
            <w:pPr>
              <w:spacing w:before="120" w:after="120"/>
              <w:jc w:val="center"/>
              <w:rPr>
                <w:color w:val="auto"/>
                <w:sz w:val="12"/>
                <w:szCs w:val="12"/>
              </w:rPr>
            </w:pPr>
            <w:r w:rsidRPr="00F9037E">
              <w:rPr>
                <w:color w:val="auto"/>
                <w:sz w:val="12"/>
                <w:szCs w:val="12"/>
              </w:rPr>
              <w:t>0.6500</w:t>
            </w:r>
          </w:p>
        </w:tc>
        <w:tc>
          <w:tcPr>
            <w:tcW w:w="567" w:type="dxa"/>
            <w:tcBorders>
              <w:top w:val="nil"/>
              <w:left w:val="nil"/>
              <w:bottom w:val="single" w:sz="8" w:space="0" w:color="auto"/>
              <w:right w:val="single" w:sz="8" w:space="0" w:color="auto"/>
            </w:tcBorders>
            <w:shd w:val="clear" w:color="auto" w:fill="auto"/>
            <w:vAlign w:val="center"/>
          </w:tcPr>
          <w:p w14:paraId="70AC8727" w14:textId="54A45EB9"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5C9DAFB" w14:textId="40D2C25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BE293BE" w14:textId="707642FE"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E4AC194" w14:textId="03F4FDBE"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4F137A3" w14:textId="68B7120D"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54F03F21" w14:textId="523C671F"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FB2C9CE"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8F49E22"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B633DF7"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94D0EBD" w14:textId="77777777" w:rsidR="004B0524" w:rsidRPr="00F9037E" w:rsidRDefault="004B0524" w:rsidP="00C05C97">
            <w:pPr>
              <w:spacing w:before="120" w:after="120"/>
              <w:jc w:val="center"/>
              <w:rPr>
                <w:color w:val="auto"/>
                <w:sz w:val="12"/>
                <w:szCs w:val="12"/>
              </w:rPr>
            </w:pPr>
          </w:p>
        </w:tc>
      </w:tr>
      <w:tr w:rsidR="004B0524" w:rsidRPr="00F9037E" w14:paraId="2C8BDD1E" w14:textId="77777777" w:rsidTr="00C05C97">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6119596" w14:textId="724CE767" w:rsidR="004B0524" w:rsidRPr="00F9037E" w:rsidRDefault="004B0524" w:rsidP="00C05C97">
            <w:pPr>
              <w:spacing w:before="120" w:after="120"/>
              <w:rPr>
                <w:color w:val="auto"/>
                <w:sz w:val="12"/>
                <w:szCs w:val="12"/>
              </w:rPr>
            </w:pPr>
            <w:r w:rsidRPr="00F9037E">
              <w:rPr>
                <w:color w:val="auto"/>
                <w:sz w:val="12"/>
                <w:szCs w:val="12"/>
              </w:rPr>
              <w:t>Israel</w:t>
            </w:r>
          </w:p>
        </w:tc>
        <w:tc>
          <w:tcPr>
            <w:tcW w:w="818" w:type="dxa"/>
            <w:tcBorders>
              <w:top w:val="nil"/>
              <w:left w:val="nil"/>
              <w:bottom w:val="single" w:sz="8" w:space="0" w:color="auto"/>
              <w:right w:val="single" w:sz="8" w:space="0" w:color="auto"/>
            </w:tcBorders>
            <w:shd w:val="clear" w:color="auto" w:fill="auto"/>
            <w:vAlign w:val="center"/>
          </w:tcPr>
          <w:p w14:paraId="4BA4928E" w14:textId="77777777" w:rsidR="004B0524" w:rsidRPr="00F9037E" w:rsidRDefault="004B0524" w:rsidP="00C05C97">
            <w:pPr>
              <w:spacing w:before="120" w:after="120"/>
              <w:rPr>
                <w:color w:val="auto"/>
                <w:sz w:val="12"/>
                <w:szCs w:val="12"/>
              </w:rPr>
            </w:pPr>
            <w:r w:rsidRPr="00F9037E">
              <w:rPr>
                <w:color w:val="auto"/>
                <w:sz w:val="12"/>
                <w:szCs w:val="12"/>
              </w:rPr>
              <w:t>Dates (</w:t>
            </w:r>
            <w:proofErr w:type="spellStart"/>
            <w:r w:rsidRPr="00F9037E">
              <w:rPr>
                <w:color w:val="auto"/>
                <w:sz w:val="12"/>
                <w:szCs w:val="12"/>
              </w:rPr>
              <w:t>post harvest</w:t>
            </w:r>
            <w:proofErr w:type="spellEnd"/>
            <w:r w:rsidRPr="00F9037E">
              <w:rPr>
                <w:color w:val="auto"/>
                <w:sz w:val="12"/>
                <w:szCs w:val="12"/>
              </w:rPr>
              <w:t>)</w:t>
            </w:r>
          </w:p>
        </w:tc>
        <w:tc>
          <w:tcPr>
            <w:tcW w:w="567" w:type="dxa"/>
            <w:tcBorders>
              <w:top w:val="nil"/>
              <w:left w:val="nil"/>
              <w:bottom w:val="single" w:sz="8" w:space="0" w:color="auto"/>
              <w:right w:val="single" w:sz="8" w:space="0" w:color="auto"/>
            </w:tcBorders>
            <w:shd w:val="clear" w:color="auto" w:fill="auto"/>
            <w:vAlign w:val="center"/>
          </w:tcPr>
          <w:p w14:paraId="03971D1E" w14:textId="77777777" w:rsidR="004B0524" w:rsidRPr="00F9037E" w:rsidRDefault="004B0524" w:rsidP="00C05C97">
            <w:pPr>
              <w:spacing w:before="120" w:after="120"/>
              <w:jc w:val="center"/>
              <w:rPr>
                <w:color w:val="auto"/>
                <w:sz w:val="12"/>
                <w:szCs w:val="12"/>
              </w:rPr>
            </w:pPr>
            <w:r w:rsidRPr="00F9037E">
              <w:rPr>
                <w:color w:val="auto"/>
                <w:sz w:val="12"/>
                <w:szCs w:val="12"/>
              </w:rPr>
              <w:t>3.444</w:t>
            </w:r>
          </w:p>
        </w:tc>
        <w:tc>
          <w:tcPr>
            <w:tcW w:w="567" w:type="dxa"/>
            <w:tcBorders>
              <w:top w:val="nil"/>
              <w:left w:val="nil"/>
              <w:bottom w:val="single" w:sz="8" w:space="0" w:color="auto"/>
              <w:right w:val="single" w:sz="8" w:space="0" w:color="auto"/>
            </w:tcBorders>
            <w:shd w:val="clear" w:color="auto" w:fill="auto"/>
            <w:vAlign w:val="center"/>
          </w:tcPr>
          <w:p w14:paraId="5744BEF8" w14:textId="77777777" w:rsidR="004B0524" w:rsidRPr="00F9037E" w:rsidRDefault="004B0524" w:rsidP="00C05C97">
            <w:pPr>
              <w:spacing w:before="120" w:after="120"/>
              <w:jc w:val="center"/>
              <w:rPr>
                <w:color w:val="auto"/>
                <w:sz w:val="12"/>
                <w:szCs w:val="12"/>
              </w:rPr>
            </w:pPr>
            <w:r w:rsidRPr="00F9037E">
              <w:rPr>
                <w:color w:val="auto"/>
                <w:sz w:val="12"/>
                <w:szCs w:val="12"/>
              </w:rPr>
              <w:t>3.444</w:t>
            </w:r>
          </w:p>
        </w:tc>
        <w:tc>
          <w:tcPr>
            <w:tcW w:w="567" w:type="dxa"/>
            <w:tcBorders>
              <w:top w:val="nil"/>
              <w:left w:val="nil"/>
              <w:bottom w:val="single" w:sz="8" w:space="0" w:color="auto"/>
              <w:right w:val="single" w:sz="8" w:space="0" w:color="auto"/>
            </w:tcBorders>
            <w:shd w:val="clear" w:color="auto" w:fill="auto"/>
            <w:vAlign w:val="center"/>
          </w:tcPr>
          <w:p w14:paraId="035F1D58" w14:textId="77777777" w:rsidR="004B0524" w:rsidRPr="00F9037E" w:rsidRDefault="004B0524" w:rsidP="00C05C97">
            <w:pPr>
              <w:spacing w:before="120" w:after="120"/>
              <w:jc w:val="center"/>
              <w:rPr>
                <w:color w:val="auto"/>
                <w:sz w:val="12"/>
                <w:szCs w:val="12"/>
              </w:rPr>
            </w:pPr>
            <w:r w:rsidRPr="00F9037E">
              <w:rPr>
                <w:color w:val="auto"/>
                <w:sz w:val="12"/>
                <w:szCs w:val="12"/>
              </w:rPr>
              <w:t>2.200</w:t>
            </w:r>
          </w:p>
        </w:tc>
        <w:tc>
          <w:tcPr>
            <w:tcW w:w="567" w:type="dxa"/>
            <w:tcBorders>
              <w:top w:val="nil"/>
              <w:left w:val="nil"/>
              <w:bottom w:val="single" w:sz="8" w:space="0" w:color="auto"/>
              <w:right w:val="single" w:sz="8" w:space="0" w:color="auto"/>
            </w:tcBorders>
            <w:shd w:val="clear" w:color="auto" w:fill="auto"/>
            <w:vAlign w:val="center"/>
          </w:tcPr>
          <w:p w14:paraId="72F565FF" w14:textId="77777777" w:rsidR="004B0524" w:rsidRPr="00F9037E" w:rsidRDefault="004B0524" w:rsidP="00C05C97">
            <w:pPr>
              <w:spacing w:before="120" w:after="120"/>
              <w:jc w:val="center"/>
              <w:rPr>
                <w:color w:val="auto"/>
                <w:sz w:val="12"/>
                <w:szCs w:val="12"/>
              </w:rPr>
            </w:pPr>
            <w:r w:rsidRPr="00F9037E">
              <w:rPr>
                <w:color w:val="auto"/>
                <w:sz w:val="12"/>
                <w:szCs w:val="12"/>
              </w:rPr>
              <w:t>1.800</w:t>
            </w:r>
          </w:p>
        </w:tc>
        <w:tc>
          <w:tcPr>
            <w:tcW w:w="567" w:type="dxa"/>
            <w:tcBorders>
              <w:top w:val="nil"/>
              <w:left w:val="nil"/>
              <w:bottom w:val="single" w:sz="8" w:space="0" w:color="auto"/>
              <w:right w:val="single" w:sz="8" w:space="0" w:color="auto"/>
            </w:tcBorders>
            <w:shd w:val="clear" w:color="auto" w:fill="auto"/>
            <w:vAlign w:val="center"/>
          </w:tcPr>
          <w:p w14:paraId="4B56EE35" w14:textId="77777777" w:rsidR="004B0524" w:rsidRPr="00F9037E" w:rsidRDefault="004B0524" w:rsidP="00C05C97">
            <w:pPr>
              <w:spacing w:before="120" w:after="120"/>
              <w:jc w:val="center"/>
              <w:rPr>
                <w:color w:val="auto"/>
                <w:sz w:val="12"/>
                <w:szCs w:val="12"/>
              </w:rPr>
            </w:pPr>
            <w:r w:rsidRPr="00F9037E">
              <w:rPr>
                <w:color w:val="auto"/>
                <w:sz w:val="12"/>
                <w:szCs w:val="12"/>
              </w:rPr>
              <w:t>2.100</w:t>
            </w:r>
          </w:p>
        </w:tc>
        <w:tc>
          <w:tcPr>
            <w:tcW w:w="567" w:type="dxa"/>
            <w:tcBorders>
              <w:top w:val="nil"/>
              <w:left w:val="nil"/>
              <w:bottom w:val="single" w:sz="8" w:space="0" w:color="auto"/>
              <w:right w:val="single" w:sz="8" w:space="0" w:color="auto"/>
            </w:tcBorders>
            <w:shd w:val="clear" w:color="auto" w:fill="auto"/>
            <w:vAlign w:val="center"/>
          </w:tcPr>
          <w:p w14:paraId="60FD49C8" w14:textId="0B563DC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0047863" w14:textId="068CA93A"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68B5C08" w14:textId="5D44D6CF"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B5698AA" w14:textId="34F19AA4"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242B920B"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68E7322"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1E3AF9A"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66D46F06" w14:textId="77777777" w:rsidR="004B0524" w:rsidRPr="00F9037E" w:rsidRDefault="004B0524" w:rsidP="00C05C97">
            <w:pPr>
              <w:spacing w:before="120" w:after="120"/>
              <w:jc w:val="center"/>
              <w:rPr>
                <w:color w:val="auto"/>
                <w:sz w:val="12"/>
                <w:szCs w:val="12"/>
              </w:rPr>
            </w:pPr>
            <w:r w:rsidRPr="00F9037E">
              <w:rPr>
                <w:color w:val="auto"/>
                <w:sz w:val="12"/>
                <w:szCs w:val="12"/>
              </w:rPr>
              <w:t>3.444</w:t>
            </w:r>
          </w:p>
        </w:tc>
        <w:tc>
          <w:tcPr>
            <w:tcW w:w="567" w:type="dxa"/>
            <w:tcBorders>
              <w:top w:val="nil"/>
              <w:left w:val="nil"/>
              <w:bottom w:val="single" w:sz="8" w:space="0" w:color="auto"/>
              <w:right w:val="single" w:sz="8" w:space="0" w:color="auto"/>
            </w:tcBorders>
            <w:shd w:val="clear" w:color="auto" w:fill="auto"/>
            <w:vAlign w:val="center"/>
          </w:tcPr>
          <w:p w14:paraId="7EB42F57" w14:textId="77777777" w:rsidR="004B0524" w:rsidRPr="00F9037E" w:rsidRDefault="004B0524" w:rsidP="00C05C97">
            <w:pPr>
              <w:spacing w:before="120" w:after="120"/>
              <w:jc w:val="center"/>
              <w:rPr>
                <w:color w:val="auto"/>
                <w:sz w:val="12"/>
                <w:szCs w:val="12"/>
              </w:rPr>
            </w:pPr>
            <w:r w:rsidRPr="00F9037E">
              <w:rPr>
                <w:color w:val="auto"/>
                <w:sz w:val="12"/>
                <w:szCs w:val="12"/>
              </w:rPr>
              <w:t>2.755</w:t>
            </w:r>
          </w:p>
        </w:tc>
        <w:tc>
          <w:tcPr>
            <w:tcW w:w="567" w:type="dxa"/>
            <w:tcBorders>
              <w:top w:val="nil"/>
              <w:left w:val="nil"/>
              <w:bottom w:val="single" w:sz="8" w:space="0" w:color="auto"/>
              <w:right w:val="single" w:sz="8" w:space="0" w:color="auto"/>
            </w:tcBorders>
            <w:shd w:val="clear" w:color="auto" w:fill="auto"/>
            <w:vAlign w:val="center"/>
          </w:tcPr>
          <w:p w14:paraId="6189079A" w14:textId="77777777" w:rsidR="004B0524" w:rsidRPr="00F9037E" w:rsidRDefault="004B0524" w:rsidP="00C05C97">
            <w:pPr>
              <w:spacing w:before="120" w:after="120"/>
              <w:jc w:val="center"/>
              <w:rPr>
                <w:color w:val="auto"/>
                <w:sz w:val="12"/>
                <w:szCs w:val="12"/>
              </w:rPr>
            </w:pPr>
            <w:r w:rsidRPr="00F9037E">
              <w:rPr>
                <w:color w:val="auto"/>
                <w:sz w:val="12"/>
                <w:szCs w:val="12"/>
              </w:rPr>
              <w:t>2.200</w:t>
            </w:r>
          </w:p>
        </w:tc>
        <w:tc>
          <w:tcPr>
            <w:tcW w:w="567" w:type="dxa"/>
            <w:tcBorders>
              <w:top w:val="nil"/>
              <w:left w:val="nil"/>
              <w:bottom w:val="single" w:sz="8" w:space="0" w:color="auto"/>
              <w:right w:val="single" w:sz="8" w:space="0" w:color="auto"/>
            </w:tcBorders>
            <w:shd w:val="clear" w:color="auto" w:fill="auto"/>
            <w:vAlign w:val="center"/>
          </w:tcPr>
          <w:p w14:paraId="60F58778" w14:textId="77777777" w:rsidR="004B0524" w:rsidRPr="00F9037E" w:rsidRDefault="004B0524" w:rsidP="00C05C97">
            <w:pPr>
              <w:spacing w:before="120" w:after="120"/>
              <w:jc w:val="center"/>
              <w:rPr>
                <w:color w:val="auto"/>
                <w:sz w:val="12"/>
                <w:szCs w:val="12"/>
              </w:rPr>
            </w:pPr>
            <w:r w:rsidRPr="00F9037E">
              <w:rPr>
                <w:color w:val="auto"/>
                <w:sz w:val="12"/>
                <w:szCs w:val="12"/>
              </w:rPr>
              <w:t>1.800</w:t>
            </w:r>
          </w:p>
        </w:tc>
        <w:tc>
          <w:tcPr>
            <w:tcW w:w="567" w:type="dxa"/>
            <w:tcBorders>
              <w:top w:val="nil"/>
              <w:left w:val="nil"/>
              <w:bottom w:val="single" w:sz="8" w:space="0" w:color="auto"/>
              <w:right w:val="single" w:sz="8" w:space="0" w:color="auto"/>
            </w:tcBorders>
            <w:shd w:val="clear" w:color="auto" w:fill="auto"/>
            <w:vAlign w:val="center"/>
          </w:tcPr>
          <w:p w14:paraId="465AEF58" w14:textId="77777777" w:rsidR="004B0524" w:rsidRPr="00F9037E" w:rsidRDefault="004B0524" w:rsidP="00C05C97">
            <w:pPr>
              <w:spacing w:before="120" w:after="120"/>
              <w:jc w:val="center"/>
              <w:rPr>
                <w:color w:val="auto"/>
                <w:sz w:val="12"/>
                <w:szCs w:val="12"/>
              </w:rPr>
            </w:pPr>
            <w:r w:rsidRPr="00F9037E">
              <w:rPr>
                <w:color w:val="auto"/>
                <w:sz w:val="12"/>
                <w:szCs w:val="12"/>
              </w:rPr>
              <w:t>2.100</w:t>
            </w:r>
          </w:p>
        </w:tc>
        <w:tc>
          <w:tcPr>
            <w:tcW w:w="567" w:type="dxa"/>
            <w:tcBorders>
              <w:top w:val="nil"/>
              <w:left w:val="nil"/>
              <w:bottom w:val="single" w:sz="8" w:space="0" w:color="auto"/>
              <w:right w:val="single" w:sz="8" w:space="0" w:color="auto"/>
            </w:tcBorders>
            <w:shd w:val="clear" w:color="auto" w:fill="auto"/>
            <w:vAlign w:val="center"/>
          </w:tcPr>
          <w:p w14:paraId="299CDA43" w14:textId="77777777" w:rsidR="004B0524" w:rsidRPr="00F9037E" w:rsidRDefault="004B0524" w:rsidP="00C05C97">
            <w:pPr>
              <w:spacing w:before="120" w:after="120"/>
              <w:jc w:val="center"/>
              <w:rPr>
                <w:color w:val="auto"/>
                <w:sz w:val="12"/>
                <w:szCs w:val="12"/>
              </w:rPr>
            </w:pPr>
            <w:r w:rsidRPr="00F9037E">
              <w:rPr>
                <w:color w:val="auto"/>
                <w:sz w:val="12"/>
                <w:szCs w:val="12"/>
              </w:rPr>
              <w:t>1.040</w:t>
            </w:r>
          </w:p>
        </w:tc>
        <w:tc>
          <w:tcPr>
            <w:tcW w:w="567" w:type="dxa"/>
            <w:tcBorders>
              <w:top w:val="nil"/>
              <w:left w:val="nil"/>
              <w:bottom w:val="single" w:sz="8" w:space="0" w:color="auto"/>
              <w:right w:val="single" w:sz="8" w:space="0" w:color="auto"/>
            </w:tcBorders>
            <w:shd w:val="clear" w:color="auto" w:fill="auto"/>
            <w:vAlign w:val="center"/>
          </w:tcPr>
          <w:p w14:paraId="016E0746" w14:textId="33C65E72"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7519AE1E" w14:textId="5C21FF39"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5399CBF"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E3F4DB0"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D942DFC"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8B4D63E" w14:textId="77777777" w:rsidR="004B0524" w:rsidRPr="00F9037E" w:rsidRDefault="004B0524" w:rsidP="00C05C97">
            <w:pPr>
              <w:spacing w:before="120" w:after="120"/>
              <w:jc w:val="center"/>
              <w:rPr>
                <w:color w:val="auto"/>
                <w:sz w:val="12"/>
                <w:szCs w:val="12"/>
              </w:rPr>
            </w:pPr>
          </w:p>
        </w:tc>
      </w:tr>
      <w:tr w:rsidR="004B0524" w:rsidRPr="00F9037E" w14:paraId="78A83E10" w14:textId="77777777" w:rsidTr="00C05C97">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0CAEA483" w14:textId="1F49164F" w:rsidR="004B0524" w:rsidRPr="00F9037E" w:rsidRDefault="004B0524" w:rsidP="00C05C97">
            <w:pPr>
              <w:spacing w:before="120" w:after="120"/>
              <w:rPr>
                <w:color w:val="auto"/>
                <w:sz w:val="12"/>
                <w:szCs w:val="12"/>
              </w:rPr>
            </w:pPr>
            <w:r w:rsidRPr="00F9037E">
              <w:rPr>
                <w:color w:val="auto"/>
                <w:sz w:val="12"/>
                <w:szCs w:val="12"/>
              </w:rPr>
              <w:t>Israel</w:t>
            </w:r>
          </w:p>
        </w:tc>
        <w:tc>
          <w:tcPr>
            <w:tcW w:w="818" w:type="dxa"/>
            <w:tcBorders>
              <w:top w:val="nil"/>
              <w:left w:val="nil"/>
              <w:bottom w:val="single" w:sz="8" w:space="0" w:color="auto"/>
              <w:right w:val="single" w:sz="8" w:space="0" w:color="auto"/>
            </w:tcBorders>
            <w:shd w:val="clear" w:color="auto" w:fill="auto"/>
            <w:vAlign w:val="center"/>
          </w:tcPr>
          <w:p w14:paraId="22E9FC8D" w14:textId="77777777" w:rsidR="004B0524" w:rsidRPr="00F9037E" w:rsidRDefault="004B0524" w:rsidP="00C05C97">
            <w:pPr>
              <w:spacing w:before="120" w:after="120"/>
              <w:rPr>
                <w:color w:val="auto"/>
                <w:sz w:val="12"/>
                <w:szCs w:val="12"/>
              </w:rPr>
            </w:pPr>
            <w:r w:rsidRPr="00F9037E">
              <w:rPr>
                <w:color w:val="auto"/>
                <w:sz w:val="12"/>
                <w:szCs w:val="12"/>
              </w:rPr>
              <w:t>Flour mills (machinery &amp; storage)</w:t>
            </w:r>
          </w:p>
        </w:tc>
        <w:tc>
          <w:tcPr>
            <w:tcW w:w="567" w:type="dxa"/>
            <w:tcBorders>
              <w:top w:val="nil"/>
              <w:left w:val="nil"/>
              <w:bottom w:val="single" w:sz="8" w:space="0" w:color="auto"/>
              <w:right w:val="single" w:sz="8" w:space="0" w:color="auto"/>
            </w:tcBorders>
            <w:shd w:val="clear" w:color="auto" w:fill="auto"/>
            <w:vAlign w:val="center"/>
          </w:tcPr>
          <w:p w14:paraId="058A613A" w14:textId="77777777" w:rsidR="004B0524" w:rsidRPr="00F9037E" w:rsidRDefault="004B0524" w:rsidP="00C05C97">
            <w:pPr>
              <w:spacing w:before="120" w:after="120"/>
              <w:jc w:val="center"/>
              <w:rPr>
                <w:color w:val="auto"/>
                <w:sz w:val="12"/>
                <w:szCs w:val="12"/>
              </w:rPr>
            </w:pPr>
            <w:r w:rsidRPr="00F9037E">
              <w:rPr>
                <w:color w:val="auto"/>
                <w:sz w:val="12"/>
                <w:szCs w:val="12"/>
              </w:rPr>
              <w:t>2.140</w:t>
            </w:r>
          </w:p>
        </w:tc>
        <w:tc>
          <w:tcPr>
            <w:tcW w:w="567" w:type="dxa"/>
            <w:tcBorders>
              <w:top w:val="nil"/>
              <w:left w:val="nil"/>
              <w:bottom w:val="single" w:sz="8" w:space="0" w:color="auto"/>
              <w:right w:val="single" w:sz="8" w:space="0" w:color="auto"/>
            </w:tcBorders>
            <w:shd w:val="clear" w:color="auto" w:fill="auto"/>
            <w:vAlign w:val="center"/>
          </w:tcPr>
          <w:p w14:paraId="28C0A3CC" w14:textId="77777777" w:rsidR="004B0524" w:rsidRPr="00F9037E" w:rsidRDefault="004B0524" w:rsidP="00C05C97">
            <w:pPr>
              <w:spacing w:before="120" w:after="120"/>
              <w:jc w:val="center"/>
              <w:rPr>
                <w:color w:val="auto"/>
                <w:sz w:val="12"/>
                <w:szCs w:val="12"/>
              </w:rPr>
            </w:pPr>
            <w:r w:rsidRPr="00F9037E">
              <w:rPr>
                <w:color w:val="auto"/>
                <w:sz w:val="12"/>
                <w:szCs w:val="12"/>
              </w:rPr>
              <w:t>1.490</w:t>
            </w:r>
          </w:p>
        </w:tc>
        <w:tc>
          <w:tcPr>
            <w:tcW w:w="567" w:type="dxa"/>
            <w:tcBorders>
              <w:top w:val="nil"/>
              <w:left w:val="nil"/>
              <w:bottom w:val="single" w:sz="8" w:space="0" w:color="auto"/>
              <w:right w:val="single" w:sz="8" w:space="0" w:color="auto"/>
            </w:tcBorders>
            <w:shd w:val="clear" w:color="auto" w:fill="auto"/>
            <w:vAlign w:val="center"/>
          </w:tcPr>
          <w:p w14:paraId="015885A8" w14:textId="77777777" w:rsidR="004B0524" w:rsidRPr="00F9037E" w:rsidRDefault="004B0524" w:rsidP="00C05C97">
            <w:pPr>
              <w:spacing w:before="120" w:after="120"/>
              <w:jc w:val="center"/>
              <w:rPr>
                <w:color w:val="auto"/>
                <w:sz w:val="12"/>
                <w:szCs w:val="12"/>
              </w:rPr>
            </w:pPr>
            <w:r w:rsidRPr="00F9037E">
              <w:rPr>
                <w:color w:val="auto"/>
                <w:sz w:val="12"/>
                <w:szCs w:val="12"/>
              </w:rPr>
              <w:t>1.490</w:t>
            </w:r>
          </w:p>
        </w:tc>
        <w:tc>
          <w:tcPr>
            <w:tcW w:w="567" w:type="dxa"/>
            <w:tcBorders>
              <w:top w:val="nil"/>
              <w:left w:val="nil"/>
              <w:bottom w:val="single" w:sz="8" w:space="0" w:color="auto"/>
              <w:right w:val="single" w:sz="8" w:space="0" w:color="auto"/>
            </w:tcBorders>
            <w:shd w:val="clear" w:color="auto" w:fill="auto"/>
            <w:vAlign w:val="center"/>
          </w:tcPr>
          <w:p w14:paraId="3C0C2884" w14:textId="77777777" w:rsidR="004B0524" w:rsidRPr="00F9037E" w:rsidRDefault="004B0524" w:rsidP="00C05C97">
            <w:pPr>
              <w:spacing w:before="120" w:after="120"/>
              <w:jc w:val="center"/>
              <w:rPr>
                <w:color w:val="auto"/>
                <w:sz w:val="12"/>
                <w:szCs w:val="12"/>
              </w:rPr>
            </w:pPr>
            <w:r w:rsidRPr="00F9037E">
              <w:rPr>
                <w:color w:val="auto"/>
                <w:sz w:val="12"/>
                <w:szCs w:val="12"/>
              </w:rPr>
              <w:t>0.800</w:t>
            </w:r>
          </w:p>
        </w:tc>
        <w:tc>
          <w:tcPr>
            <w:tcW w:w="567" w:type="dxa"/>
            <w:tcBorders>
              <w:top w:val="nil"/>
              <w:left w:val="nil"/>
              <w:bottom w:val="single" w:sz="8" w:space="0" w:color="auto"/>
              <w:right w:val="single" w:sz="8" w:space="0" w:color="auto"/>
            </w:tcBorders>
            <w:shd w:val="clear" w:color="auto" w:fill="auto"/>
            <w:vAlign w:val="center"/>
          </w:tcPr>
          <w:p w14:paraId="397B296B" w14:textId="77777777" w:rsidR="004B0524" w:rsidRPr="00F9037E" w:rsidRDefault="004B0524" w:rsidP="00C05C97">
            <w:pPr>
              <w:spacing w:before="120" w:after="120"/>
              <w:jc w:val="center"/>
              <w:rPr>
                <w:color w:val="auto"/>
                <w:sz w:val="12"/>
                <w:szCs w:val="12"/>
              </w:rPr>
            </w:pPr>
            <w:r w:rsidRPr="00F9037E">
              <w:rPr>
                <w:color w:val="auto"/>
                <w:sz w:val="12"/>
                <w:szCs w:val="12"/>
              </w:rPr>
              <w:t>0.300</w:t>
            </w:r>
          </w:p>
        </w:tc>
        <w:tc>
          <w:tcPr>
            <w:tcW w:w="567" w:type="dxa"/>
            <w:tcBorders>
              <w:top w:val="nil"/>
              <w:left w:val="nil"/>
              <w:bottom w:val="single" w:sz="8" w:space="0" w:color="auto"/>
              <w:right w:val="single" w:sz="8" w:space="0" w:color="auto"/>
            </w:tcBorders>
            <w:shd w:val="clear" w:color="auto" w:fill="auto"/>
            <w:vAlign w:val="center"/>
          </w:tcPr>
          <w:p w14:paraId="44F0CE87" w14:textId="51E99E0E"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52FF705" w14:textId="0A615243"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C245CD2" w14:textId="529D794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A09D49C" w14:textId="7E4287AF"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062E22F1"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2FF28DB"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1CF20F8"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230818B" w14:textId="77777777" w:rsidR="004B0524" w:rsidRPr="00F9037E" w:rsidRDefault="004B0524" w:rsidP="00C05C97">
            <w:pPr>
              <w:spacing w:before="120" w:after="120"/>
              <w:jc w:val="center"/>
              <w:rPr>
                <w:color w:val="auto"/>
                <w:sz w:val="12"/>
                <w:szCs w:val="12"/>
              </w:rPr>
            </w:pPr>
            <w:r w:rsidRPr="00F9037E">
              <w:rPr>
                <w:color w:val="auto"/>
                <w:sz w:val="12"/>
                <w:szCs w:val="12"/>
              </w:rPr>
              <w:t>2.140</w:t>
            </w:r>
          </w:p>
        </w:tc>
        <w:tc>
          <w:tcPr>
            <w:tcW w:w="567" w:type="dxa"/>
            <w:tcBorders>
              <w:top w:val="nil"/>
              <w:left w:val="nil"/>
              <w:bottom w:val="single" w:sz="8" w:space="0" w:color="auto"/>
              <w:right w:val="single" w:sz="8" w:space="0" w:color="auto"/>
            </w:tcBorders>
            <w:shd w:val="clear" w:color="auto" w:fill="auto"/>
            <w:vAlign w:val="center"/>
          </w:tcPr>
          <w:p w14:paraId="19E674DD" w14:textId="77777777" w:rsidR="004B0524" w:rsidRPr="00F9037E" w:rsidRDefault="004B0524" w:rsidP="00C05C97">
            <w:pPr>
              <w:spacing w:before="120" w:after="120"/>
              <w:jc w:val="center"/>
              <w:rPr>
                <w:color w:val="auto"/>
                <w:sz w:val="12"/>
                <w:szCs w:val="12"/>
              </w:rPr>
            </w:pPr>
            <w:r w:rsidRPr="00F9037E">
              <w:rPr>
                <w:color w:val="auto"/>
                <w:sz w:val="12"/>
                <w:szCs w:val="12"/>
              </w:rPr>
              <w:t>1.490</w:t>
            </w:r>
          </w:p>
        </w:tc>
        <w:tc>
          <w:tcPr>
            <w:tcW w:w="567" w:type="dxa"/>
            <w:tcBorders>
              <w:top w:val="nil"/>
              <w:left w:val="nil"/>
              <w:bottom w:val="single" w:sz="8" w:space="0" w:color="auto"/>
              <w:right w:val="single" w:sz="8" w:space="0" w:color="auto"/>
            </w:tcBorders>
            <w:shd w:val="clear" w:color="auto" w:fill="auto"/>
            <w:vAlign w:val="center"/>
          </w:tcPr>
          <w:p w14:paraId="391DF1B6" w14:textId="77777777" w:rsidR="004B0524" w:rsidRPr="00F9037E" w:rsidRDefault="004B0524" w:rsidP="00C05C97">
            <w:pPr>
              <w:spacing w:before="120" w:after="120"/>
              <w:jc w:val="center"/>
              <w:rPr>
                <w:color w:val="auto"/>
                <w:sz w:val="12"/>
                <w:szCs w:val="12"/>
              </w:rPr>
            </w:pPr>
            <w:r w:rsidRPr="00F9037E">
              <w:rPr>
                <w:color w:val="auto"/>
                <w:sz w:val="12"/>
                <w:szCs w:val="12"/>
              </w:rPr>
              <w:t>1.040</w:t>
            </w:r>
          </w:p>
        </w:tc>
        <w:tc>
          <w:tcPr>
            <w:tcW w:w="567" w:type="dxa"/>
            <w:tcBorders>
              <w:top w:val="nil"/>
              <w:left w:val="nil"/>
              <w:bottom w:val="single" w:sz="8" w:space="0" w:color="auto"/>
              <w:right w:val="single" w:sz="8" w:space="0" w:color="auto"/>
            </w:tcBorders>
            <w:shd w:val="clear" w:color="auto" w:fill="auto"/>
            <w:vAlign w:val="center"/>
          </w:tcPr>
          <w:p w14:paraId="4CCEA482" w14:textId="77777777" w:rsidR="004B0524" w:rsidRPr="00F9037E" w:rsidRDefault="004B0524" w:rsidP="00C05C97">
            <w:pPr>
              <w:spacing w:before="120" w:after="120"/>
              <w:jc w:val="center"/>
              <w:rPr>
                <w:color w:val="auto"/>
                <w:sz w:val="12"/>
                <w:szCs w:val="12"/>
              </w:rPr>
            </w:pPr>
            <w:r w:rsidRPr="00F9037E">
              <w:rPr>
                <w:color w:val="auto"/>
                <w:sz w:val="12"/>
                <w:szCs w:val="12"/>
              </w:rPr>
              <w:t>0.312</w:t>
            </w:r>
          </w:p>
        </w:tc>
        <w:tc>
          <w:tcPr>
            <w:tcW w:w="567" w:type="dxa"/>
            <w:tcBorders>
              <w:top w:val="nil"/>
              <w:left w:val="nil"/>
              <w:bottom w:val="single" w:sz="8" w:space="0" w:color="auto"/>
              <w:right w:val="single" w:sz="8" w:space="0" w:color="auto"/>
            </w:tcBorders>
            <w:shd w:val="clear" w:color="auto" w:fill="auto"/>
            <w:vAlign w:val="center"/>
          </w:tcPr>
          <w:p w14:paraId="2E89EB3D" w14:textId="77777777" w:rsidR="004B0524" w:rsidRPr="00F9037E" w:rsidRDefault="004B0524" w:rsidP="00C05C97">
            <w:pPr>
              <w:spacing w:before="120" w:after="120"/>
              <w:jc w:val="center"/>
              <w:rPr>
                <w:color w:val="auto"/>
                <w:sz w:val="12"/>
                <w:szCs w:val="12"/>
              </w:rPr>
            </w:pPr>
            <w:r w:rsidRPr="00F9037E">
              <w:rPr>
                <w:color w:val="auto"/>
                <w:sz w:val="12"/>
                <w:szCs w:val="12"/>
              </w:rPr>
              <w:t>0.300</w:t>
            </w:r>
          </w:p>
        </w:tc>
        <w:tc>
          <w:tcPr>
            <w:tcW w:w="567" w:type="dxa"/>
            <w:tcBorders>
              <w:top w:val="nil"/>
              <w:left w:val="nil"/>
              <w:bottom w:val="single" w:sz="8" w:space="0" w:color="auto"/>
              <w:right w:val="single" w:sz="8" w:space="0" w:color="auto"/>
            </w:tcBorders>
            <w:shd w:val="clear" w:color="auto" w:fill="auto"/>
            <w:vAlign w:val="center"/>
          </w:tcPr>
          <w:p w14:paraId="7C125F18" w14:textId="595C3E2E"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7D7170C" w14:textId="42CA636C"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419C26F6" w14:textId="6954F19C"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E8F9205"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4E19DD1"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E6FFFCA"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9B4D050" w14:textId="77777777" w:rsidR="004B0524" w:rsidRPr="00F9037E" w:rsidRDefault="004B0524" w:rsidP="00C05C97">
            <w:pPr>
              <w:spacing w:before="120" w:after="120"/>
              <w:jc w:val="center"/>
              <w:rPr>
                <w:color w:val="auto"/>
                <w:sz w:val="12"/>
                <w:szCs w:val="12"/>
              </w:rPr>
            </w:pPr>
          </w:p>
        </w:tc>
      </w:tr>
      <w:tr w:rsidR="004B0524" w:rsidRPr="00F9037E" w14:paraId="2E4E8B4D" w14:textId="77777777" w:rsidTr="00C05C97">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961E412" w14:textId="7AC5E388" w:rsidR="004B0524" w:rsidRPr="00F9037E" w:rsidRDefault="004B0524" w:rsidP="00C05C97">
            <w:pPr>
              <w:spacing w:before="120" w:after="120"/>
              <w:rPr>
                <w:color w:val="auto"/>
                <w:sz w:val="12"/>
                <w:szCs w:val="12"/>
              </w:rPr>
            </w:pPr>
            <w:r w:rsidRPr="00F9037E">
              <w:rPr>
                <w:color w:val="auto"/>
                <w:sz w:val="12"/>
                <w:szCs w:val="12"/>
              </w:rPr>
              <w:t>Israel</w:t>
            </w:r>
          </w:p>
        </w:tc>
        <w:tc>
          <w:tcPr>
            <w:tcW w:w="818" w:type="dxa"/>
            <w:tcBorders>
              <w:top w:val="nil"/>
              <w:left w:val="nil"/>
              <w:bottom w:val="single" w:sz="8" w:space="0" w:color="auto"/>
              <w:right w:val="single" w:sz="8" w:space="0" w:color="auto"/>
            </w:tcBorders>
            <w:shd w:val="clear" w:color="auto" w:fill="auto"/>
            <w:vAlign w:val="center"/>
          </w:tcPr>
          <w:p w14:paraId="6B7774E8" w14:textId="77777777" w:rsidR="004B0524" w:rsidRPr="00F9037E" w:rsidRDefault="004B0524" w:rsidP="00C05C97">
            <w:pPr>
              <w:spacing w:before="120" w:after="120"/>
              <w:rPr>
                <w:color w:val="auto"/>
                <w:sz w:val="12"/>
                <w:szCs w:val="12"/>
              </w:rPr>
            </w:pPr>
            <w:r w:rsidRPr="00F9037E">
              <w:rPr>
                <w:color w:val="auto"/>
                <w:sz w:val="12"/>
                <w:szCs w:val="12"/>
              </w:rPr>
              <w:t>Furniture– imported</w:t>
            </w:r>
          </w:p>
        </w:tc>
        <w:tc>
          <w:tcPr>
            <w:tcW w:w="567" w:type="dxa"/>
            <w:tcBorders>
              <w:top w:val="nil"/>
              <w:left w:val="nil"/>
              <w:bottom w:val="single" w:sz="8" w:space="0" w:color="auto"/>
              <w:right w:val="single" w:sz="8" w:space="0" w:color="auto"/>
            </w:tcBorders>
            <w:shd w:val="clear" w:color="auto" w:fill="auto"/>
            <w:vAlign w:val="center"/>
          </w:tcPr>
          <w:p w14:paraId="60CCD779" w14:textId="77777777" w:rsidR="004B0524" w:rsidRPr="00F9037E" w:rsidRDefault="004B0524" w:rsidP="00C05C97">
            <w:pPr>
              <w:spacing w:before="120" w:after="120"/>
              <w:jc w:val="center"/>
              <w:rPr>
                <w:color w:val="auto"/>
                <w:sz w:val="12"/>
                <w:szCs w:val="12"/>
              </w:rPr>
            </w:pPr>
            <w:r w:rsidRPr="00F9037E">
              <w:rPr>
                <w:color w:val="auto"/>
                <w:sz w:val="12"/>
                <w:szCs w:val="12"/>
              </w:rPr>
              <w:t>1.4220</w:t>
            </w:r>
          </w:p>
        </w:tc>
        <w:tc>
          <w:tcPr>
            <w:tcW w:w="567" w:type="dxa"/>
            <w:tcBorders>
              <w:top w:val="nil"/>
              <w:left w:val="nil"/>
              <w:bottom w:val="single" w:sz="8" w:space="0" w:color="auto"/>
              <w:right w:val="single" w:sz="8" w:space="0" w:color="auto"/>
            </w:tcBorders>
            <w:shd w:val="clear" w:color="auto" w:fill="auto"/>
            <w:vAlign w:val="center"/>
          </w:tcPr>
          <w:p w14:paraId="2D732C14" w14:textId="77777777" w:rsidR="004B0524" w:rsidRPr="00F9037E" w:rsidRDefault="004B0524" w:rsidP="00C05C97">
            <w:pPr>
              <w:spacing w:before="120" w:after="120"/>
              <w:jc w:val="center"/>
              <w:rPr>
                <w:color w:val="auto"/>
                <w:sz w:val="12"/>
                <w:szCs w:val="12"/>
              </w:rPr>
            </w:pPr>
            <w:r w:rsidRPr="00F9037E">
              <w:rPr>
                <w:color w:val="auto"/>
                <w:sz w:val="12"/>
                <w:szCs w:val="12"/>
              </w:rPr>
              <w:t>1.4220</w:t>
            </w:r>
          </w:p>
        </w:tc>
        <w:tc>
          <w:tcPr>
            <w:tcW w:w="567" w:type="dxa"/>
            <w:tcBorders>
              <w:top w:val="nil"/>
              <w:left w:val="nil"/>
              <w:bottom w:val="single" w:sz="8" w:space="0" w:color="auto"/>
              <w:right w:val="single" w:sz="8" w:space="0" w:color="auto"/>
            </w:tcBorders>
            <w:shd w:val="clear" w:color="auto" w:fill="auto"/>
            <w:vAlign w:val="center"/>
          </w:tcPr>
          <w:p w14:paraId="366EBD0E" w14:textId="77777777" w:rsidR="004B0524" w:rsidRPr="00F9037E" w:rsidRDefault="004B0524" w:rsidP="00C05C97">
            <w:pPr>
              <w:spacing w:before="120" w:after="120"/>
              <w:jc w:val="center"/>
              <w:rPr>
                <w:color w:val="auto"/>
                <w:sz w:val="12"/>
                <w:szCs w:val="12"/>
              </w:rPr>
            </w:pPr>
            <w:r w:rsidRPr="00F9037E">
              <w:rPr>
                <w:color w:val="auto"/>
                <w:sz w:val="12"/>
                <w:szCs w:val="12"/>
              </w:rPr>
              <w:t>2.0420</w:t>
            </w:r>
          </w:p>
        </w:tc>
        <w:tc>
          <w:tcPr>
            <w:tcW w:w="567" w:type="dxa"/>
            <w:tcBorders>
              <w:top w:val="nil"/>
              <w:left w:val="nil"/>
              <w:bottom w:val="single" w:sz="8" w:space="0" w:color="auto"/>
              <w:right w:val="single" w:sz="8" w:space="0" w:color="auto"/>
            </w:tcBorders>
            <w:shd w:val="clear" w:color="auto" w:fill="auto"/>
            <w:vAlign w:val="center"/>
          </w:tcPr>
          <w:p w14:paraId="515787FE" w14:textId="14B6CDE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609072C" w14:textId="44059CD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364EC0A" w14:textId="265EA4FF"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1C0194C" w14:textId="17EC89A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1972E09" w14:textId="68699C4A"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FCDD64D" w14:textId="369DADCE"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46A3294E"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C746D60"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994E620"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04D22FC" w14:textId="77777777" w:rsidR="004B0524" w:rsidRPr="00F9037E" w:rsidRDefault="004B0524" w:rsidP="00C05C97">
            <w:pPr>
              <w:spacing w:before="120" w:after="120"/>
              <w:jc w:val="center"/>
              <w:rPr>
                <w:color w:val="auto"/>
                <w:sz w:val="12"/>
                <w:szCs w:val="12"/>
              </w:rPr>
            </w:pPr>
            <w:r w:rsidRPr="00F9037E">
              <w:rPr>
                <w:color w:val="auto"/>
                <w:sz w:val="12"/>
                <w:szCs w:val="12"/>
              </w:rPr>
              <w:t>1.4220</w:t>
            </w:r>
          </w:p>
        </w:tc>
        <w:tc>
          <w:tcPr>
            <w:tcW w:w="567" w:type="dxa"/>
            <w:tcBorders>
              <w:top w:val="nil"/>
              <w:left w:val="nil"/>
              <w:bottom w:val="single" w:sz="8" w:space="0" w:color="auto"/>
              <w:right w:val="single" w:sz="8" w:space="0" w:color="auto"/>
            </w:tcBorders>
            <w:shd w:val="clear" w:color="auto" w:fill="auto"/>
            <w:vAlign w:val="center"/>
          </w:tcPr>
          <w:p w14:paraId="2A43CA5B" w14:textId="77777777" w:rsidR="004B0524" w:rsidRPr="00F9037E" w:rsidRDefault="004B0524" w:rsidP="00C05C97">
            <w:pPr>
              <w:spacing w:before="120" w:after="120"/>
              <w:jc w:val="center"/>
              <w:rPr>
                <w:color w:val="auto"/>
                <w:sz w:val="12"/>
                <w:szCs w:val="12"/>
              </w:rPr>
            </w:pPr>
            <w:r w:rsidRPr="00F9037E">
              <w:rPr>
                <w:color w:val="auto"/>
                <w:sz w:val="12"/>
                <w:szCs w:val="12"/>
              </w:rPr>
              <w:t>0</w:t>
            </w:r>
          </w:p>
        </w:tc>
        <w:tc>
          <w:tcPr>
            <w:tcW w:w="567" w:type="dxa"/>
            <w:tcBorders>
              <w:top w:val="nil"/>
              <w:left w:val="nil"/>
              <w:bottom w:val="single" w:sz="8" w:space="0" w:color="auto"/>
              <w:right w:val="single" w:sz="8" w:space="0" w:color="auto"/>
            </w:tcBorders>
            <w:shd w:val="clear" w:color="auto" w:fill="auto"/>
            <w:vAlign w:val="center"/>
          </w:tcPr>
          <w:p w14:paraId="05B6D05E" w14:textId="5A219964"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16456B4" w14:textId="56067E33"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15F05D8" w14:textId="52244172"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56FE9C4" w14:textId="53EF80DD"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167C3D2" w14:textId="262F7EF2"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74D00AEE" w14:textId="0725C988"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C403CC7"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76882EB"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F736F79"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A8869C6" w14:textId="77777777" w:rsidR="004B0524" w:rsidRPr="00F9037E" w:rsidRDefault="004B0524" w:rsidP="00C05C97">
            <w:pPr>
              <w:spacing w:before="120" w:after="120"/>
              <w:jc w:val="center"/>
              <w:rPr>
                <w:color w:val="auto"/>
                <w:sz w:val="12"/>
                <w:szCs w:val="12"/>
              </w:rPr>
            </w:pPr>
          </w:p>
        </w:tc>
      </w:tr>
      <w:tr w:rsidR="004B0524" w:rsidRPr="00F9037E" w14:paraId="216D66F4" w14:textId="77777777" w:rsidTr="00C05C97">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1642CF8F" w14:textId="4FB1220C" w:rsidR="004B0524" w:rsidRPr="00F9037E" w:rsidRDefault="004B0524" w:rsidP="00C05C97">
            <w:pPr>
              <w:spacing w:before="120" w:after="120"/>
              <w:rPr>
                <w:color w:val="auto"/>
                <w:sz w:val="12"/>
                <w:szCs w:val="12"/>
              </w:rPr>
            </w:pPr>
            <w:r w:rsidRPr="00F9037E">
              <w:rPr>
                <w:color w:val="auto"/>
                <w:sz w:val="12"/>
                <w:szCs w:val="12"/>
              </w:rPr>
              <w:t>Italy</w:t>
            </w:r>
          </w:p>
        </w:tc>
        <w:tc>
          <w:tcPr>
            <w:tcW w:w="818" w:type="dxa"/>
            <w:tcBorders>
              <w:top w:val="nil"/>
              <w:left w:val="nil"/>
              <w:bottom w:val="single" w:sz="8" w:space="0" w:color="auto"/>
              <w:right w:val="single" w:sz="8" w:space="0" w:color="auto"/>
            </w:tcBorders>
            <w:shd w:val="clear" w:color="auto" w:fill="auto"/>
            <w:vAlign w:val="center"/>
          </w:tcPr>
          <w:p w14:paraId="1C215879" w14:textId="77777777" w:rsidR="004B0524" w:rsidRPr="00F9037E" w:rsidRDefault="004B0524" w:rsidP="00C05C97">
            <w:pPr>
              <w:spacing w:before="120" w:after="120"/>
              <w:rPr>
                <w:color w:val="auto"/>
                <w:sz w:val="12"/>
                <w:szCs w:val="12"/>
              </w:rPr>
            </w:pPr>
            <w:r w:rsidRPr="00F9037E">
              <w:rPr>
                <w:color w:val="auto"/>
                <w:sz w:val="12"/>
                <w:szCs w:val="12"/>
              </w:rPr>
              <w:t>Artefacts</w:t>
            </w:r>
          </w:p>
        </w:tc>
        <w:tc>
          <w:tcPr>
            <w:tcW w:w="567" w:type="dxa"/>
            <w:tcBorders>
              <w:top w:val="nil"/>
              <w:left w:val="nil"/>
              <w:bottom w:val="single" w:sz="8" w:space="0" w:color="auto"/>
              <w:right w:val="single" w:sz="8" w:space="0" w:color="auto"/>
            </w:tcBorders>
            <w:shd w:val="clear" w:color="auto" w:fill="auto"/>
            <w:vAlign w:val="center"/>
          </w:tcPr>
          <w:p w14:paraId="464BE449" w14:textId="77777777" w:rsidR="004B0524" w:rsidRPr="00F9037E" w:rsidRDefault="004B0524" w:rsidP="00C05C97">
            <w:pPr>
              <w:spacing w:before="120" w:after="120"/>
              <w:jc w:val="center"/>
              <w:rPr>
                <w:color w:val="auto"/>
                <w:sz w:val="12"/>
                <w:szCs w:val="12"/>
              </w:rPr>
            </w:pPr>
            <w:r w:rsidRPr="00F9037E">
              <w:rPr>
                <w:color w:val="auto"/>
                <w:sz w:val="12"/>
                <w:szCs w:val="12"/>
              </w:rPr>
              <w:t>5.500</w:t>
            </w:r>
          </w:p>
        </w:tc>
        <w:tc>
          <w:tcPr>
            <w:tcW w:w="567" w:type="dxa"/>
            <w:tcBorders>
              <w:top w:val="nil"/>
              <w:left w:val="nil"/>
              <w:bottom w:val="single" w:sz="8" w:space="0" w:color="auto"/>
              <w:right w:val="single" w:sz="8" w:space="0" w:color="auto"/>
            </w:tcBorders>
            <w:shd w:val="clear" w:color="auto" w:fill="auto"/>
            <w:vAlign w:val="center"/>
          </w:tcPr>
          <w:p w14:paraId="6881A58D" w14:textId="77777777" w:rsidR="004B0524" w:rsidRPr="00F9037E" w:rsidRDefault="004B0524" w:rsidP="00C05C97">
            <w:pPr>
              <w:spacing w:before="120" w:after="120"/>
              <w:jc w:val="center"/>
              <w:rPr>
                <w:color w:val="auto"/>
                <w:sz w:val="12"/>
                <w:szCs w:val="12"/>
              </w:rPr>
            </w:pPr>
            <w:r w:rsidRPr="00F9037E">
              <w:rPr>
                <w:color w:val="auto"/>
                <w:sz w:val="12"/>
                <w:szCs w:val="12"/>
              </w:rPr>
              <w:t>5.500</w:t>
            </w:r>
          </w:p>
        </w:tc>
        <w:tc>
          <w:tcPr>
            <w:tcW w:w="567" w:type="dxa"/>
            <w:tcBorders>
              <w:top w:val="nil"/>
              <w:left w:val="nil"/>
              <w:bottom w:val="single" w:sz="8" w:space="0" w:color="auto"/>
              <w:right w:val="single" w:sz="8" w:space="0" w:color="auto"/>
            </w:tcBorders>
            <w:shd w:val="clear" w:color="auto" w:fill="auto"/>
            <w:vAlign w:val="center"/>
          </w:tcPr>
          <w:p w14:paraId="50B8F4AE" w14:textId="77777777" w:rsidR="004B0524" w:rsidRPr="00F9037E" w:rsidRDefault="004B0524" w:rsidP="00C05C97">
            <w:pPr>
              <w:spacing w:before="120" w:after="120"/>
              <w:jc w:val="center"/>
              <w:rPr>
                <w:color w:val="auto"/>
                <w:sz w:val="12"/>
                <w:szCs w:val="12"/>
              </w:rPr>
            </w:pPr>
            <w:r w:rsidRPr="00F9037E">
              <w:rPr>
                <w:color w:val="auto"/>
                <w:sz w:val="12"/>
                <w:szCs w:val="12"/>
              </w:rPr>
              <w:t>5.000</w:t>
            </w:r>
          </w:p>
        </w:tc>
        <w:tc>
          <w:tcPr>
            <w:tcW w:w="567" w:type="dxa"/>
            <w:tcBorders>
              <w:top w:val="nil"/>
              <w:left w:val="nil"/>
              <w:bottom w:val="single" w:sz="8" w:space="0" w:color="auto"/>
              <w:right w:val="single" w:sz="8" w:space="0" w:color="auto"/>
            </w:tcBorders>
            <w:shd w:val="clear" w:color="auto" w:fill="auto"/>
            <w:vAlign w:val="center"/>
          </w:tcPr>
          <w:p w14:paraId="628F849C" w14:textId="597416AD"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6DF46DD" w14:textId="5596CF6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EAE5F3B" w14:textId="159F731E"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2883731" w14:textId="2110116E"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EBA4E0E" w14:textId="0079600A"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C5167A4" w14:textId="4B66002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5A0208D2"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B193F13"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2958D20"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2E53DA92" w14:textId="77777777" w:rsidR="004B0524" w:rsidRPr="00F9037E" w:rsidRDefault="004B0524" w:rsidP="00C05C97">
            <w:pPr>
              <w:spacing w:before="120" w:after="120"/>
              <w:jc w:val="center"/>
              <w:rPr>
                <w:color w:val="auto"/>
                <w:sz w:val="12"/>
                <w:szCs w:val="12"/>
              </w:rPr>
            </w:pPr>
            <w:r w:rsidRPr="00F9037E">
              <w:rPr>
                <w:color w:val="auto"/>
                <w:sz w:val="12"/>
                <w:szCs w:val="12"/>
              </w:rPr>
              <w:t>5.225</w:t>
            </w:r>
          </w:p>
        </w:tc>
        <w:tc>
          <w:tcPr>
            <w:tcW w:w="567" w:type="dxa"/>
            <w:tcBorders>
              <w:top w:val="nil"/>
              <w:left w:val="nil"/>
              <w:bottom w:val="single" w:sz="8" w:space="0" w:color="auto"/>
              <w:right w:val="single" w:sz="8" w:space="0" w:color="auto"/>
            </w:tcBorders>
            <w:shd w:val="clear" w:color="auto" w:fill="auto"/>
            <w:vAlign w:val="center"/>
          </w:tcPr>
          <w:p w14:paraId="61F4D3A0" w14:textId="77777777" w:rsidR="004B0524" w:rsidRPr="00F9037E" w:rsidRDefault="004B0524" w:rsidP="00C05C97">
            <w:pPr>
              <w:spacing w:before="120" w:after="120"/>
              <w:jc w:val="center"/>
              <w:rPr>
                <w:color w:val="auto"/>
                <w:sz w:val="12"/>
                <w:szCs w:val="12"/>
              </w:rPr>
            </w:pPr>
            <w:r w:rsidRPr="00F9037E">
              <w:rPr>
                <w:color w:val="auto"/>
                <w:sz w:val="12"/>
                <w:szCs w:val="12"/>
              </w:rPr>
              <w:t>0</w:t>
            </w:r>
          </w:p>
        </w:tc>
        <w:tc>
          <w:tcPr>
            <w:tcW w:w="567" w:type="dxa"/>
            <w:tcBorders>
              <w:top w:val="nil"/>
              <w:left w:val="nil"/>
              <w:bottom w:val="single" w:sz="8" w:space="0" w:color="auto"/>
              <w:right w:val="single" w:sz="8" w:space="0" w:color="auto"/>
            </w:tcBorders>
            <w:shd w:val="clear" w:color="auto" w:fill="auto"/>
            <w:vAlign w:val="center"/>
          </w:tcPr>
          <w:p w14:paraId="086790FF" w14:textId="77777777" w:rsidR="004B0524" w:rsidRPr="00F9037E" w:rsidRDefault="004B0524" w:rsidP="00C05C97">
            <w:pPr>
              <w:spacing w:before="120" w:after="120"/>
              <w:jc w:val="center"/>
              <w:rPr>
                <w:color w:val="auto"/>
                <w:sz w:val="12"/>
                <w:szCs w:val="12"/>
              </w:rPr>
            </w:pPr>
            <w:r w:rsidRPr="00F9037E">
              <w:rPr>
                <w:color w:val="auto"/>
                <w:sz w:val="12"/>
                <w:szCs w:val="12"/>
              </w:rPr>
              <w:t>5.000</w:t>
            </w:r>
          </w:p>
        </w:tc>
        <w:tc>
          <w:tcPr>
            <w:tcW w:w="567" w:type="dxa"/>
            <w:tcBorders>
              <w:top w:val="nil"/>
              <w:left w:val="nil"/>
              <w:bottom w:val="single" w:sz="8" w:space="0" w:color="auto"/>
              <w:right w:val="single" w:sz="8" w:space="0" w:color="auto"/>
            </w:tcBorders>
            <w:shd w:val="clear" w:color="auto" w:fill="auto"/>
            <w:vAlign w:val="center"/>
          </w:tcPr>
          <w:p w14:paraId="08324162" w14:textId="2320AB91"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B030FAA" w14:textId="37629EFC"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F7CB60A" w14:textId="5D7A040F"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E6069D6" w14:textId="2CFA9D79"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13C9062B" w14:textId="2578059F"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1FE67C7"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7E01410"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A6E6A54"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8F1DB0D" w14:textId="77777777" w:rsidR="004B0524" w:rsidRPr="00F9037E" w:rsidRDefault="004B0524" w:rsidP="00C05C97">
            <w:pPr>
              <w:spacing w:before="120" w:after="120"/>
              <w:jc w:val="center"/>
              <w:rPr>
                <w:color w:val="auto"/>
                <w:sz w:val="12"/>
                <w:szCs w:val="12"/>
              </w:rPr>
            </w:pPr>
          </w:p>
        </w:tc>
      </w:tr>
      <w:tr w:rsidR="004B0524" w:rsidRPr="00F9037E" w14:paraId="1FCCE1D9" w14:textId="77777777" w:rsidTr="00C05C97">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7D136153" w14:textId="087C765D" w:rsidR="004B0524" w:rsidRPr="00F9037E" w:rsidRDefault="004B0524" w:rsidP="00C05C97">
            <w:pPr>
              <w:spacing w:before="120" w:after="120"/>
              <w:rPr>
                <w:color w:val="auto"/>
                <w:sz w:val="12"/>
                <w:szCs w:val="12"/>
              </w:rPr>
            </w:pPr>
            <w:r w:rsidRPr="00F9037E">
              <w:rPr>
                <w:color w:val="auto"/>
                <w:sz w:val="12"/>
                <w:szCs w:val="12"/>
              </w:rPr>
              <w:t>Italy</w:t>
            </w:r>
          </w:p>
        </w:tc>
        <w:tc>
          <w:tcPr>
            <w:tcW w:w="818" w:type="dxa"/>
            <w:tcBorders>
              <w:top w:val="nil"/>
              <w:left w:val="nil"/>
              <w:bottom w:val="single" w:sz="8" w:space="0" w:color="auto"/>
              <w:right w:val="single" w:sz="8" w:space="0" w:color="auto"/>
            </w:tcBorders>
            <w:shd w:val="clear" w:color="auto" w:fill="auto"/>
            <w:vAlign w:val="center"/>
          </w:tcPr>
          <w:p w14:paraId="6B89A051" w14:textId="77777777" w:rsidR="004B0524" w:rsidRPr="00F9037E" w:rsidRDefault="004B0524" w:rsidP="00C05C97">
            <w:pPr>
              <w:spacing w:before="120" w:after="120"/>
              <w:rPr>
                <w:color w:val="auto"/>
                <w:sz w:val="12"/>
                <w:szCs w:val="12"/>
              </w:rPr>
            </w:pPr>
            <w:r w:rsidRPr="00F9037E">
              <w:rPr>
                <w:color w:val="auto"/>
                <w:sz w:val="12"/>
                <w:szCs w:val="12"/>
              </w:rPr>
              <w:t>Mills and Processors</w:t>
            </w:r>
          </w:p>
        </w:tc>
        <w:tc>
          <w:tcPr>
            <w:tcW w:w="567" w:type="dxa"/>
            <w:tcBorders>
              <w:top w:val="nil"/>
              <w:left w:val="nil"/>
              <w:bottom w:val="single" w:sz="8" w:space="0" w:color="auto"/>
              <w:right w:val="single" w:sz="8" w:space="0" w:color="auto"/>
            </w:tcBorders>
            <w:shd w:val="clear" w:color="auto" w:fill="auto"/>
            <w:vAlign w:val="center"/>
          </w:tcPr>
          <w:p w14:paraId="19D82450" w14:textId="77777777" w:rsidR="004B0524" w:rsidRPr="00F9037E" w:rsidRDefault="004B0524" w:rsidP="00C05C97">
            <w:pPr>
              <w:spacing w:before="120" w:after="120"/>
              <w:jc w:val="center"/>
              <w:rPr>
                <w:color w:val="auto"/>
                <w:sz w:val="12"/>
                <w:szCs w:val="12"/>
              </w:rPr>
            </w:pPr>
            <w:r w:rsidRPr="00F9037E">
              <w:rPr>
                <w:color w:val="auto"/>
                <w:sz w:val="12"/>
                <w:szCs w:val="12"/>
              </w:rPr>
              <w:t>160.000</w:t>
            </w:r>
          </w:p>
        </w:tc>
        <w:tc>
          <w:tcPr>
            <w:tcW w:w="567" w:type="dxa"/>
            <w:tcBorders>
              <w:top w:val="nil"/>
              <w:left w:val="nil"/>
              <w:bottom w:val="single" w:sz="8" w:space="0" w:color="auto"/>
              <w:right w:val="single" w:sz="8" w:space="0" w:color="auto"/>
            </w:tcBorders>
            <w:shd w:val="clear" w:color="auto" w:fill="auto"/>
            <w:vAlign w:val="center"/>
          </w:tcPr>
          <w:p w14:paraId="13F5BF4C" w14:textId="77777777" w:rsidR="004B0524" w:rsidRPr="00F9037E" w:rsidRDefault="004B0524" w:rsidP="00C05C97">
            <w:pPr>
              <w:spacing w:before="120" w:after="120"/>
              <w:jc w:val="center"/>
              <w:rPr>
                <w:color w:val="auto"/>
                <w:sz w:val="12"/>
                <w:szCs w:val="12"/>
              </w:rPr>
            </w:pPr>
            <w:r w:rsidRPr="00F9037E">
              <w:rPr>
                <w:color w:val="auto"/>
                <w:sz w:val="12"/>
                <w:szCs w:val="12"/>
              </w:rPr>
              <w:t>130.000</w:t>
            </w:r>
          </w:p>
        </w:tc>
        <w:tc>
          <w:tcPr>
            <w:tcW w:w="567" w:type="dxa"/>
            <w:tcBorders>
              <w:top w:val="nil"/>
              <w:left w:val="nil"/>
              <w:bottom w:val="single" w:sz="8" w:space="0" w:color="auto"/>
              <w:right w:val="single" w:sz="8" w:space="0" w:color="auto"/>
            </w:tcBorders>
            <w:shd w:val="clear" w:color="auto" w:fill="auto"/>
            <w:vAlign w:val="center"/>
          </w:tcPr>
          <w:p w14:paraId="55B87CDB" w14:textId="77777777" w:rsidR="004B0524" w:rsidRPr="00F9037E" w:rsidRDefault="004B0524" w:rsidP="00C05C97">
            <w:pPr>
              <w:spacing w:before="120" w:after="120"/>
              <w:jc w:val="center"/>
              <w:rPr>
                <w:color w:val="auto"/>
                <w:sz w:val="12"/>
                <w:szCs w:val="12"/>
              </w:rPr>
            </w:pPr>
            <w:r w:rsidRPr="00F9037E">
              <w:rPr>
                <w:color w:val="auto"/>
                <w:sz w:val="12"/>
                <w:szCs w:val="12"/>
              </w:rPr>
              <w:t>25.000</w:t>
            </w:r>
          </w:p>
        </w:tc>
        <w:tc>
          <w:tcPr>
            <w:tcW w:w="567" w:type="dxa"/>
            <w:tcBorders>
              <w:top w:val="nil"/>
              <w:left w:val="nil"/>
              <w:bottom w:val="single" w:sz="8" w:space="0" w:color="auto"/>
              <w:right w:val="single" w:sz="8" w:space="0" w:color="auto"/>
            </w:tcBorders>
            <w:shd w:val="clear" w:color="auto" w:fill="auto"/>
            <w:vAlign w:val="center"/>
          </w:tcPr>
          <w:p w14:paraId="219ACAE2" w14:textId="29D579D8"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A65F41A" w14:textId="7DB025D0"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4526588" w14:textId="69A78E4D"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80DF550" w14:textId="5C0B15D5"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A88CEE9" w14:textId="305181DE"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D769A1C" w14:textId="41EFF44B"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3A02F95E"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F2552C8"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5E58F01"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2AC1D17" w14:textId="77777777" w:rsidR="004B0524" w:rsidRPr="00F9037E" w:rsidRDefault="004B0524" w:rsidP="00C05C97">
            <w:pPr>
              <w:spacing w:before="120" w:after="120"/>
              <w:jc w:val="center"/>
              <w:rPr>
                <w:color w:val="auto"/>
                <w:sz w:val="12"/>
                <w:szCs w:val="12"/>
              </w:rPr>
            </w:pPr>
            <w:r w:rsidRPr="00F9037E">
              <w:rPr>
                <w:color w:val="auto"/>
                <w:sz w:val="12"/>
                <w:szCs w:val="12"/>
              </w:rPr>
              <w:t>160.000</w:t>
            </w:r>
          </w:p>
        </w:tc>
        <w:tc>
          <w:tcPr>
            <w:tcW w:w="567" w:type="dxa"/>
            <w:tcBorders>
              <w:top w:val="nil"/>
              <w:left w:val="nil"/>
              <w:bottom w:val="single" w:sz="8" w:space="0" w:color="auto"/>
              <w:right w:val="single" w:sz="8" w:space="0" w:color="auto"/>
            </w:tcBorders>
            <w:shd w:val="clear" w:color="auto" w:fill="auto"/>
            <w:vAlign w:val="center"/>
          </w:tcPr>
          <w:p w14:paraId="1FE4BB6C" w14:textId="77777777" w:rsidR="004B0524" w:rsidRPr="00F9037E" w:rsidRDefault="004B0524" w:rsidP="00C05C97">
            <w:pPr>
              <w:spacing w:before="120" w:after="120"/>
              <w:jc w:val="center"/>
              <w:rPr>
                <w:color w:val="auto"/>
                <w:sz w:val="12"/>
                <w:szCs w:val="12"/>
              </w:rPr>
            </w:pPr>
            <w:r w:rsidRPr="00F9037E">
              <w:rPr>
                <w:color w:val="auto"/>
                <w:sz w:val="12"/>
                <w:szCs w:val="12"/>
              </w:rPr>
              <w:t>65.000</w:t>
            </w:r>
          </w:p>
        </w:tc>
        <w:tc>
          <w:tcPr>
            <w:tcW w:w="567" w:type="dxa"/>
            <w:tcBorders>
              <w:top w:val="nil"/>
              <w:left w:val="nil"/>
              <w:bottom w:val="single" w:sz="8" w:space="0" w:color="auto"/>
              <w:right w:val="single" w:sz="8" w:space="0" w:color="auto"/>
            </w:tcBorders>
            <w:shd w:val="clear" w:color="auto" w:fill="auto"/>
            <w:vAlign w:val="center"/>
          </w:tcPr>
          <w:p w14:paraId="24F6DD54" w14:textId="77777777" w:rsidR="004B0524" w:rsidRPr="00F9037E" w:rsidRDefault="004B0524" w:rsidP="00C05C97">
            <w:pPr>
              <w:spacing w:before="120" w:after="120"/>
              <w:jc w:val="center"/>
              <w:rPr>
                <w:color w:val="auto"/>
                <w:sz w:val="12"/>
                <w:szCs w:val="12"/>
              </w:rPr>
            </w:pPr>
            <w:r w:rsidRPr="00F9037E">
              <w:rPr>
                <w:color w:val="auto"/>
                <w:sz w:val="12"/>
                <w:szCs w:val="12"/>
              </w:rPr>
              <w:t>25.000</w:t>
            </w:r>
          </w:p>
        </w:tc>
        <w:tc>
          <w:tcPr>
            <w:tcW w:w="567" w:type="dxa"/>
            <w:tcBorders>
              <w:top w:val="nil"/>
              <w:left w:val="nil"/>
              <w:bottom w:val="single" w:sz="8" w:space="0" w:color="auto"/>
              <w:right w:val="single" w:sz="8" w:space="0" w:color="auto"/>
            </w:tcBorders>
            <w:shd w:val="clear" w:color="auto" w:fill="auto"/>
            <w:vAlign w:val="center"/>
          </w:tcPr>
          <w:p w14:paraId="2D95A7BF" w14:textId="2D7BC880"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151281F" w14:textId="00C79585"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17D1005" w14:textId="03BFB994"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5DC52BA" w14:textId="6D3F2753"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605E8B47" w14:textId="2AD4883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61202B4"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BFE7A0D"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C9D0337"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E911B2F" w14:textId="77777777" w:rsidR="004B0524" w:rsidRPr="00F9037E" w:rsidRDefault="004B0524" w:rsidP="00C05C97">
            <w:pPr>
              <w:spacing w:before="120" w:after="120"/>
              <w:jc w:val="center"/>
              <w:rPr>
                <w:color w:val="auto"/>
                <w:sz w:val="12"/>
                <w:szCs w:val="12"/>
              </w:rPr>
            </w:pPr>
          </w:p>
        </w:tc>
      </w:tr>
      <w:tr w:rsidR="004B0524" w:rsidRPr="00F9037E" w14:paraId="3B89BCD6" w14:textId="77777777" w:rsidTr="00C05C97">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1200FA68" w14:textId="367A54D0" w:rsidR="004B0524" w:rsidRPr="00F9037E" w:rsidRDefault="004B0524" w:rsidP="00C05C97">
            <w:pPr>
              <w:spacing w:before="120" w:after="120"/>
              <w:rPr>
                <w:color w:val="auto"/>
                <w:sz w:val="12"/>
                <w:szCs w:val="12"/>
              </w:rPr>
            </w:pPr>
            <w:r w:rsidRPr="00F9037E">
              <w:rPr>
                <w:color w:val="auto"/>
                <w:sz w:val="12"/>
                <w:szCs w:val="12"/>
              </w:rPr>
              <w:t>Japan</w:t>
            </w:r>
          </w:p>
        </w:tc>
        <w:tc>
          <w:tcPr>
            <w:tcW w:w="818" w:type="dxa"/>
            <w:tcBorders>
              <w:top w:val="nil"/>
              <w:left w:val="nil"/>
              <w:bottom w:val="single" w:sz="8" w:space="0" w:color="auto"/>
              <w:right w:val="single" w:sz="8" w:space="0" w:color="auto"/>
            </w:tcBorders>
            <w:shd w:val="clear" w:color="auto" w:fill="auto"/>
            <w:vAlign w:val="center"/>
          </w:tcPr>
          <w:p w14:paraId="4A932094" w14:textId="77777777" w:rsidR="004B0524" w:rsidRPr="00F9037E" w:rsidRDefault="004B0524" w:rsidP="00C05C97">
            <w:pPr>
              <w:spacing w:before="120" w:after="120"/>
              <w:rPr>
                <w:color w:val="auto"/>
                <w:sz w:val="12"/>
                <w:szCs w:val="12"/>
              </w:rPr>
            </w:pPr>
            <w:r w:rsidRPr="00F9037E">
              <w:rPr>
                <w:color w:val="auto"/>
                <w:sz w:val="12"/>
                <w:szCs w:val="12"/>
              </w:rPr>
              <w:t>Chestnuts</w:t>
            </w:r>
          </w:p>
        </w:tc>
        <w:tc>
          <w:tcPr>
            <w:tcW w:w="567" w:type="dxa"/>
            <w:tcBorders>
              <w:top w:val="nil"/>
              <w:left w:val="nil"/>
              <w:bottom w:val="single" w:sz="8" w:space="0" w:color="auto"/>
              <w:right w:val="single" w:sz="8" w:space="0" w:color="auto"/>
            </w:tcBorders>
            <w:shd w:val="clear" w:color="auto" w:fill="auto"/>
            <w:vAlign w:val="center"/>
          </w:tcPr>
          <w:p w14:paraId="09559B78" w14:textId="77777777" w:rsidR="004B0524" w:rsidRPr="00F9037E" w:rsidRDefault="004B0524" w:rsidP="00C05C97">
            <w:pPr>
              <w:spacing w:before="120" w:after="120"/>
              <w:jc w:val="center"/>
              <w:rPr>
                <w:color w:val="auto"/>
                <w:sz w:val="12"/>
                <w:szCs w:val="12"/>
              </w:rPr>
            </w:pPr>
            <w:r w:rsidRPr="00F9037E">
              <w:rPr>
                <w:color w:val="auto"/>
                <w:sz w:val="12"/>
                <w:szCs w:val="12"/>
              </w:rPr>
              <w:t>7.100</w:t>
            </w:r>
          </w:p>
        </w:tc>
        <w:tc>
          <w:tcPr>
            <w:tcW w:w="567" w:type="dxa"/>
            <w:tcBorders>
              <w:top w:val="nil"/>
              <w:left w:val="nil"/>
              <w:bottom w:val="single" w:sz="8" w:space="0" w:color="auto"/>
              <w:right w:val="single" w:sz="8" w:space="0" w:color="auto"/>
            </w:tcBorders>
            <w:shd w:val="clear" w:color="auto" w:fill="auto"/>
            <w:vAlign w:val="center"/>
          </w:tcPr>
          <w:p w14:paraId="343A0BEF" w14:textId="77777777" w:rsidR="004B0524" w:rsidRPr="00F9037E" w:rsidRDefault="004B0524" w:rsidP="00C05C97">
            <w:pPr>
              <w:spacing w:before="120" w:after="120"/>
              <w:jc w:val="center"/>
              <w:rPr>
                <w:color w:val="auto"/>
                <w:sz w:val="12"/>
                <w:szCs w:val="12"/>
              </w:rPr>
            </w:pPr>
            <w:r w:rsidRPr="00F9037E">
              <w:rPr>
                <w:color w:val="auto"/>
                <w:sz w:val="12"/>
                <w:szCs w:val="12"/>
              </w:rPr>
              <w:t>6.500</w:t>
            </w:r>
          </w:p>
        </w:tc>
        <w:tc>
          <w:tcPr>
            <w:tcW w:w="567" w:type="dxa"/>
            <w:tcBorders>
              <w:top w:val="nil"/>
              <w:left w:val="nil"/>
              <w:bottom w:val="single" w:sz="8" w:space="0" w:color="auto"/>
              <w:right w:val="single" w:sz="8" w:space="0" w:color="auto"/>
            </w:tcBorders>
            <w:shd w:val="clear" w:color="auto" w:fill="auto"/>
            <w:vAlign w:val="center"/>
          </w:tcPr>
          <w:p w14:paraId="31E89249" w14:textId="77777777" w:rsidR="004B0524" w:rsidRPr="00F9037E" w:rsidRDefault="004B0524" w:rsidP="00C05C97">
            <w:pPr>
              <w:spacing w:before="120" w:after="120"/>
              <w:jc w:val="center"/>
              <w:rPr>
                <w:color w:val="auto"/>
                <w:sz w:val="12"/>
                <w:szCs w:val="12"/>
              </w:rPr>
            </w:pPr>
            <w:r w:rsidRPr="00F9037E">
              <w:rPr>
                <w:color w:val="auto"/>
                <w:sz w:val="12"/>
                <w:szCs w:val="12"/>
              </w:rPr>
              <w:t>6.500</w:t>
            </w:r>
          </w:p>
        </w:tc>
        <w:tc>
          <w:tcPr>
            <w:tcW w:w="567" w:type="dxa"/>
            <w:tcBorders>
              <w:top w:val="nil"/>
              <w:left w:val="nil"/>
              <w:bottom w:val="single" w:sz="8" w:space="0" w:color="auto"/>
              <w:right w:val="single" w:sz="8" w:space="0" w:color="auto"/>
            </w:tcBorders>
            <w:shd w:val="clear" w:color="auto" w:fill="auto"/>
            <w:vAlign w:val="center"/>
          </w:tcPr>
          <w:p w14:paraId="4240D8C8" w14:textId="77777777" w:rsidR="004B0524" w:rsidRPr="00F9037E" w:rsidRDefault="004B0524" w:rsidP="00C05C97">
            <w:pPr>
              <w:spacing w:before="120" w:after="120"/>
              <w:jc w:val="center"/>
              <w:rPr>
                <w:color w:val="auto"/>
                <w:sz w:val="12"/>
                <w:szCs w:val="12"/>
              </w:rPr>
            </w:pPr>
            <w:r w:rsidRPr="00F9037E">
              <w:rPr>
                <w:color w:val="auto"/>
                <w:sz w:val="12"/>
                <w:szCs w:val="12"/>
              </w:rPr>
              <w:t>6.300</w:t>
            </w:r>
          </w:p>
        </w:tc>
        <w:tc>
          <w:tcPr>
            <w:tcW w:w="567" w:type="dxa"/>
            <w:tcBorders>
              <w:top w:val="nil"/>
              <w:left w:val="nil"/>
              <w:bottom w:val="single" w:sz="8" w:space="0" w:color="auto"/>
              <w:right w:val="single" w:sz="8" w:space="0" w:color="auto"/>
            </w:tcBorders>
            <w:shd w:val="clear" w:color="auto" w:fill="auto"/>
            <w:vAlign w:val="center"/>
          </w:tcPr>
          <w:p w14:paraId="4CC93777" w14:textId="77777777" w:rsidR="004B0524" w:rsidRPr="00F9037E" w:rsidRDefault="004B0524" w:rsidP="00C05C97">
            <w:pPr>
              <w:spacing w:before="120" w:after="120"/>
              <w:jc w:val="center"/>
              <w:rPr>
                <w:color w:val="auto"/>
                <w:sz w:val="12"/>
                <w:szCs w:val="12"/>
              </w:rPr>
            </w:pPr>
            <w:r w:rsidRPr="00F9037E">
              <w:rPr>
                <w:color w:val="auto"/>
                <w:sz w:val="12"/>
                <w:szCs w:val="12"/>
              </w:rPr>
              <w:t>5.800</w:t>
            </w:r>
          </w:p>
        </w:tc>
        <w:tc>
          <w:tcPr>
            <w:tcW w:w="567" w:type="dxa"/>
            <w:tcBorders>
              <w:top w:val="nil"/>
              <w:left w:val="nil"/>
              <w:bottom w:val="single" w:sz="8" w:space="0" w:color="auto"/>
              <w:right w:val="single" w:sz="8" w:space="0" w:color="auto"/>
            </w:tcBorders>
            <w:shd w:val="clear" w:color="auto" w:fill="auto"/>
            <w:vAlign w:val="center"/>
          </w:tcPr>
          <w:p w14:paraId="5E619CA8" w14:textId="77777777" w:rsidR="004B0524" w:rsidRPr="00F9037E" w:rsidRDefault="004B0524" w:rsidP="00C05C97">
            <w:pPr>
              <w:spacing w:before="120" w:after="120"/>
              <w:jc w:val="center"/>
              <w:rPr>
                <w:color w:val="auto"/>
                <w:sz w:val="12"/>
                <w:szCs w:val="12"/>
              </w:rPr>
            </w:pPr>
            <w:r w:rsidRPr="00F9037E">
              <w:rPr>
                <w:color w:val="auto"/>
                <w:sz w:val="12"/>
                <w:szCs w:val="12"/>
              </w:rPr>
              <w:t>5.400</w:t>
            </w:r>
          </w:p>
        </w:tc>
        <w:tc>
          <w:tcPr>
            <w:tcW w:w="567" w:type="dxa"/>
            <w:tcBorders>
              <w:top w:val="nil"/>
              <w:left w:val="nil"/>
              <w:bottom w:val="single" w:sz="8" w:space="0" w:color="auto"/>
              <w:right w:val="single" w:sz="8" w:space="0" w:color="auto"/>
            </w:tcBorders>
            <w:shd w:val="clear" w:color="auto" w:fill="auto"/>
            <w:vAlign w:val="center"/>
          </w:tcPr>
          <w:p w14:paraId="61C3BD5C" w14:textId="77777777" w:rsidR="004B0524" w:rsidRPr="00F9037E" w:rsidRDefault="004B0524" w:rsidP="00C05C97">
            <w:pPr>
              <w:spacing w:before="120" w:after="120"/>
              <w:jc w:val="center"/>
              <w:rPr>
                <w:color w:val="auto"/>
                <w:sz w:val="12"/>
                <w:szCs w:val="12"/>
              </w:rPr>
            </w:pPr>
            <w:r w:rsidRPr="00F9037E">
              <w:rPr>
                <w:color w:val="auto"/>
                <w:sz w:val="12"/>
                <w:szCs w:val="12"/>
              </w:rPr>
              <w:t>5.350</w:t>
            </w:r>
          </w:p>
        </w:tc>
        <w:tc>
          <w:tcPr>
            <w:tcW w:w="567" w:type="dxa"/>
            <w:tcBorders>
              <w:top w:val="nil"/>
              <w:left w:val="nil"/>
              <w:bottom w:val="single" w:sz="8" w:space="0" w:color="auto"/>
              <w:right w:val="single" w:sz="8" w:space="0" w:color="auto"/>
            </w:tcBorders>
            <w:shd w:val="clear" w:color="auto" w:fill="auto"/>
            <w:vAlign w:val="center"/>
          </w:tcPr>
          <w:p w14:paraId="2D445494" w14:textId="77777777" w:rsidR="004B0524" w:rsidRPr="00F9037E" w:rsidRDefault="004B0524" w:rsidP="00C05C97">
            <w:pPr>
              <w:spacing w:before="120" w:after="120"/>
              <w:jc w:val="center"/>
              <w:rPr>
                <w:color w:val="auto"/>
                <w:sz w:val="12"/>
                <w:szCs w:val="12"/>
              </w:rPr>
            </w:pPr>
            <w:r w:rsidRPr="00F9037E">
              <w:rPr>
                <w:color w:val="auto"/>
                <w:sz w:val="12"/>
                <w:szCs w:val="12"/>
              </w:rPr>
              <w:t>3.489</w:t>
            </w:r>
          </w:p>
        </w:tc>
        <w:tc>
          <w:tcPr>
            <w:tcW w:w="567" w:type="dxa"/>
            <w:tcBorders>
              <w:top w:val="nil"/>
              <w:left w:val="nil"/>
              <w:bottom w:val="single" w:sz="8" w:space="0" w:color="auto"/>
              <w:right w:val="single" w:sz="8" w:space="0" w:color="auto"/>
            </w:tcBorders>
            <w:shd w:val="clear" w:color="auto" w:fill="auto"/>
            <w:vAlign w:val="center"/>
          </w:tcPr>
          <w:p w14:paraId="316D89A8" w14:textId="77777777" w:rsidR="004B0524" w:rsidRPr="00F9037E" w:rsidRDefault="004B0524" w:rsidP="00C05C97">
            <w:pPr>
              <w:spacing w:before="120" w:after="120"/>
              <w:jc w:val="center"/>
              <w:rPr>
                <w:color w:val="auto"/>
                <w:sz w:val="12"/>
                <w:szCs w:val="12"/>
              </w:rPr>
            </w:pPr>
            <w:r w:rsidRPr="00F9037E">
              <w:rPr>
                <w:color w:val="auto"/>
                <w:sz w:val="12"/>
                <w:szCs w:val="12"/>
              </w:rPr>
              <w:t>3.317</w:t>
            </w:r>
          </w:p>
        </w:tc>
        <w:tc>
          <w:tcPr>
            <w:tcW w:w="567" w:type="dxa"/>
            <w:tcBorders>
              <w:top w:val="nil"/>
              <w:left w:val="nil"/>
              <w:bottom w:val="single" w:sz="8" w:space="0" w:color="auto"/>
              <w:right w:val="single" w:sz="4" w:space="0" w:color="auto"/>
            </w:tcBorders>
            <w:vAlign w:val="center"/>
          </w:tcPr>
          <w:p w14:paraId="5246CE58"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166D76C"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162E85B"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2A78C5A6" w14:textId="77777777" w:rsidR="004B0524" w:rsidRPr="00F9037E" w:rsidRDefault="004B0524" w:rsidP="00C05C97">
            <w:pPr>
              <w:spacing w:before="120" w:after="120"/>
              <w:jc w:val="center"/>
              <w:rPr>
                <w:color w:val="auto"/>
                <w:sz w:val="12"/>
                <w:szCs w:val="12"/>
              </w:rPr>
            </w:pPr>
            <w:r w:rsidRPr="00F9037E">
              <w:rPr>
                <w:color w:val="auto"/>
                <w:sz w:val="12"/>
                <w:szCs w:val="12"/>
              </w:rPr>
              <w:t>7.100</w:t>
            </w:r>
          </w:p>
        </w:tc>
        <w:tc>
          <w:tcPr>
            <w:tcW w:w="567" w:type="dxa"/>
            <w:tcBorders>
              <w:top w:val="nil"/>
              <w:left w:val="nil"/>
              <w:bottom w:val="single" w:sz="8" w:space="0" w:color="auto"/>
              <w:right w:val="single" w:sz="8" w:space="0" w:color="auto"/>
            </w:tcBorders>
            <w:shd w:val="clear" w:color="auto" w:fill="auto"/>
            <w:vAlign w:val="center"/>
          </w:tcPr>
          <w:p w14:paraId="76434765" w14:textId="77777777" w:rsidR="004B0524" w:rsidRPr="00F9037E" w:rsidRDefault="004B0524" w:rsidP="00C05C97">
            <w:pPr>
              <w:spacing w:before="120" w:after="120"/>
              <w:jc w:val="center"/>
              <w:rPr>
                <w:color w:val="auto"/>
                <w:sz w:val="12"/>
                <w:szCs w:val="12"/>
              </w:rPr>
            </w:pPr>
            <w:r w:rsidRPr="00F9037E">
              <w:rPr>
                <w:color w:val="auto"/>
                <w:sz w:val="12"/>
                <w:szCs w:val="12"/>
              </w:rPr>
              <w:t>6.800</w:t>
            </w:r>
          </w:p>
        </w:tc>
        <w:tc>
          <w:tcPr>
            <w:tcW w:w="567" w:type="dxa"/>
            <w:tcBorders>
              <w:top w:val="nil"/>
              <w:left w:val="nil"/>
              <w:bottom w:val="single" w:sz="8" w:space="0" w:color="auto"/>
              <w:right w:val="single" w:sz="8" w:space="0" w:color="auto"/>
            </w:tcBorders>
            <w:shd w:val="clear" w:color="auto" w:fill="auto"/>
            <w:vAlign w:val="center"/>
          </w:tcPr>
          <w:p w14:paraId="0E16E295" w14:textId="77777777" w:rsidR="004B0524" w:rsidRPr="00F9037E" w:rsidRDefault="004B0524" w:rsidP="00C05C97">
            <w:pPr>
              <w:spacing w:before="120" w:after="120"/>
              <w:jc w:val="center"/>
              <w:rPr>
                <w:color w:val="auto"/>
                <w:sz w:val="12"/>
                <w:szCs w:val="12"/>
              </w:rPr>
            </w:pPr>
            <w:r w:rsidRPr="00F9037E">
              <w:rPr>
                <w:color w:val="auto"/>
                <w:sz w:val="12"/>
                <w:szCs w:val="12"/>
              </w:rPr>
              <w:t>6.500</w:t>
            </w:r>
          </w:p>
        </w:tc>
        <w:tc>
          <w:tcPr>
            <w:tcW w:w="567" w:type="dxa"/>
            <w:tcBorders>
              <w:top w:val="nil"/>
              <w:left w:val="nil"/>
              <w:bottom w:val="single" w:sz="8" w:space="0" w:color="auto"/>
              <w:right w:val="single" w:sz="8" w:space="0" w:color="auto"/>
            </w:tcBorders>
            <w:shd w:val="clear" w:color="auto" w:fill="auto"/>
            <w:vAlign w:val="center"/>
          </w:tcPr>
          <w:p w14:paraId="1EFF2F65" w14:textId="77777777" w:rsidR="004B0524" w:rsidRPr="00F9037E" w:rsidRDefault="004B0524" w:rsidP="00C05C97">
            <w:pPr>
              <w:spacing w:before="120" w:after="120"/>
              <w:jc w:val="center"/>
              <w:rPr>
                <w:color w:val="auto"/>
                <w:sz w:val="12"/>
                <w:szCs w:val="12"/>
              </w:rPr>
            </w:pPr>
            <w:r w:rsidRPr="00F9037E">
              <w:rPr>
                <w:color w:val="auto"/>
                <w:sz w:val="12"/>
                <w:szCs w:val="12"/>
              </w:rPr>
              <w:t>6.300</w:t>
            </w:r>
          </w:p>
        </w:tc>
        <w:tc>
          <w:tcPr>
            <w:tcW w:w="567" w:type="dxa"/>
            <w:tcBorders>
              <w:top w:val="nil"/>
              <w:left w:val="nil"/>
              <w:bottom w:val="single" w:sz="8" w:space="0" w:color="auto"/>
              <w:right w:val="single" w:sz="8" w:space="0" w:color="auto"/>
            </w:tcBorders>
            <w:shd w:val="clear" w:color="auto" w:fill="auto"/>
            <w:vAlign w:val="center"/>
          </w:tcPr>
          <w:p w14:paraId="3EC9F12F" w14:textId="77777777" w:rsidR="004B0524" w:rsidRPr="00F9037E" w:rsidRDefault="004B0524" w:rsidP="00C05C97">
            <w:pPr>
              <w:spacing w:before="120" w:after="120"/>
              <w:jc w:val="center"/>
              <w:rPr>
                <w:color w:val="auto"/>
                <w:sz w:val="12"/>
                <w:szCs w:val="12"/>
              </w:rPr>
            </w:pPr>
            <w:r w:rsidRPr="00F9037E">
              <w:rPr>
                <w:color w:val="auto"/>
                <w:sz w:val="12"/>
                <w:szCs w:val="12"/>
              </w:rPr>
              <w:t>5.800</w:t>
            </w:r>
          </w:p>
        </w:tc>
        <w:tc>
          <w:tcPr>
            <w:tcW w:w="567" w:type="dxa"/>
            <w:tcBorders>
              <w:top w:val="nil"/>
              <w:left w:val="nil"/>
              <w:bottom w:val="single" w:sz="8" w:space="0" w:color="auto"/>
              <w:right w:val="single" w:sz="8" w:space="0" w:color="auto"/>
            </w:tcBorders>
            <w:shd w:val="clear" w:color="auto" w:fill="auto"/>
            <w:vAlign w:val="center"/>
          </w:tcPr>
          <w:p w14:paraId="64367A74" w14:textId="77777777" w:rsidR="004B0524" w:rsidRPr="00F9037E" w:rsidRDefault="004B0524" w:rsidP="00C05C97">
            <w:pPr>
              <w:spacing w:before="120" w:after="120"/>
              <w:jc w:val="center"/>
              <w:rPr>
                <w:color w:val="auto"/>
                <w:sz w:val="12"/>
                <w:szCs w:val="12"/>
              </w:rPr>
            </w:pPr>
            <w:r w:rsidRPr="00F9037E">
              <w:rPr>
                <w:color w:val="auto"/>
                <w:sz w:val="12"/>
                <w:szCs w:val="12"/>
              </w:rPr>
              <w:t>5.400</w:t>
            </w:r>
          </w:p>
        </w:tc>
        <w:tc>
          <w:tcPr>
            <w:tcW w:w="567" w:type="dxa"/>
            <w:tcBorders>
              <w:top w:val="nil"/>
              <w:left w:val="nil"/>
              <w:bottom w:val="single" w:sz="8" w:space="0" w:color="auto"/>
              <w:right w:val="single" w:sz="8" w:space="0" w:color="auto"/>
            </w:tcBorders>
            <w:shd w:val="clear" w:color="auto" w:fill="auto"/>
            <w:vAlign w:val="center"/>
          </w:tcPr>
          <w:p w14:paraId="1904A0F0" w14:textId="77777777" w:rsidR="004B0524" w:rsidRPr="00F9037E" w:rsidRDefault="004B0524" w:rsidP="00C05C97">
            <w:pPr>
              <w:spacing w:before="120" w:after="120"/>
              <w:jc w:val="center"/>
              <w:rPr>
                <w:color w:val="auto"/>
                <w:sz w:val="12"/>
                <w:szCs w:val="12"/>
              </w:rPr>
            </w:pPr>
            <w:r w:rsidRPr="00F9037E">
              <w:rPr>
                <w:color w:val="auto"/>
                <w:sz w:val="12"/>
                <w:szCs w:val="12"/>
              </w:rPr>
              <w:t>5.350</w:t>
            </w:r>
          </w:p>
        </w:tc>
        <w:tc>
          <w:tcPr>
            <w:tcW w:w="567" w:type="dxa"/>
            <w:tcBorders>
              <w:top w:val="nil"/>
              <w:left w:val="nil"/>
              <w:bottom w:val="single" w:sz="8" w:space="0" w:color="auto"/>
              <w:right w:val="single" w:sz="8" w:space="0" w:color="auto"/>
            </w:tcBorders>
            <w:shd w:val="clear" w:color="auto" w:fill="auto"/>
            <w:noWrap/>
            <w:vAlign w:val="center"/>
          </w:tcPr>
          <w:p w14:paraId="619EE722" w14:textId="0E147733" w:rsidR="004B0524" w:rsidRPr="00F9037E" w:rsidRDefault="004B0524" w:rsidP="00C05C97">
            <w:pPr>
              <w:spacing w:before="120" w:after="120"/>
              <w:jc w:val="center"/>
              <w:rPr>
                <w:color w:val="auto"/>
                <w:sz w:val="12"/>
                <w:szCs w:val="12"/>
              </w:rPr>
            </w:pPr>
            <w:r w:rsidRPr="00F9037E">
              <w:rPr>
                <w:color w:val="auto"/>
                <w:sz w:val="12"/>
                <w:szCs w:val="12"/>
              </w:rPr>
              <w:t>3.489</w:t>
            </w:r>
          </w:p>
        </w:tc>
        <w:tc>
          <w:tcPr>
            <w:tcW w:w="567" w:type="dxa"/>
            <w:tcBorders>
              <w:top w:val="nil"/>
              <w:left w:val="nil"/>
              <w:bottom w:val="single" w:sz="8" w:space="0" w:color="auto"/>
              <w:right w:val="single" w:sz="8" w:space="0" w:color="auto"/>
            </w:tcBorders>
            <w:vAlign w:val="center"/>
          </w:tcPr>
          <w:p w14:paraId="2815FC4A"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E7C5CCD"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4010DF9"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781D9B5" w14:textId="77777777" w:rsidR="004B0524" w:rsidRPr="00F9037E" w:rsidRDefault="004B0524" w:rsidP="00C05C97">
            <w:pPr>
              <w:spacing w:before="120" w:after="120"/>
              <w:jc w:val="center"/>
              <w:rPr>
                <w:color w:val="auto"/>
                <w:sz w:val="12"/>
                <w:szCs w:val="12"/>
              </w:rPr>
            </w:pPr>
          </w:p>
        </w:tc>
      </w:tr>
      <w:tr w:rsidR="004B0524" w:rsidRPr="00F9037E" w14:paraId="4A635BBA" w14:textId="77777777" w:rsidTr="00C05C97">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2E1E2D8B" w14:textId="422D8584" w:rsidR="004B0524" w:rsidRPr="00F9037E" w:rsidRDefault="004B0524" w:rsidP="00C05C97">
            <w:pPr>
              <w:spacing w:before="120" w:after="120"/>
              <w:rPr>
                <w:color w:val="auto"/>
                <w:sz w:val="12"/>
                <w:szCs w:val="12"/>
              </w:rPr>
            </w:pPr>
            <w:r w:rsidRPr="00F9037E">
              <w:rPr>
                <w:color w:val="auto"/>
                <w:sz w:val="12"/>
                <w:szCs w:val="12"/>
              </w:rPr>
              <w:t>Latvia</w:t>
            </w:r>
          </w:p>
        </w:tc>
        <w:tc>
          <w:tcPr>
            <w:tcW w:w="818" w:type="dxa"/>
            <w:tcBorders>
              <w:top w:val="nil"/>
              <w:left w:val="nil"/>
              <w:bottom w:val="single" w:sz="8" w:space="0" w:color="auto"/>
              <w:right w:val="single" w:sz="8" w:space="0" w:color="auto"/>
            </w:tcBorders>
            <w:shd w:val="clear" w:color="auto" w:fill="auto"/>
            <w:vAlign w:val="center"/>
          </w:tcPr>
          <w:p w14:paraId="56C5F221" w14:textId="77777777" w:rsidR="004B0524" w:rsidRPr="00F9037E" w:rsidRDefault="004B0524" w:rsidP="00C05C97">
            <w:pPr>
              <w:spacing w:before="120" w:after="120"/>
              <w:rPr>
                <w:color w:val="auto"/>
                <w:sz w:val="12"/>
                <w:szCs w:val="12"/>
              </w:rPr>
            </w:pPr>
            <w:r w:rsidRPr="00F9037E">
              <w:rPr>
                <w:color w:val="auto"/>
                <w:sz w:val="12"/>
                <w:szCs w:val="12"/>
              </w:rPr>
              <w:t>Grains</w:t>
            </w:r>
          </w:p>
        </w:tc>
        <w:tc>
          <w:tcPr>
            <w:tcW w:w="567" w:type="dxa"/>
            <w:tcBorders>
              <w:top w:val="nil"/>
              <w:left w:val="nil"/>
              <w:bottom w:val="single" w:sz="8" w:space="0" w:color="auto"/>
              <w:right w:val="single" w:sz="8" w:space="0" w:color="auto"/>
            </w:tcBorders>
            <w:shd w:val="clear" w:color="auto" w:fill="auto"/>
            <w:vAlign w:val="center"/>
          </w:tcPr>
          <w:p w14:paraId="02E6C484" w14:textId="6767F650"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A0DBE56" w14:textId="77777777" w:rsidR="004B0524" w:rsidRPr="00F9037E" w:rsidRDefault="004B0524" w:rsidP="00C05C97">
            <w:pPr>
              <w:spacing w:before="120" w:after="120"/>
              <w:jc w:val="center"/>
              <w:rPr>
                <w:color w:val="auto"/>
                <w:sz w:val="12"/>
                <w:szCs w:val="12"/>
              </w:rPr>
            </w:pPr>
            <w:r w:rsidRPr="00F9037E">
              <w:rPr>
                <w:color w:val="auto"/>
                <w:sz w:val="12"/>
                <w:szCs w:val="12"/>
              </w:rPr>
              <w:t>2.502</w:t>
            </w:r>
          </w:p>
        </w:tc>
        <w:tc>
          <w:tcPr>
            <w:tcW w:w="567" w:type="dxa"/>
            <w:tcBorders>
              <w:top w:val="nil"/>
              <w:left w:val="nil"/>
              <w:bottom w:val="single" w:sz="8" w:space="0" w:color="auto"/>
              <w:right w:val="single" w:sz="8" w:space="0" w:color="auto"/>
            </w:tcBorders>
            <w:shd w:val="clear" w:color="auto" w:fill="auto"/>
            <w:vAlign w:val="center"/>
          </w:tcPr>
          <w:p w14:paraId="2C4BE6E7" w14:textId="1A614158"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6E5E77C" w14:textId="20147E20"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CEE6965" w14:textId="4D374B18"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14E3085" w14:textId="5D48BDC5"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FA81649" w14:textId="4AA5178A"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E6BE2A8" w14:textId="3A84F554"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BE335DA" w14:textId="19C47C72"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1695B88D"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8D5B039"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8D63AA0"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1D93BD48" w14:textId="21E6EE98"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7D12CA0" w14:textId="77777777" w:rsidR="004B0524" w:rsidRPr="00F9037E" w:rsidRDefault="004B0524" w:rsidP="00C05C97">
            <w:pPr>
              <w:spacing w:before="120" w:after="120"/>
              <w:jc w:val="center"/>
              <w:rPr>
                <w:color w:val="auto"/>
                <w:sz w:val="12"/>
                <w:szCs w:val="12"/>
              </w:rPr>
            </w:pPr>
            <w:r w:rsidRPr="00F9037E">
              <w:rPr>
                <w:color w:val="auto"/>
                <w:sz w:val="12"/>
                <w:szCs w:val="12"/>
              </w:rPr>
              <w:t>2.502</w:t>
            </w:r>
          </w:p>
        </w:tc>
        <w:tc>
          <w:tcPr>
            <w:tcW w:w="567" w:type="dxa"/>
            <w:tcBorders>
              <w:top w:val="nil"/>
              <w:left w:val="nil"/>
              <w:bottom w:val="single" w:sz="8" w:space="0" w:color="auto"/>
              <w:right w:val="single" w:sz="8" w:space="0" w:color="auto"/>
            </w:tcBorders>
            <w:shd w:val="clear" w:color="auto" w:fill="auto"/>
            <w:vAlign w:val="center"/>
          </w:tcPr>
          <w:p w14:paraId="3EA9DC2E" w14:textId="335BF424"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5709353" w14:textId="69B1E862"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AD09CFD" w14:textId="692CF99A"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023547A" w14:textId="7D70686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66C997E" w14:textId="5C6220FE"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3F497A6C" w14:textId="3B988791"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0EA609F"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A897001"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59AB1B4"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AA01570" w14:textId="77777777" w:rsidR="004B0524" w:rsidRPr="00F9037E" w:rsidRDefault="004B0524" w:rsidP="00C05C97">
            <w:pPr>
              <w:spacing w:before="120" w:after="120"/>
              <w:jc w:val="center"/>
              <w:rPr>
                <w:color w:val="auto"/>
                <w:sz w:val="12"/>
                <w:szCs w:val="12"/>
              </w:rPr>
            </w:pPr>
          </w:p>
        </w:tc>
      </w:tr>
      <w:tr w:rsidR="004B0524" w:rsidRPr="00F9037E" w14:paraId="0B1420A3" w14:textId="77777777" w:rsidTr="00C05C97">
        <w:trPr>
          <w:cantSplit/>
          <w:trHeight w:val="359"/>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0C2D9F1" w14:textId="6595909A" w:rsidR="004B0524" w:rsidRPr="00F9037E" w:rsidRDefault="004B0524" w:rsidP="00C05C97">
            <w:pPr>
              <w:spacing w:before="120" w:after="120"/>
              <w:rPr>
                <w:color w:val="auto"/>
                <w:sz w:val="12"/>
                <w:szCs w:val="12"/>
              </w:rPr>
            </w:pPr>
            <w:r w:rsidRPr="00F9037E">
              <w:rPr>
                <w:color w:val="auto"/>
                <w:sz w:val="12"/>
                <w:szCs w:val="12"/>
              </w:rPr>
              <w:t>Netherlands</w:t>
            </w:r>
          </w:p>
        </w:tc>
        <w:tc>
          <w:tcPr>
            <w:tcW w:w="1385" w:type="dxa"/>
            <w:gridSpan w:val="2"/>
            <w:tcBorders>
              <w:top w:val="single" w:sz="8" w:space="0" w:color="auto"/>
              <w:left w:val="nil"/>
              <w:bottom w:val="single" w:sz="8" w:space="0" w:color="auto"/>
              <w:right w:val="single" w:sz="8" w:space="0" w:color="000000"/>
            </w:tcBorders>
            <w:shd w:val="clear" w:color="auto" w:fill="auto"/>
            <w:vAlign w:val="center"/>
          </w:tcPr>
          <w:p w14:paraId="2E2FD78E" w14:textId="77777777" w:rsidR="004B0524" w:rsidRPr="00F9037E" w:rsidRDefault="004B0524" w:rsidP="00C05C97">
            <w:pPr>
              <w:spacing w:before="120" w:after="120"/>
              <w:rPr>
                <w:color w:val="auto"/>
                <w:sz w:val="12"/>
                <w:szCs w:val="12"/>
              </w:rPr>
            </w:pPr>
            <w:r w:rsidRPr="00F9037E">
              <w:rPr>
                <w:color w:val="auto"/>
                <w:sz w:val="12"/>
                <w:szCs w:val="12"/>
              </w:rPr>
              <w:t xml:space="preserve">Strawberry runners </w:t>
            </w:r>
            <w:proofErr w:type="spellStart"/>
            <w:r w:rsidRPr="00F9037E">
              <w:rPr>
                <w:color w:val="auto"/>
                <w:sz w:val="12"/>
                <w:szCs w:val="12"/>
              </w:rPr>
              <w:t>post harvest</w:t>
            </w:r>
            <w:proofErr w:type="spellEnd"/>
          </w:p>
        </w:tc>
        <w:tc>
          <w:tcPr>
            <w:tcW w:w="567" w:type="dxa"/>
            <w:tcBorders>
              <w:top w:val="nil"/>
              <w:left w:val="nil"/>
              <w:bottom w:val="single" w:sz="8" w:space="0" w:color="auto"/>
              <w:right w:val="single" w:sz="8" w:space="0" w:color="auto"/>
            </w:tcBorders>
            <w:shd w:val="clear" w:color="auto" w:fill="auto"/>
            <w:vAlign w:val="center"/>
          </w:tcPr>
          <w:p w14:paraId="7C6D36BA" w14:textId="77777777" w:rsidR="004B0524" w:rsidRPr="00F9037E" w:rsidRDefault="004B0524" w:rsidP="00C05C97">
            <w:pPr>
              <w:spacing w:before="120" w:after="120"/>
              <w:jc w:val="center"/>
              <w:rPr>
                <w:color w:val="auto"/>
                <w:sz w:val="12"/>
                <w:szCs w:val="12"/>
              </w:rPr>
            </w:pPr>
            <w:r w:rsidRPr="00F9037E">
              <w:rPr>
                <w:color w:val="auto"/>
                <w:sz w:val="12"/>
                <w:szCs w:val="12"/>
              </w:rPr>
              <w:t>0.120</w:t>
            </w:r>
          </w:p>
        </w:tc>
        <w:tc>
          <w:tcPr>
            <w:tcW w:w="567" w:type="dxa"/>
            <w:tcBorders>
              <w:top w:val="nil"/>
              <w:left w:val="nil"/>
              <w:bottom w:val="single" w:sz="8" w:space="0" w:color="auto"/>
              <w:right w:val="single" w:sz="8" w:space="0" w:color="auto"/>
            </w:tcBorders>
            <w:shd w:val="clear" w:color="auto" w:fill="auto"/>
            <w:vAlign w:val="center"/>
          </w:tcPr>
          <w:p w14:paraId="04D97D1A" w14:textId="77777777" w:rsidR="004B0524" w:rsidRPr="00F9037E" w:rsidRDefault="004B0524" w:rsidP="00C05C97">
            <w:pPr>
              <w:spacing w:before="120" w:after="120"/>
              <w:jc w:val="center"/>
              <w:rPr>
                <w:color w:val="auto"/>
                <w:sz w:val="12"/>
                <w:szCs w:val="12"/>
              </w:rPr>
            </w:pPr>
            <w:r w:rsidRPr="00F9037E">
              <w:rPr>
                <w:color w:val="auto"/>
                <w:sz w:val="12"/>
                <w:szCs w:val="12"/>
              </w:rPr>
              <w:t>0.120</w:t>
            </w:r>
          </w:p>
        </w:tc>
        <w:tc>
          <w:tcPr>
            <w:tcW w:w="567" w:type="dxa"/>
            <w:tcBorders>
              <w:top w:val="nil"/>
              <w:left w:val="nil"/>
              <w:bottom w:val="single" w:sz="8" w:space="0" w:color="auto"/>
              <w:right w:val="single" w:sz="8" w:space="0" w:color="auto"/>
            </w:tcBorders>
            <w:shd w:val="clear" w:color="auto" w:fill="auto"/>
            <w:vAlign w:val="center"/>
          </w:tcPr>
          <w:p w14:paraId="26A107EB" w14:textId="35D9565D"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AB98210" w14:textId="77777777" w:rsidR="004B0524" w:rsidRPr="00F9037E" w:rsidRDefault="004B0524" w:rsidP="00C05C97">
            <w:pPr>
              <w:spacing w:before="120" w:after="120"/>
              <w:jc w:val="center"/>
              <w:rPr>
                <w:color w:val="auto"/>
                <w:sz w:val="12"/>
                <w:szCs w:val="12"/>
              </w:rPr>
            </w:pPr>
            <w:r w:rsidRPr="00F9037E">
              <w:rPr>
                <w:color w:val="auto"/>
                <w:sz w:val="12"/>
                <w:szCs w:val="12"/>
              </w:rPr>
              <w:t>0.120</w:t>
            </w:r>
          </w:p>
        </w:tc>
        <w:tc>
          <w:tcPr>
            <w:tcW w:w="567" w:type="dxa"/>
            <w:tcBorders>
              <w:top w:val="nil"/>
              <w:left w:val="nil"/>
              <w:bottom w:val="single" w:sz="8" w:space="0" w:color="auto"/>
              <w:right w:val="single" w:sz="8" w:space="0" w:color="auto"/>
            </w:tcBorders>
            <w:shd w:val="clear" w:color="auto" w:fill="auto"/>
            <w:vAlign w:val="center"/>
          </w:tcPr>
          <w:p w14:paraId="09BF626D" w14:textId="6DD2EF45"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E2FB56F" w14:textId="503220D4"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75021E3" w14:textId="2E223B1C"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830F501" w14:textId="72426FB2"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493404A6"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BA3339C"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EFFE9AC"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6AB44B04" w14:textId="79C3E749"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1AEC913" w14:textId="77777777" w:rsidR="004B0524" w:rsidRPr="00F9037E" w:rsidRDefault="004B0524" w:rsidP="00C05C97">
            <w:pPr>
              <w:spacing w:before="120" w:after="120"/>
              <w:jc w:val="center"/>
              <w:rPr>
                <w:color w:val="auto"/>
                <w:sz w:val="12"/>
                <w:szCs w:val="12"/>
              </w:rPr>
            </w:pPr>
            <w:r w:rsidRPr="00F9037E">
              <w:rPr>
                <w:color w:val="auto"/>
                <w:sz w:val="12"/>
                <w:szCs w:val="12"/>
              </w:rPr>
              <w:t>0</w:t>
            </w:r>
          </w:p>
        </w:tc>
        <w:tc>
          <w:tcPr>
            <w:tcW w:w="567" w:type="dxa"/>
            <w:tcBorders>
              <w:top w:val="nil"/>
              <w:left w:val="nil"/>
              <w:bottom w:val="single" w:sz="8" w:space="0" w:color="auto"/>
              <w:right w:val="single" w:sz="8" w:space="0" w:color="auto"/>
            </w:tcBorders>
            <w:shd w:val="clear" w:color="auto" w:fill="auto"/>
            <w:vAlign w:val="center"/>
          </w:tcPr>
          <w:p w14:paraId="4964919A" w14:textId="77777777" w:rsidR="004B0524" w:rsidRPr="00F9037E" w:rsidRDefault="004B0524" w:rsidP="00C05C97">
            <w:pPr>
              <w:spacing w:before="120" w:after="120"/>
              <w:jc w:val="center"/>
              <w:rPr>
                <w:color w:val="auto"/>
                <w:sz w:val="12"/>
                <w:szCs w:val="12"/>
              </w:rPr>
            </w:pPr>
            <w:r w:rsidRPr="00F9037E">
              <w:rPr>
                <w:color w:val="auto"/>
                <w:sz w:val="12"/>
                <w:szCs w:val="12"/>
              </w:rPr>
              <w:t>0.120</w:t>
            </w:r>
          </w:p>
        </w:tc>
        <w:tc>
          <w:tcPr>
            <w:tcW w:w="567" w:type="dxa"/>
            <w:tcBorders>
              <w:top w:val="nil"/>
              <w:left w:val="nil"/>
              <w:bottom w:val="single" w:sz="8" w:space="0" w:color="auto"/>
              <w:right w:val="single" w:sz="8" w:space="0" w:color="auto"/>
            </w:tcBorders>
            <w:shd w:val="clear" w:color="auto" w:fill="auto"/>
            <w:vAlign w:val="center"/>
          </w:tcPr>
          <w:p w14:paraId="3232A786" w14:textId="6B8CE3D0"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C518CB4" w14:textId="170C8BFD"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F8FCB1A" w14:textId="57633244"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A6F8C00" w14:textId="138C2DE0"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745A9086"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1674B2E"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2BC1023"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3C3BBD3"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7094E79" w14:textId="77777777" w:rsidR="004B0524" w:rsidRPr="00F9037E" w:rsidRDefault="004B0524" w:rsidP="00C05C97">
            <w:pPr>
              <w:spacing w:before="120" w:after="120"/>
              <w:jc w:val="center"/>
              <w:rPr>
                <w:color w:val="auto"/>
                <w:sz w:val="12"/>
                <w:szCs w:val="12"/>
              </w:rPr>
            </w:pPr>
          </w:p>
        </w:tc>
      </w:tr>
      <w:tr w:rsidR="004B0524" w:rsidRPr="00F9037E" w14:paraId="455B285F" w14:textId="77777777" w:rsidTr="00C05C97">
        <w:trPr>
          <w:cantSplit/>
          <w:trHeight w:val="1148"/>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1E34C9A3" w14:textId="03C8B5AF" w:rsidR="004B0524" w:rsidRPr="00F9037E" w:rsidRDefault="004B0524" w:rsidP="00C05C97">
            <w:pPr>
              <w:spacing w:before="120" w:after="120"/>
              <w:rPr>
                <w:color w:val="auto"/>
                <w:sz w:val="12"/>
                <w:szCs w:val="12"/>
              </w:rPr>
            </w:pPr>
            <w:r w:rsidRPr="00F9037E">
              <w:rPr>
                <w:color w:val="auto"/>
                <w:sz w:val="12"/>
                <w:szCs w:val="12"/>
              </w:rPr>
              <w:t>Poland</w:t>
            </w:r>
          </w:p>
        </w:tc>
        <w:tc>
          <w:tcPr>
            <w:tcW w:w="818" w:type="dxa"/>
            <w:tcBorders>
              <w:top w:val="nil"/>
              <w:left w:val="nil"/>
              <w:bottom w:val="single" w:sz="8" w:space="0" w:color="auto"/>
              <w:right w:val="single" w:sz="8" w:space="0" w:color="auto"/>
            </w:tcBorders>
            <w:shd w:val="clear" w:color="auto" w:fill="auto"/>
            <w:vAlign w:val="center"/>
          </w:tcPr>
          <w:p w14:paraId="6A283C88" w14:textId="77777777" w:rsidR="004B0524" w:rsidRPr="00F9037E" w:rsidRDefault="004B0524" w:rsidP="00C05C97">
            <w:pPr>
              <w:spacing w:before="120" w:after="120"/>
              <w:rPr>
                <w:color w:val="auto"/>
                <w:sz w:val="12"/>
                <w:szCs w:val="12"/>
              </w:rPr>
            </w:pPr>
            <w:r w:rsidRPr="00F9037E">
              <w:rPr>
                <w:color w:val="auto"/>
                <w:sz w:val="12"/>
                <w:szCs w:val="12"/>
              </w:rPr>
              <w:t>Medicinal herbs &amp; dried mushrooms as dry commodities</w:t>
            </w:r>
          </w:p>
        </w:tc>
        <w:tc>
          <w:tcPr>
            <w:tcW w:w="567" w:type="dxa"/>
            <w:tcBorders>
              <w:top w:val="nil"/>
              <w:left w:val="nil"/>
              <w:bottom w:val="single" w:sz="8" w:space="0" w:color="auto"/>
              <w:right w:val="single" w:sz="8" w:space="0" w:color="auto"/>
            </w:tcBorders>
            <w:shd w:val="clear" w:color="auto" w:fill="auto"/>
            <w:vAlign w:val="center"/>
          </w:tcPr>
          <w:p w14:paraId="24A7258E" w14:textId="77777777" w:rsidR="004B0524" w:rsidRPr="00F9037E" w:rsidRDefault="004B0524" w:rsidP="00C05C97">
            <w:pPr>
              <w:spacing w:before="120" w:after="120"/>
              <w:jc w:val="center"/>
              <w:rPr>
                <w:color w:val="auto"/>
                <w:sz w:val="12"/>
                <w:szCs w:val="12"/>
              </w:rPr>
            </w:pPr>
            <w:r w:rsidRPr="00F9037E">
              <w:rPr>
                <w:color w:val="auto"/>
                <w:sz w:val="12"/>
                <w:szCs w:val="12"/>
              </w:rPr>
              <w:t>4.000</w:t>
            </w:r>
          </w:p>
        </w:tc>
        <w:tc>
          <w:tcPr>
            <w:tcW w:w="567" w:type="dxa"/>
            <w:tcBorders>
              <w:top w:val="nil"/>
              <w:left w:val="nil"/>
              <w:bottom w:val="single" w:sz="8" w:space="0" w:color="auto"/>
              <w:right w:val="single" w:sz="8" w:space="0" w:color="auto"/>
            </w:tcBorders>
            <w:shd w:val="clear" w:color="auto" w:fill="auto"/>
            <w:vAlign w:val="center"/>
          </w:tcPr>
          <w:p w14:paraId="3B588936" w14:textId="77777777" w:rsidR="004B0524" w:rsidRPr="00F9037E" w:rsidRDefault="004B0524" w:rsidP="00C05C97">
            <w:pPr>
              <w:spacing w:before="120" w:after="120"/>
              <w:jc w:val="center"/>
              <w:rPr>
                <w:color w:val="auto"/>
                <w:sz w:val="12"/>
                <w:szCs w:val="12"/>
              </w:rPr>
            </w:pPr>
            <w:r w:rsidRPr="00F9037E">
              <w:rPr>
                <w:color w:val="auto"/>
                <w:sz w:val="12"/>
                <w:szCs w:val="12"/>
              </w:rPr>
              <w:t>3.560</w:t>
            </w:r>
          </w:p>
        </w:tc>
        <w:tc>
          <w:tcPr>
            <w:tcW w:w="567" w:type="dxa"/>
            <w:tcBorders>
              <w:top w:val="nil"/>
              <w:left w:val="nil"/>
              <w:bottom w:val="single" w:sz="8" w:space="0" w:color="auto"/>
              <w:right w:val="single" w:sz="8" w:space="0" w:color="auto"/>
            </w:tcBorders>
            <w:shd w:val="clear" w:color="auto" w:fill="auto"/>
            <w:vAlign w:val="center"/>
          </w:tcPr>
          <w:p w14:paraId="4E94A12D" w14:textId="77777777" w:rsidR="004B0524" w:rsidRPr="00F9037E" w:rsidRDefault="004B0524" w:rsidP="00C05C97">
            <w:pPr>
              <w:spacing w:before="120" w:after="120"/>
              <w:jc w:val="center"/>
              <w:rPr>
                <w:color w:val="auto"/>
                <w:sz w:val="12"/>
                <w:szCs w:val="12"/>
              </w:rPr>
            </w:pPr>
            <w:r w:rsidRPr="00F9037E">
              <w:rPr>
                <w:color w:val="auto"/>
                <w:sz w:val="12"/>
                <w:szCs w:val="12"/>
              </w:rPr>
              <w:t>1.800</w:t>
            </w:r>
          </w:p>
        </w:tc>
        <w:tc>
          <w:tcPr>
            <w:tcW w:w="567" w:type="dxa"/>
            <w:tcBorders>
              <w:top w:val="nil"/>
              <w:left w:val="nil"/>
              <w:bottom w:val="single" w:sz="8" w:space="0" w:color="auto"/>
              <w:right w:val="single" w:sz="8" w:space="0" w:color="auto"/>
            </w:tcBorders>
            <w:shd w:val="clear" w:color="auto" w:fill="auto"/>
            <w:vAlign w:val="center"/>
          </w:tcPr>
          <w:p w14:paraId="36F81CE8" w14:textId="77777777" w:rsidR="004B0524" w:rsidRPr="00F9037E" w:rsidRDefault="004B0524" w:rsidP="00C05C97">
            <w:pPr>
              <w:spacing w:before="120" w:after="120"/>
              <w:jc w:val="center"/>
              <w:rPr>
                <w:color w:val="auto"/>
                <w:sz w:val="12"/>
                <w:szCs w:val="12"/>
              </w:rPr>
            </w:pPr>
            <w:r w:rsidRPr="00F9037E">
              <w:rPr>
                <w:color w:val="auto"/>
                <w:sz w:val="12"/>
                <w:szCs w:val="12"/>
              </w:rPr>
              <w:t>0.500</w:t>
            </w:r>
          </w:p>
        </w:tc>
        <w:tc>
          <w:tcPr>
            <w:tcW w:w="567" w:type="dxa"/>
            <w:tcBorders>
              <w:top w:val="nil"/>
              <w:left w:val="nil"/>
              <w:bottom w:val="single" w:sz="8" w:space="0" w:color="auto"/>
              <w:right w:val="single" w:sz="8" w:space="0" w:color="auto"/>
            </w:tcBorders>
            <w:shd w:val="clear" w:color="auto" w:fill="auto"/>
            <w:vAlign w:val="center"/>
          </w:tcPr>
          <w:p w14:paraId="6779B6C9" w14:textId="45EE9CBE"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3663A4D" w14:textId="6DFFF844"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3D76A6C" w14:textId="0FE4415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A1A91E4" w14:textId="42AB6B04"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85BBDCF" w14:textId="45354C13"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628D69D7"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6224D6C"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D010CCA"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3C547215" w14:textId="77777777" w:rsidR="004B0524" w:rsidRPr="00F9037E" w:rsidRDefault="004B0524" w:rsidP="00C05C97">
            <w:pPr>
              <w:spacing w:before="120" w:after="120"/>
              <w:jc w:val="center"/>
              <w:rPr>
                <w:color w:val="auto"/>
                <w:sz w:val="12"/>
                <w:szCs w:val="12"/>
              </w:rPr>
            </w:pPr>
            <w:r w:rsidRPr="00F9037E">
              <w:rPr>
                <w:color w:val="auto"/>
                <w:sz w:val="12"/>
                <w:szCs w:val="12"/>
              </w:rPr>
              <w:t>4.100</w:t>
            </w:r>
          </w:p>
        </w:tc>
        <w:tc>
          <w:tcPr>
            <w:tcW w:w="567" w:type="dxa"/>
            <w:tcBorders>
              <w:top w:val="nil"/>
              <w:left w:val="nil"/>
              <w:bottom w:val="single" w:sz="8" w:space="0" w:color="auto"/>
              <w:right w:val="single" w:sz="8" w:space="0" w:color="auto"/>
            </w:tcBorders>
            <w:shd w:val="clear" w:color="auto" w:fill="auto"/>
            <w:vAlign w:val="center"/>
          </w:tcPr>
          <w:p w14:paraId="0EA95B29" w14:textId="77777777" w:rsidR="004B0524" w:rsidRPr="00F9037E" w:rsidRDefault="004B0524" w:rsidP="00C05C97">
            <w:pPr>
              <w:spacing w:before="120" w:after="120"/>
              <w:jc w:val="center"/>
              <w:rPr>
                <w:color w:val="auto"/>
                <w:sz w:val="12"/>
                <w:szCs w:val="12"/>
              </w:rPr>
            </w:pPr>
            <w:r w:rsidRPr="00F9037E">
              <w:rPr>
                <w:color w:val="auto"/>
                <w:sz w:val="12"/>
                <w:szCs w:val="12"/>
              </w:rPr>
              <w:t>3.560</w:t>
            </w:r>
          </w:p>
        </w:tc>
        <w:tc>
          <w:tcPr>
            <w:tcW w:w="567" w:type="dxa"/>
            <w:tcBorders>
              <w:top w:val="nil"/>
              <w:left w:val="nil"/>
              <w:bottom w:val="single" w:sz="8" w:space="0" w:color="auto"/>
              <w:right w:val="single" w:sz="8" w:space="0" w:color="auto"/>
            </w:tcBorders>
            <w:shd w:val="clear" w:color="auto" w:fill="auto"/>
            <w:vAlign w:val="center"/>
          </w:tcPr>
          <w:p w14:paraId="121AEAF8" w14:textId="77777777" w:rsidR="004B0524" w:rsidRPr="00F9037E" w:rsidRDefault="004B0524" w:rsidP="00C05C97">
            <w:pPr>
              <w:spacing w:before="120" w:after="120"/>
              <w:jc w:val="center"/>
              <w:rPr>
                <w:color w:val="auto"/>
                <w:sz w:val="12"/>
                <w:szCs w:val="12"/>
              </w:rPr>
            </w:pPr>
            <w:r w:rsidRPr="00F9037E">
              <w:rPr>
                <w:color w:val="auto"/>
                <w:sz w:val="12"/>
                <w:szCs w:val="12"/>
              </w:rPr>
              <w:t>1.800</w:t>
            </w:r>
          </w:p>
        </w:tc>
        <w:tc>
          <w:tcPr>
            <w:tcW w:w="567" w:type="dxa"/>
            <w:tcBorders>
              <w:top w:val="nil"/>
              <w:left w:val="nil"/>
              <w:bottom w:val="single" w:sz="8" w:space="0" w:color="auto"/>
              <w:right w:val="single" w:sz="8" w:space="0" w:color="auto"/>
            </w:tcBorders>
            <w:shd w:val="clear" w:color="auto" w:fill="auto"/>
            <w:vAlign w:val="center"/>
          </w:tcPr>
          <w:p w14:paraId="2DB4F2FA" w14:textId="77777777" w:rsidR="004B0524" w:rsidRPr="00F9037E" w:rsidRDefault="004B0524" w:rsidP="00C05C97">
            <w:pPr>
              <w:spacing w:before="120" w:after="120"/>
              <w:jc w:val="center"/>
              <w:rPr>
                <w:color w:val="auto"/>
                <w:sz w:val="12"/>
                <w:szCs w:val="12"/>
              </w:rPr>
            </w:pPr>
            <w:r w:rsidRPr="00F9037E">
              <w:rPr>
                <w:color w:val="auto"/>
                <w:sz w:val="12"/>
                <w:szCs w:val="12"/>
              </w:rPr>
              <w:t>1.800</w:t>
            </w:r>
          </w:p>
        </w:tc>
        <w:tc>
          <w:tcPr>
            <w:tcW w:w="567" w:type="dxa"/>
            <w:tcBorders>
              <w:top w:val="nil"/>
              <w:left w:val="nil"/>
              <w:bottom w:val="single" w:sz="8" w:space="0" w:color="auto"/>
              <w:right w:val="single" w:sz="8" w:space="0" w:color="auto"/>
            </w:tcBorders>
            <w:shd w:val="clear" w:color="auto" w:fill="auto"/>
            <w:vAlign w:val="center"/>
          </w:tcPr>
          <w:p w14:paraId="11DA3438" w14:textId="28B443A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B12022F" w14:textId="269433D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CEACDF7" w14:textId="1E956E3D"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56EC7789" w14:textId="65B2D74D"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8B2B7E2"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B452F46"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8333F8E"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11A3474" w14:textId="77777777" w:rsidR="004B0524" w:rsidRPr="00F9037E" w:rsidRDefault="004B0524" w:rsidP="00C05C97">
            <w:pPr>
              <w:spacing w:before="120" w:after="120"/>
              <w:jc w:val="center"/>
              <w:rPr>
                <w:color w:val="auto"/>
                <w:sz w:val="12"/>
                <w:szCs w:val="12"/>
              </w:rPr>
            </w:pPr>
          </w:p>
        </w:tc>
      </w:tr>
      <w:tr w:rsidR="004B0524" w:rsidRPr="00F9037E" w14:paraId="327EE0F1" w14:textId="77777777" w:rsidTr="00C05C97">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5528A35F" w14:textId="18FA8735" w:rsidR="004B0524" w:rsidRPr="000F08B5" w:rsidRDefault="004B0524" w:rsidP="00C05C97">
            <w:pPr>
              <w:spacing w:before="120" w:after="120"/>
              <w:rPr>
                <w:color w:val="auto"/>
                <w:sz w:val="12"/>
                <w:szCs w:val="12"/>
              </w:rPr>
            </w:pPr>
            <w:r w:rsidRPr="000F08B5">
              <w:rPr>
                <w:color w:val="auto"/>
                <w:sz w:val="12"/>
                <w:szCs w:val="12"/>
              </w:rPr>
              <w:lastRenderedPageBreak/>
              <w:t>Poland</w:t>
            </w:r>
          </w:p>
        </w:tc>
        <w:tc>
          <w:tcPr>
            <w:tcW w:w="818" w:type="dxa"/>
            <w:tcBorders>
              <w:top w:val="nil"/>
              <w:left w:val="nil"/>
              <w:bottom w:val="single" w:sz="8" w:space="0" w:color="auto"/>
              <w:right w:val="single" w:sz="8" w:space="0" w:color="auto"/>
            </w:tcBorders>
            <w:shd w:val="clear" w:color="auto" w:fill="auto"/>
            <w:vAlign w:val="center"/>
          </w:tcPr>
          <w:p w14:paraId="13104BB5" w14:textId="77777777" w:rsidR="004B0524" w:rsidRPr="00365366" w:rsidRDefault="004B0524" w:rsidP="00C05C97">
            <w:pPr>
              <w:spacing w:before="120" w:after="120"/>
              <w:rPr>
                <w:color w:val="auto"/>
                <w:sz w:val="12"/>
                <w:szCs w:val="12"/>
              </w:rPr>
            </w:pPr>
            <w:r w:rsidRPr="00365366">
              <w:rPr>
                <w:color w:val="auto"/>
                <w:sz w:val="12"/>
                <w:szCs w:val="12"/>
              </w:rPr>
              <w:t>Coffee, cocoa beans</w:t>
            </w:r>
          </w:p>
        </w:tc>
        <w:tc>
          <w:tcPr>
            <w:tcW w:w="567" w:type="dxa"/>
            <w:tcBorders>
              <w:top w:val="nil"/>
              <w:left w:val="nil"/>
              <w:bottom w:val="single" w:sz="8" w:space="0" w:color="auto"/>
              <w:right w:val="single" w:sz="8" w:space="0" w:color="auto"/>
            </w:tcBorders>
            <w:shd w:val="clear" w:color="auto" w:fill="auto"/>
            <w:vAlign w:val="center"/>
          </w:tcPr>
          <w:p w14:paraId="73350A36" w14:textId="77777777" w:rsidR="004B0524" w:rsidRPr="00F9037E" w:rsidRDefault="004B0524" w:rsidP="00C05C97">
            <w:pPr>
              <w:spacing w:before="120" w:after="120"/>
              <w:jc w:val="center"/>
              <w:rPr>
                <w:color w:val="auto"/>
                <w:sz w:val="12"/>
                <w:szCs w:val="12"/>
              </w:rPr>
            </w:pPr>
            <w:r w:rsidRPr="00F9037E">
              <w:rPr>
                <w:color w:val="auto"/>
                <w:sz w:val="12"/>
                <w:szCs w:val="12"/>
              </w:rPr>
              <w:t>(a)</w:t>
            </w:r>
          </w:p>
        </w:tc>
        <w:tc>
          <w:tcPr>
            <w:tcW w:w="567" w:type="dxa"/>
            <w:tcBorders>
              <w:top w:val="nil"/>
              <w:left w:val="nil"/>
              <w:bottom w:val="single" w:sz="8" w:space="0" w:color="auto"/>
              <w:right w:val="single" w:sz="8" w:space="0" w:color="auto"/>
            </w:tcBorders>
            <w:shd w:val="clear" w:color="auto" w:fill="auto"/>
            <w:vAlign w:val="center"/>
          </w:tcPr>
          <w:p w14:paraId="54D5A0F1" w14:textId="77777777" w:rsidR="004B0524" w:rsidRPr="00F9037E" w:rsidRDefault="004B0524" w:rsidP="00C05C97">
            <w:pPr>
              <w:spacing w:before="120" w:after="120"/>
              <w:jc w:val="center"/>
              <w:rPr>
                <w:color w:val="auto"/>
                <w:sz w:val="12"/>
                <w:szCs w:val="12"/>
              </w:rPr>
            </w:pPr>
            <w:r w:rsidRPr="00F9037E">
              <w:rPr>
                <w:color w:val="auto"/>
                <w:sz w:val="12"/>
                <w:szCs w:val="12"/>
              </w:rPr>
              <w:t>2.160</w:t>
            </w:r>
          </w:p>
        </w:tc>
        <w:tc>
          <w:tcPr>
            <w:tcW w:w="567" w:type="dxa"/>
            <w:tcBorders>
              <w:top w:val="nil"/>
              <w:left w:val="nil"/>
              <w:bottom w:val="single" w:sz="8" w:space="0" w:color="auto"/>
              <w:right w:val="single" w:sz="8" w:space="0" w:color="auto"/>
            </w:tcBorders>
            <w:shd w:val="clear" w:color="auto" w:fill="auto"/>
            <w:vAlign w:val="center"/>
          </w:tcPr>
          <w:p w14:paraId="228C29F9" w14:textId="77777777" w:rsidR="004B0524" w:rsidRPr="00F9037E" w:rsidRDefault="004B0524" w:rsidP="00C05C97">
            <w:pPr>
              <w:spacing w:before="120" w:after="120"/>
              <w:jc w:val="center"/>
              <w:rPr>
                <w:color w:val="auto"/>
                <w:sz w:val="12"/>
                <w:szCs w:val="12"/>
              </w:rPr>
            </w:pPr>
            <w:r w:rsidRPr="00F9037E">
              <w:rPr>
                <w:color w:val="auto"/>
                <w:sz w:val="12"/>
                <w:szCs w:val="12"/>
              </w:rPr>
              <w:t>2.000</w:t>
            </w:r>
          </w:p>
        </w:tc>
        <w:tc>
          <w:tcPr>
            <w:tcW w:w="567" w:type="dxa"/>
            <w:tcBorders>
              <w:top w:val="nil"/>
              <w:left w:val="nil"/>
              <w:bottom w:val="single" w:sz="8" w:space="0" w:color="auto"/>
              <w:right w:val="single" w:sz="8" w:space="0" w:color="auto"/>
            </w:tcBorders>
            <w:shd w:val="clear" w:color="auto" w:fill="auto"/>
            <w:vAlign w:val="center"/>
          </w:tcPr>
          <w:p w14:paraId="763308ED" w14:textId="77777777" w:rsidR="004B0524" w:rsidRPr="00F9037E" w:rsidRDefault="004B0524" w:rsidP="00C05C97">
            <w:pPr>
              <w:spacing w:before="120" w:after="120"/>
              <w:jc w:val="center"/>
              <w:rPr>
                <w:color w:val="auto"/>
                <w:sz w:val="12"/>
                <w:szCs w:val="12"/>
              </w:rPr>
            </w:pPr>
            <w:r w:rsidRPr="00F9037E">
              <w:rPr>
                <w:color w:val="auto"/>
                <w:sz w:val="12"/>
                <w:szCs w:val="12"/>
              </w:rPr>
              <w:t>0.500</w:t>
            </w:r>
          </w:p>
        </w:tc>
        <w:tc>
          <w:tcPr>
            <w:tcW w:w="567" w:type="dxa"/>
            <w:tcBorders>
              <w:top w:val="nil"/>
              <w:left w:val="nil"/>
              <w:bottom w:val="single" w:sz="8" w:space="0" w:color="auto"/>
              <w:right w:val="single" w:sz="8" w:space="0" w:color="auto"/>
            </w:tcBorders>
            <w:shd w:val="clear" w:color="auto" w:fill="auto"/>
            <w:vAlign w:val="center"/>
          </w:tcPr>
          <w:p w14:paraId="1EEA5347" w14:textId="5E21B4C0"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E8982EB" w14:textId="4E2001F1"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C7026B9" w14:textId="3CF74C5F"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58A4746" w14:textId="7639BFD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4DD0784" w14:textId="2081611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5E7650E8"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C0ABB28"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2BAD66E"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14C11F31" w14:textId="1E767BDC"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FD65D7C" w14:textId="77777777" w:rsidR="004B0524" w:rsidRPr="00F9037E" w:rsidRDefault="004B0524" w:rsidP="00C05C97">
            <w:pPr>
              <w:spacing w:before="120" w:after="120"/>
              <w:jc w:val="center"/>
              <w:rPr>
                <w:color w:val="auto"/>
                <w:sz w:val="12"/>
                <w:szCs w:val="12"/>
              </w:rPr>
            </w:pPr>
            <w:r w:rsidRPr="00F9037E">
              <w:rPr>
                <w:color w:val="auto"/>
                <w:sz w:val="12"/>
                <w:szCs w:val="12"/>
              </w:rPr>
              <w:t>2.160</w:t>
            </w:r>
          </w:p>
        </w:tc>
        <w:tc>
          <w:tcPr>
            <w:tcW w:w="567" w:type="dxa"/>
            <w:tcBorders>
              <w:top w:val="nil"/>
              <w:left w:val="nil"/>
              <w:bottom w:val="single" w:sz="8" w:space="0" w:color="auto"/>
              <w:right w:val="single" w:sz="8" w:space="0" w:color="auto"/>
            </w:tcBorders>
            <w:shd w:val="clear" w:color="auto" w:fill="auto"/>
            <w:vAlign w:val="center"/>
          </w:tcPr>
          <w:p w14:paraId="6DCD5136" w14:textId="77777777" w:rsidR="004B0524" w:rsidRPr="00F9037E" w:rsidRDefault="004B0524" w:rsidP="00C05C97">
            <w:pPr>
              <w:spacing w:before="120" w:after="120"/>
              <w:jc w:val="center"/>
              <w:rPr>
                <w:color w:val="auto"/>
                <w:sz w:val="12"/>
                <w:szCs w:val="12"/>
              </w:rPr>
            </w:pPr>
            <w:r w:rsidRPr="00F9037E">
              <w:rPr>
                <w:color w:val="auto"/>
                <w:sz w:val="12"/>
                <w:szCs w:val="12"/>
              </w:rPr>
              <w:t>1.420</w:t>
            </w:r>
          </w:p>
        </w:tc>
        <w:tc>
          <w:tcPr>
            <w:tcW w:w="567" w:type="dxa"/>
            <w:tcBorders>
              <w:top w:val="nil"/>
              <w:left w:val="nil"/>
              <w:bottom w:val="single" w:sz="8" w:space="0" w:color="auto"/>
              <w:right w:val="single" w:sz="8" w:space="0" w:color="auto"/>
            </w:tcBorders>
            <w:shd w:val="clear" w:color="auto" w:fill="auto"/>
            <w:vAlign w:val="center"/>
          </w:tcPr>
          <w:p w14:paraId="78B1656C" w14:textId="77777777" w:rsidR="004B0524" w:rsidRPr="00F9037E" w:rsidRDefault="004B0524" w:rsidP="00C05C97">
            <w:pPr>
              <w:spacing w:before="120" w:after="120"/>
              <w:jc w:val="center"/>
              <w:rPr>
                <w:color w:val="auto"/>
                <w:sz w:val="12"/>
                <w:szCs w:val="12"/>
              </w:rPr>
            </w:pPr>
            <w:r w:rsidRPr="00F9037E">
              <w:rPr>
                <w:color w:val="auto"/>
                <w:sz w:val="12"/>
                <w:szCs w:val="12"/>
              </w:rPr>
              <w:t>1.420</w:t>
            </w:r>
          </w:p>
        </w:tc>
        <w:tc>
          <w:tcPr>
            <w:tcW w:w="567" w:type="dxa"/>
            <w:tcBorders>
              <w:top w:val="nil"/>
              <w:left w:val="nil"/>
              <w:bottom w:val="single" w:sz="8" w:space="0" w:color="auto"/>
              <w:right w:val="single" w:sz="8" w:space="0" w:color="auto"/>
            </w:tcBorders>
            <w:shd w:val="clear" w:color="auto" w:fill="auto"/>
            <w:vAlign w:val="center"/>
          </w:tcPr>
          <w:p w14:paraId="488CD426" w14:textId="427A6BDB"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DB38FA4" w14:textId="6D888E9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C9A7E9D" w14:textId="2AD3357C"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5DF8266C" w14:textId="03B7AED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3E6F1D3"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DD7F768"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13B1CC3"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3CB1F5C" w14:textId="77777777" w:rsidR="004B0524" w:rsidRPr="00F9037E" w:rsidRDefault="004B0524" w:rsidP="00C05C97">
            <w:pPr>
              <w:spacing w:before="120" w:after="120"/>
              <w:jc w:val="center"/>
              <w:rPr>
                <w:color w:val="auto"/>
                <w:sz w:val="12"/>
                <w:szCs w:val="12"/>
              </w:rPr>
            </w:pPr>
          </w:p>
        </w:tc>
      </w:tr>
      <w:tr w:rsidR="004B0524" w:rsidRPr="00F9037E" w14:paraId="4F1C443E" w14:textId="77777777" w:rsidTr="00C05C97">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48885EA8" w14:textId="38BB2AF3" w:rsidR="004B0524" w:rsidRPr="00F9037E" w:rsidRDefault="004B0524" w:rsidP="00C05C97">
            <w:pPr>
              <w:spacing w:before="120" w:after="120"/>
              <w:rPr>
                <w:color w:val="auto"/>
                <w:sz w:val="12"/>
                <w:szCs w:val="12"/>
              </w:rPr>
            </w:pPr>
            <w:r w:rsidRPr="00F9037E">
              <w:rPr>
                <w:color w:val="auto"/>
                <w:sz w:val="12"/>
                <w:szCs w:val="12"/>
              </w:rPr>
              <w:t>Spain</w:t>
            </w:r>
          </w:p>
        </w:tc>
        <w:tc>
          <w:tcPr>
            <w:tcW w:w="818" w:type="dxa"/>
            <w:tcBorders>
              <w:top w:val="nil"/>
              <w:left w:val="nil"/>
              <w:bottom w:val="single" w:sz="8" w:space="0" w:color="auto"/>
              <w:right w:val="single" w:sz="8" w:space="0" w:color="auto"/>
            </w:tcBorders>
            <w:shd w:val="clear" w:color="auto" w:fill="auto"/>
            <w:vAlign w:val="center"/>
          </w:tcPr>
          <w:p w14:paraId="32A43C75" w14:textId="77777777" w:rsidR="004B0524" w:rsidRPr="00F9037E" w:rsidRDefault="004B0524" w:rsidP="00C05C97">
            <w:pPr>
              <w:spacing w:before="120" w:after="120"/>
              <w:rPr>
                <w:color w:val="auto"/>
                <w:sz w:val="12"/>
                <w:szCs w:val="12"/>
              </w:rPr>
            </w:pPr>
            <w:r w:rsidRPr="00F9037E">
              <w:rPr>
                <w:color w:val="auto"/>
                <w:sz w:val="12"/>
                <w:szCs w:val="12"/>
              </w:rPr>
              <w:t>Rice</w:t>
            </w:r>
          </w:p>
        </w:tc>
        <w:tc>
          <w:tcPr>
            <w:tcW w:w="567" w:type="dxa"/>
            <w:tcBorders>
              <w:top w:val="nil"/>
              <w:left w:val="nil"/>
              <w:bottom w:val="single" w:sz="8" w:space="0" w:color="auto"/>
              <w:right w:val="single" w:sz="8" w:space="0" w:color="auto"/>
            </w:tcBorders>
            <w:shd w:val="clear" w:color="auto" w:fill="auto"/>
            <w:vAlign w:val="center"/>
          </w:tcPr>
          <w:p w14:paraId="61B01DC8" w14:textId="7F6B72A2"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C737439" w14:textId="77777777" w:rsidR="004B0524" w:rsidRPr="00F9037E" w:rsidRDefault="004B0524" w:rsidP="00C05C97">
            <w:pPr>
              <w:spacing w:before="120" w:after="120"/>
              <w:jc w:val="center"/>
              <w:rPr>
                <w:color w:val="auto"/>
                <w:sz w:val="12"/>
                <w:szCs w:val="12"/>
              </w:rPr>
            </w:pPr>
            <w:r w:rsidRPr="00F9037E">
              <w:rPr>
                <w:color w:val="auto"/>
                <w:sz w:val="12"/>
                <w:szCs w:val="12"/>
              </w:rPr>
              <w:t>50.000</w:t>
            </w:r>
          </w:p>
        </w:tc>
        <w:tc>
          <w:tcPr>
            <w:tcW w:w="567" w:type="dxa"/>
            <w:tcBorders>
              <w:top w:val="nil"/>
              <w:left w:val="nil"/>
              <w:bottom w:val="single" w:sz="8" w:space="0" w:color="auto"/>
              <w:right w:val="single" w:sz="8" w:space="0" w:color="auto"/>
            </w:tcBorders>
            <w:shd w:val="clear" w:color="auto" w:fill="auto"/>
            <w:vAlign w:val="center"/>
          </w:tcPr>
          <w:p w14:paraId="343E7E22" w14:textId="5819A032"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C79A682" w14:textId="6A2374DB"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1F59FFE" w14:textId="6D46D5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707BA27" w14:textId="51782340"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E7D2CB4" w14:textId="08ED332F"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328DA9F" w14:textId="0ED138E4"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157C873" w14:textId="0B8039C1"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5FB1B094"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ECFFE93"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C661AF4"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424DC69" w14:textId="51345A0F"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5284C7D" w14:textId="77777777" w:rsidR="004B0524" w:rsidRPr="00F9037E" w:rsidRDefault="004B0524" w:rsidP="00C05C97">
            <w:pPr>
              <w:spacing w:before="120" w:after="120"/>
              <w:jc w:val="center"/>
              <w:rPr>
                <w:color w:val="auto"/>
                <w:sz w:val="12"/>
                <w:szCs w:val="12"/>
              </w:rPr>
            </w:pPr>
            <w:r w:rsidRPr="00F9037E">
              <w:rPr>
                <w:color w:val="auto"/>
                <w:sz w:val="12"/>
                <w:szCs w:val="12"/>
              </w:rPr>
              <w:t>42.065</w:t>
            </w:r>
          </w:p>
        </w:tc>
        <w:tc>
          <w:tcPr>
            <w:tcW w:w="567" w:type="dxa"/>
            <w:tcBorders>
              <w:top w:val="nil"/>
              <w:left w:val="nil"/>
              <w:bottom w:val="single" w:sz="8" w:space="0" w:color="auto"/>
              <w:right w:val="single" w:sz="8" w:space="0" w:color="auto"/>
            </w:tcBorders>
            <w:shd w:val="clear" w:color="auto" w:fill="auto"/>
            <w:vAlign w:val="center"/>
          </w:tcPr>
          <w:p w14:paraId="460B0E8F" w14:textId="606FCD1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13A51CD" w14:textId="3C1BA474"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560F4C0" w14:textId="0B80B95B"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39A23F9" w14:textId="645388E9"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B62C01B" w14:textId="73B83CF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36708B93" w14:textId="7E07C643"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6A74FFC"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BB43843"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BDF2148"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A0C90CF" w14:textId="77777777" w:rsidR="004B0524" w:rsidRPr="00F9037E" w:rsidRDefault="004B0524" w:rsidP="00C05C97">
            <w:pPr>
              <w:spacing w:before="120" w:after="120"/>
              <w:jc w:val="center"/>
              <w:rPr>
                <w:color w:val="auto"/>
                <w:sz w:val="12"/>
                <w:szCs w:val="12"/>
              </w:rPr>
            </w:pPr>
          </w:p>
        </w:tc>
      </w:tr>
      <w:tr w:rsidR="004B0524" w:rsidRPr="00F9037E" w14:paraId="77340C79" w14:textId="77777777" w:rsidTr="00C05C97">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0A72DFDC" w14:textId="0B4E062F" w:rsidR="004B0524" w:rsidRPr="00F9037E" w:rsidRDefault="004B0524" w:rsidP="00C05C97">
            <w:pPr>
              <w:spacing w:before="120" w:after="120"/>
              <w:rPr>
                <w:color w:val="auto"/>
                <w:sz w:val="12"/>
                <w:szCs w:val="12"/>
              </w:rPr>
            </w:pPr>
            <w:r w:rsidRPr="00F9037E">
              <w:rPr>
                <w:color w:val="auto"/>
                <w:sz w:val="12"/>
                <w:szCs w:val="12"/>
              </w:rPr>
              <w:t>Switzerland</w:t>
            </w:r>
          </w:p>
        </w:tc>
        <w:tc>
          <w:tcPr>
            <w:tcW w:w="818" w:type="dxa"/>
            <w:tcBorders>
              <w:top w:val="nil"/>
              <w:left w:val="nil"/>
              <w:bottom w:val="single" w:sz="8" w:space="0" w:color="auto"/>
              <w:right w:val="single" w:sz="8" w:space="0" w:color="auto"/>
            </w:tcBorders>
            <w:shd w:val="clear" w:color="auto" w:fill="auto"/>
            <w:vAlign w:val="center"/>
          </w:tcPr>
          <w:p w14:paraId="7402AC86" w14:textId="77777777" w:rsidR="004B0524" w:rsidRPr="00F9037E" w:rsidRDefault="004B0524" w:rsidP="00C05C97">
            <w:pPr>
              <w:spacing w:before="120" w:after="120"/>
              <w:rPr>
                <w:color w:val="auto"/>
                <w:sz w:val="12"/>
                <w:szCs w:val="12"/>
              </w:rPr>
            </w:pPr>
            <w:r w:rsidRPr="00F9037E">
              <w:rPr>
                <w:color w:val="auto"/>
                <w:sz w:val="12"/>
                <w:szCs w:val="12"/>
              </w:rPr>
              <w:t>Mills &amp; Processors</w:t>
            </w:r>
          </w:p>
        </w:tc>
        <w:tc>
          <w:tcPr>
            <w:tcW w:w="567" w:type="dxa"/>
            <w:tcBorders>
              <w:top w:val="nil"/>
              <w:left w:val="nil"/>
              <w:bottom w:val="single" w:sz="8" w:space="0" w:color="auto"/>
              <w:right w:val="single" w:sz="8" w:space="0" w:color="auto"/>
            </w:tcBorders>
            <w:shd w:val="clear" w:color="auto" w:fill="auto"/>
            <w:vAlign w:val="center"/>
          </w:tcPr>
          <w:p w14:paraId="25A173F6" w14:textId="77777777" w:rsidR="004B0524" w:rsidRPr="00F9037E" w:rsidRDefault="004B0524" w:rsidP="00C05C97">
            <w:pPr>
              <w:spacing w:before="120" w:after="120"/>
              <w:jc w:val="center"/>
              <w:rPr>
                <w:color w:val="auto"/>
                <w:sz w:val="12"/>
                <w:szCs w:val="12"/>
              </w:rPr>
            </w:pPr>
            <w:r w:rsidRPr="00F9037E">
              <w:rPr>
                <w:color w:val="auto"/>
                <w:sz w:val="12"/>
                <w:szCs w:val="12"/>
              </w:rPr>
              <w:t>8.700</w:t>
            </w:r>
          </w:p>
        </w:tc>
        <w:tc>
          <w:tcPr>
            <w:tcW w:w="567" w:type="dxa"/>
            <w:tcBorders>
              <w:top w:val="nil"/>
              <w:left w:val="nil"/>
              <w:bottom w:val="single" w:sz="8" w:space="0" w:color="auto"/>
              <w:right w:val="single" w:sz="8" w:space="0" w:color="auto"/>
            </w:tcBorders>
            <w:shd w:val="clear" w:color="auto" w:fill="auto"/>
            <w:vAlign w:val="center"/>
          </w:tcPr>
          <w:p w14:paraId="3DEA71C5" w14:textId="77777777" w:rsidR="004B0524" w:rsidRPr="00F9037E" w:rsidRDefault="004B0524" w:rsidP="00C05C97">
            <w:pPr>
              <w:spacing w:before="120" w:after="120"/>
              <w:jc w:val="center"/>
              <w:rPr>
                <w:color w:val="auto"/>
                <w:sz w:val="12"/>
                <w:szCs w:val="12"/>
              </w:rPr>
            </w:pPr>
            <w:r w:rsidRPr="00F9037E">
              <w:rPr>
                <w:color w:val="auto"/>
                <w:sz w:val="12"/>
                <w:szCs w:val="12"/>
              </w:rPr>
              <w:t>7.000</w:t>
            </w:r>
          </w:p>
        </w:tc>
        <w:tc>
          <w:tcPr>
            <w:tcW w:w="567" w:type="dxa"/>
            <w:tcBorders>
              <w:top w:val="nil"/>
              <w:left w:val="nil"/>
              <w:bottom w:val="single" w:sz="8" w:space="0" w:color="auto"/>
              <w:right w:val="single" w:sz="8" w:space="0" w:color="auto"/>
            </w:tcBorders>
            <w:shd w:val="clear" w:color="auto" w:fill="auto"/>
            <w:vAlign w:val="center"/>
          </w:tcPr>
          <w:p w14:paraId="661B5E64" w14:textId="4B4FE6B5"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3011BA3" w14:textId="535278FB"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C8E18FB" w14:textId="1DF81D1D"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26103B8" w14:textId="5281928A"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ED8559A" w14:textId="4FDF8A0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C58D1C8" w14:textId="4DBF1CD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674C185" w14:textId="37C225F8"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3830D951"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50DD5A3"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EC9A68E"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9077558" w14:textId="77777777" w:rsidR="004B0524" w:rsidRPr="00F9037E" w:rsidRDefault="004B0524" w:rsidP="00C05C97">
            <w:pPr>
              <w:spacing w:before="120" w:after="120"/>
              <w:jc w:val="center"/>
              <w:rPr>
                <w:color w:val="auto"/>
                <w:sz w:val="12"/>
                <w:szCs w:val="12"/>
              </w:rPr>
            </w:pPr>
            <w:r w:rsidRPr="00F9037E">
              <w:rPr>
                <w:color w:val="auto"/>
                <w:sz w:val="12"/>
                <w:szCs w:val="12"/>
              </w:rPr>
              <w:t>8.700</w:t>
            </w:r>
          </w:p>
        </w:tc>
        <w:tc>
          <w:tcPr>
            <w:tcW w:w="567" w:type="dxa"/>
            <w:tcBorders>
              <w:top w:val="nil"/>
              <w:left w:val="nil"/>
              <w:bottom w:val="single" w:sz="8" w:space="0" w:color="auto"/>
              <w:right w:val="single" w:sz="8" w:space="0" w:color="auto"/>
            </w:tcBorders>
            <w:shd w:val="clear" w:color="auto" w:fill="auto"/>
            <w:vAlign w:val="center"/>
          </w:tcPr>
          <w:p w14:paraId="0E2D900E" w14:textId="77777777" w:rsidR="004B0524" w:rsidRPr="00F9037E" w:rsidRDefault="004B0524" w:rsidP="00C05C97">
            <w:pPr>
              <w:spacing w:before="120" w:after="120"/>
              <w:jc w:val="center"/>
              <w:rPr>
                <w:color w:val="auto"/>
                <w:sz w:val="12"/>
                <w:szCs w:val="12"/>
              </w:rPr>
            </w:pPr>
            <w:r w:rsidRPr="00F9037E">
              <w:rPr>
                <w:color w:val="auto"/>
                <w:sz w:val="12"/>
                <w:szCs w:val="12"/>
              </w:rPr>
              <w:t>7.000</w:t>
            </w:r>
          </w:p>
        </w:tc>
        <w:tc>
          <w:tcPr>
            <w:tcW w:w="567" w:type="dxa"/>
            <w:tcBorders>
              <w:top w:val="nil"/>
              <w:left w:val="nil"/>
              <w:bottom w:val="single" w:sz="8" w:space="0" w:color="auto"/>
              <w:right w:val="single" w:sz="8" w:space="0" w:color="auto"/>
            </w:tcBorders>
            <w:shd w:val="clear" w:color="auto" w:fill="auto"/>
            <w:vAlign w:val="center"/>
          </w:tcPr>
          <w:p w14:paraId="04FC2FD2" w14:textId="2E3767F9"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9C350BF" w14:textId="1E9C7CDF"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4FD97D6" w14:textId="746F4070"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FB6CE85" w14:textId="6B080930"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31DC618" w14:textId="2E55640F"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48455146" w14:textId="1CEC636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64BBA01"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22B8E75"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C04ED08"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4060D2C" w14:textId="77777777" w:rsidR="004B0524" w:rsidRPr="00F9037E" w:rsidRDefault="004B0524" w:rsidP="00C05C97">
            <w:pPr>
              <w:spacing w:before="120" w:after="120"/>
              <w:jc w:val="center"/>
              <w:rPr>
                <w:color w:val="auto"/>
                <w:sz w:val="12"/>
                <w:szCs w:val="12"/>
              </w:rPr>
            </w:pPr>
          </w:p>
        </w:tc>
      </w:tr>
      <w:tr w:rsidR="004B0524" w:rsidRPr="00F9037E" w14:paraId="1C425881" w14:textId="77777777" w:rsidTr="00C05C97">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22CF86B4" w14:textId="33AE12A0" w:rsidR="004B0524" w:rsidRPr="00F9037E" w:rsidRDefault="004B0524" w:rsidP="00C05C97">
            <w:pPr>
              <w:spacing w:before="120" w:after="120"/>
              <w:rPr>
                <w:color w:val="auto"/>
                <w:sz w:val="12"/>
                <w:szCs w:val="12"/>
              </w:rPr>
            </w:pPr>
            <w:r w:rsidRPr="00F9037E">
              <w:rPr>
                <w:color w:val="auto"/>
                <w:sz w:val="12"/>
                <w:szCs w:val="12"/>
              </w:rPr>
              <w:t>UK</w:t>
            </w:r>
          </w:p>
        </w:tc>
        <w:tc>
          <w:tcPr>
            <w:tcW w:w="818" w:type="dxa"/>
            <w:tcBorders>
              <w:top w:val="nil"/>
              <w:left w:val="nil"/>
              <w:bottom w:val="single" w:sz="8" w:space="0" w:color="auto"/>
              <w:right w:val="single" w:sz="8" w:space="0" w:color="auto"/>
            </w:tcBorders>
            <w:shd w:val="clear" w:color="auto" w:fill="auto"/>
            <w:vAlign w:val="center"/>
          </w:tcPr>
          <w:p w14:paraId="0E6F6DE7" w14:textId="77777777" w:rsidR="004B0524" w:rsidRPr="00F9037E" w:rsidRDefault="004B0524" w:rsidP="00C05C97">
            <w:pPr>
              <w:spacing w:before="120" w:after="120"/>
              <w:rPr>
                <w:color w:val="auto"/>
                <w:sz w:val="12"/>
                <w:szCs w:val="12"/>
              </w:rPr>
            </w:pPr>
            <w:r w:rsidRPr="00F9037E">
              <w:rPr>
                <w:color w:val="auto"/>
                <w:sz w:val="12"/>
                <w:szCs w:val="12"/>
              </w:rPr>
              <w:t>Aircraft</w:t>
            </w:r>
          </w:p>
        </w:tc>
        <w:tc>
          <w:tcPr>
            <w:tcW w:w="567" w:type="dxa"/>
            <w:tcBorders>
              <w:top w:val="nil"/>
              <w:left w:val="nil"/>
              <w:bottom w:val="single" w:sz="8" w:space="0" w:color="auto"/>
              <w:right w:val="single" w:sz="8" w:space="0" w:color="auto"/>
            </w:tcBorders>
            <w:shd w:val="clear" w:color="auto" w:fill="auto"/>
            <w:vAlign w:val="center"/>
          </w:tcPr>
          <w:p w14:paraId="63D7E778" w14:textId="380D6469"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CD7DB68" w14:textId="74D1D34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0090571" w14:textId="77777777" w:rsidR="004B0524" w:rsidRPr="00F9037E" w:rsidRDefault="004B0524" w:rsidP="00C05C97">
            <w:pPr>
              <w:spacing w:before="120" w:after="120"/>
              <w:jc w:val="center"/>
              <w:rPr>
                <w:color w:val="auto"/>
                <w:sz w:val="12"/>
                <w:szCs w:val="12"/>
              </w:rPr>
            </w:pPr>
            <w:r w:rsidRPr="00F9037E">
              <w:rPr>
                <w:color w:val="auto"/>
                <w:sz w:val="12"/>
                <w:szCs w:val="12"/>
              </w:rPr>
              <w:t>0.165</w:t>
            </w:r>
          </w:p>
        </w:tc>
        <w:tc>
          <w:tcPr>
            <w:tcW w:w="567" w:type="dxa"/>
            <w:tcBorders>
              <w:top w:val="nil"/>
              <w:left w:val="nil"/>
              <w:bottom w:val="single" w:sz="8" w:space="0" w:color="auto"/>
              <w:right w:val="single" w:sz="8" w:space="0" w:color="auto"/>
            </w:tcBorders>
            <w:shd w:val="clear" w:color="auto" w:fill="auto"/>
            <w:vAlign w:val="center"/>
          </w:tcPr>
          <w:p w14:paraId="65227FD0" w14:textId="30A34168"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78E3E81" w14:textId="0210FAF1"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700C2F1" w14:textId="60779FF4"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3435690" w14:textId="68403A84"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95CC94D" w14:textId="0311D9DC"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7A35388" w14:textId="5EDF82B8"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7FC869F6"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695EF3D"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107CE28"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237C8397" w14:textId="3FA6B6B8"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AD0EE07" w14:textId="79BC9492"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C487466" w14:textId="77777777" w:rsidR="004B0524" w:rsidRPr="00F9037E" w:rsidRDefault="004B0524" w:rsidP="00C05C97">
            <w:pPr>
              <w:spacing w:before="120" w:after="120"/>
              <w:jc w:val="center"/>
              <w:rPr>
                <w:color w:val="auto"/>
                <w:sz w:val="12"/>
                <w:szCs w:val="12"/>
              </w:rPr>
            </w:pPr>
            <w:r w:rsidRPr="00F9037E">
              <w:rPr>
                <w:color w:val="auto"/>
                <w:sz w:val="12"/>
                <w:szCs w:val="12"/>
              </w:rPr>
              <w:t>0.165</w:t>
            </w:r>
          </w:p>
        </w:tc>
        <w:tc>
          <w:tcPr>
            <w:tcW w:w="567" w:type="dxa"/>
            <w:tcBorders>
              <w:top w:val="nil"/>
              <w:left w:val="nil"/>
              <w:bottom w:val="single" w:sz="8" w:space="0" w:color="auto"/>
              <w:right w:val="single" w:sz="8" w:space="0" w:color="auto"/>
            </w:tcBorders>
            <w:shd w:val="clear" w:color="auto" w:fill="auto"/>
            <w:vAlign w:val="center"/>
          </w:tcPr>
          <w:p w14:paraId="42A633DD" w14:textId="529C9C2D"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D2071B5" w14:textId="5D203CD8"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0B73772" w14:textId="38CB03C9"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FD6F2A4" w14:textId="5F5CFD4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242782CD" w14:textId="0D6D5CAC"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AD1CAD1"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D5E6D51"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A94C1E0"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7DE752F" w14:textId="77777777" w:rsidR="004B0524" w:rsidRPr="00F9037E" w:rsidRDefault="004B0524" w:rsidP="00C05C97">
            <w:pPr>
              <w:spacing w:before="120" w:after="120"/>
              <w:jc w:val="center"/>
              <w:rPr>
                <w:color w:val="auto"/>
                <w:sz w:val="12"/>
                <w:szCs w:val="12"/>
              </w:rPr>
            </w:pPr>
          </w:p>
        </w:tc>
      </w:tr>
      <w:tr w:rsidR="004B0524" w:rsidRPr="00F9037E" w14:paraId="6D1B27BA" w14:textId="77777777" w:rsidTr="00C05C97">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384A0AD4" w14:textId="3788D7B9" w:rsidR="004B0524" w:rsidRPr="00F9037E" w:rsidRDefault="004B0524" w:rsidP="00C05C97">
            <w:pPr>
              <w:spacing w:before="120" w:after="120"/>
              <w:rPr>
                <w:color w:val="auto"/>
                <w:sz w:val="12"/>
                <w:szCs w:val="12"/>
              </w:rPr>
            </w:pPr>
            <w:r w:rsidRPr="00F9037E">
              <w:rPr>
                <w:color w:val="auto"/>
                <w:sz w:val="12"/>
                <w:szCs w:val="12"/>
              </w:rPr>
              <w:t>UK</w:t>
            </w:r>
          </w:p>
        </w:tc>
        <w:tc>
          <w:tcPr>
            <w:tcW w:w="818" w:type="dxa"/>
            <w:tcBorders>
              <w:top w:val="nil"/>
              <w:left w:val="nil"/>
              <w:bottom w:val="single" w:sz="8" w:space="0" w:color="auto"/>
              <w:right w:val="single" w:sz="8" w:space="0" w:color="auto"/>
            </w:tcBorders>
            <w:shd w:val="clear" w:color="auto" w:fill="auto"/>
            <w:vAlign w:val="center"/>
          </w:tcPr>
          <w:p w14:paraId="0B8E492D" w14:textId="77777777" w:rsidR="004B0524" w:rsidRPr="00F9037E" w:rsidRDefault="004B0524" w:rsidP="00C05C97">
            <w:pPr>
              <w:spacing w:before="120" w:after="120"/>
              <w:rPr>
                <w:color w:val="auto"/>
                <w:sz w:val="12"/>
                <w:szCs w:val="12"/>
              </w:rPr>
            </w:pPr>
            <w:r w:rsidRPr="00F9037E">
              <w:rPr>
                <w:color w:val="auto"/>
                <w:sz w:val="12"/>
                <w:szCs w:val="12"/>
              </w:rPr>
              <w:t>Mills and Processors</w:t>
            </w:r>
          </w:p>
        </w:tc>
        <w:tc>
          <w:tcPr>
            <w:tcW w:w="567" w:type="dxa"/>
            <w:tcBorders>
              <w:top w:val="nil"/>
              <w:left w:val="nil"/>
              <w:bottom w:val="single" w:sz="8" w:space="0" w:color="auto"/>
              <w:right w:val="single" w:sz="8" w:space="0" w:color="auto"/>
            </w:tcBorders>
            <w:shd w:val="clear" w:color="auto" w:fill="auto"/>
            <w:vAlign w:val="center"/>
          </w:tcPr>
          <w:p w14:paraId="6C99F4DF" w14:textId="77777777" w:rsidR="004B0524" w:rsidRPr="00F9037E" w:rsidRDefault="004B0524" w:rsidP="00C05C97">
            <w:pPr>
              <w:spacing w:before="120" w:after="120"/>
              <w:jc w:val="center"/>
              <w:rPr>
                <w:color w:val="auto"/>
                <w:sz w:val="12"/>
                <w:szCs w:val="12"/>
              </w:rPr>
            </w:pPr>
            <w:r w:rsidRPr="00F9037E">
              <w:rPr>
                <w:color w:val="auto"/>
                <w:sz w:val="12"/>
                <w:szCs w:val="12"/>
              </w:rPr>
              <w:t>47.130</w:t>
            </w:r>
          </w:p>
        </w:tc>
        <w:tc>
          <w:tcPr>
            <w:tcW w:w="567" w:type="dxa"/>
            <w:tcBorders>
              <w:top w:val="nil"/>
              <w:left w:val="nil"/>
              <w:bottom w:val="single" w:sz="8" w:space="0" w:color="auto"/>
              <w:right w:val="single" w:sz="8" w:space="0" w:color="auto"/>
            </w:tcBorders>
            <w:shd w:val="clear" w:color="auto" w:fill="auto"/>
            <w:vAlign w:val="center"/>
          </w:tcPr>
          <w:p w14:paraId="695411AF" w14:textId="77777777" w:rsidR="004B0524" w:rsidRPr="00F9037E" w:rsidRDefault="004B0524" w:rsidP="00C05C97">
            <w:pPr>
              <w:spacing w:before="120" w:after="120"/>
              <w:jc w:val="center"/>
              <w:rPr>
                <w:color w:val="auto"/>
                <w:sz w:val="12"/>
                <w:szCs w:val="12"/>
              </w:rPr>
            </w:pPr>
            <w:r w:rsidRPr="00F9037E">
              <w:rPr>
                <w:color w:val="auto"/>
                <w:sz w:val="12"/>
                <w:szCs w:val="12"/>
              </w:rPr>
              <w:t>10.195</w:t>
            </w:r>
          </w:p>
        </w:tc>
        <w:tc>
          <w:tcPr>
            <w:tcW w:w="567" w:type="dxa"/>
            <w:tcBorders>
              <w:top w:val="nil"/>
              <w:left w:val="nil"/>
              <w:bottom w:val="single" w:sz="8" w:space="0" w:color="auto"/>
              <w:right w:val="single" w:sz="8" w:space="0" w:color="auto"/>
            </w:tcBorders>
            <w:shd w:val="clear" w:color="auto" w:fill="auto"/>
            <w:vAlign w:val="center"/>
          </w:tcPr>
          <w:p w14:paraId="59375E62" w14:textId="77777777" w:rsidR="004B0524" w:rsidRPr="00F9037E" w:rsidRDefault="004B0524" w:rsidP="00C05C97">
            <w:pPr>
              <w:spacing w:before="120" w:after="120"/>
              <w:jc w:val="center"/>
              <w:rPr>
                <w:color w:val="auto"/>
                <w:sz w:val="12"/>
                <w:szCs w:val="12"/>
              </w:rPr>
            </w:pPr>
            <w:r w:rsidRPr="00F9037E">
              <w:rPr>
                <w:color w:val="auto"/>
                <w:sz w:val="12"/>
                <w:szCs w:val="12"/>
              </w:rPr>
              <w:t>4.509</w:t>
            </w:r>
          </w:p>
        </w:tc>
        <w:tc>
          <w:tcPr>
            <w:tcW w:w="567" w:type="dxa"/>
            <w:tcBorders>
              <w:top w:val="nil"/>
              <w:left w:val="nil"/>
              <w:bottom w:val="single" w:sz="8" w:space="0" w:color="auto"/>
              <w:right w:val="single" w:sz="8" w:space="0" w:color="auto"/>
            </w:tcBorders>
            <w:shd w:val="clear" w:color="auto" w:fill="auto"/>
            <w:vAlign w:val="center"/>
          </w:tcPr>
          <w:p w14:paraId="3C2CC073" w14:textId="17C8B89D"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BDFD65E" w14:textId="0A5F21CD"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52F9EC6" w14:textId="7EA062E0"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EEB0ED6" w14:textId="69FE2E6C"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AA4F9CA" w14:textId="5747D999"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60F9041" w14:textId="7A739FCA"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1E1DC73C"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771166B"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8760DF7"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7402A9C0" w14:textId="77777777" w:rsidR="004B0524" w:rsidRPr="00F9037E" w:rsidRDefault="004B0524" w:rsidP="00C05C97">
            <w:pPr>
              <w:spacing w:before="120" w:after="120"/>
              <w:jc w:val="center"/>
              <w:rPr>
                <w:color w:val="auto"/>
                <w:sz w:val="12"/>
                <w:szCs w:val="12"/>
              </w:rPr>
            </w:pPr>
            <w:r w:rsidRPr="00F9037E">
              <w:rPr>
                <w:color w:val="auto"/>
                <w:sz w:val="12"/>
                <w:szCs w:val="12"/>
              </w:rPr>
              <w:t>47.130</w:t>
            </w:r>
          </w:p>
        </w:tc>
        <w:tc>
          <w:tcPr>
            <w:tcW w:w="567" w:type="dxa"/>
            <w:tcBorders>
              <w:top w:val="nil"/>
              <w:left w:val="nil"/>
              <w:bottom w:val="single" w:sz="8" w:space="0" w:color="auto"/>
              <w:right w:val="single" w:sz="8" w:space="0" w:color="auto"/>
            </w:tcBorders>
            <w:shd w:val="clear" w:color="auto" w:fill="auto"/>
            <w:vAlign w:val="center"/>
          </w:tcPr>
          <w:p w14:paraId="25370F9B" w14:textId="77777777" w:rsidR="004B0524" w:rsidRPr="00F9037E" w:rsidRDefault="004B0524" w:rsidP="00C05C97">
            <w:pPr>
              <w:spacing w:before="120" w:after="120"/>
              <w:jc w:val="center"/>
              <w:rPr>
                <w:color w:val="auto"/>
                <w:sz w:val="12"/>
                <w:szCs w:val="12"/>
              </w:rPr>
            </w:pPr>
            <w:r w:rsidRPr="00F9037E">
              <w:rPr>
                <w:color w:val="auto"/>
                <w:sz w:val="12"/>
                <w:szCs w:val="12"/>
              </w:rPr>
              <w:t>10.195</w:t>
            </w:r>
          </w:p>
        </w:tc>
        <w:tc>
          <w:tcPr>
            <w:tcW w:w="567" w:type="dxa"/>
            <w:tcBorders>
              <w:top w:val="nil"/>
              <w:left w:val="nil"/>
              <w:bottom w:val="single" w:sz="8" w:space="0" w:color="auto"/>
              <w:right w:val="single" w:sz="8" w:space="0" w:color="auto"/>
            </w:tcBorders>
            <w:shd w:val="clear" w:color="auto" w:fill="auto"/>
            <w:vAlign w:val="center"/>
          </w:tcPr>
          <w:p w14:paraId="4C5E73AA" w14:textId="77777777" w:rsidR="004B0524" w:rsidRPr="00F9037E" w:rsidRDefault="004B0524" w:rsidP="00C05C97">
            <w:pPr>
              <w:spacing w:before="120" w:after="120"/>
              <w:jc w:val="center"/>
              <w:rPr>
                <w:color w:val="auto"/>
                <w:sz w:val="12"/>
                <w:szCs w:val="12"/>
              </w:rPr>
            </w:pPr>
            <w:r w:rsidRPr="00F9037E">
              <w:rPr>
                <w:color w:val="auto"/>
                <w:sz w:val="12"/>
                <w:szCs w:val="12"/>
              </w:rPr>
              <w:t>4.509</w:t>
            </w:r>
          </w:p>
        </w:tc>
        <w:tc>
          <w:tcPr>
            <w:tcW w:w="567" w:type="dxa"/>
            <w:tcBorders>
              <w:top w:val="nil"/>
              <w:left w:val="nil"/>
              <w:bottom w:val="single" w:sz="8" w:space="0" w:color="auto"/>
              <w:right w:val="single" w:sz="8" w:space="0" w:color="auto"/>
            </w:tcBorders>
            <w:shd w:val="clear" w:color="auto" w:fill="auto"/>
            <w:vAlign w:val="center"/>
          </w:tcPr>
          <w:p w14:paraId="5E88301A" w14:textId="40C6071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9AA2C24" w14:textId="080AB6D4"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06C1AA1" w14:textId="1E14A2B5"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E4632C8" w14:textId="18B2BC5E"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76170782" w14:textId="1BF127FC"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C87FE42"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83229E1"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77D78F9"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396D94D" w14:textId="77777777" w:rsidR="004B0524" w:rsidRPr="00F9037E" w:rsidRDefault="004B0524" w:rsidP="00C05C97">
            <w:pPr>
              <w:spacing w:before="120" w:after="120"/>
              <w:jc w:val="center"/>
              <w:rPr>
                <w:color w:val="auto"/>
                <w:sz w:val="12"/>
                <w:szCs w:val="12"/>
              </w:rPr>
            </w:pPr>
          </w:p>
        </w:tc>
      </w:tr>
      <w:tr w:rsidR="004B0524" w:rsidRPr="00F9037E" w14:paraId="036C271B" w14:textId="77777777" w:rsidTr="00C05C97">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45CFF2B8" w14:textId="0D97AD1E" w:rsidR="004B0524" w:rsidRPr="00F9037E" w:rsidRDefault="004B0524" w:rsidP="00C05C97">
            <w:pPr>
              <w:spacing w:before="120" w:after="120"/>
              <w:rPr>
                <w:color w:val="auto"/>
                <w:sz w:val="12"/>
                <w:szCs w:val="12"/>
              </w:rPr>
            </w:pPr>
            <w:r w:rsidRPr="00F9037E">
              <w:rPr>
                <w:color w:val="auto"/>
                <w:sz w:val="12"/>
                <w:szCs w:val="12"/>
              </w:rPr>
              <w:t>UK</w:t>
            </w:r>
          </w:p>
        </w:tc>
        <w:tc>
          <w:tcPr>
            <w:tcW w:w="1385" w:type="dxa"/>
            <w:gridSpan w:val="2"/>
            <w:tcBorders>
              <w:top w:val="single" w:sz="8" w:space="0" w:color="auto"/>
              <w:left w:val="nil"/>
              <w:bottom w:val="single" w:sz="8" w:space="0" w:color="auto"/>
              <w:right w:val="single" w:sz="8" w:space="0" w:color="000000"/>
            </w:tcBorders>
            <w:shd w:val="clear" w:color="auto" w:fill="auto"/>
            <w:vAlign w:val="center"/>
          </w:tcPr>
          <w:p w14:paraId="559F6944" w14:textId="77777777" w:rsidR="004B0524" w:rsidRPr="00F9037E" w:rsidRDefault="004B0524" w:rsidP="00C05C97">
            <w:pPr>
              <w:spacing w:before="120" w:after="120"/>
              <w:rPr>
                <w:color w:val="auto"/>
                <w:sz w:val="12"/>
                <w:szCs w:val="12"/>
              </w:rPr>
            </w:pPr>
            <w:r w:rsidRPr="00F9037E">
              <w:rPr>
                <w:color w:val="auto"/>
                <w:sz w:val="12"/>
                <w:szCs w:val="12"/>
              </w:rPr>
              <w:t>Cereal processing plants</w:t>
            </w:r>
          </w:p>
        </w:tc>
        <w:tc>
          <w:tcPr>
            <w:tcW w:w="567" w:type="dxa"/>
            <w:tcBorders>
              <w:top w:val="nil"/>
              <w:left w:val="nil"/>
              <w:bottom w:val="single" w:sz="8" w:space="0" w:color="auto"/>
              <w:right w:val="single" w:sz="8" w:space="0" w:color="auto"/>
            </w:tcBorders>
            <w:shd w:val="clear" w:color="auto" w:fill="auto"/>
            <w:vAlign w:val="center"/>
          </w:tcPr>
          <w:p w14:paraId="5F96292C" w14:textId="77777777" w:rsidR="004B0524" w:rsidRPr="00F9037E" w:rsidRDefault="004B0524" w:rsidP="00C05C97">
            <w:pPr>
              <w:spacing w:before="120" w:after="120"/>
              <w:jc w:val="center"/>
              <w:rPr>
                <w:color w:val="auto"/>
                <w:sz w:val="12"/>
                <w:szCs w:val="12"/>
              </w:rPr>
            </w:pPr>
            <w:r w:rsidRPr="00F9037E">
              <w:rPr>
                <w:color w:val="auto"/>
                <w:sz w:val="12"/>
                <w:szCs w:val="12"/>
              </w:rPr>
              <w:t>8.131</w:t>
            </w:r>
          </w:p>
        </w:tc>
        <w:tc>
          <w:tcPr>
            <w:tcW w:w="567" w:type="dxa"/>
            <w:tcBorders>
              <w:top w:val="nil"/>
              <w:left w:val="nil"/>
              <w:bottom w:val="single" w:sz="8" w:space="0" w:color="auto"/>
              <w:right w:val="single" w:sz="8" w:space="0" w:color="auto"/>
            </w:tcBorders>
            <w:shd w:val="clear" w:color="auto" w:fill="auto"/>
            <w:vAlign w:val="center"/>
          </w:tcPr>
          <w:p w14:paraId="1EB6642A" w14:textId="77777777" w:rsidR="004B0524" w:rsidRPr="00F9037E" w:rsidRDefault="004B0524" w:rsidP="00C05C97">
            <w:pPr>
              <w:spacing w:before="120" w:after="120"/>
              <w:jc w:val="center"/>
              <w:rPr>
                <w:color w:val="auto"/>
                <w:sz w:val="12"/>
                <w:szCs w:val="12"/>
              </w:rPr>
            </w:pPr>
            <w:r w:rsidRPr="00F9037E">
              <w:rPr>
                <w:color w:val="auto"/>
                <w:sz w:val="12"/>
                <w:szCs w:val="12"/>
              </w:rPr>
              <w:t>3.480</w:t>
            </w:r>
          </w:p>
        </w:tc>
        <w:tc>
          <w:tcPr>
            <w:tcW w:w="567" w:type="dxa"/>
            <w:tcBorders>
              <w:top w:val="nil"/>
              <w:left w:val="nil"/>
              <w:bottom w:val="single" w:sz="8" w:space="0" w:color="auto"/>
              <w:right w:val="single" w:sz="8" w:space="0" w:color="auto"/>
            </w:tcBorders>
            <w:shd w:val="clear" w:color="auto" w:fill="auto"/>
            <w:vAlign w:val="center"/>
          </w:tcPr>
          <w:p w14:paraId="562D574E" w14:textId="0ED8FEB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47B2015" w14:textId="35B0696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28A89D1" w14:textId="4BC873BA"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7D5D5A4" w14:textId="640C8235"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171CFB1" w14:textId="77777777" w:rsidR="004B0524" w:rsidRPr="00F9037E" w:rsidRDefault="004B0524" w:rsidP="00C05C97">
            <w:pPr>
              <w:spacing w:before="120" w:after="120"/>
              <w:jc w:val="center"/>
              <w:rPr>
                <w:color w:val="auto"/>
                <w:sz w:val="12"/>
                <w:szCs w:val="12"/>
              </w:rPr>
            </w:pPr>
            <w:r w:rsidRPr="00F9037E">
              <w:rPr>
                <w:color w:val="auto"/>
                <w:sz w:val="12"/>
                <w:szCs w:val="12"/>
              </w:rPr>
              <w:t>(a)</w:t>
            </w:r>
          </w:p>
        </w:tc>
        <w:tc>
          <w:tcPr>
            <w:tcW w:w="567" w:type="dxa"/>
            <w:tcBorders>
              <w:top w:val="nil"/>
              <w:left w:val="nil"/>
              <w:bottom w:val="single" w:sz="8" w:space="0" w:color="auto"/>
              <w:right w:val="single" w:sz="8" w:space="0" w:color="auto"/>
            </w:tcBorders>
            <w:shd w:val="clear" w:color="auto" w:fill="auto"/>
            <w:vAlign w:val="center"/>
          </w:tcPr>
          <w:p w14:paraId="26398E59" w14:textId="4EEC0AB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0916A608"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4EC2F23"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3D92E54"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2DD31379" w14:textId="5063D1B1"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59EE353" w14:textId="77777777" w:rsidR="004B0524" w:rsidRPr="00F9037E" w:rsidRDefault="004B0524" w:rsidP="00C05C97">
            <w:pPr>
              <w:spacing w:before="120" w:after="120"/>
              <w:jc w:val="center"/>
              <w:rPr>
                <w:color w:val="auto"/>
                <w:sz w:val="12"/>
                <w:szCs w:val="12"/>
              </w:rPr>
            </w:pPr>
            <w:r w:rsidRPr="00F9037E">
              <w:rPr>
                <w:color w:val="auto"/>
                <w:sz w:val="12"/>
                <w:szCs w:val="12"/>
              </w:rPr>
              <w:t>8.131</w:t>
            </w:r>
          </w:p>
        </w:tc>
        <w:tc>
          <w:tcPr>
            <w:tcW w:w="567" w:type="dxa"/>
            <w:tcBorders>
              <w:top w:val="nil"/>
              <w:left w:val="nil"/>
              <w:bottom w:val="single" w:sz="8" w:space="0" w:color="auto"/>
              <w:right w:val="single" w:sz="8" w:space="0" w:color="auto"/>
            </w:tcBorders>
            <w:shd w:val="clear" w:color="auto" w:fill="auto"/>
            <w:vAlign w:val="center"/>
          </w:tcPr>
          <w:p w14:paraId="0B839CE1" w14:textId="20704A85"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3262048" w14:textId="0EE79448"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8B13B00" w14:textId="653037F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2316ED4" w14:textId="05DFE63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D75905B" w14:textId="798F532C"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222FEEFE" w14:textId="0A76A99C"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3F04A89"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4682F74"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BF14C22"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30289C5" w14:textId="77777777" w:rsidR="004B0524" w:rsidRPr="00F9037E" w:rsidRDefault="004B0524" w:rsidP="00C05C97">
            <w:pPr>
              <w:spacing w:before="120" w:after="120"/>
              <w:jc w:val="center"/>
              <w:rPr>
                <w:color w:val="auto"/>
                <w:sz w:val="12"/>
                <w:szCs w:val="12"/>
              </w:rPr>
            </w:pPr>
          </w:p>
        </w:tc>
      </w:tr>
      <w:tr w:rsidR="004B0524" w:rsidRPr="00F9037E" w14:paraId="3A3DB467" w14:textId="77777777" w:rsidTr="00C05C97">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724F6CC" w14:textId="05558B6F" w:rsidR="004B0524" w:rsidRPr="00F9037E" w:rsidRDefault="004B0524" w:rsidP="00C05C97">
            <w:pPr>
              <w:spacing w:before="120" w:after="120"/>
              <w:rPr>
                <w:color w:val="auto"/>
                <w:sz w:val="12"/>
                <w:szCs w:val="12"/>
              </w:rPr>
            </w:pPr>
            <w:r w:rsidRPr="00F9037E">
              <w:rPr>
                <w:color w:val="auto"/>
                <w:sz w:val="12"/>
                <w:szCs w:val="12"/>
              </w:rPr>
              <w:t>UK</w:t>
            </w:r>
          </w:p>
        </w:tc>
        <w:tc>
          <w:tcPr>
            <w:tcW w:w="818" w:type="dxa"/>
            <w:tcBorders>
              <w:top w:val="nil"/>
              <w:left w:val="nil"/>
              <w:bottom w:val="single" w:sz="8" w:space="0" w:color="auto"/>
              <w:right w:val="single" w:sz="8" w:space="0" w:color="auto"/>
            </w:tcBorders>
            <w:shd w:val="clear" w:color="auto" w:fill="auto"/>
            <w:vAlign w:val="center"/>
          </w:tcPr>
          <w:p w14:paraId="101CCE99" w14:textId="77777777" w:rsidR="004B0524" w:rsidRPr="00F9037E" w:rsidRDefault="004B0524" w:rsidP="00C05C97">
            <w:pPr>
              <w:spacing w:before="120" w:after="120"/>
              <w:rPr>
                <w:color w:val="auto"/>
                <w:sz w:val="12"/>
                <w:szCs w:val="12"/>
              </w:rPr>
            </w:pPr>
            <w:r w:rsidRPr="00F9037E">
              <w:rPr>
                <w:color w:val="auto"/>
                <w:sz w:val="12"/>
                <w:szCs w:val="12"/>
              </w:rPr>
              <w:t>Cheese stores</w:t>
            </w:r>
          </w:p>
        </w:tc>
        <w:tc>
          <w:tcPr>
            <w:tcW w:w="567" w:type="dxa"/>
            <w:tcBorders>
              <w:top w:val="nil"/>
              <w:left w:val="nil"/>
              <w:bottom w:val="single" w:sz="8" w:space="0" w:color="auto"/>
              <w:right w:val="single" w:sz="8" w:space="0" w:color="auto"/>
            </w:tcBorders>
            <w:shd w:val="clear" w:color="auto" w:fill="auto"/>
            <w:vAlign w:val="center"/>
          </w:tcPr>
          <w:p w14:paraId="3C2E78EE" w14:textId="77777777" w:rsidR="004B0524" w:rsidRPr="00F9037E" w:rsidRDefault="004B0524" w:rsidP="00C05C97">
            <w:pPr>
              <w:spacing w:before="120" w:after="120"/>
              <w:jc w:val="center"/>
              <w:rPr>
                <w:color w:val="auto"/>
                <w:sz w:val="12"/>
                <w:szCs w:val="12"/>
              </w:rPr>
            </w:pPr>
            <w:r w:rsidRPr="00F9037E">
              <w:rPr>
                <w:color w:val="auto"/>
                <w:sz w:val="12"/>
                <w:szCs w:val="12"/>
              </w:rPr>
              <w:t>1.640</w:t>
            </w:r>
          </w:p>
        </w:tc>
        <w:tc>
          <w:tcPr>
            <w:tcW w:w="567" w:type="dxa"/>
            <w:tcBorders>
              <w:top w:val="nil"/>
              <w:left w:val="nil"/>
              <w:bottom w:val="single" w:sz="8" w:space="0" w:color="auto"/>
              <w:right w:val="single" w:sz="8" w:space="0" w:color="auto"/>
            </w:tcBorders>
            <w:shd w:val="clear" w:color="auto" w:fill="auto"/>
            <w:vAlign w:val="center"/>
          </w:tcPr>
          <w:p w14:paraId="5DE228E3" w14:textId="77777777" w:rsidR="004B0524" w:rsidRPr="00F9037E" w:rsidRDefault="004B0524" w:rsidP="00C05C97">
            <w:pPr>
              <w:spacing w:before="120" w:after="120"/>
              <w:jc w:val="center"/>
              <w:rPr>
                <w:color w:val="auto"/>
                <w:sz w:val="12"/>
                <w:szCs w:val="12"/>
              </w:rPr>
            </w:pPr>
            <w:r w:rsidRPr="00F9037E">
              <w:rPr>
                <w:color w:val="auto"/>
                <w:sz w:val="12"/>
                <w:szCs w:val="12"/>
              </w:rPr>
              <w:t>1.248</w:t>
            </w:r>
          </w:p>
        </w:tc>
        <w:tc>
          <w:tcPr>
            <w:tcW w:w="567" w:type="dxa"/>
            <w:tcBorders>
              <w:top w:val="nil"/>
              <w:left w:val="nil"/>
              <w:bottom w:val="single" w:sz="8" w:space="0" w:color="auto"/>
              <w:right w:val="single" w:sz="8" w:space="0" w:color="auto"/>
            </w:tcBorders>
            <w:shd w:val="clear" w:color="auto" w:fill="auto"/>
            <w:vAlign w:val="center"/>
          </w:tcPr>
          <w:p w14:paraId="484771EB" w14:textId="77777777" w:rsidR="004B0524" w:rsidRPr="00F9037E" w:rsidRDefault="004B0524" w:rsidP="00C05C97">
            <w:pPr>
              <w:spacing w:before="120" w:after="120"/>
              <w:jc w:val="center"/>
              <w:rPr>
                <w:color w:val="auto"/>
                <w:sz w:val="12"/>
                <w:szCs w:val="12"/>
              </w:rPr>
            </w:pPr>
            <w:r w:rsidRPr="00F9037E">
              <w:rPr>
                <w:color w:val="auto"/>
                <w:sz w:val="12"/>
                <w:szCs w:val="12"/>
              </w:rPr>
              <w:t>1.248</w:t>
            </w:r>
          </w:p>
        </w:tc>
        <w:tc>
          <w:tcPr>
            <w:tcW w:w="567" w:type="dxa"/>
            <w:tcBorders>
              <w:top w:val="nil"/>
              <w:left w:val="nil"/>
              <w:bottom w:val="single" w:sz="8" w:space="0" w:color="auto"/>
              <w:right w:val="single" w:sz="8" w:space="0" w:color="auto"/>
            </w:tcBorders>
            <w:shd w:val="clear" w:color="auto" w:fill="auto"/>
            <w:vAlign w:val="center"/>
          </w:tcPr>
          <w:p w14:paraId="77EA1BF6" w14:textId="3DD2D8EC"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B3F932B" w14:textId="5CD8A708"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0FDBA8E" w14:textId="7E8CBAD0"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0EA9CA6" w14:textId="77E7C6C1"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3885595" w14:textId="11C0CA6F"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0483333" w14:textId="2C22C29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6CE0E346"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A7BD3AB"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B7403E3"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3CC60138" w14:textId="77777777" w:rsidR="004B0524" w:rsidRPr="00F9037E" w:rsidRDefault="004B0524" w:rsidP="00C05C97">
            <w:pPr>
              <w:spacing w:before="120" w:after="120"/>
              <w:jc w:val="center"/>
              <w:rPr>
                <w:color w:val="auto"/>
                <w:sz w:val="12"/>
                <w:szCs w:val="12"/>
              </w:rPr>
            </w:pPr>
            <w:r w:rsidRPr="00F9037E">
              <w:rPr>
                <w:color w:val="auto"/>
                <w:sz w:val="12"/>
                <w:szCs w:val="12"/>
              </w:rPr>
              <w:t>1.640</w:t>
            </w:r>
          </w:p>
        </w:tc>
        <w:tc>
          <w:tcPr>
            <w:tcW w:w="567" w:type="dxa"/>
            <w:tcBorders>
              <w:top w:val="nil"/>
              <w:left w:val="nil"/>
              <w:bottom w:val="single" w:sz="8" w:space="0" w:color="auto"/>
              <w:right w:val="single" w:sz="8" w:space="0" w:color="auto"/>
            </w:tcBorders>
            <w:shd w:val="clear" w:color="auto" w:fill="auto"/>
            <w:vAlign w:val="center"/>
          </w:tcPr>
          <w:p w14:paraId="13298E73" w14:textId="77777777" w:rsidR="004B0524" w:rsidRPr="00F9037E" w:rsidRDefault="004B0524" w:rsidP="00C05C97">
            <w:pPr>
              <w:spacing w:before="120" w:after="120"/>
              <w:jc w:val="center"/>
              <w:rPr>
                <w:color w:val="auto"/>
                <w:sz w:val="12"/>
                <w:szCs w:val="12"/>
              </w:rPr>
            </w:pPr>
            <w:r w:rsidRPr="00F9037E">
              <w:rPr>
                <w:color w:val="auto"/>
                <w:sz w:val="12"/>
                <w:szCs w:val="12"/>
              </w:rPr>
              <w:t>1.248</w:t>
            </w:r>
          </w:p>
        </w:tc>
        <w:tc>
          <w:tcPr>
            <w:tcW w:w="567" w:type="dxa"/>
            <w:tcBorders>
              <w:top w:val="nil"/>
              <w:left w:val="nil"/>
              <w:bottom w:val="single" w:sz="8" w:space="0" w:color="auto"/>
              <w:right w:val="single" w:sz="8" w:space="0" w:color="auto"/>
            </w:tcBorders>
            <w:shd w:val="clear" w:color="auto" w:fill="auto"/>
            <w:vAlign w:val="center"/>
          </w:tcPr>
          <w:p w14:paraId="3C4A81BB" w14:textId="77777777" w:rsidR="004B0524" w:rsidRPr="00F9037E" w:rsidRDefault="004B0524" w:rsidP="00C05C97">
            <w:pPr>
              <w:spacing w:before="120" w:after="120"/>
              <w:jc w:val="center"/>
              <w:rPr>
                <w:color w:val="auto"/>
                <w:sz w:val="12"/>
                <w:szCs w:val="12"/>
              </w:rPr>
            </w:pPr>
            <w:r w:rsidRPr="00F9037E">
              <w:rPr>
                <w:color w:val="auto"/>
                <w:sz w:val="12"/>
                <w:szCs w:val="12"/>
              </w:rPr>
              <w:t>1.248</w:t>
            </w:r>
          </w:p>
        </w:tc>
        <w:tc>
          <w:tcPr>
            <w:tcW w:w="567" w:type="dxa"/>
            <w:tcBorders>
              <w:top w:val="nil"/>
              <w:left w:val="nil"/>
              <w:bottom w:val="single" w:sz="8" w:space="0" w:color="auto"/>
              <w:right w:val="single" w:sz="8" w:space="0" w:color="auto"/>
            </w:tcBorders>
            <w:shd w:val="clear" w:color="auto" w:fill="auto"/>
            <w:vAlign w:val="center"/>
          </w:tcPr>
          <w:p w14:paraId="115FC65E" w14:textId="4C8FF285"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249B90D" w14:textId="4957C61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14CE458" w14:textId="475717CD"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DE0B56B" w14:textId="7338FD32"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309CC595" w14:textId="6C564C51"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9549FF4"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E88F74F"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78456DC"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B05027F" w14:textId="77777777" w:rsidR="004B0524" w:rsidRPr="00F9037E" w:rsidRDefault="004B0524" w:rsidP="00C05C97">
            <w:pPr>
              <w:spacing w:before="120" w:after="120"/>
              <w:jc w:val="center"/>
              <w:rPr>
                <w:color w:val="auto"/>
                <w:sz w:val="12"/>
                <w:szCs w:val="12"/>
              </w:rPr>
            </w:pPr>
          </w:p>
        </w:tc>
      </w:tr>
      <w:tr w:rsidR="004B0524" w:rsidRPr="00F9037E" w14:paraId="0CFA7699" w14:textId="77777777" w:rsidTr="00C05C97">
        <w:trPr>
          <w:cantSplit/>
          <w:trHeight w:val="13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C3EAD68" w14:textId="45BAA182" w:rsidR="004B0524" w:rsidRPr="00F9037E" w:rsidRDefault="004B0524" w:rsidP="00C05C97">
            <w:pPr>
              <w:spacing w:before="120" w:after="120"/>
              <w:rPr>
                <w:color w:val="auto"/>
                <w:sz w:val="12"/>
                <w:szCs w:val="12"/>
              </w:rPr>
            </w:pPr>
            <w:r w:rsidRPr="00F9037E">
              <w:rPr>
                <w:color w:val="auto"/>
                <w:sz w:val="12"/>
                <w:szCs w:val="12"/>
              </w:rPr>
              <w:t>UK</w:t>
            </w:r>
          </w:p>
        </w:tc>
        <w:tc>
          <w:tcPr>
            <w:tcW w:w="818" w:type="dxa"/>
            <w:tcBorders>
              <w:top w:val="nil"/>
              <w:left w:val="nil"/>
              <w:bottom w:val="single" w:sz="8" w:space="0" w:color="auto"/>
              <w:right w:val="single" w:sz="8" w:space="0" w:color="auto"/>
            </w:tcBorders>
            <w:shd w:val="clear" w:color="auto" w:fill="auto"/>
            <w:vAlign w:val="center"/>
          </w:tcPr>
          <w:p w14:paraId="3B8F4E64" w14:textId="77777777" w:rsidR="004B0524" w:rsidRPr="00F9037E" w:rsidRDefault="004B0524" w:rsidP="00C05C97">
            <w:pPr>
              <w:spacing w:before="120" w:after="120"/>
              <w:rPr>
                <w:color w:val="auto"/>
                <w:sz w:val="12"/>
                <w:szCs w:val="12"/>
              </w:rPr>
            </w:pPr>
            <w:r w:rsidRPr="00F9037E">
              <w:rPr>
                <w:color w:val="auto"/>
                <w:sz w:val="12"/>
                <w:szCs w:val="12"/>
              </w:rPr>
              <w:t xml:space="preserve">Dried  commodities (rice, fruits and nuts)  </w:t>
            </w:r>
            <w:proofErr w:type="spellStart"/>
            <w:r w:rsidRPr="00F9037E">
              <w:rPr>
                <w:color w:val="auto"/>
                <w:sz w:val="12"/>
                <w:szCs w:val="12"/>
              </w:rPr>
              <w:t>Whitworths</w:t>
            </w:r>
            <w:proofErr w:type="spellEnd"/>
          </w:p>
        </w:tc>
        <w:tc>
          <w:tcPr>
            <w:tcW w:w="567" w:type="dxa"/>
            <w:tcBorders>
              <w:top w:val="nil"/>
              <w:left w:val="nil"/>
              <w:bottom w:val="single" w:sz="8" w:space="0" w:color="auto"/>
              <w:right w:val="single" w:sz="8" w:space="0" w:color="auto"/>
            </w:tcBorders>
            <w:shd w:val="clear" w:color="auto" w:fill="auto"/>
            <w:vAlign w:val="center"/>
          </w:tcPr>
          <w:p w14:paraId="03BF237B" w14:textId="687E771B" w:rsidR="004B0524" w:rsidRPr="00F9037E" w:rsidRDefault="004B0524" w:rsidP="00C05C97">
            <w:pPr>
              <w:spacing w:before="120" w:after="120"/>
              <w:jc w:val="center"/>
              <w:rPr>
                <w:color w:val="auto"/>
                <w:sz w:val="12"/>
                <w:szCs w:val="12"/>
              </w:rPr>
            </w:pPr>
            <w:r w:rsidRPr="00F9037E">
              <w:rPr>
                <w:color w:val="auto"/>
                <w:sz w:val="12"/>
                <w:szCs w:val="12"/>
              </w:rPr>
              <w:t>2.400</w:t>
            </w:r>
          </w:p>
        </w:tc>
        <w:tc>
          <w:tcPr>
            <w:tcW w:w="567" w:type="dxa"/>
            <w:tcBorders>
              <w:top w:val="nil"/>
              <w:left w:val="nil"/>
              <w:bottom w:val="single" w:sz="8" w:space="0" w:color="auto"/>
              <w:right w:val="single" w:sz="8" w:space="0" w:color="auto"/>
            </w:tcBorders>
            <w:shd w:val="clear" w:color="auto" w:fill="auto"/>
            <w:vAlign w:val="center"/>
          </w:tcPr>
          <w:p w14:paraId="56C0CE4B" w14:textId="77777777" w:rsidR="004B0524" w:rsidRPr="00F9037E" w:rsidRDefault="004B0524" w:rsidP="00C05C97">
            <w:pPr>
              <w:spacing w:before="120" w:after="120"/>
              <w:jc w:val="center"/>
              <w:rPr>
                <w:color w:val="auto"/>
                <w:sz w:val="12"/>
                <w:szCs w:val="12"/>
              </w:rPr>
            </w:pPr>
            <w:r w:rsidRPr="00F9037E">
              <w:rPr>
                <w:color w:val="auto"/>
                <w:sz w:val="12"/>
                <w:szCs w:val="12"/>
              </w:rPr>
              <w:t>1.256</w:t>
            </w:r>
          </w:p>
        </w:tc>
        <w:tc>
          <w:tcPr>
            <w:tcW w:w="567" w:type="dxa"/>
            <w:tcBorders>
              <w:top w:val="nil"/>
              <w:left w:val="nil"/>
              <w:bottom w:val="single" w:sz="8" w:space="0" w:color="auto"/>
              <w:right w:val="single" w:sz="8" w:space="0" w:color="auto"/>
            </w:tcBorders>
            <w:shd w:val="clear" w:color="auto" w:fill="auto"/>
            <w:vAlign w:val="center"/>
          </w:tcPr>
          <w:p w14:paraId="3DB6FE52" w14:textId="56AC3A1F"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04758EC" w14:textId="283EA602"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C2B1400" w14:textId="0673600A"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BAB1BAA" w14:textId="133813C9"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E513687" w14:textId="695BC9AD"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CA5B6DB" w14:textId="0154F2E1"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C64B2EC" w14:textId="32F64CF9"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5E30C686"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03CE4C4"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B20DDC4"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6E86247" w14:textId="77777777" w:rsidR="004B0524" w:rsidRPr="00F9037E" w:rsidRDefault="004B0524" w:rsidP="00C05C97">
            <w:pPr>
              <w:spacing w:before="120" w:after="120"/>
              <w:jc w:val="center"/>
              <w:rPr>
                <w:color w:val="auto"/>
                <w:sz w:val="12"/>
                <w:szCs w:val="12"/>
              </w:rPr>
            </w:pPr>
            <w:r w:rsidRPr="00F9037E">
              <w:rPr>
                <w:color w:val="auto"/>
                <w:sz w:val="12"/>
                <w:szCs w:val="12"/>
              </w:rPr>
              <w:t>2.400</w:t>
            </w:r>
          </w:p>
        </w:tc>
        <w:tc>
          <w:tcPr>
            <w:tcW w:w="567" w:type="dxa"/>
            <w:tcBorders>
              <w:top w:val="nil"/>
              <w:left w:val="nil"/>
              <w:bottom w:val="single" w:sz="8" w:space="0" w:color="auto"/>
              <w:right w:val="single" w:sz="8" w:space="0" w:color="auto"/>
            </w:tcBorders>
            <w:shd w:val="clear" w:color="auto" w:fill="auto"/>
            <w:vAlign w:val="center"/>
          </w:tcPr>
          <w:p w14:paraId="1C0EE881" w14:textId="77777777" w:rsidR="004B0524" w:rsidRPr="00F9037E" w:rsidRDefault="004B0524" w:rsidP="00C05C97">
            <w:pPr>
              <w:spacing w:before="120" w:after="120"/>
              <w:jc w:val="center"/>
              <w:rPr>
                <w:color w:val="auto"/>
                <w:sz w:val="12"/>
                <w:szCs w:val="12"/>
              </w:rPr>
            </w:pPr>
            <w:r w:rsidRPr="00F9037E">
              <w:rPr>
                <w:color w:val="auto"/>
                <w:sz w:val="12"/>
                <w:szCs w:val="12"/>
              </w:rPr>
              <w:t>1.256</w:t>
            </w:r>
          </w:p>
        </w:tc>
        <w:tc>
          <w:tcPr>
            <w:tcW w:w="567" w:type="dxa"/>
            <w:tcBorders>
              <w:top w:val="nil"/>
              <w:left w:val="nil"/>
              <w:bottom w:val="single" w:sz="8" w:space="0" w:color="auto"/>
              <w:right w:val="single" w:sz="8" w:space="0" w:color="auto"/>
            </w:tcBorders>
            <w:shd w:val="clear" w:color="auto" w:fill="auto"/>
            <w:vAlign w:val="center"/>
          </w:tcPr>
          <w:p w14:paraId="02FA64E0" w14:textId="2DF3BEE1"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AFC87D7" w14:textId="7AEE9B95"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4F4323A" w14:textId="2ED3A385"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737B3DC" w14:textId="0834F545"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EFBE221" w14:textId="72B20445"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601ED258" w14:textId="325AD1B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9786951"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B6CF8C1"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E8FE405"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12B80D6" w14:textId="77777777" w:rsidR="004B0524" w:rsidRPr="00F9037E" w:rsidRDefault="004B0524" w:rsidP="00C05C97">
            <w:pPr>
              <w:spacing w:before="120" w:after="120"/>
              <w:jc w:val="center"/>
              <w:rPr>
                <w:color w:val="auto"/>
                <w:sz w:val="12"/>
                <w:szCs w:val="12"/>
              </w:rPr>
            </w:pPr>
          </w:p>
        </w:tc>
      </w:tr>
      <w:tr w:rsidR="004B0524" w:rsidRPr="00F9037E" w14:paraId="6F5A63F0" w14:textId="77777777" w:rsidTr="00C05C97">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7FA491C9" w14:textId="612C1CB0" w:rsidR="004B0524" w:rsidRPr="00F9037E" w:rsidRDefault="004B0524" w:rsidP="00C05C97">
            <w:pPr>
              <w:spacing w:before="120" w:after="120"/>
              <w:rPr>
                <w:color w:val="auto"/>
                <w:sz w:val="12"/>
                <w:szCs w:val="12"/>
              </w:rPr>
            </w:pPr>
            <w:r w:rsidRPr="00F9037E">
              <w:rPr>
                <w:color w:val="auto"/>
                <w:sz w:val="12"/>
                <w:szCs w:val="12"/>
              </w:rPr>
              <w:t>UK</w:t>
            </w:r>
          </w:p>
        </w:tc>
        <w:tc>
          <w:tcPr>
            <w:tcW w:w="818" w:type="dxa"/>
            <w:tcBorders>
              <w:top w:val="nil"/>
              <w:left w:val="nil"/>
              <w:bottom w:val="single" w:sz="8" w:space="0" w:color="auto"/>
              <w:right w:val="single" w:sz="8" w:space="0" w:color="auto"/>
            </w:tcBorders>
            <w:shd w:val="clear" w:color="auto" w:fill="auto"/>
            <w:vAlign w:val="center"/>
          </w:tcPr>
          <w:p w14:paraId="6779D3CA" w14:textId="77777777" w:rsidR="004B0524" w:rsidRPr="00F9037E" w:rsidRDefault="004B0524" w:rsidP="00C05C97">
            <w:pPr>
              <w:spacing w:before="120" w:after="120"/>
              <w:rPr>
                <w:color w:val="auto"/>
                <w:sz w:val="12"/>
                <w:szCs w:val="12"/>
              </w:rPr>
            </w:pPr>
            <w:r w:rsidRPr="00F9037E">
              <w:rPr>
                <w:color w:val="auto"/>
                <w:sz w:val="12"/>
                <w:szCs w:val="12"/>
              </w:rPr>
              <w:t>Herbs and spices</w:t>
            </w:r>
          </w:p>
        </w:tc>
        <w:tc>
          <w:tcPr>
            <w:tcW w:w="567" w:type="dxa"/>
            <w:tcBorders>
              <w:top w:val="nil"/>
              <w:left w:val="nil"/>
              <w:bottom w:val="single" w:sz="8" w:space="0" w:color="auto"/>
              <w:right w:val="single" w:sz="8" w:space="0" w:color="auto"/>
            </w:tcBorders>
            <w:shd w:val="clear" w:color="auto" w:fill="auto"/>
            <w:vAlign w:val="center"/>
          </w:tcPr>
          <w:p w14:paraId="47BECB51" w14:textId="77777777" w:rsidR="004B0524" w:rsidRPr="00F9037E" w:rsidRDefault="004B0524" w:rsidP="00C05C97">
            <w:pPr>
              <w:spacing w:before="120" w:after="120"/>
              <w:jc w:val="center"/>
              <w:rPr>
                <w:color w:val="auto"/>
                <w:sz w:val="12"/>
                <w:szCs w:val="12"/>
              </w:rPr>
            </w:pPr>
            <w:r w:rsidRPr="00F9037E">
              <w:rPr>
                <w:color w:val="auto"/>
                <w:sz w:val="12"/>
                <w:szCs w:val="12"/>
              </w:rPr>
              <w:t>0.035</w:t>
            </w:r>
          </w:p>
        </w:tc>
        <w:tc>
          <w:tcPr>
            <w:tcW w:w="567" w:type="dxa"/>
            <w:tcBorders>
              <w:top w:val="nil"/>
              <w:left w:val="nil"/>
              <w:bottom w:val="single" w:sz="8" w:space="0" w:color="auto"/>
              <w:right w:val="single" w:sz="8" w:space="0" w:color="auto"/>
            </w:tcBorders>
            <w:shd w:val="clear" w:color="auto" w:fill="auto"/>
            <w:vAlign w:val="center"/>
          </w:tcPr>
          <w:p w14:paraId="7D8AC195" w14:textId="77777777" w:rsidR="004B0524" w:rsidRPr="00F9037E" w:rsidRDefault="004B0524" w:rsidP="00C05C97">
            <w:pPr>
              <w:spacing w:before="120" w:after="120"/>
              <w:jc w:val="center"/>
              <w:rPr>
                <w:color w:val="auto"/>
                <w:sz w:val="12"/>
                <w:szCs w:val="12"/>
              </w:rPr>
            </w:pPr>
            <w:r w:rsidRPr="00F9037E">
              <w:rPr>
                <w:color w:val="auto"/>
                <w:sz w:val="12"/>
                <w:szCs w:val="12"/>
              </w:rPr>
              <w:t>0.037</w:t>
            </w:r>
          </w:p>
        </w:tc>
        <w:tc>
          <w:tcPr>
            <w:tcW w:w="567" w:type="dxa"/>
            <w:tcBorders>
              <w:top w:val="nil"/>
              <w:left w:val="nil"/>
              <w:bottom w:val="single" w:sz="8" w:space="0" w:color="auto"/>
              <w:right w:val="single" w:sz="8" w:space="0" w:color="auto"/>
            </w:tcBorders>
            <w:shd w:val="clear" w:color="auto" w:fill="auto"/>
            <w:vAlign w:val="center"/>
          </w:tcPr>
          <w:p w14:paraId="4F316531" w14:textId="77777777" w:rsidR="004B0524" w:rsidRPr="00F9037E" w:rsidRDefault="004B0524" w:rsidP="00C05C97">
            <w:pPr>
              <w:spacing w:before="120" w:after="120"/>
              <w:jc w:val="center"/>
              <w:rPr>
                <w:color w:val="auto"/>
                <w:sz w:val="12"/>
                <w:szCs w:val="12"/>
              </w:rPr>
            </w:pPr>
            <w:r w:rsidRPr="00F9037E">
              <w:rPr>
                <w:color w:val="auto"/>
                <w:sz w:val="12"/>
                <w:szCs w:val="12"/>
              </w:rPr>
              <w:t>0.030</w:t>
            </w:r>
          </w:p>
        </w:tc>
        <w:tc>
          <w:tcPr>
            <w:tcW w:w="567" w:type="dxa"/>
            <w:tcBorders>
              <w:top w:val="nil"/>
              <w:left w:val="nil"/>
              <w:bottom w:val="single" w:sz="8" w:space="0" w:color="auto"/>
              <w:right w:val="single" w:sz="8" w:space="0" w:color="auto"/>
            </w:tcBorders>
            <w:shd w:val="clear" w:color="auto" w:fill="auto"/>
            <w:vAlign w:val="center"/>
          </w:tcPr>
          <w:p w14:paraId="3503F094" w14:textId="74558984"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3312731" w14:textId="10897748"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FB9834E" w14:textId="04B1AF0C"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AEF0E98" w14:textId="2F950114"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00FAD17" w14:textId="02572C11"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4703D53" w14:textId="65424CCF"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60ED5731"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C36DBEE"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F9FE6DE"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2468AF56" w14:textId="77777777" w:rsidR="004B0524" w:rsidRPr="00F9037E" w:rsidRDefault="004B0524" w:rsidP="00C05C97">
            <w:pPr>
              <w:spacing w:before="120" w:after="120"/>
              <w:jc w:val="center"/>
              <w:rPr>
                <w:color w:val="auto"/>
                <w:sz w:val="12"/>
                <w:szCs w:val="12"/>
              </w:rPr>
            </w:pPr>
            <w:r w:rsidRPr="00F9037E">
              <w:rPr>
                <w:color w:val="auto"/>
                <w:sz w:val="12"/>
                <w:szCs w:val="12"/>
              </w:rPr>
              <w:t>0.035</w:t>
            </w:r>
          </w:p>
        </w:tc>
        <w:tc>
          <w:tcPr>
            <w:tcW w:w="567" w:type="dxa"/>
            <w:tcBorders>
              <w:top w:val="nil"/>
              <w:left w:val="nil"/>
              <w:bottom w:val="single" w:sz="8" w:space="0" w:color="auto"/>
              <w:right w:val="single" w:sz="8" w:space="0" w:color="auto"/>
            </w:tcBorders>
            <w:shd w:val="clear" w:color="auto" w:fill="auto"/>
            <w:vAlign w:val="center"/>
          </w:tcPr>
          <w:p w14:paraId="5F1B442B" w14:textId="77777777" w:rsidR="004B0524" w:rsidRPr="00F9037E" w:rsidRDefault="004B0524" w:rsidP="00C05C97">
            <w:pPr>
              <w:spacing w:before="120" w:after="120"/>
              <w:jc w:val="center"/>
              <w:rPr>
                <w:color w:val="auto"/>
                <w:sz w:val="12"/>
                <w:szCs w:val="12"/>
              </w:rPr>
            </w:pPr>
            <w:r w:rsidRPr="00F9037E">
              <w:rPr>
                <w:color w:val="auto"/>
                <w:sz w:val="12"/>
                <w:szCs w:val="12"/>
              </w:rPr>
              <w:t>0.037</w:t>
            </w:r>
          </w:p>
        </w:tc>
        <w:tc>
          <w:tcPr>
            <w:tcW w:w="567" w:type="dxa"/>
            <w:tcBorders>
              <w:top w:val="nil"/>
              <w:left w:val="nil"/>
              <w:bottom w:val="single" w:sz="8" w:space="0" w:color="auto"/>
              <w:right w:val="single" w:sz="8" w:space="0" w:color="auto"/>
            </w:tcBorders>
            <w:shd w:val="clear" w:color="auto" w:fill="auto"/>
            <w:vAlign w:val="center"/>
          </w:tcPr>
          <w:p w14:paraId="3412FBDD" w14:textId="3B8989BA"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75529BF" w14:textId="26757DF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92F63C4" w14:textId="046E1499"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A135F2C" w14:textId="0E18D6FA"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436F652" w14:textId="69FBDA6F"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0B9491BE" w14:textId="7DF7B534"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DA7D35B"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A641FC8"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E23E757"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26ECA7A" w14:textId="77777777" w:rsidR="004B0524" w:rsidRPr="00F9037E" w:rsidRDefault="004B0524" w:rsidP="00C05C97">
            <w:pPr>
              <w:spacing w:before="120" w:after="120"/>
              <w:jc w:val="center"/>
              <w:rPr>
                <w:color w:val="auto"/>
                <w:sz w:val="12"/>
                <w:szCs w:val="12"/>
              </w:rPr>
            </w:pPr>
          </w:p>
        </w:tc>
      </w:tr>
      <w:tr w:rsidR="004B0524" w:rsidRPr="00F9037E" w14:paraId="1161E2AE" w14:textId="77777777" w:rsidTr="00C05C97">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79B8E22D" w14:textId="22EF86C6" w:rsidR="004B0524" w:rsidRPr="00F9037E" w:rsidRDefault="004B0524" w:rsidP="00C05C97">
            <w:pPr>
              <w:spacing w:before="120" w:after="120"/>
              <w:rPr>
                <w:color w:val="auto"/>
                <w:sz w:val="12"/>
                <w:szCs w:val="12"/>
              </w:rPr>
            </w:pPr>
            <w:r w:rsidRPr="00F9037E">
              <w:rPr>
                <w:color w:val="auto"/>
                <w:sz w:val="12"/>
                <w:szCs w:val="12"/>
              </w:rPr>
              <w:t>UK</w:t>
            </w:r>
          </w:p>
        </w:tc>
        <w:tc>
          <w:tcPr>
            <w:tcW w:w="818" w:type="dxa"/>
            <w:tcBorders>
              <w:top w:val="nil"/>
              <w:left w:val="nil"/>
              <w:bottom w:val="single" w:sz="8" w:space="0" w:color="auto"/>
              <w:right w:val="single" w:sz="8" w:space="0" w:color="auto"/>
            </w:tcBorders>
            <w:shd w:val="clear" w:color="auto" w:fill="auto"/>
            <w:vAlign w:val="center"/>
          </w:tcPr>
          <w:p w14:paraId="44C9D028" w14:textId="5A122F92" w:rsidR="004B0524" w:rsidRPr="00F9037E" w:rsidRDefault="004B0524" w:rsidP="00C05C97">
            <w:pPr>
              <w:spacing w:before="120" w:after="120"/>
              <w:rPr>
                <w:color w:val="auto"/>
                <w:sz w:val="12"/>
                <w:szCs w:val="12"/>
              </w:rPr>
            </w:pPr>
            <w:r w:rsidRPr="00F9037E">
              <w:rPr>
                <w:color w:val="auto"/>
                <w:sz w:val="12"/>
                <w:szCs w:val="12"/>
              </w:rPr>
              <w:t>Mills and Processors (biscuits)</w:t>
            </w:r>
          </w:p>
        </w:tc>
        <w:tc>
          <w:tcPr>
            <w:tcW w:w="567" w:type="dxa"/>
            <w:tcBorders>
              <w:top w:val="nil"/>
              <w:left w:val="nil"/>
              <w:bottom w:val="single" w:sz="8" w:space="0" w:color="auto"/>
              <w:right w:val="single" w:sz="8" w:space="0" w:color="auto"/>
            </w:tcBorders>
            <w:shd w:val="clear" w:color="auto" w:fill="auto"/>
            <w:vAlign w:val="center"/>
          </w:tcPr>
          <w:p w14:paraId="0D437975" w14:textId="77777777" w:rsidR="004B0524" w:rsidRPr="00F9037E" w:rsidRDefault="004B0524" w:rsidP="00C05C97">
            <w:pPr>
              <w:spacing w:before="120" w:after="120"/>
              <w:jc w:val="center"/>
              <w:rPr>
                <w:color w:val="auto"/>
                <w:sz w:val="12"/>
                <w:szCs w:val="12"/>
              </w:rPr>
            </w:pPr>
            <w:r w:rsidRPr="00F9037E">
              <w:rPr>
                <w:color w:val="auto"/>
                <w:sz w:val="12"/>
                <w:szCs w:val="12"/>
              </w:rPr>
              <w:t>2.525</w:t>
            </w:r>
          </w:p>
        </w:tc>
        <w:tc>
          <w:tcPr>
            <w:tcW w:w="567" w:type="dxa"/>
            <w:tcBorders>
              <w:top w:val="nil"/>
              <w:left w:val="nil"/>
              <w:bottom w:val="single" w:sz="8" w:space="0" w:color="auto"/>
              <w:right w:val="single" w:sz="8" w:space="0" w:color="auto"/>
            </w:tcBorders>
            <w:shd w:val="clear" w:color="auto" w:fill="auto"/>
            <w:vAlign w:val="center"/>
          </w:tcPr>
          <w:p w14:paraId="709738B2" w14:textId="77777777" w:rsidR="004B0524" w:rsidRPr="00F9037E" w:rsidRDefault="004B0524" w:rsidP="00C05C97">
            <w:pPr>
              <w:spacing w:before="120" w:after="120"/>
              <w:jc w:val="center"/>
              <w:rPr>
                <w:color w:val="auto"/>
                <w:sz w:val="12"/>
                <w:szCs w:val="12"/>
              </w:rPr>
            </w:pPr>
            <w:r w:rsidRPr="00F9037E">
              <w:rPr>
                <w:color w:val="auto"/>
                <w:sz w:val="12"/>
                <w:szCs w:val="12"/>
              </w:rPr>
              <w:t>1.787</w:t>
            </w:r>
          </w:p>
        </w:tc>
        <w:tc>
          <w:tcPr>
            <w:tcW w:w="567" w:type="dxa"/>
            <w:tcBorders>
              <w:top w:val="nil"/>
              <w:left w:val="nil"/>
              <w:bottom w:val="single" w:sz="8" w:space="0" w:color="auto"/>
              <w:right w:val="single" w:sz="8" w:space="0" w:color="auto"/>
            </w:tcBorders>
            <w:shd w:val="clear" w:color="auto" w:fill="auto"/>
            <w:vAlign w:val="center"/>
          </w:tcPr>
          <w:p w14:paraId="7466F188" w14:textId="77777777" w:rsidR="004B0524" w:rsidRPr="00F9037E" w:rsidRDefault="004B0524" w:rsidP="00C05C97">
            <w:pPr>
              <w:spacing w:before="120" w:after="120"/>
              <w:jc w:val="center"/>
              <w:rPr>
                <w:color w:val="auto"/>
                <w:sz w:val="12"/>
                <w:szCs w:val="12"/>
              </w:rPr>
            </w:pPr>
            <w:r w:rsidRPr="00F9037E">
              <w:rPr>
                <w:color w:val="auto"/>
                <w:sz w:val="12"/>
                <w:szCs w:val="12"/>
              </w:rPr>
              <w:t>0.479</w:t>
            </w:r>
          </w:p>
        </w:tc>
        <w:tc>
          <w:tcPr>
            <w:tcW w:w="567" w:type="dxa"/>
            <w:tcBorders>
              <w:top w:val="nil"/>
              <w:left w:val="nil"/>
              <w:bottom w:val="single" w:sz="8" w:space="0" w:color="auto"/>
              <w:right w:val="single" w:sz="8" w:space="0" w:color="auto"/>
            </w:tcBorders>
            <w:shd w:val="clear" w:color="auto" w:fill="auto"/>
            <w:vAlign w:val="center"/>
          </w:tcPr>
          <w:p w14:paraId="2C4CEBC3" w14:textId="06B7E57C"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DFD6D56" w14:textId="57EB79AC"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E583963" w14:textId="7FA79B1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99E46D5" w14:textId="5BF5B8DD"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810383E" w14:textId="7CC1EBB2"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14A5459" w14:textId="367BFDB5"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4B92D284"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AA2F947"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9420524"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34CC0295" w14:textId="77777777" w:rsidR="004B0524" w:rsidRPr="00F9037E" w:rsidRDefault="004B0524" w:rsidP="00C05C97">
            <w:pPr>
              <w:spacing w:before="120" w:after="120"/>
              <w:jc w:val="center"/>
              <w:rPr>
                <w:color w:val="auto"/>
                <w:sz w:val="12"/>
                <w:szCs w:val="12"/>
              </w:rPr>
            </w:pPr>
            <w:r w:rsidRPr="00F9037E">
              <w:rPr>
                <w:color w:val="auto"/>
                <w:sz w:val="12"/>
                <w:szCs w:val="12"/>
              </w:rPr>
              <w:t>2.525</w:t>
            </w:r>
          </w:p>
        </w:tc>
        <w:tc>
          <w:tcPr>
            <w:tcW w:w="567" w:type="dxa"/>
            <w:tcBorders>
              <w:top w:val="nil"/>
              <w:left w:val="nil"/>
              <w:bottom w:val="single" w:sz="8" w:space="0" w:color="auto"/>
              <w:right w:val="single" w:sz="8" w:space="0" w:color="auto"/>
            </w:tcBorders>
            <w:shd w:val="clear" w:color="auto" w:fill="auto"/>
            <w:vAlign w:val="center"/>
          </w:tcPr>
          <w:p w14:paraId="118BD311" w14:textId="77777777" w:rsidR="004B0524" w:rsidRPr="00F9037E" w:rsidRDefault="004B0524" w:rsidP="00C05C97">
            <w:pPr>
              <w:spacing w:before="120" w:after="120"/>
              <w:jc w:val="center"/>
              <w:rPr>
                <w:color w:val="auto"/>
                <w:sz w:val="12"/>
                <w:szCs w:val="12"/>
              </w:rPr>
            </w:pPr>
            <w:r w:rsidRPr="00F9037E">
              <w:rPr>
                <w:color w:val="auto"/>
                <w:sz w:val="12"/>
                <w:szCs w:val="12"/>
              </w:rPr>
              <w:t>1.787</w:t>
            </w:r>
          </w:p>
        </w:tc>
        <w:tc>
          <w:tcPr>
            <w:tcW w:w="567" w:type="dxa"/>
            <w:tcBorders>
              <w:top w:val="nil"/>
              <w:left w:val="nil"/>
              <w:bottom w:val="single" w:sz="8" w:space="0" w:color="auto"/>
              <w:right w:val="single" w:sz="8" w:space="0" w:color="auto"/>
            </w:tcBorders>
            <w:shd w:val="clear" w:color="auto" w:fill="auto"/>
            <w:vAlign w:val="center"/>
          </w:tcPr>
          <w:p w14:paraId="3C2CEAD9" w14:textId="4DC0CDC3"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23A5F1A" w14:textId="78A296D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45F1AE0" w14:textId="1081B09E"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F96C038" w14:textId="5A61504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558EAB4" w14:textId="62517414"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0F30C460" w14:textId="69DF1D9F"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CEA4734"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2BA75CD"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6460021"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67FD6D8" w14:textId="77777777" w:rsidR="004B0524" w:rsidRPr="00F9037E" w:rsidRDefault="004B0524" w:rsidP="00C05C97">
            <w:pPr>
              <w:spacing w:before="120" w:after="120"/>
              <w:jc w:val="center"/>
              <w:rPr>
                <w:color w:val="auto"/>
                <w:sz w:val="12"/>
                <w:szCs w:val="12"/>
              </w:rPr>
            </w:pPr>
          </w:p>
        </w:tc>
      </w:tr>
      <w:tr w:rsidR="004B0524" w:rsidRPr="00F9037E" w14:paraId="4E8B4DC0" w14:textId="77777777" w:rsidTr="00C05C97">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7341E840" w14:textId="2F804E5B" w:rsidR="004B0524" w:rsidRPr="00F9037E" w:rsidRDefault="004B0524" w:rsidP="00C05C97">
            <w:pPr>
              <w:spacing w:before="120" w:after="120"/>
              <w:rPr>
                <w:color w:val="auto"/>
                <w:sz w:val="12"/>
                <w:szCs w:val="12"/>
              </w:rPr>
            </w:pPr>
            <w:r w:rsidRPr="00F9037E">
              <w:rPr>
                <w:color w:val="auto"/>
                <w:sz w:val="12"/>
                <w:szCs w:val="12"/>
              </w:rPr>
              <w:t>UK</w:t>
            </w:r>
          </w:p>
        </w:tc>
        <w:tc>
          <w:tcPr>
            <w:tcW w:w="818" w:type="dxa"/>
            <w:tcBorders>
              <w:top w:val="nil"/>
              <w:left w:val="nil"/>
              <w:bottom w:val="single" w:sz="8" w:space="0" w:color="auto"/>
              <w:right w:val="single" w:sz="8" w:space="0" w:color="auto"/>
            </w:tcBorders>
            <w:shd w:val="clear" w:color="auto" w:fill="auto"/>
            <w:vAlign w:val="center"/>
          </w:tcPr>
          <w:p w14:paraId="4277E48C" w14:textId="77777777" w:rsidR="004B0524" w:rsidRPr="00F9037E" w:rsidRDefault="004B0524" w:rsidP="00C05C97">
            <w:pPr>
              <w:spacing w:before="120" w:after="120"/>
              <w:rPr>
                <w:color w:val="auto"/>
                <w:sz w:val="12"/>
                <w:szCs w:val="12"/>
              </w:rPr>
            </w:pPr>
            <w:r w:rsidRPr="00F9037E">
              <w:rPr>
                <w:color w:val="auto"/>
                <w:sz w:val="12"/>
                <w:szCs w:val="12"/>
              </w:rPr>
              <w:t>Spices structural equip.</w:t>
            </w:r>
          </w:p>
        </w:tc>
        <w:tc>
          <w:tcPr>
            <w:tcW w:w="567" w:type="dxa"/>
            <w:tcBorders>
              <w:top w:val="nil"/>
              <w:left w:val="nil"/>
              <w:bottom w:val="single" w:sz="8" w:space="0" w:color="auto"/>
              <w:right w:val="single" w:sz="8" w:space="0" w:color="auto"/>
            </w:tcBorders>
            <w:shd w:val="clear" w:color="auto" w:fill="auto"/>
            <w:vAlign w:val="center"/>
          </w:tcPr>
          <w:p w14:paraId="0C87AE19" w14:textId="77777777" w:rsidR="004B0524" w:rsidRPr="00F9037E" w:rsidRDefault="004B0524" w:rsidP="00C05C97">
            <w:pPr>
              <w:spacing w:before="120" w:after="120"/>
              <w:jc w:val="center"/>
              <w:rPr>
                <w:color w:val="auto"/>
                <w:sz w:val="12"/>
                <w:szCs w:val="12"/>
              </w:rPr>
            </w:pPr>
            <w:r w:rsidRPr="00F9037E">
              <w:rPr>
                <w:color w:val="auto"/>
                <w:sz w:val="12"/>
                <w:szCs w:val="12"/>
              </w:rPr>
              <w:t>1.728</w:t>
            </w:r>
          </w:p>
        </w:tc>
        <w:tc>
          <w:tcPr>
            <w:tcW w:w="567" w:type="dxa"/>
            <w:tcBorders>
              <w:top w:val="nil"/>
              <w:left w:val="nil"/>
              <w:bottom w:val="single" w:sz="8" w:space="0" w:color="auto"/>
              <w:right w:val="single" w:sz="8" w:space="0" w:color="auto"/>
            </w:tcBorders>
            <w:shd w:val="clear" w:color="auto" w:fill="auto"/>
            <w:vAlign w:val="center"/>
          </w:tcPr>
          <w:p w14:paraId="4C2EA363" w14:textId="684ABA9E"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43EF08C" w14:textId="15E63D22"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D9EEDB1" w14:textId="3CC3ECE3"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511A068" w14:textId="43638865"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0436810" w14:textId="5C7472EA"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4FBDCB9" w14:textId="7A696E3F"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D4F4D71" w14:textId="39B74EAA"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65AD6A4" w14:textId="48519943"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15E955AE"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388B0AE"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DEECD18"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6D3EC8F0" w14:textId="77777777" w:rsidR="004B0524" w:rsidRPr="00F9037E" w:rsidRDefault="004B0524" w:rsidP="00C05C97">
            <w:pPr>
              <w:spacing w:before="120" w:after="120"/>
              <w:jc w:val="center"/>
              <w:rPr>
                <w:color w:val="auto"/>
                <w:sz w:val="12"/>
                <w:szCs w:val="12"/>
              </w:rPr>
            </w:pPr>
            <w:r w:rsidRPr="00F9037E">
              <w:rPr>
                <w:color w:val="auto"/>
                <w:sz w:val="12"/>
                <w:szCs w:val="12"/>
              </w:rPr>
              <w:t>1.728</w:t>
            </w:r>
          </w:p>
        </w:tc>
        <w:tc>
          <w:tcPr>
            <w:tcW w:w="567" w:type="dxa"/>
            <w:tcBorders>
              <w:top w:val="nil"/>
              <w:left w:val="nil"/>
              <w:bottom w:val="single" w:sz="8" w:space="0" w:color="auto"/>
              <w:right w:val="single" w:sz="8" w:space="0" w:color="auto"/>
            </w:tcBorders>
            <w:shd w:val="clear" w:color="auto" w:fill="auto"/>
            <w:vAlign w:val="center"/>
          </w:tcPr>
          <w:p w14:paraId="1CAF9A5F" w14:textId="77777777" w:rsidR="004B0524" w:rsidRPr="00F9037E" w:rsidRDefault="004B0524" w:rsidP="00C05C97">
            <w:pPr>
              <w:spacing w:before="120" w:after="120"/>
              <w:jc w:val="center"/>
              <w:rPr>
                <w:color w:val="auto"/>
                <w:sz w:val="12"/>
                <w:szCs w:val="12"/>
              </w:rPr>
            </w:pPr>
            <w:r w:rsidRPr="00F9037E">
              <w:rPr>
                <w:color w:val="auto"/>
                <w:sz w:val="12"/>
                <w:szCs w:val="12"/>
              </w:rPr>
              <w:t>0</w:t>
            </w:r>
          </w:p>
        </w:tc>
        <w:tc>
          <w:tcPr>
            <w:tcW w:w="567" w:type="dxa"/>
            <w:tcBorders>
              <w:top w:val="nil"/>
              <w:left w:val="nil"/>
              <w:bottom w:val="single" w:sz="8" w:space="0" w:color="auto"/>
              <w:right w:val="single" w:sz="8" w:space="0" w:color="auto"/>
            </w:tcBorders>
            <w:shd w:val="clear" w:color="auto" w:fill="auto"/>
            <w:vAlign w:val="center"/>
          </w:tcPr>
          <w:p w14:paraId="17C1F9AB" w14:textId="77777777" w:rsidR="004B0524" w:rsidRPr="00F9037E" w:rsidRDefault="004B0524" w:rsidP="00C05C97">
            <w:pPr>
              <w:spacing w:before="120" w:after="120"/>
              <w:jc w:val="center"/>
              <w:rPr>
                <w:color w:val="auto"/>
                <w:sz w:val="12"/>
                <w:szCs w:val="12"/>
              </w:rPr>
            </w:pPr>
            <w:r w:rsidRPr="00F9037E">
              <w:rPr>
                <w:color w:val="auto"/>
                <w:sz w:val="12"/>
                <w:szCs w:val="12"/>
              </w:rPr>
              <w:t>0.479</w:t>
            </w:r>
          </w:p>
        </w:tc>
        <w:tc>
          <w:tcPr>
            <w:tcW w:w="567" w:type="dxa"/>
            <w:tcBorders>
              <w:top w:val="nil"/>
              <w:left w:val="nil"/>
              <w:bottom w:val="single" w:sz="8" w:space="0" w:color="auto"/>
              <w:right w:val="single" w:sz="8" w:space="0" w:color="auto"/>
            </w:tcBorders>
            <w:shd w:val="clear" w:color="auto" w:fill="auto"/>
            <w:vAlign w:val="center"/>
          </w:tcPr>
          <w:p w14:paraId="0793CFB8" w14:textId="7D718072"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C947AF8" w14:textId="06597ED8"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73E4D9D" w14:textId="3263C77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C3471DA" w14:textId="38E7CD0A"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73008EBC" w14:textId="2FB1C3F0"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770BAA1"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AB4A7E7"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F9A14AC"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517D677" w14:textId="77777777" w:rsidR="004B0524" w:rsidRPr="00F9037E" w:rsidRDefault="004B0524" w:rsidP="00C05C97">
            <w:pPr>
              <w:spacing w:before="120" w:after="120"/>
              <w:jc w:val="center"/>
              <w:rPr>
                <w:color w:val="auto"/>
                <w:sz w:val="12"/>
                <w:szCs w:val="12"/>
              </w:rPr>
            </w:pPr>
          </w:p>
        </w:tc>
      </w:tr>
      <w:tr w:rsidR="004B0524" w:rsidRPr="00F9037E" w14:paraId="62945D7D" w14:textId="77777777" w:rsidTr="00C05C97">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51329345" w14:textId="51B696B8" w:rsidR="004B0524" w:rsidRPr="00F9037E" w:rsidRDefault="004B0524" w:rsidP="00C05C97">
            <w:pPr>
              <w:spacing w:before="120" w:after="120"/>
              <w:rPr>
                <w:color w:val="auto"/>
                <w:sz w:val="12"/>
                <w:szCs w:val="12"/>
              </w:rPr>
            </w:pPr>
            <w:r w:rsidRPr="00F9037E">
              <w:rPr>
                <w:color w:val="auto"/>
                <w:sz w:val="12"/>
                <w:szCs w:val="12"/>
              </w:rPr>
              <w:t>UK</w:t>
            </w:r>
          </w:p>
        </w:tc>
        <w:tc>
          <w:tcPr>
            <w:tcW w:w="818" w:type="dxa"/>
            <w:tcBorders>
              <w:top w:val="nil"/>
              <w:left w:val="nil"/>
              <w:bottom w:val="single" w:sz="8" w:space="0" w:color="auto"/>
              <w:right w:val="single" w:sz="8" w:space="0" w:color="auto"/>
            </w:tcBorders>
            <w:shd w:val="clear" w:color="auto" w:fill="auto"/>
            <w:vAlign w:val="center"/>
          </w:tcPr>
          <w:p w14:paraId="1C4893B6" w14:textId="77777777" w:rsidR="004B0524" w:rsidRPr="00F9037E" w:rsidRDefault="004B0524" w:rsidP="00C05C97">
            <w:pPr>
              <w:spacing w:before="120" w:after="120"/>
              <w:rPr>
                <w:color w:val="auto"/>
                <w:sz w:val="12"/>
                <w:szCs w:val="12"/>
              </w:rPr>
            </w:pPr>
            <w:r w:rsidRPr="00F9037E">
              <w:rPr>
                <w:color w:val="auto"/>
                <w:sz w:val="12"/>
                <w:szCs w:val="12"/>
              </w:rPr>
              <w:t>Spices stored</w:t>
            </w:r>
          </w:p>
        </w:tc>
        <w:tc>
          <w:tcPr>
            <w:tcW w:w="567" w:type="dxa"/>
            <w:tcBorders>
              <w:top w:val="nil"/>
              <w:left w:val="nil"/>
              <w:bottom w:val="single" w:sz="8" w:space="0" w:color="auto"/>
              <w:right w:val="single" w:sz="8" w:space="0" w:color="auto"/>
            </w:tcBorders>
            <w:shd w:val="clear" w:color="auto" w:fill="auto"/>
            <w:vAlign w:val="center"/>
          </w:tcPr>
          <w:p w14:paraId="27577832" w14:textId="77777777" w:rsidR="004B0524" w:rsidRPr="00F9037E" w:rsidRDefault="004B0524" w:rsidP="00C05C97">
            <w:pPr>
              <w:spacing w:before="120" w:after="120"/>
              <w:jc w:val="center"/>
              <w:rPr>
                <w:color w:val="auto"/>
                <w:sz w:val="12"/>
                <w:szCs w:val="12"/>
              </w:rPr>
            </w:pPr>
            <w:r w:rsidRPr="00F9037E">
              <w:rPr>
                <w:color w:val="auto"/>
                <w:sz w:val="12"/>
                <w:szCs w:val="12"/>
              </w:rPr>
              <w:t>0.030</w:t>
            </w:r>
          </w:p>
        </w:tc>
        <w:tc>
          <w:tcPr>
            <w:tcW w:w="567" w:type="dxa"/>
            <w:tcBorders>
              <w:top w:val="nil"/>
              <w:left w:val="nil"/>
              <w:bottom w:val="single" w:sz="8" w:space="0" w:color="auto"/>
              <w:right w:val="single" w:sz="8" w:space="0" w:color="auto"/>
            </w:tcBorders>
            <w:shd w:val="clear" w:color="auto" w:fill="auto"/>
            <w:vAlign w:val="center"/>
          </w:tcPr>
          <w:p w14:paraId="61AAF027" w14:textId="64C0E41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5CBE7C6" w14:textId="56FB18A0"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A878E71" w14:textId="79EC9CE5"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D70541A" w14:textId="054BF72E"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957351F" w14:textId="4E564819"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19DD1A3" w14:textId="5F18BD3F"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E8018DC" w14:textId="532115BE"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3465DB4" w14:textId="374BFD8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1D859B8F"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9AD7645"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E9F0D2E"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36C98EEE" w14:textId="77777777" w:rsidR="004B0524" w:rsidRPr="00F9037E" w:rsidRDefault="004B0524" w:rsidP="00C05C97">
            <w:pPr>
              <w:spacing w:before="120" w:after="120"/>
              <w:jc w:val="center"/>
              <w:rPr>
                <w:color w:val="auto"/>
                <w:sz w:val="12"/>
                <w:szCs w:val="12"/>
              </w:rPr>
            </w:pPr>
            <w:r w:rsidRPr="00F9037E">
              <w:rPr>
                <w:color w:val="auto"/>
                <w:sz w:val="12"/>
                <w:szCs w:val="12"/>
              </w:rPr>
              <w:t>0.030</w:t>
            </w:r>
          </w:p>
        </w:tc>
        <w:tc>
          <w:tcPr>
            <w:tcW w:w="567" w:type="dxa"/>
            <w:tcBorders>
              <w:top w:val="nil"/>
              <w:left w:val="nil"/>
              <w:bottom w:val="single" w:sz="8" w:space="0" w:color="auto"/>
              <w:right w:val="single" w:sz="8" w:space="0" w:color="auto"/>
            </w:tcBorders>
            <w:shd w:val="clear" w:color="auto" w:fill="auto"/>
            <w:vAlign w:val="center"/>
          </w:tcPr>
          <w:p w14:paraId="6D7D059E" w14:textId="77777777" w:rsidR="004B0524" w:rsidRPr="00F9037E" w:rsidRDefault="004B0524" w:rsidP="00C05C97">
            <w:pPr>
              <w:spacing w:before="120" w:after="120"/>
              <w:jc w:val="center"/>
              <w:rPr>
                <w:color w:val="auto"/>
                <w:sz w:val="12"/>
                <w:szCs w:val="12"/>
              </w:rPr>
            </w:pPr>
            <w:r w:rsidRPr="00F9037E">
              <w:rPr>
                <w:color w:val="auto"/>
                <w:sz w:val="12"/>
                <w:szCs w:val="12"/>
              </w:rPr>
              <w:t>0</w:t>
            </w:r>
          </w:p>
        </w:tc>
        <w:tc>
          <w:tcPr>
            <w:tcW w:w="567" w:type="dxa"/>
            <w:tcBorders>
              <w:top w:val="nil"/>
              <w:left w:val="nil"/>
              <w:bottom w:val="single" w:sz="8" w:space="0" w:color="auto"/>
              <w:right w:val="single" w:sz="8" w:space="0" w:color="auto"/>
            </w:tcBorders>
            <w:shd w:val="clear" w:color="auto" w:fill="auto"/>
            <w:vAlign w:val="center"/>
          </w:tcPr>
          <w:p w14:paraId="704D7156" w14:textId="794A0645"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601E2A8" w14:textId="27DF8A4A"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1612EF4" w14:textId="45C91113"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853445F" w14:textId="4DA0D7B9"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D72C28E" w14:textId="2E80BB89"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669EBDD1" w14:textId="1BA73CC1"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2E4DB0E"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0B4AA03"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DEB0DBB"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D7A9433" w14:textId="77777777" w:rsidR="004B0524" w:rsidRPr="00F9037E" w:rsidRDefault="004B0524" w:rsidP="00C05C97">
            <w:pPr>
              <w:spacing w:before="120" w:after="120"/>
              <w:jc w:val="center"/>
              <w:rPr>
                <w:color w:val="auto"/>
                <w:sz w:val="12"/>
                <w:szCs w:val="12"/>
              </w:rPr>
            </w:pPr>
          </w:p>
        </w:tc>
      </w:tr>
      <w:tr w:rsidR="004B0524" w:rsidRPr="00F9037E" w14:paraId="3369A327" w14:textId="77777777" w:rsidTr="00C05C97">
        <w:trPr>
          <w:cantSplit/>
          <w:trHeight w:val="91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70D37314" w14:textId="79D2849D" w:rsidR="004B0524" w:rsidRPr="00220275" w:rsidRDefault="004B0524" w:rsidP="00C05C97">
            <w:pPr>
              <w:spacing w:before="120" w:after="120"/>
              <w:rPr>
                <w:color w:val="auto"/>
                <w:sz w:val="12"/>
                <w:szCs w:val="12"/>
              </w:rPr>
            </w:pPr>
            <w:r w:rsidRPr="00220275">
              <w:rPr>
                <w:color w:val="auto"/>
                <w:sz w:val="12"/>
                <w:szCs w:val="12"/>
              </w:rPr>
              <w:lastRenderedPageBreak/>
              <w:t>UK</w:t>
            </w:r>
          </w:p>
        </w:tc>
        <w:tc>
          <w:tcPr>
            <w:tcW w:w="818" w:type="dxa"/>
            <w:tcBorders>
              <w:top w:val="nil"/>
              <w:left w:val="nil"/>
              <w:bottom w:val="single" w:sz="8" w:space="0" w:color="auto"/>
              <w:right w:val="single" w:sz="8" w:space="0" w:color="auto"/>
            </w:tcBorders>
            <w:shd w:val="clear" w:color="auto" w:fill="auto"/>
            <w:vAlign w:val="center"/>
          </w:tcPr>
          <w:p w14:paraId="7AF2AAF7" w14:textId="77777777" w:rsidR="004B0524" w:rsidRPr="00220275" w:rsidRDefault="004B0524" w:rsidP="00C05C97">
            <w:pPr>
              <w:spacing w:before="120" w:after="120"/>
              <w:rPr>
                <w:color w:val="auto"/>
                <w:sz w:val="12"/>
                <w:szCs w:val="12"/>
              </w:rPr>
            </w:pPr>
            <w:r w:rsidRPr="00220275">
              <w:rPr>
                <w:color w:val="auto"/>
                <w:sz w:val="12"/>
                <w:szCs w:val="12"/>
              </w:rPr>
              <w:t>Structures buildings (herbs and spices)</w:t>
            </w:r>
          </w:p>
        </w:tc>
        <w:tc>
          <w:tcPr>
            <w:tcW w:w="567" w:type="dxa"/>
            <w:tcBorders>
              <w:top w:val="nil"/>
              <w:left w:val="nil"/>
              <w:bottom w:val="single" w:sz="8" w:space="0" w:color="auto"/>
              <w:right w:val="single" w:sz="8" w:space="0" w:color="auto"/>
            </w:tcBorders>
            <w:shd w:val="clear" w:color="auto" w:fill="auto"/>
            <w:vAlign w:val="center"/>
          </w:tcPr>
          <w:p w14:paraId="4A95CABA" w14:textId="77777777" w:rsidR="004B0524" w:rsidRPr="00B87B95" w:rsidRDefault="004B0524" w:rsidP="00C05C97">
            <w:pPr>
              <w:spacing w:before="120" w:after="120"/>
              <w:jc w:val="center"/>
              <w:rPr>
                <w:color w:val="auto"/>
                <w:sz w:val="12"/>
                <w:szCs w:val="12"/>
              </w:rPr>
            </w:pPr>
            <w:r w:rsidRPr="00B87B95">
              <w:rPr>
                <w:color w:val="auto"/>
                <w:sz w:val="12"/>
                <w:szCs w:val="12"/>
              </w:rPr>
              <w:t>3.000</w:t>
            </w:r>
          </w:p>
        </w:tc>
        <w:tc>
          <w:tcPr>
            <w:tcW w:w="567" w:type="dxa"/>
            <w:tcBorders>
              <w:top w:val="nil"/>
              <w:left w:val="nil"/>
              <w:bottom w:val="single" w:sz="8" w:space="0" w:color="auto"/>
              <w:right w:val="single" w:sz="8" w:space="0" w:color="auto"/>
            </w:tcBorders>
            <w:shd w:val="clear" w:color="auto" w:fill="auto"/>
            <w:vAlign w:val="center"/>
          </w:tcPr>
          <w:p w14:paraId="6F8F2B4B" w14:textId="77777777" w:rsidR="004B0524" w:rsidRPr="00B87B95" w:rsidRDefault="004B0524" w:rsidP="00C05C97">
            <w:pPr>
              <w:spacing w:before="120" w:after="120"/>
              <w:jc w:val="center"/>
              <w:rPr>
                <w:color w:val="auto"/>
                <w:sz w:val="12"/>
                <w:szCs w:val="12"/>
              </w:rPr>
            </w:pPr>
            <w:r w:rsidRPr="00B87B95">
              <w:rPr>
                <w:color w:val="auto"/>
                <w:sz w:val="12"/>
                <w:szCs w:val="12"/>
              </w:rPr>
              <w:t>1.872</w:t>
            </w:r>
          </w:p>
        </w:tc>
        <w:tc>
          <w:tcPr>
            <w:tcW w:w="567" w:type="dxa"/>
            <w:tcBorders>
              <w:top w:val="nil"/>
              <w:left w:val="nil"/>
              <w:bottom w:val="single" w:sz="8" w:space="0" w:color="auto"/>
              <w:right w:val="single" w:sz="8" w:space="0" w:color="auto"/>
            </w:tcBorders>
            <w:shd w:val="clear" w:color="auto" w:fill="auto"/>
            <w:vAlign w:val="center"/>
          </w:tcPr>
          <w:p w14:paraId="627CC166" w14:textId="77777777" w:rsidR="004B0524" w:rsidRPr="00563BC0" w:rsidRDefault="004B0524" w:rsidP="00C05C97">
            <w:pPr>
              <w:spacing w:before="120" w:after="120"/>
              <w:jc w:val="center"/>
              <w:rPr>
                <w:color w:val="auto"/>
                <w:sz w:val="12"/>
                <w:szCs w:val="12"/>
              </w:rPr>
            </w:pPr>
            <w:r w:rsidRPr="00563BC0">
              <w:rPr>
                <w:color w:val="auto"/>
                <w:sz w:val="12"/>
                <w:szCs w:val="12"/>
              </w:rPr>
              <w:t>0.908</w:t>
            </w:r>
          </w:p>
        </w:tc>
        <w:tc>
          <w:tcPr>
            <w:tcW w:w="567" w:type="dxa"/>
            <w:tcBorders>
              <w:top w:val="nil"/>
              <w:left w:val="nil"/>
              <w:bottom w:val="single" w:sz="8" w:space="0" w:color="auto"/>
              <w:right w:val="single" w:sz="8" w:space="0" w:color="auto"/>
            </w:tcBorders>
            <w:shd w:val="clear" w:color="auto" w:fill="auto"/>
            <w:vAlign w:val="center"/>
          </w:tcPr>
          <w:p w14:paraId="67144849" w14:textId="1C366656" w:rsidR="004B0524" w:rsidRPr="00563BC0"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025F762" w14:textId="6E00A8E9" w:rsidR="004B0524" w:rsidRPr="00563BC0"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B901C6E" w14:textId="2A5CF146" w:rsidR="004B0524" w:rsidRPr="00563BC0"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29F79C9" w14:textId="4AA0E338" w:rsidR="004B0524" w:rsidRPr="00563BC0"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B0FD4FC" w14:textId="1939BE8D" w:rsidR="004B0524" w:rsidRPr="00563BC0"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96A8D88" w14:textId="574FED94" w:rsidR="004B0524" w:rsidRPr="000F08B5"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37C47DE9" w14:textId="77777777" w:rsidR="004B0524" w:rsidRPr="000F08B5"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81F35E1" w14:textId="77777777" w:rsidR="004B0524" w:rsidRPr="00365366"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062B13C"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53622FD" w14:textId="77777777" w:rsidR="004B0524" w:rsidRPr="00F9037E" w:rsidRDefault="004B0524" w:rsidP="00C05C97">
            <w:pPr>
              <w:spacing w:before="120" w:after="120"/>
              <w:jc w:val="center"/>
              <w:rPr>
                <w:color w:val="auto"/>
                <w:sz w:val="12"/>
                <w:szCs w:val="12"/>
              </w:rPr>
            </w:pPr>
            <w:r w:rsidRPr="00F9037E">
              <w:rPr>
                <w:color w:val="auto"/>
                <w:sz w:val="12"/>
                <w:szCs w:val="12"/>
              </w:rPr>
              <w:t>3.000</w:t>
            </w:r>
          </w:p>
        </w:tc>
        <w:tc>
          <w:tcPr>
            <w:tcW w:w="567" w:type="dxa"/>
            <w:tcBorders>
              <w:top w:val="nil"/>
              <w:left w:val="nil"/>
              <w:bottom w:val="single" w:sz="8" w:space="0" w:color="auto"/>
              <w:right w:val="single" w:sz="8" w:space="0" w:color="auto"/>
            </w:tcBorders>
            <w:shd w:val="clear" w:color="auto" w:fill="auto"/>
            <w:vAlign w:val="center"/>
          </w:tcPr>
          <w:p w14:paraId="18E915BC" w14:textId="77777777" w:rsidR="004B0524" w:rsidRPr="00F9037E" w:rsidRDefault="004B0524" w:rsidP="00C05C97">
            <w:pPr>
              <w:spacing w:before="120" w:after="120"/>
              <w:jc w:val="center"/>
              <w:rPr>
                <w:color w:val="auto"/>
                <w:sz w:val="12"/>
                <w:szCs w:val="12"/>
              </w:rPr>
            </w:pPr>
            <w:r w:rsidRPr="00F9037E">
              <w:rPr>
                <w:color w:val="auto"/>
                <w:sz w:val="12"/>
                <w:szCs w:val="12"/>
              </w:rPr>
              <w:t>1.872</w:t>
            </w:r>
          </w:p>
        </w:tc>
        <w:tc>
          <w:tcPr>
            <w:tcW w:w="567" w:type="dxa"/>
            <w:tcBorders>
              <w:top w:val="nil"/>
              <w:left w:val="nil"/>
              <w:bottom w:val="single" w:sz="8" w:space="0" w:color="auto"/>
              <w:right w:val="single" w:sz="8" w:space="0" w:color="auto"/>
            </w:tcBorders>
            <w:shd w:val="clear" w:color="auto" w:fill="auto"/>
            <w:vAlign w:val="center"/>
          </w:tcPr>
          <w:p w14:paraId="40F38E43" w14:textId="77777777" w:rsidR="004B0524" w:rsidRPr="00F9037E" w:rsidRDefault="004B0524" w:rsidP="00C05C97">
            <w:pPr>
              <w:spacing w:before="120" w:after="120"/>
              <w:jc w:val="center"/>
              <w:rPr>
                <w:color w:val="auto"/>
                <w:sz w:val="12"/>
                <w:szCs w:val="12"/>
              </w:rPr>
            </w:pPr>
            <w:r w:rsidRPr="00F9037E">
              <w:rPr>
                <w:color w:val="auto"/>
                <w:sz w:val="12"/>
                <w:szCs w:val="12"/>
              </w:rPr>
              <w:t>0.908</w:t>
            </w:r>
          </w:p>
        </w:tc>
        <w:tc>
          <w:tcPr>
            <w:tcW w:w="567" w:type="dxa"/>
            <w:tcBorders>
              <w:top w:val="nil"/>
              <w:left w:val="nil"/>
              <w:bottom w:val="single" w:sz="8" w:space="0" w:color="auto"/>
              <w:right w:val="single" w:sz="8" w:space="0" w:color="auto"/>
            </w:tcBorders>
            <w:shd w:val="clear" w:color="auto" w:fill="auto"/>
            <w:vAlign w:val="center"/>
          </w:tcPr>
          <w:p w14:paraId="5AA56652" w14:textId="305A361C"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6534AA8" w14:textId="0FDAA6DE"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463D3F8" w14:textId="52404C31"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4C788C4" w14:textId="07B7E0D3"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05D69F79" w14:textId="3438BD25"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5B09763"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2AC6DCF"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BFD648F"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3078AED" w14:textId="77777777" w:rsidR="004B0524" w:rsidRPr="00F9037E" w:rsidRDefault="004B0524" w:rsidP="00C05C97">
            <w:pPr>
              <w:spacing w:before="120" w:after="120"/>
              <w:jc w:val="center"/>
              <w:rPr>
                <w:color w:val="auto"/>
                <w:sz w:val="12"/>
                <w:szCs w:val="12"/>
              </w:rPr>
            </w:pPr>
          </w:p>
        </w:tc>
      </w:tr>
      <w:tr w:rsidR="004B0524" w:rsidRPr="00F9037E" w14:paraId="5A9B65A5" w14:textId="77777777" w:rsidTr="00C05C97">
        <w:trPr>
          <w:cantSplit/>
          <w:trHeight w:val="781"/>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76A4EF13" w14:textId="7FBCFAA5" w:rsidR="004B0524" w:rsidRPr="00F9037E" w:rsidRDefault="004B0524" w:rsidP="00C05C97">
            <w:pPr>
              <w:spacing w:before="120" w:after="120"/>
              <w:rPr>
                <w:color w:val="auto"/>
                <w:sz w:val="12"/>
                <w:szCs w:val="12"/>
              </w:rPr>
            </w:pPr>
            <w:r w:rsidRPr="00F9037E">
              <w:rPr>
                <w:color w:val="auto"/>
                <w:sz w:val="12"/>
                <w:szCs w:val="12"/>
              </w:rPr>
              <w:t>UK</w:t>
            </w:r>
          </w:p>
        </w:tc>
        <w:tc>
          <w:tcPr>
            <w:tcW w:w="818" w:type="dxa"/>
            <w:tcBorders>
              <w:top w:val="nil"/>
              <w:left w:val="nil"/>
              <w:bottom w:val="single" w:sz="8" w:space="0" w:color="auto"/>
              <w:right w:val="single" w:sz="8" w:space="0" w:color="auto"/>
            </w:tcBorders>
            <w:shd w:val="clear" w:color="auto" w:fill="auto"/>
            <w:vAlign w:val="center"/>
          </w:tcPr>
          <w:p w14:paraId="307498ED" w14:textId="0FE893B7" w:rsidR="004B0524" w:rsidRPr="00F9037E" w:rsidRDefault="004B0524" w:rsidP="00C05C97">
            <w:pPr>
              <w:spacing w:before="120" w:after="120"/>
              <w:rPr>
                <w:color w:val="auto"/>
                <w:sz w:val="12"/>
                <w:szCs w:val="12"/>
              </w:rPr>
            </w:pPr>
            <w:r w:rsidRPr="00F9037E">
              <w:rPr>
                <w:color w:val="auto"/>
                <w:sz w:val="12"/>
                <w:szCs w:val="12"/>
              </w:rPr>
              <w:t>Structures, processors and storage (Whitworths)</w:t>
            </w:r>
          </w:p>
        </w:tc>
        <w:tc>
          <w:tcPr>
            <w:tcW w:w="567" w:type="dxa"/>
            <w:tcBorders>
              <w:top w:val="nil"/>
              <w:left w:val="nil"/>
              <w:bottom w:val="single" w:sz="8" w:space="0" w:color="auto"/>
              <w:right w:val="single" w:sz="8" w:space="0" w:color="auto"/>
            </w:tcBorders>
            <w:shd w:val="clear" w:color="auto" w:fill="auto"/>
            <w:vAlign w:val="center"/>
          </w:tcPr>
          <w:p w14:paraId="041B7AAB" w14:textId="77777777" w:rsidR="004B0524" w:rsidRPr="00F9037E" w:rsidRDefault="004B0524" w:rsidP="00C05C97">
            <w:pPr>
              <w:spacing w:before="120" w:after="120"/>
              <w:jc w:val="center"/>
              <w:rPr>
                <w:color w:val="auto"/>
                <w:sz w:val="12"/>
                <w:szCs w:val="12"/>
              </w:rPr>
            </w:pPr>
            <w:r w:rsidRPr="00F9037E">
              <w:rPr>
                <w:color w:val="auto"/>
                <w:sz w:val="12"/>
                <w:szCs w:val="12"/>
              </w:rPr>
              <w:t>1.100</w:t>
            </w:r>
          </w:p>
        </w:tc>
        <w:tc>
          <w:tcPr>
            <w:tcW w:w="567" w:type="dxa"/>
            <w:tcBorders>
              <w:top w:val="nil"/>
              <w:left w:val="nil"/>
              <w:bottom w:val="single" w:sz="8" w:space="0" w:color="auto"/>
              <w:right w:val="single" w:sz="8" w:space="0" w:color="auto"/>
            </w:tcBorders>
            <w:shd w:val="clear" w:color="auto" w:fill="auto"/>
            <w:vAlign w:val="center"/>
          </w:tcPr>
          <w:p w14:paraId="2D3D98EF" w14:textId="77777777" w:rsidR="004B0524" w:rsidRPr="00F9037E" w:rsidRDefault="004B0524" w:rsidP="00C05C97">
            <w:pPr>
              <w:spacing w:before="120" w:after="120"/>
              <w:jc w:val="center"/>
              <w:rPr>
                <w:color w:val="auto"/>
                <w:sz w:val="12"/>
                <w:szCs w:val="12"/>
              </w:rPr>
            </w:pPr>
            <w:r w:rsidRPr="00F9037E">
              <w:rPr>
                <w:color w:val="auto"/>
                <w:sz w:val="12"/>
                <w:szCs w:val="12"/>
              </w:rPr>
              <w:t>0.880</w:t>
            </w:r>
          </w:p>
        </w:tc>
        <w:tc>
          <w:tcPr>
            <w:tcW w:w="567" w:type="dxa"/>
            <w:tcBorders>
              <w:top w:val="nil"/>
              <w:left w:val="nil"/>
              <w:bottom w:val="single" w:sz="8" w:space="0" w:color="auto"/>
              <w:right w:val="single" w:sz="8" w:space="0" w:color="auto"/>
            </w:tcBorders>
            <w:shd w:val="clear" w:color="auto" w:fill="auto"/>
            <w:vAlign w:val="center"/>
          </w:tcPr>
          <w:p w14:paraId="2F20E61C" w14:textId="77777777" w:rsidR="004B0524" w:rsidRPr="00F9037E" w:rsidRDefault="004B0524" w:rsidP="00C05C97">
            <w:pPr>
              <w:spacing w:before="120" w:after="120"/>
              <w:jc w:val="center"/>
              <w:rPr>
                <w:color w:val="auto"/>
                <w:sz w:val="12"/>
                <w:szCs w:val="12"/>
              </w:rPr>
            </w:pPr>
            <w:r w:rsidRPr="00F9037E">
              <w:rPr>
                <w:color w:val="auto"/>
                <w:sz w:val="12"/>
                <w:szCs w:val="12"/>
              </w:rPr>
              <w:t>0.257</w:t>
            </w:r>
          </w:p>
        </w:tc>
        <w:tc>
          <w:tcPr>
            <w:tcW w:w="567" w:type="dxa"/>
            <w:tcBorders>
              <w:top w:val="nil"/>
              <w:left w:val="nil"/>
              <w:bottom w:val="single" w:sz="8" w:space="0" w:color="auto"/>
              <w:right w:val="single" w:sz="8" w:space="0" w:color="auto"/>
            </w:tcBorders>
            <w:shd w:val="clear" w:color="auto" w:fill="auto"/>
            <w:vAlign w:val="center"/>
          </w:tcPr>
          <w:p w14:paraId="1C289F7C" w14:textId="68778C0D"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D7B0D52" w14:textId="4D44ADE2"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4BAE23F" w14:textId="5ECF84CD"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0867477" w14:textId="5A26942C"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12EAA15" w14:textId="150F44D0"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63FD1F3" w14:textId="05CF977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69664DD0"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4C40C0B"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00EAF8E"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E719ED9" w14:textId="77777777" w:rsidR="004B0524" w:rsidRPr="00F9037E" w:rsidRDefault="004B0524" w:rsidP="00C05C97">
            <w:pPr>
              <w:spacing w:before="120" w:after="120"/>
              <w:jc w:val="center"/>
              <w:rPr>
                <w:color w:val="auto"/>
                <w:sz w:val="12"/>
                <w:szCs w:val="12"/>
              </w:rPr>
            </w:pPr>
            <w:r w:rsidRPr="00F9037E">
              <w:rPr>
                <w:color w:val="auto"/>
                <w:sz w:val="12"/>
                <w:szCs w:val="12"/>
              </w:rPr>
              <w:t>1.100</w:t>
            </w:r>
          </w:p>
        </w:tc>
        <w:tc>
          <w:tcPr>
            <w:tcW w:w="567" w:type="dxa"/>
            <w:tcBorders>
              <w:top w:val="nil"/>
              <w:left w:val="nil"/>
              <w:bottom w:val="single" w:sz="8" w:space="0" w:color="auto"/>
              <w:right w:val="single" w:sz="8" w:space="0" w:color="auto"/>
            </w:tcBorders>
            <w:shd w:val="clear" w:color="auto" w:fill="auto"/>
            <w:vAlign w:val="center"/>
          </w:tcPr>
          <w:p w14:paraId="37E7B084" w14:textId="77777777" w:rsidR="004B0524" w:rsidRPr="00F9037E" w:rsidRDefault="004B0524" w:rsidP="00C05C97">
            <w:pPr>
              <w:spacing w:before="120" w:after="120"/>
              <w:jc w:val="center"/>
              <w:rPr>
                <w:color w:val="auto"/>
                <w:sz w:val="12"/>
                <w:szCs w:val="12"/>
              </w:rPr>
            </w:pPr>
            <w:r w:rsidRPr="00F9037E">
              <w:rPr>
                <w:color w:val="auto"/>
                <w:sz w:val="12"/>
                <w:szCs w:val="12"/>
              </w:rPr>
              <w:t>0.880</w:t>
            </w:r>
          </w:p>
        </w:tc>
        <w:tc>
          <w:tcPr>
            <w:tcW w:w="567" w:type="dxa"/>
            <w:tcBorders>
              <w:top w:val="nil"/>
              <w:left w:val="nil"/>
              <w:bottom w:val="single" w:sz="8" w:space="0" w:color="auto"/>
              <w:right w:val="single" w:sz="8" w:space="0" w:color="auto"/>
            </w:tcBorders>
            <w:shd w:val="clear" w:color="auto" w:fill="auto"/>
            <w:vAlign w:val="center"/>
          </w:tcPr>
          <w:p w14:paraId="4E6B8EF2" w14:textId="77777777" w:rsidR="004B0524" w:rsidRPr="00F9037E" w:rsidRDefault="004B0524" w:rsidP="00C05C97">
            <w:pPr>
              <w:spacing w:before="120" w:after="120"/>
              <w:jc w:val="center"/>
              <w:rPr>
                <w:color w:val="auto"/>
                <w:sz w:val="12"/>
                <w:szCs w:val="12"/>
              </w:rPr>
            </w:pPr>
            <w:r w:rsidRPr="00F9037E">
              <w:rPr>
                <w:color w:val="auto"/>
                <w:sz w:val="12"/>
                <w:szCs w:val="12"/>
              </w:rPr>
              <w:t>0.257</w:t>
            </w:r>
          </w:p>
        </w:tc>
        <w:tc>
          <w:tcPr>
            <w:tcW w:w="567" w:type="dxa"/>
            <w:tcBorders>
              <w:top w:val="nil"/>
              <w:left w:val="nil"/>
              <w:bottom w:val="single" w:sz="8" w:space="0" w:color="auto"/>
              <w:right w:val="single" w:sz="8" w:space="0" w:color="auto"/>
            </w:tcBorders>
            <w:shd w:val="clear" w:color="auto" w:fill="auto"/>
            <w:vAlign w:val="center"/>
          </w:tcPr>
          <w:p w14:paraId="0F57AF56" w14:textId="07F250AE"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1EE2C6B" w14:textId="760DC94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92AC4DD" w14:textId="09EF66C3"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8CF0A69" w14:textId="404602B5"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59CF137E" w14:textId="58E2B89D"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82BAF33"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EED1CFB"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97DA0ED"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3937279" w14:textId="77777777" w:rsidR="004B0524" w:rsidRPr="00F9037E" w:rsidRDefault="004B0524" w:rsidP="00C05C97">
            <w:pPr>
              <w:spacing w:before="120" w:after="120"/>
              <w:jc w:val="center"/>
              <w:rPr>
                <w:color w:val="auto"/>
                <w:sz w:val="12"/>
                <w:szCs w:val="12"/>
              </w:rPr>
            </w:pPr>
          </w:p>
        </w:tc>
      </w:tr>
      <w:tr w:rsidR="004B0524" w:rsidRPr="00F9037E" w14:paraId="3697D2E0" w14:textId="77777777" w:rsidTr="00C05C97">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1697550B" w14:textId="0CD1373B" w:rsidR="004B0524" w:rsidRPr="00F9037E" w:rsidRDefault="004B0524" w:rsidP="00C05C97">
            <w:pPr>
              <w:spacing w:before="120" w:after="120"/>
              <w:rPr>
                <w:color w:val="auto"/>
                <w:sz w:val="12"/>
                <w:szCs w:val="12"/>
              </w:rPr>
            </w:pPr>
            <w:r w:rsidRPr="00F9037E">
              <w:rPr>
                <w:color w:val="auto"/>
                <w:sz w:val="12"/>
                <w:szCs w:val="12"/>
              </w:rPr>
              <w:t>UK</w:t>
            </w:r>
          </w:p>
        </w:tc>
        <w:tc>
          <w:tcPr>
            <w:tcW w:w="818" w:type="dxa"/>
            <w:tcBorders>
              <w:top w:val="nil"/>
              <w:left w:val="nil"/>
              <w:bottom w:val="single" w:sz="8" w:space="0" w:color="auto"/>
              <w:right w:val="single" w:sz="8" w:space="0" w:color="auto"/>
            </w:tcBorders>
            <w:shd w:val="clear" w:color="auto" w:fill="auto"/>
            <w:vAlign w:val="center"/>
          </w:tcPr>
          <w:p w14:paraId="46A64244" w14:textId="77777777" w:rsidR="004B0524" w:rsidRPr="00F9037E" w:rsidRDefault="004B0524" w:rsidP="00C05C97">
            <w:pPr>
              <w:spacing w:before="120" w:after="120"/>
              <w:rPr>
                <w:color w:val="auto"/>
                <w:sz w:val="12"/>
                <w:szCs w:val="12"/>
              </w:rPr>
            </w:pPr>
            <w:r w:rsidRPr="00F9037E">
              <w:rPr>
                <w:color w:val="auto"/>
                <w:sz w:val="12"/>
                <w:szCs w:val="12"/>
              </w:rPr>
              <w:t>Tobacco equipment</w:t>
            </w:r>
          </w:p>
        </w:tc>
        <w:tc>
          <w:tcPr>
            <w:tcW w:w="567" w:type="dxa"/>
            <w:tcBorders>
              <w:top w:val="nil"/>
              <w:left w:val="nil"/>
              <w:bottom w:val="single" w:sz="8" w:space="0" w:color="auto"/>
              <w:right w:val="single" w:sz="8" w:space="0" w:color="auto"/>
            </w:tcBorders>
            <w:shd w:val="clear" w:color="auto" w:fill="auto"/>
            <w:vAlign w:val="center"/>
          </w:tcPr>
          <w:p w14:paraId="7348F82D" w14:textId="77777777" w:rsidR="004B0524" w:rsidRPr="00F9037E" w:rsidRDefault="004B0524" w:rsidP="00C05C97">
            <w:pPr>
              <w:spacing w:before="120" w:after="120"/>
              <w:jc w:val="center"/>
              <w:rPr>
                <w:color w:val="auto"/>
                <w:sz w:val="12"/>
                <w:szCs w:val="12"/>
              </w:rPr>
            </w:pPr>
            <w:r w:rsidRPr="00F9037E">
              <w:rPr>
                <w:color w:val="auto"/>
                <w:sz w:val="12"/>
                <w:szCs w:val="12"/>
              </w:rPr>
              <w:t>0.523</w:t>
            </w:r>
          </w:p>
        </w:tc>
        <w:tc>
          <w:tcPr>
            <w:tcW w:w="567" w:type="dxa"/>
            <w:tcBorders>
              <w:top w:val="nil"/>
              <w:left w:val="nil"/>
              <w:bottom w:val="single" w:sz="8" w:space="0" w:color="auto"/>
              <w:right w:val="single" w:sz="8" w:space="0" w:color="auto"/>
            </w:tcBorders>
            <w:shd w:val="clear" w:color="auto" w:fill="auto"/>
            <w:vAlign w:val="center"/>
          </w:tcPr>
          <w:p w14:paraId="5165CF82" w14:textId="51407DE4"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9D67D20" w14:textId="322A7B28"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48B18BB" w14:textId="22C37384"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7408B30" w14:textId="3F335B75"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2286E53" w14:textId="30485C70"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41D67B5" w14:textId="630F12B8"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720407A" w14:textId="544E1B79"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B566B3A" w14:textId="5380C9BF"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7D5C60EA"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BFEF0D6"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E6A1715"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27047C90" w14:textId="77777777" w:rsidR="004B0524" w:rsidRPr="00F9037E" w:rsidRDefault="004B0524" w:rsidP="00C05C97">
            <w:pPr>
              <w:spacing w:before="120" w:after="120"/>
              <w:jc w:val="center"/>
              <w:rPr>
                <w:color w:val="auto"/>
                <w:sz w:val="12"/>
                <w:szCs w:val="12"/>
              </w:rPr>
            </w:pPr>
            <w:r w:rsidRPr="00F9037E">
              <w:rPr>
                <w:color w:val="auto"/>
                <w:sz w:val="12"/>
                <w:szCs w:val="12"/>
              </w:rPr>
              <w:t>0.050</w:t>
            </w:r>
          </w:p>
        </w:tc>
        <w:tc>
          <w:tcPr>
            <w:tcW w:w="567" w:type="dxa"/>
            <w:tcBorders>
              <w:top w:val="nil"/>
              <w:left w:val="nil"/>
              <w:bottom w:val="single" w:sz="8" w:space="0" w:color="auto"/>
              <w:right w:val="single" w:sz="8" w:space="0" w:color="auto"/>
            </w:tcBorders>
            <w:shd w:val="clear" w:color="auto" w:fill="auto"/>
            <w:vAlign w:val="center"/>
          </w:tcPr>
          <w:p w14:paraId="722B646B" w14:textId="0EC88798"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5B86159" w14:textId="3E069894"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D7B4C35" w14:textId="1E182EC0"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E273B8F" w14:textId="20C62C15"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224C087" w14:textId="6D95DB2C"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6FAE43E" w14:textId="29061402"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4212F943" w14:textId="693A4F4A"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CF157E7"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1C62D96"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ACF7FED"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56B75EC" w14:textId="77777777" w:rsidR="004B0524" w:rsidRPr="00F9037E" w:rsidRDefault="004B0524" w:rsidP="00C05C97">
            <w:pPr>
              <w:spacing w:before="120" w:after="120"/>
              <w:jc w:val="center"/>
              <w:rPr>
                <w:color w:val="auto"/>
                <w:sz w:val="12"/>
                <w:szCs w:val="12"/>
              </w:rPr>
            </w:pPr>
          </w:p>
        </w:tc>
      </w:tr>
      <w:tr w:rsidR="004B0524" w:rsidRPr="00F9037E" w14:paraId="1BE8BA33" w14:textId="77777777" w:rsidTr="00C05C97">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7981A3D4" w14:textId="7D00BD6B" w:rsidR="004B0524" w:rsidRPr="00F9037E" w:rsidRDefault="004B0524" w:rsidP="00C05C97">
            <w:pPr>
              <w:spacing w:before="120" w:after="120"/>
              <w:rPr>
                <w:color w:val="auto"/>
                <w:sz w:val="12"/>
                <w:szCs w:val="12"/>
              </w:rPr>
            </w:pPr>
            <w:r w:rsidRPr="00F9037E">
              <w:rPr>
                <w:color w:val="auto"/>
                <w:sz w:val="12"/>
                <w:szCs w:val="12"/>
              </w:rPr>
              <w:t>UK</w:t>
            </w:r>
          </w:p>
        </w:tc>
        <w:tc>
          <w:tcPr>
            <w:tcW w:w="818" w:type="dxa"/>
            <w:tcBorders>
              <w:top w:val="nil"/>
              <w:left w:val="nil"/>
              <w:bottom w:val="single" w:sz="8" w:space="0" w:color="auto"/>
              <w:right w:val="single" w:sz="8" w:space="0" w:color="auto"/>
            </w:tcBorders>
            <w:shd w:val="clear" w:color="auto" w:fill="auto"/>
            <w:vAlign w:val="center"/>
          </w:tcPr>
          <w:p w14:paraId="7D76EEA7" w14:textId="77777777" w:rsidR="004B0524" w:rsidRPr="00F9037E" w:rsidRDefault="004B0524" w:rsidP="00C05C97">
            <w:pPr>
              <w:spacing w:before="120" w:after="120"/>
              <w:rPr>
                <w:color w:val="auto"/>
                <w:sz w:val="12"/>
                <w:szCs w:val="12"/>
              </w:rPr>
            </w:pPr>
            <w:r w:rsidRPr="00F9037E">
              <w:rPr>
                <w:color w:val="auto"/>
                <w:sz w:val="12"/>
                <w:szCs w:val="12"/>
              </w:rPr>
              <w:t>Woven baskets</w:t>
            </w:r>
          </w:p>
        </w:tc>
        <w:tc>
          <w:tcPr>
            <w:tcW w:w="567" w:type="dxa"/>
            <w:tcBorders>
              <w:top w:val="nil"/>
              <w:left w:val="nil"/>
              <w:bottom w:val="single" w:sz="8" w:space="0" w:color="auto"/>
              <w:right w:val="single" w:sz="8" w:space="0" w:color="auto"/>
            </w:tcBorders>
            <w:shd w:val="clear" w:color="auto" w:fill="auto"/>
            <w:vAlign w:val="center"/>
          </w:tcPr>
          <w:p w14:paraId="56AE7993" w14:textId="77777777" w:rsidR="004B0524" w:rsidRPr="00F9037E" w:rsidRDefault="004B0524" w:rsidP="00C05C97">
            <w:pPr>
              <w:spacing w:before="120" w:after="120"/>
              <w:jc w:val="center"/>
              <w:rPr>
                <w:color w:val="auto"/>
                <w:sz w:val="12"/>
                <w:szCs w:val="12"/>
              </w:rPr>
            </w:pPr>
            <w:r w:rsidRPr="00F9037E">
              <w:rPr>
                <w:color w:val="auto"/>
                <w:sz w:val="12"/>
                <w:szCs w:val="12"/>
              </w:rPr>
              <w:t>0.770</w:t>
            </w:r>
          </w:p>
        </w:tc>
        <w:tc>
          <w:tcPr>
            <w:tcW w:w="567" w:type="dxa"/>
            <w:tcBorders>
              <w:top w:val="nil"/>
              <w:left w:val="nil"/>
              <w:bottom w:val="single" w:sz="8" w:space="0" w:color="auto"/>
              <w:right w:val="single" w:sz="8" w:space="0" w:color="auto"/>
            </w:tcBorders>
            <w:shd w:val="clear" w:color="auto" w:fill="auto"/>
            <w:vAlign w:val="center"/>
          </w:tcPr>
          <w:p w14:paraId="7E7ACE72" w14:textId="206FB58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84EE7A5" w14:textId="78938EB2"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6198514" w14:textId="4FD64BA2"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C130576" w14:textId="6B206130"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0C57EB9" w14:textId="543D5863"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39B469E" w14:textId="5074A1A9"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6F0D2D9" w14:textId="256AA61D"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FD59232" w14:textId="0773789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2F5646F5"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BECE0B9"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975EA21"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6BA3D46B" w14:textId="77777777" w:rsidR="004B0524" w:rsidRPr="00F9037E" w:rsidRDefault="004B0524" w:rsidP="00C05C97">
            <w:pPr>
              <w:spacing w:before="120" w:after="120"/>
              <w:jc w:val="center"/>
              <w:rPr>
                <w:color w:val="auto"/>
                <w:sz w:val="12"/>
                <w:szCs w:val="12"/>
              </w:rPr>
            </w:pPr>
            <w:r w:rsidRPr="00F9037E">
              <w:rPr>
                <w:color w:val="auto"/>
                <w:sz w:val="12"/>
                <w:szCs w:val="12"/>
              </w:rPr>
              <w:t>0.770</w:t>
            </w:r>
          </w:p>
        </w:tc>
        <w:tc>
          <w:tcPr>
            <w:tcW w:w="567" w:type="dxa"/>
            <w:tcBorders>
              <w:top w:val="nil"/>
              <w:left w:val="nil"/>
              <w:bottom w:val="single" w:sz="8" w:space="0" w:color="auto"/>
              <w:right w:val="single" w:sz="8" w:space="0" w:color="auto"/>
            </w:tcBorders>
            <w:shd w:val="clear" w:color="auto" w:fill="auto"/>
            <w:vAlign w:val="center"/>
          </w:tcPr>
          <w:p w14:paraId="07190450" w14:textId="73E5C1FE"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5C712DA" w14:textId="5050339F"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12B3254" w14:textId="2FD928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1368108" w14:textId="38F21E92"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300D271" w14:textId="3B8B8980"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1961E48" w14:textId="7326D1C2"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771472EA" w14:textId="3349ECA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6897524"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25FCE4E"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07A5336"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FD72665" w14:textId="77777777" w:rsidR="004B0524" w:rsidRPr="00F9037E" w:rsidRDefault="004B0524" w:rsidP="00C05C97">
            <w:pPr>
              <w:spacing w:before="120" w:after="120"/>
              <w:jc w:val="center"/>
              <w:rPr>
                <w:color w:val="auto"/>
                <w:sz w:val="12"/>
                <w:szCs w:val="12"/>
              </w:rPr>
            </w:pPr>
          </w:p>
        </w:tc>
      </w:tr>
      <w:tr w:rsidR="004B0524" w:rsidRPr="00F9037E" w14:paraId="56EB5AA5" w14:textId="77777777" w:rsidTr="00C05C97">
        <w:trPr>
          <w:cantSplit/>
          <w:trHeight w:val="124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4A3BF145" w14:textId="360868CF" w:rsidR="004B0524" w:rsidRPr="00F9037E" w:rsidRDefault="004B0524" w:rsidP="00C05C97">
            <w:pPr>
              <w:spacing w:before="120" w:after="120"/>
              <w:rPr>
                <w:color w:val="auto"/>
                <w:sz w:val="12"/>
                <w:szCs w:val="12"/>
              </w:rPr>
            </w:pPr>
            <w:r w:rsidRPr="00F9037E">
              <w:rPr>
                <w:color w:val="auto"/>
                <w:sz w:val="12"/>
                <w:szCs w:val="12"/>
              </w:rPr>
              <w:t>USA</w:t>
            </w:r>
          </w:p>
        </w:tc>
        <w:tc>
          <w:tcPr>
            <w:tcW w:w="818" w:type="dxa"/>
            <w:tcBorders>
              <w:top w:val="nil"/>
              <w:left w:val="nil"/>
              <w:bottom w:val="single" w:sz="8" w:space="0" w:color="auto"/>
              <w:right w:val="single" w:sz="8" w:space="0" w:color="auto"/>
            </w:tcBorders>
            <w:shd w:val="clear" w:color="auto" w:fill="auto"/>
            <w:vAlign w:val="center"/>
          </w:tcPr>
          <w:p w14:paraId="78A3CD7D" w14:textId="77777777" w:rsidR="004B0524" w:rsidRPr="00F9037E" w:rsidRDefault="004B0524" w:rsidP="00C05C97">
            <w:pPr>
              <w:spacing w:before="120" w:after="120"/>
              <w:rPr>
                <w:color w:val="auto"/>
                <w:sz w:val="12"/>
                <w:szCs w:val="12"/>
              </w:rPr>
            </w:pPr>
            <w:r w:rsidRPr="00F9037E">
              <w:rPr>
                <w:color w:val="auto"/>
                <w:sz w:val="12"/>
                <w:szCs w:val="12"/>
              </w:rPr>
              <w:t>Dried fruit and nuts (walnuts, pistachios, dried fruit and dates and dried beans)</w:t>
            </w:r>
          </w:p>
        </w:tc>
        <w:tc>
          <w:tcPr>
            <w:tcW w:w="567" w:type="dxa"/>
            <w:tcBorders>
              <w:top w:val="nil"/>
              <w:left w:val="nil"/>
              <w:bottom w:val="single" w:sz="8" w:space="0" w:color="auto"/>
              <w:right w:val="single" w:sz="8" w:space="0" w:color="auto"/>
            </w:tcBorders>
            <w:shd w:val="clear" w:color="auto" w:fill="auto"/>
            <w:vAlign w:val="center"/>
          </w:tcPr>
          <w:p w14:paraId="3F0F240E" w14:textId="77777777" w:rsidR="004B0524" w:rsidRPr="00F9037E" w:rsidRDefault="004B0524" w:rsidP="00C05C97">
            <w:pPr>
              <w:spacing w:before="120" w:after="120"/>
              <w:jc w:val="center"/>
              <w:rPr>
                <w:color w:val="auto"/>
                <w:sz w:val="12"/>
                <w:szCs w:val="12"/>
              </w:rPr>
            </w:pPr>
            <w:r w:rsidRPr="00F9037E">
              <w:rPr>
                <w:color w:val="auto"/>
                <w:sz w:val="12"/>
                <w:szCs w:val="12"/>
              </w:rPr>
              <w:t>89.166</w:t>
            </w:r>
          </w:p>
        </w:tc>
        <w:tc>
          <w:tcPr>
            <w:tcW w:w="567" w:type="dxa"/>
            <w:tcBorders>
              <w:top w:val="nil"/>
              <w:left w:val="nil"/>
              <w:bottom w:val="single" w:sz="8" w:space="0" w:color="auto"/>
              <w:right w:val="single" w:sz="8" w:space="0" w:color="auto"/>
            </w:tcBorders>
            <w:shd w:val="clear" w:color="auto" w:fill="auto"/>
            <w:vAlign w:val="center"/>
          </w:tcPr>
          <w:p w14:paraId="42E6F970" w14:textId="77777777" w:rsidR="004B0524" w:rsidRPr="00F9037E" w:rsidRDefault="004B0524" w:rsidP="00C05C97">
            <w:pPr>
              <w:spacing w:before="120" w:after="120"/>
              <w:jc w:val="center"/>
              <w:rPr>
                <w:color w:val="auto"/>
                <w:sz w:val="12"/>
                <w:szCs w:val="12"/>
              </w:rPr>
            </w:pPr>
            <w:r w:rsidRPr="00F9037E">
              <w:rPr>
                <w:color w:val="auto"/>
                <w:sz w:val="12"/>
                <w:szCs w:val="12"/>
              </w:rPr>
              <w:t>87.719</w:t>
            </w:r>
          </w:p>
        </w:tc>
        <w:tc>
          <w:tcPr>
            <w:tcW w:w="567" w:type="dxa"/>
            <w:tcBorders>
              <w:top w:val="nil"/>
              <w:left w:val="nil"/>
              <w:bottom w:val="single" w:sz="8" w:space="0" w:color="auto"/>
              <w:right w:val="single" w:sz="8" w:space="0" w:color="auto"/>
            </w:tcBorders>
            <w:shd w:val="clear" w:color="auto" w:fill="auto"/>
            <w:vAlign w:val="center"/>
          </w:tcPr>
          <w:p w14:paraId="31FC1B0D" w14:textId="77777777" w:rsidR="004B0524" w:rsidRPr="00F9037E" w:rsidRDefault="004B0524" w:rsidP="00C05C97">
            <w:pPr>
              <w:spacing w:before="120" w:after="120"/>
              <w:jc w:val="center"/>
              <w:rPr>
                <w:color w:val="auto"/>
                <w:sz w:val="12"/>
                <w:szCs w:val="12"/>
              </w:rPr>
            </w:pPr>
            <w:r w:rsidRPr="00F9037E">
              <w:rPr>
                <w:color w:val="auto"/>
                <w:sz w:val="12"/>
                <w:szCs w:val="12"/>
              </w:rPr>
              <w:t>91.299</w:t>
            </w:r>
          </w:p>
        </w:tc>
        <w:tc>
          <w:tcPr>
            <w:tcW w:w="567" w:type="dxa"/>
            <w:tcBorders>
              <w:top w:val="nil"/>
              <w:left w:val="nil"/>
              <w:bottom w:val="single" w:sz="8" w:space="0" w:color="auto"/>
              <w:right w:val="single" w:sz="8" w:space="0" w:color="auto"/>
            </w:tcBorders>
            <w:shd w:val="clear" w:color="auto" w:fill="auto"/>
            <w:vAlign w:val="center"/>
          </w:tcPr>
          <w:p w14:paraId="2FA681A3" w14:textId="77777777" w:rsidR="004B0524" w:rsidRPr="00F9037E" w:rsidRDefault="004B0524" w:rsidP="00C05C97">
            <w:pPr>
              <w:spacing w:before="120" w:after="120"/>
              <w:jc w:val="center"/>
              <w:rPr>
                <w:color w:val="auto"/>
                <w:sz w:val="12"/>
                <w:szCs w:val="12"/>
              </w:rPr>
            </w:pPr>
            <w:r w:rsidRPr="00F9037E">
              <w:rPr>
                <w:color w:val="auto"/>
                <w:sz w:val="12"/>
                <w:szCs w:val="12"/>
              </w:rPr>
              <w:t>67.699</w:t>
            </w:r>
          </w:p>
        </w:tc>
        <w:tc>
          <w:tcPr>
            <w:tcW w:w="567" w:type="dxa"/>
            <w:tcBorders>
              <w:top w:val="nil"/>
              <w:left w:val="nil"/>
              <w:bottom w:val="single" w:sz="8" w:space="0" w:color="auto"/>
              <w:right w:val="single" w:sz="8" w:space="0" w:color="auto"/>
            </w:tcBorders>
            <w:shd w:val="clear" w:color="auto" w:fill="auto"/>
            <w:vAlign w:val="center"/>
          </w:tcPr>
          <w:p w14:paraId="21C821BC" w14:textId="77777777" w:rsidR="004B0524" w:rsidRPr="00F9037E" w:rsidRDefault="004B0524" w:rsidP="00C05C97">
            <w:pPr>
              <w:spacing w:before="120" w:after="120"/>
              <w:jc w:val="center"/>
              <w:rPr>
                <w:color w:val="auto"/>
                <w:sz w:val="12"/>
                <w:szCs w:val="12"/>
              </w:rPr>
            </w:pPr>
            <w:r w:rsidRPr="00F9037E">
              <w:rPr>
                <w:color w:val="auto"/>
                <w:sz w:val="12"/>
                <w:szCs w:val="12"/>
              </w:rPr>
              <w:t>58.912</w:t>
            </w:r>
          </w:p>
        </w:tc>
        <w:tc>
          <w:tcPr>
            <w:tcW w:w="567" w:type="dxa"/>
            <w:tcBorders>
              <w:top w:val="nil"/>
              <w:left w:val="nil"/>
              <w:bottom w:val="single" w:sz="8" w:space="0" w:color="auto"/>
              <w:right w:val="single" w:sz="8" w:space="0" w:color="auto"/>
            </w:tcBorders>
            <w:shd w:val="clear" w:color="auto" w:fill="auto"/>
            <w:vAlign w:val="center"/>
          </w:tcPr>
          <w:p w14:paraId="15C2E2C5" w14:textId="77777777" w:rsidR="004B0524" w:rsidRPr="00F9037E" w:rsidRDefault="004B0524" w:rsidP="00C05C97">
            <w:pPr>
              <w:spacing w:before="120" w:after="120"/>
              <w:jc w:val="center"/>
              <w:rPr>
                <w:color w:val="auto"/>
                <w:sz w:val="12"/>
                <w:szCs w:val="12"/>
              </w:rPr>
            </w:pPr>
            <w:r w:rsidRPr="00F9037E">
              <w:rPr>
                <w:color w:val="auto"/>
                <w:sz w:val="12"/>
                <w:szCs w:val="12"/>
              </w:rPr>
              <w:t>19.242</w:t>
            </w:r>
          </w:p>
        </w:tc>
        <w:tc>
          <w:tcPr>
            <w:tcW w:w="567" w:type="dxa"/>
            <w:tcBorders>
              <w:top w:val="nil"/>
              <w:left w:val="nil"/>
              <w:bottom w:val="single" w:sz="8" w:space="0" w:color="auto"/>
              <w:right w:val="single" w:sz="8" w:space="0" w:color="auto"/>
            </w:tcBorders>
            <w:shd w:val="clear" w:color="auto" w:fill="auto"/>
            <w:vAlign w:val="center"/>
          </w:tcPr>
          <w:p w14:paraId="70825F41" w14:textId="77777777" w:rsidR="004B0524" w:rsidRPr="00F9037E" w:rsidRDefault="004B0524" w:rsidP="00C05C97">
            <w:pPr>
              <w:spacing w:before="120" w:after="120"/>
              <w:jc w:val="center"/>
              <w:rPr>
                <w:color w:val="auto"/>
                <w:sz w:val="12"/>
                <w:szCs w:val="12"/>
              </w:rPr>
            </w:pPr>
            <w:r w:rsidRPr="00F9037E">
              <w:rPr>
                <w:color w:val="auto"/>
                <w:sz w:val="12"/>
                <w:szCs w:val="12"/>
              </w:rPr>
              <w:t>10.041</w:t>
            </w:r>
          </w:p>
        </w:tc>
        <w:tc>
          <w:tcPr>
            <w:tcW w:w="567" w:type="dxa"/>
            <w:tcBorders>
              <w:top w:val="nil"/>
              <w:left w:val="nil"/>
              <w:bottom w:val="single" w:sz="8" w:space="0" w:color="auto"/>
              <w:right w:val="single" w:sz="8" w:space="0" w:color="auto"/>
            </w:tcBorders>
            <w:shd w:val="clear" w:color="auto" w:fill="auto"/>
            <w:vAlign w:val="center"/>
          </w:tcPr>
          <w:p w14:paraId="548D2996" w14:textId="77777777" w:rsidR="004B0524" w:rsidRPr="00F9037E" w:rsidRDefault="004B0524" w:rsidP="00C05C97">
            <w:pPr>
              <w:spacing w:before="120" w:after="120"/>
              <w:jc w:val="center"/>
              <w:rPr>
                <w:color w:val="auto"/>
                <w:sz w:val="12"/>
                <w:szCs w:val="12"/>
              </w:rPr>
            </w:pPr>
            <w:r w:rsidRPr="00F9037E">
              <w:rPr>
                <w:color w:val="auto"/>
                <w:sz w:val="12"/>
                <w:szCs w:val="12"/>
              </w:rPr>
              <w:t>2.419</w:t>
            </w:r>
          </w:p>
        </w:tc>
        <w:tc>
          <w:tcPr>
            <w:tcW w:w="567" w:type="dxa"/>
            <w:tcBorders>
              <w:top w:val="nil"/>
              <w:left w:val="nil"/>
              <w:bottom w:val="single" w:sz="8" w:space="0" w:color="auto"/>
              <w:right w:val="single" w:sz="8" w:space="0" w:color="auto"/>
            </w:tcBorders>
            <w:shd w:val="clear" w:color="auto" w:fill="auto"/>
            <w:vAlign w:val="center"/>
          </w:tcPr>
          <w:p w14:paraId="46814BC3" w14:textId="77777777" w:rsidR="004B0524" w:rsidRPr="00F9037E" w:rsidRDefault="004B0524" w:rsidP="00C05C97">
            <w:pPr>
              <w:spacing w:before="120" w:after="120"/>
              <w:jc w:val="center"/>
              <w:rPr>
                <w:color w:val="auto"/>
                <w:sz w:val="12"/>
                <w:szCs w:val="12"/>
              </w:rPr>
            </w:pPr>
            <w:r w:rsidRPr="00F9037E">
              <w:rPr>
                <w:color w:val="auto"/>
                <w:sz w:val="12"/>
                <w:szCs w:val="12"/>
              </w:rPr>
              <w:t>0.822</w:t>
            </w:r>
          </w:p>
        </w:tc>
        <w:tc>
          <w:tcPr>
            <w:tcW w:w="567" w:type="dxa"/>
            <w:tcBorders>
              <w:top w:val="nil"/>
              <w:left w:val="nil"/>
              <w:bottom w:val="single" w:sz="8" w:space="0" w:color="auto"/>
              <w:right w:val="single" w:sz="4" w:space="0" w:color="auto"/>
            </w:tcBorders>
            <w:vAlign w:val="center"/>
          </w:tcPr>
          <w:p w14:paraId="694463BC" w14:textId="77777777" w:rsidR="004B0524" w:rsidRPr="00F9037E" w:rsidRDefault="004B0524" w:rsidP="00C05C97">
            <w:pPr>
              <w:spacing w:before="120" w:after="120"/>
              <w:jc w:val="center"/>
              <w:rPr>
                <w:color w:val="auto"/>
                <w:sz w:val="12"/>
                <w:szCs w:val="12"/>
              </w:rPr>
            </w:pPr>
            <w:r w:rsidRPr="00F9037E">
              <w:rPr>
                <w:color w:val="auto"/>
                <w:sz w:val="12"/>
                <w:szCs w:val="12"/>
              </w:rPr>
              <w:t>0.740</w:t>
            </w:r>
          </w:p>
        </w:tc>
        <w:tc>
          <w:tcPr>
            <w:tcW w:w="567" w:type="dxa"/>
            <w:tcBorders>
              <w:top w:val="nil"/>
              <w:left w:val="single" w:sz="4" w:space="0" w:color="auto"/>
              <w:bottom w:val="single" w:sz="8" w:space="0" w:color="auto"/>
              <w:right w:val="single" w:sz="4" w:space="0" w:color="auto"/>
            </w:tcBorders>
            <w:vAlign w:val="center"/>
          </w:tcPr>
          <w:p w14:paraId="7FB312B6" w14:textId="77777777" w:rsidR="004B0524" w:rsidRPr="00F9037E" w:rsidRDefault="004B0524" w:rsidP="00C05C97">
            <w:pPr>
              <w:spacing w:before="120" w:after="120"/>
              <w:jc w:val="center"/>
              <w:rPr>
                <w:color w:val="auto"/>
                <w:sz w:val="12"/>
                <w:szCs w:val="12"/>
              </w:rPr>
            </w:pPr>
            <w:r w:rsidRPr="00F9037E">
              <w:rPr>
                <w:color w:val="auto"/>
                <w:sz w:val="12"/>
                <w:szCs w:val="12"/>
              </w:rPr>
              <w:t>0.310</w:t>
            </w:r>
          </w:p>
        </w:tc>
        <w:tc>
          <w:tcPr>
            <w:tcW w:w="567" w:type="dxa"/>
            <w:tcBorders>
              <w:top w:val="nil"/>
              <w:left w:val="single" w:sz="4" w:space="0" w:color="auto"/>
              <w:bottom w:val="single" w:sz="8" w:space="0" w:color="auto"/>
              <w:right w:val="single" w:sz="4" w:space="0" w:color="auto"/>
            </w:tcBorders>
            <w:vAlign w:val="center"/>
          </w:tcPr>
          <w:p w14:paraId="13E1D425" w14:textId="77777777" w:rsidR="004B0524" w:rsidRPr="00F9037E" w:rsidRDefault="004B0524" w:rsidP="00C05C97">
            <w:pPr>
              <w:spacing w:before="120" w:after="120"/>
              <w:jc w:val="center"/>
              <w:rPr>
                <w:b/>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9944504" w14:textId="77777777" w:rsidR="004B0524" w:rsidRPr="00F9037E" w:rsidRDefault="004B0524" w:rsidP="00C05C97">
            <w:pPr>
              <w:spacing w:before="120" w:after="120"/>
              <w:jc w:val="center"/>
              <w:rPr>
                <w:color w:val="auto"/>
                <w:sz w:val="12"/>
                <w:szCs w:val="12"/>
              </w:rPr>
            </w:pPr>
            <w:r w:rsidRPr="00F9037E">
              <w:rPr>
                <w:color w:val="auto"/>
                <w:sz w:val="12"/>
                <w:szCs w:val="12"/>
              </w:rPr>
              <w:t>89.166</w:t>
            </w:r>
          </w:p>
        </w:tc>
        <w:tc>
          <w:tcPr>
            <w:tcW w:w="567" w:type="dxa"/>
            <w:tcBorders>
              <w:top w:val="nil"/>
              <w:left w:val="nil"/>
              <w:bottom w:val="single" w:sz="8" w:space="0" w:color="auto"/>
              <w:right w:val="single" w:sz="8" w:space="0" w:color="auto"/>
            </w:tcBorders>
            <w:shd w:val="clear" w:color="auto" w:fill="auto"/>
            <w:vAlign w:val="center"/>
          </w:tcPr>
          <w:p w14:paraId="28287F6C" w14:textId="77777777" w:rsidR="004B0524" w:rsidRPr="00F9037E" w:rsidRDefault="004B0524" w:rsidP="00C05C97">
            <w:pPr>
              <w:spacing w:before="120" w:after="120"/>
              <w:jc w:val="center"/>
              <w:rPr>
                <w:color w:val="auto"/>
                <w:sz w:val="12"/>
                <w:szCs w:val="12"/>
              </w:rPr>
            </w:pPr>
            <w:r w:rsidRPr="00F9037E">
              <w:rPr>
                <w:color w:val="auto"/>
                <w:sz w:val="12"/>
                <w:szCs w:val="12"/>
              </w:rPr>
              <w:t>87.719</w:t>
            </w:r>
          </w:p>
        </w:tc>
        <w:tc>
          <w:tcPr>
            <w:tcW w:w="567" w:type="dxa"/>
            <w:tcBorders>
              <w:top w:val="nil"/>
              <w:left w:val="nil"/>
              <w:bottom w:val="single" w:sz="8" w:space="0" w:color="auto"/>
              <w:right w:val="single" w:sz="8" w:space="0" w:color="auto"/>
            </w:tcBorders>
            <w:shd w:val="clear" w:color="auto" w:fill="auto"/>
            <w:vAlign w:val="center"/>
          </w:tcPr>
          <w:p w14:paraId="34AD2B53" w14:textId="77777777" w:rsidR="004B0524" w:rsidRPr="00F9037E" w:rsidRDefault="004B0524" w:rsidP="00C05C97">
            <w:pPr>
              <w:spacing w:before="120" w:after="120"/>
              <w:jc w:val="center"/>
              <w:rPr>
                <w:color w:val="auto"/>
                <w:sz w:val="12"/>
                <w:szCs w:val="12"/>
              </w:rPr>
            </w:pPr>
            <w:r w:rsidRPr="00F9037E">
              <w:rPr>
                <w:color w:val="auto"/>
                <w:sz w:val="12"/>
                <w:szCs w:val="12"/>
              </w:rPr>
              <w:t>78.983</w:t>
            </w:r>
          </w:p>
        </w:tc>
        <w:tc>
          <w:tcPr>
            <w:tcW w:w="567" w:type="dxa"/>
            <w:tcBorders>
              <w:top w:val="nil"/>
              <w:left w:val="nil"/>
              <w:bottom w:val="single" w:sz="8" w:space="0" w:color="auto"/>
              <w:right w:val="single" w:sz="8" w:space="0" w:color="auto"/>
            </w:tcBorders>
            <w:shd w:val="clear" w:color="auto" w:fill="auto"/>
            <w:vAlign w:val="center"/>
          </w:tcPr>
          <w:p w14:paraId="7263E7DD" w14:textId="77777777" w:rsidR="004B0524" w:rsidRPr="00F9037E" w:rsidRDefault="004B0524" w:rsidP="00C05C97">
            <w:pPr>
              <w:spacing w:before="120" w:after="120"/>
              <w:jc w:val="center"/>
              <w:rPr>
                <w:color w:val="auto"/>
                <w:sz w:val="12"/>
                <w:szCs w:val="12"/>
              </w:rPr>
            </w:pPr>
            <w:r w:rsidRPr="00F9037E">
              <w:rPr>
                <w:color w:val="auto"/>
                <w:sz w:val="12"/>
                <w:szCs w:val="12"/>
              </w:rPr>
              <w:t>58.921</w:t>
            </w:r>
          </w:p>
        </w:tc>
        <w:tc>
          <w:tcPr>
            <w:tcW w:w="567" w:type="dxa"/>
            <w:tcBorders>
              <w:top w:val="nil"/>
              <w:left w:val="nil"/>
              <w:bottom w:val="single" w:sz="8" w:space="0" w:color="auto"/>
              <w:right w:val="single" w:sz="8" w:space="0" w:color="auto"/>
            </w:tcBorders>
            <w:shd w:val="clear" w:color="auto" w:fill="auto"/>
            <w:vAlign w:val="center"/>
          </w:tcPr>
          <w:p w14:paraId="7DC30BE2" w14:textId="77777777" w:rsidR="004B0524" w:rsidRPr="00F9037E" w:rsidRDefault="004B0524" w:rsidP="00C05C97">
            <w:pPr>
              <w:spacing w:before="120" w:after="120"/>
              <w:jc w:val="center"/>
              <w:rPr>
                <w:color w:val="auto"/>
                <w:sz w:val="12"/>
                <w:szCs w:val="12"/>
              </w:rPr>
            </w:pPr>
            <w:r w:rsidRPr="00F9037E">
              <w:rPr>
                <w:color w:val="auto"/>
                <w:sz w:val="12"/>
                <w:szCs w:val="12"/>
              </w:rPr>
              <w:t>45.623</w:t>
            </w:r>
          </w:p>
        </w:tc>
        <w:tc>
          <w:tcPr>
            <w:tcW w:w="567" w:type="dxa"/>
            <w:tcBorders>
              <w:top w:val="nil"/>
              <w:left w:val="nil"/>
              <w:bottom w:val="single" w:sz="8" w:space="0" w:color="auto"/>
              <w:right w:val="single" w:sz="8" w:space="0" w:color="auto"/>
            </w:tcBorders>
            <w:shd w:val="clear" w:color="auto" w:fill="auto"/>
            <w:vAlign w:val="center"/>
          </w:tcPr>
          <w:p w14:paraId="3EABCE05" w14:textId="77777777" w:rsidR="004B0524" w:rsidRPr="00F9037E" w:rsidRDefault="004B0524" w:rsidP="00C05C97">
            <w:pPr>
              <w:spacing w:before="120" w:after="120"/>
              <w:jc w:val="center"/>
              <w:rPr>
                <w:color w:val="auto"/>
                <w:sz w:val="12"/>
                <w:szCs w:val="12"/>
              </w:rPr>
            </w:pPr>
            <w:r w:rsidRPr="00F9037E">
              <w:rPr>
                <w:color w:val="auto"/>
                <w:sz w:val="12"/>
                <w:szCs w:val="12"/>
              </w:rPr>
              <w:t>19.242</w:t>
            </w:r>
          </w:p>
        </w:tc>
        <w:tc>
          <w:tcPr>
            <w:tcW w:w="567" w:type="dxa"/>
            <w:tcBorders>
              <w:top w:val="nil"/>
              <w:left w:val="nil"/>
              <w:bottom w:val="single" w:sz="8" w:space="0" w:color="auto"/>
              <w:right w:val="single" w:sz="8" w:space="0" w:color="auto"/>
            </w:tcBorders>
            <w:shd w:val="clear" w:color="auto" w:fill="auto"/>
            <w:vAlign w:val="center"/>
          </w:tcPr>
          <w:p w14:paraId="600B6577" w14:textId="77777777" w:rsidR="004B0524" w:rsidRPr="00F9037E" w:rsidRDefault="004B0524" w:rsidP="00C05C97">
            <w:pPr>
              <w:spacing w:before="120" w:after="120"/>
              <w:jc w:val="center"/>
              <w:rPr>
                <w:color w:val="auto"/>
                <w:sz w:val="12"/>
                <w:szCs w:val="12"/>
              </w:rPr>
            </w:pPr>
            <w:r w:rsidRPr="00F9037E">
              <w:rPr>
                <w:color w:val="auto"/>
                <w:sz w:val="12"/>
                <w:szCs w:val="12"/>
              </w:rPr>
              <w:t>5.000</w:t>
            </w:r>
          </w:p>
        </w:tc>
        <w:tc>
          <w:tcPr>
            <w:tcW w:w="567" w:type="dxa"/>
            <w:tcBorders>
              <w:top w:val="nil"/>
              <w:left w:val="nil"/>
              <w:bottom w:val="single" w:sz="8" w:space="0" w:color="auto"/>
              <w:right w:val="single" w:sz="8" w:space="0" w:color="auto"/>
            </w:tcBorders>
            <w:shd w:val="clear" w:color="auto" w:fill="auto"/>
            <w:noWrap/>
            <w:vAlign w:val="center"/>
          </w:tcPr>
          <w:p w14:paraId="3040634B" w14:textId="7BA99221" w:rsidR="004B0524" w:rsidRPr="00F9037E" w:rsidRDefault="004B0524" w:rsidP="00C05C97">
            <w:pPr>
              <w:spacing w:before="120" w:after="120"/>
              <w:jc w:val="center"/>
              <w:rPr>
                <w:color w:val="auto"/>
                <w:sz w:val="12"/>
                <w:szCs w:val="12"/>
              </w:rPr>
            </w:pPr>
            <w:r w:rsidRPr="00F9037E">
              <w:rPr>
                <w:color w:val="auto"/>
                <w:sz w:val="12"/>
                <w:szCs w:val="12"/>
              </w:rPr>
              <w:t>2.419</w:t>
            </w:r>
          </w:p>
        </w:tc>
        <w:tc>
          <w:tcPr>
            <w:tcW w:w="567" w:type="dxa"/>
            <w:tcBorders>
              <w:top w:val="nil"/>
              <w:left w:val="nil"/>
              <w:bottom w:val="single" w:sz="8" w:space="0" w:color="auto"/>
              <w:right w:val="single" w:sz="8" w:space="0" w:color="auto"/>
            </w:tcBorders>
            <w:vAlign w:val="center"/>
          </w:tcPr>
          <w:p w14:paraId="312DFEA7" w14:textId="77777777" w:rsidR="004B0524" w:rsidRPr="00F9037E" w:rsidRDefault="004B0524" w:rsidP="00C05C97">
            <w:pPr>
              <w:spacing w:before="120" w:after="120"/>
              <w:jc w:val="center"/>
              <w:rPr>
                <w:color w:val="auto"/>
                <w:sz w:val="12"/>
                <w:szCs w:val="12"/>
              </w:rPr>
            </w:pPr>
            <w:r w:rsidRPr="00F9037E">
              <w:rPr>
                <w:color w:val="auto"/>
                <w:sz w:val="12"/>
                <w:szCs w:val="12"/>
              </w:rPr>
              <w:t>0.740</w:t>
            </w:r>
          </w:p>
        </w:tc>
        <w:tc>
          <w:tcPr>
            <w:tcW w:w="567" w:type="dxa"/>
            <w:tcBorders>
              <w:top w:val="nil"/>
              <w:left w:val="nil"/>
              <w:bottom w:val="single" w:sz="8" w:space="0" w:color="auto"/>
              <w:right w:val="single" w:sz="8" w:space="0" w:color="auto"/>
            </w:tcBorders>
            <w:vAlign w:val="center"/>
          </w:tcPr>
          <w:p w14:paraId="4C8F0E4E" w14:textId="77777777" w:rsidR="004B0524" w:rsidRPr="00F9037E" w:rsidRDefault="004B0524" w:rsidP="00C05C97">
            <w:pPr>
              <w:spacing w:before="120" w:after="120"/>
              <w:jc w:val="center"/>
              <w:rPr>
                <w:color w:val="auto"/>
                <w:sz w:val="12"/>
                <w:szCs w:val="12"/>
              </w:rPr>
            </w:pPr>
            <w:r w:rsidRPr="00F9037E">
              <w:rPr>
                <w:color w:val="auto"/>
                <w:sz w:val="12"/>
                <w:szCs w:val="12"/>
              </w:rPr>
              <w:t>0.740</w:t>
            </w:r>
          </w:p>
        </w:tc>
        <w:tc>
          <w:tcPr>
            <w:tcW w:w="567" w:type="dxa"/>
            <w:tcBorders>
              <w:top w:val="nil"/>
              <w:left w:val="nil"/>
              <w:bottom w:val="single" w:sz="8" w:space="0" w:color="auto"/>
              <w:right w:val="single" w:sz="8" w:space="0" w:color="auto"/>
            </w:tcBorders>
            <w:vAlign w:val="center"/>
          </w:tcPr>
          <w:p w14:paraId="2724A4AC" w14:textId="77777777" w:rsidR="004B0524" w:rsidRPr="00F9037E" w:rsidRDefault="004B0524" w:rsidP="00C05C97">
            <w:pPr>
              <w:spacing w:before="120" w:after="120"/>
              <w:jc w:val="center"/>
              <w:rPr>
                <w:b/>
                <w:color w:val="auto"/>
                <w:sz w:val="12"/>
                <w:szCs w:val="12"/>
              </w:rPr>
            </w:pPr>
          </w:p>
        </w:tc>
        <w:tc>
          <w:tcPr>
            <w:tcW w:w="567" w:type="dxa"/>
            <w:tcBorders>
              <w:top w:val="nil"/>
              <w:left w:val="nil"/>
              <w:bottom w:val="single" w:sz="8" w:space="0" w:color="auto"/>
              <w:right w:val="single" w:sz="8" w:space="0" w:color="auto"/>
            </w:tcBorders>
            <w:vAlign w:val="center"/>
          </w:tcPr>
          <w:p w14:paraId="43CE2843" w14:textId="77777777" w:rsidR="004B0524" w:rsidRPr="00F9037E" w:rsidRDefault="004B0524" w:rsidP="00C05C97">
            <w:pPr>
              <w:spacing w:before="120" w:after="120"/>
              <w:jc w:val="center"/>
              <w:rPr>
                <w:b/>
                <w:color w:val="auto"/>
                <w:sz w:val="12"/>
                <w:szCs w:val="12"/>
              </w:rPr>
            </w:pPr>
          </w:p>
        </w:tc>
      </w:tr>
      <w:tr w:rsidR="004B0524" w:rsidRPr="00F9037E" w14:paraId="0D10594A" w14:textId="77777777" w:rsidTr="00C05C97">
        <w:trPr>
          <w:cantSplit/>
          <w:trHeight w:val="808"/>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1E0150A6" w14:textId="33580063" w:rsidR="004B0524" w:rsidRPr="00F9037E" w:rsidRDefault="004B0524" w:rsidP="00C05C97">
            <w:pPr>
              <w:spacing w:before="120" w:after="120"/>
              <w:rPr>
                <w:color w:val="auto"/>
                <w:sz w:val="12"/>
                <w:szCs w:val="12"/>
              </w:rPr>
            </w:pPr>
            <w:r w:rsidRPr="00F9037E">
              <w:rPr>
                <w:color w:val="auto"/>
                <w:sz w:val="12"/>
                <w:szCs w:val="12"/>
              </w:rPr>
              <w:t>USA</w:t>
            </w:r>
          </w:p>
        </w:tc>
        <w:tc>
          <w:tcPr>
            <w:tcW w:w="818" w:type="dxa"/>
            <w:tcBorders>
              <w:top w:val="nil"/>
              <w:left w:val="nil"/>
              <w:bottom w:val="single" w:sz="8" w:space="0" w:color="auto"/>
              <w:right w:val="single" w:sz="8" w:space="0" w:color="auto"/>
            </w:tcBorders>
            <w:shd w:val="clear" w:color="auto" w:fill="auto"/>
            <w:vAlign w:val="center"/>
          </w:tcPr>
          <w:p w14:paraId="337FA894" w14:textId="5213AE4E" w:rsidR="004B0524" w:rsidRPr="00F9037E" w:rsidRDefault="004B0524" w:rsidP="00C05C97">
            <w:pPr>
              <w:spacing w:before="120" w:after="120"/>
              <w:rPr>
                <w:color w:val="auto"/>
                <w:sz w:val="12"/>
                <w:szCs w:val="12"/>
              </w:rPr>
            </w:pPr>
            <w:r w:rsidRPr="00F9037E">
              <w:rPr>
                <w:color w:val="auto"/>
                <w:sz w:val="12"/>
                <w:szCs w:val="12"/>
              </w:rPr>
              <w:t>Dry commodities/ structures (cocoa beans)</w:t>
            </w:r>
          </w:p>
        </w:tc>
        <w:tc>
          <w:tcPr>
            <w:tcW w:w="567" w:type="dxa"/>
            <w:tcBorders>
              <w:top w:val="nil"/>
              <w:left w:val="nil"/>
              <w:bottom w:val="single" w:sz="8" w:space="0" w:color="auto"/>
              <w:right w:val="single" w:sz="8" w:space="0" w:color="auto"/>
            </w:tcBorders>
            <w:shd w:val="clear" w:color="auto" w:fill="auto"/>
            <w:vAlign w:val="center"/>
          </w:tcPr>
          <w:p w14:paraId="4372F90D" w14:textId="77777777" w:rsidR="004B0524" w:rsidRPr="00F9037E" w:rsidRDefault="004B0524" w:rsidP="00C05C97">
            <w:pPr>
              <w:spacing w:before="120" w:after="120"/>
              <w:jc w:val="center"/>
              <w:rPr>
                <w:color w:val="auto"/>
                <w:sz w:val="12"/>
                <w:szCs w:val="12"/>
              </w:rPr>
            </w:pPr>
            <w:r w:rsidRPr="00F9037E">
              <w:rPr>
                <w:color w:val="auto"/>
                <w:sz w:val="12"/>
                <w:szCs w:val="12"/>
              </w:rPr>
              <w:t>61.519</w:t>
            </w:r>
          </w:p>
        </w:tc>
        <w:tc>
          <w:tcPr>
            <w:tcW w:w="567" w:type="dxa"/>
            <w:tcBorders>
              <w:top w:val="nil"/>
              <w:left w:val="nil"/>
              <w:bottom w:val="single" w:sz="8" w:space="0" w:color="auto"/>
              <w:right w:val="single" w:sz="8" w:space="0" w:color="auto"/>
            </w:tcBorders>
            <w:shd w:val="clear" w:color="auto" w:fill="auto"/>
            <w:vAlign w:val="center"/>
          </w:tcPr>
          <w:p w14:paraId="2CC945E9" w14:textId="77777777" w:rsidR="004B0524" w:rsidRPr="00F9037E" w:rsidRDefault="004B0524" w:rsidP="00C05C97">
            <w:pPr>
              <w:spacing w:before="120" w:after="120"/>
              <w:jc w:val="center"/>
              <w:rPr>
                <w:color w:val="auto"/>
                <w:sz w:val="12"/>
                <w:szCs w:val="12"/>
              </w:rPr>
            </w:pPr>
            <w:r w:rsidRPr="00F9037E">
              <w:rPr>
                <w:color w:val="auto"/>
                <w:sz w:val="12"/>
                <w:szCs w:val="12"/>
              </w:rPr>
              <w:t>61.519</w:t>
            </w:r>
          </w:p>
        </w:tc>
        <w:tc>
          <w:tcPr>
            <w:tcW w:w="567" w:type="dxa"/>
            <w:tcBorders>
              <w:top w:val="nil"/>
              <w:left w:val="nil"/>
              <w:bottom w:val="single" w:sz="8" w:space="0" w:color="auto"/>
              <w:right w:val="single" w:sz="8" w:space="0" w:color="auto"/>
            </w:tcBorders>
            <w:shd w:val="clear" w:color="auto" w:fill="auto"/>
            <w:vAlign w:val="center"/>
          </w:tcPr>
          <w:p w14:paraId="408BBB7C" w14:textId="77777777" w:rsidR="004B0524" w:rsidRPr="00F9037E" w:rsidRDefault="004B0524" w:rsidP="00C05C97">
            <w:pPr>
              <w:spacing w:before="120" w:after="120"/>
              <w:jc w:val="center"/>
              <w:rPr>
                <w:color w:val="auto"/>
                <w:sz w:val="12"/>
                <w:szCs w:val="12"/>
              </w:rPr>
            </w:pPr>
            <w:r w:rsidRPr="00F9037E">
              <w:rPr>
                <w:color w:val="auto"/>
                <w:sz w:val="12"/>
                <w:szCs w:val="12"/>
              </w:rPr>
              <w:t>64.028</w:t>
            </w:r>
          </w:p>
        </w:tc>
        <w:tc>
          <w:tcPr>
            <w:tcW w:w="567" w:type="dxa"/>
            <w:tcBorders>
              <w:top w:val="nil"/>
              <w:left w:val="nil"/>
              <w:bottom w:val="single" w:sz="8" w:space="0" w:color="auto"/>
              <w:right w:val="single" w:sz="8" w:space="0" w:color="auto"/>
            </w:tcBorders>
            <w:shd w:val="clear" w:color="auto" w:fill="auto"/>
            <w:vAlign w:val="center"/>
          </w:tcPr>
          <w:p w14:paraId="4BA45498" w14:textId="77777777" w:rsidR="004B0524" w:rsidRPr="00F9037E" w:rsidRDefault="004B0524" w:rsidP="00C05C97">
            <w:pPr>
              <w:spacing w:before="120" w:after="120"/>
              <w:jc w:val="center"/>
              <w:rPr>
                <w:color w:val="auto"/>
                <w:sz w:val="12"/>
                <w:szCs w:val="12"/>
              </w:rPr>
            </w:pPr>
            <w:r w:rsidRPr="00F9037E">
              <w:rPr>
                <w:color w:val="auto"/>
                <w:sz w:val="12"/>
                <w:szCs w:val="12"/>
              </w:rPr>
              <w:t>52.256</w:t>
            </w:r>
          </w:p>
        </w:tc>
        <w:tc>
          <w:tcPr>
            <w:tcW w:w="567" w:type="dxa"/>
            <w:tcBorders>
              <w:top w:val="nil"/>
              <w:left w:val="nil"/>
              <w:bottom w:val="single" w:sz="8" w:space="0" w:color="auto"/>
              <w:right w:val="single" w:sz="8" w:space="0" w:color="auto"/>
            </w:tcBorders>
            <w:shd w:val="clear" w:color="auto" w:fill="auto"/>
            <w:vAlign w:val="center"/>
          </w:tcPr>
          <w:p w14:paraId="7A4E2F2B" w14:textId="77777777" w:rsidR="004B0524" w:rsidRPr="00F9037E" w:rsidRDefault="004B0524" w:rsidP="00C05C97">
            <w:pPr>
              <w:spacing w:before="120" w:after="120"/>
              <w:jc w:val="center"/>
              <w:rPr>
                <w:color w:val="auto"/>
                <w:sz w:val="12"/>
                <w:szCs w:val="12"/>
              </w:rPr>
            </w:pPr>
            <w:r w:rsidRPr="00F9037E">
              <w:rPr>
                <w:color w:val="auto"/>
                <w:sz w:val="12"/>
                <w:szCs w:val="12"/>
              </w:rPr>
              <w:t>51.002</w:t>
            </w:r>
          </w:p>
        </w:tc>
        <w:tc>
          <w:tcPr>
            <w:tcW w:w="567" w:type="dxa"/>
            <w:tcBorders>
              <w:top w:val="nil"/>
              <w:left w:val="nil"/>
              <w:bottom w:val="single" w:sz="8" w:space="0" w:color="auto"/>
              <w:right w:val="single" w:sz="8" w:space="0" w:color="auto"/>
            </w:tcBorders>
            <w:shd w:val="clear" w:color="auto" w:fill="auto"/>
            <w:vAlign w:val="center"/>
          </w:tcPr>
          <w:p w14:paraId="247490AA" w14:textId="5812C618"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6DE8FF8" w14:textId="634665CD"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345D823" w14:textId="1EBC5692"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98195A6" w14:textId="3A51E480"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2B56E077"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EEE02EE"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BF34C29"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4FBDA9B8" w14:textId="77777777" w:rsidR="004B0524" w:rsidRPr="00F9037E" w:rsidRDefault="004B0524" w:rsidP="00C05C97">
            <w:pPr>
              <w:spacing w:before="120" w:after="120"/>
              <w:jc w:val="center"/>
              <w:rPr>
                <w:color w:val="auto"/>
                <w:sz w:val="12"/>
                <w:szCs w:val="12"/>
              </w:rPr>
            </w:pPr>
            <w:r w:rsidRPr="00F9037E">
              <w:rPr>
                <w:color w:val="auto"/>
                <w:sz w:val="12"/>
                <w:szCs w:val="12"/>
              </w:rPr>
              <w:t>61.519</w:t>
            </w:r>
          </w:p>
        </w:tc>
        <w:tc>
          <w:tcPr>
            <w:tcW w:w="567" w:type="dxa"/>
            <w:tcBorders>
              <w:top w:val="nil"/>
              <w:left w:val="nil"/>
              <w:bottom w:val="single" w:sz="8" w:space="0" w:color="auto"/>
              <w:right w:val="single" w:sz="8" w:space="0" w:color="auto"/>
            </w:tcBorders>
            <w:shd w:val="clear" w:color="auto" w:fill="auto"/>
            <w:vAlign w:val="center"/>
          </w:tcPr>
          <w:p w14:paraId="3A24D61B" w14:textId="77777777" w:rsidR="004B0524" w:rsidRPr="00F9037E" w:rsidRDefault="004B0524" w:rsidP="00C05C97">
            <w:pPr>
              <w:spacing w:before="120" w:after="120"/>
              <w:jc w:val="center"/>
              <w:rPr>
                <w:color w:val="auto"/>
                <w:sz w:val="12"/>
                <w:szCs w:val="12"/>
              </w:rPr>
            </w:pPr>
            <w:r w:rsidRPr="00F9037E">
              <w:rPr>
                <w:color w:val="auto"/>
                <w:sz w:val="12"/>
                <w:szCs w:val="12"/>
              </w:rPr>
              <w:t>55.367</w:t>
            </w:r>
          </w:p>
        </w:tc>
        <w:tc>
          <w:tcPr>
            <w:tcW w:w="567" w:type="dxa"/>
            <w:tcBorders>
              <w:top w:val="nil"/>
              <w:left w:val="nil"/>
              <w:bottom w:val="single" w:sz="8" w:space="0" w:color="auto"/>
              <w:right w:val="single" w:sz="8" w:space="0" w:color="auto"/>
            </w:tcBorders>
            <w:shd w:val="clear" w:color="auto" w:fill="auto"/>
            <w:vAlign w:val="center"/>
          </w:tcPr>
          <w:p w14:paraId="3236909E" w14:textId="77777777" w:rsidR="004B0524" w:rsidRPr="00F9037E" w:rsidRDefault="004B0524" w:rsidP="00C05C97">
            <w:pPr>
              <w:spacing w:before="120" w:after="120"/>
              <w:jc w:val="center"/>
              <w:rPr>
                <w:color w:val="auto"/>
                <w:sz w:val="12"/>
                <w:szCs w:val="12"/>
              </w:rPr>
            </w:pPr>
            <w:r w:rsidRPr="00F9037E">
              <w:rPr>
                <w:color w:val="auto"/>
                <w:sz w:val="12"/>
                <w:szCs w:val="12"/>
              </w:rPr>
              <w:t>64.082</w:t>
            </w:r>
          </w:p>
        </w:tc>
        <w:tc>
          <w:tcPr>
            <w:tcW w:w="567" w:type="dxa"/>
            <w:tcBorders>
              <w:top w:val="nil"/>
              <w:left w:val="nil"/>
              <w:bottom w:val="single" w:sz="8" w:space="0" w:color="auto"/>
              <w:right w:val="single" w:sz="8" w:space="0" w:color="auto"/>
            </w:tcBorders>
            <w:shd w:val="clear" w:color="auto" w:fill="auto"/>
            <w:vAlign w:val="center"/>
          </w:tcPr>
          <w:p w14:paraId="7256C9D3" w14:textId="77777777" w:rsidR="004B0524" w:rsidRPr="00F9037E" w:rsidRDefault="004B0524" w:rsidP="00C05C97">
            <w:pPr>
              <w:spacing w:before="120" w:after="120"/>
              <w:jc w:val="center"/>
              <w:rPr>
                <w:color w:val="auto"/>
                <w:sz w:val="12"/>
                <w:szCs w:val="12"/>
              </w:rPr>
            </w:pPr>
            <w:r w:rsidRPr="00F9037E">
              <w:rPr>
                <w:color w:val="auto"/>
                <w:sz w:val="12"/>
                <w:szCs w:val="12"/>
              </w:rPr>
              <w:t>53.188</w:t>
            </w:r>
          </w:p>
        </w:tc>
        <w:tc>
          <w:tcPr>
            <w:tcW w:w="567" w:type="dxa"/>
            <w:tcBorders>
              <w:top w:val="nil"/>
              <w:left w:val="nil"/>
              <w:bottom w:val="single" w:sz="8" w:space="0" w:color="auto"/>
              <w:right w:val="single" w:sz="8" w:space="0" w:color="auto"/>
            </w:tcBorders>
            <w:shd w:val="clear" w:color="auto" w:fill="auto"/>
            <w:vAlign w:val="center"/>
          </w:tcPr>
          <w:p w14:paraId="068987FC" w14:textId="72B7C496"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5328A6A" w14:textId="0EFD904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EF4E35E" w14:textId="3094A8EB"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73C36556" w14:textId="522110E4"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A138C6E"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AFF18EC"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76C0215"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598AC21" w14:textId="77777777" w:rsidR="004B0524" w:rsidRPr="00F9037E" w:rsidRDefault="004B0524" w:rsidP="00C05C97">
            <w:pPr>
              <w:spacing w:before="120" w:after="120"/>
              <w:jc w:val="center"/>
              <w:rPr>
                <w:color w:val="auto"/>
                <w:sz w:val="12"/>
                <w:szCs w:val="12"/>
              </w:rPr>
            </w:pPr>
          </w:p>
        </w:tc>
      </w:tr>
      <w:tr w:rsidR="004B0524" w:rsidRPr="00F9037E" w14:paraId="0A90C660" w14:textId="77777777" w:rsidTr="00C05C97">
        <w:trPr>
          <w:cantSplit/>
          <w:trHeight w:val="1843"/>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473E238E" w14:textId="5991ECA5" w:rsidR="004B0524" w:rsidRPr="00F9037E" w:rsidRDefault="004B0524" w:rsidP="00C05C97">
            <w:pPr>
              <w:spacing w:before="120" w:after="120"/>
              <w:rPr>
                <w:color w:val="auto"/>
                <w:sz w:val="12"/>
                <w:szCs w:val="12"/>
              </w:rPr>
            </w:pPr>
            <w:r w:rsidRPr="00F9037E">
              <w:rPr>
                <w:color w:val="auto"/>
                <w:sz w:val="12"/>
                <w:szCs w:val="12"/>
              </w:rPr>
              <w:t>USA</w:t>
            </w:r>
          </w:p>
        </w:tc>
        <w:tc>
          <w:tcPr>
            <w:tcW w:w="818" w:type="dxa"/>
            <w:tcBorders>
              <w:top w:val="nil"/>
              <w:left w:val="nil"/>
              <w:bottom w:val="single" w:sz="8" w:space="0" w:color="auto"/>
              <w:right w:val="single" w:sz="8" w:space="0" w:color="auto"/>
            </w:tcBorders>
            <w:shd w:val="clear" w:color="auto" w:fill="auto"/>
            <w:vAlign w:val="center"/>
          </w:tcPr>
          <w:p w14:paraId="35E6D6DA" w14:textId="77777777" w:rsidR="004B0524" w:rsidRPr="00F9037E" w:rsidRDefault="004B0524" w:rsidP="00C05C97">
            <w:pPr>
              <w:spacing w:before="120" w:after="120"/>
              <w:rPr>
                <w:color w:val="auto"/>
                <w:sz w:val="12"/>
                <w:szCs w:val="12"/>
              </w:rPr>
            </w:pPr>
            <w:r w:rsidRPr="00F9037E">
              <w:rPr>
                <w:color w:val="auto"/>
                <w:sz w:val="12"/>
                <w:szCs w:val="12"/>
              </w:rPr>
              <w:t>Dry commodities/ structures (processed foods, herbs and spices, dried milk and cheese processing facilities) NPMA</w:t>
            </w:r>
          </w:p>
        </w:tc>
        <w:tc>
          <w:tcPr>
            <w:tcW w:w="567" w:type="dxa"/>
            <w:tcBorders>
              <w:top w:val="nil"/>
              <w:left w:val="nil"/>
              <w:bottom w:val="single" w:sz="8" w:space="0" w:color="auto"/>
              <w:right w:val="single" w:sz="8" w:space="0" w:color="auto"/>
            </w:tcBorders>
            <w:shd w:val="clear" w:color="auto" w:fill="auto"/>
            <w:vAlign w:val="center"/>
          </w:tcPr>
          <w:p w14:paraId="73CD41FC" w14:textId="77777777" w:rsidR="004B0524" w:rsidRPr="00F9037E" w:rsidRDefault="004B0524" w:rsidP="00C05C97">
            <w:pPr>
              <w:spacing w:before="120" w:after="120"/>
              <w:jc w:val="center"/>
              <w:rPr>
                <w:color w:val="auto"/>
                <w:sz w:val="12"/>
                <w:szCs w:val="12"/>
              </w:rPr>
            </w:pPr>
            <w:r w:rsidRPr="00F9037E">
              <w:rPr>
                <w:color w:val="auto"/>
                <w:sz w:val="12"/>
                <w:szCs w:val="12"/>
              </w:rPr>
              <w:t>83.344</w:t>
            </w:r>
          </w:p>
        </w:tc>
        <w:tc>
          <w:tcPr>
            <w:tcW w:w="567" w:type="dxa"/>
            <w:tcBorders>
              <w:top w:val="nil"/>
              <w:left w:val="nil"/>
              <w:bottom w:val="single" w:sz="8" w:space="0" w:color="auto"/>
              <w:right w:val="single" w:sz="8" w:space="0" w:color="auto"/>
            </w:tcBorders>
            <w:shd w:val="clear" w:color="auto" w:fill="auto"/>
            <w:vAlign w:val="center"/>
          </w:tcPr>
          <w:p w14:paraId="246943C1" w14:textId="77777777" w:rsidR="004B0524" w:rsidRPr="00F9037E" w:rsidRDefault="004B0524" w:rsidP="00C05C97">
            <w:pPr>
              <w:spacing w:before="120" w:after="120"/>
              <w:jc w:val="center"/>
              <w:rPr>
                <w:color w:val="auto"/>
                <w:sz w:val="12"/>
                <w:szCs w:val="12"/>
              </w:rPr>
            </w:pPr>
            <w:r w:rsidRPr="00F9037E">
              <w:rPr>
                <w:color w:val="auto"/>
                <w:sz w:val="12"/>
                <w:szCs w:val="12"/>
              </w:rPr>
              <w:t>83.344</w:t>
            </w:r>
          </w:p>
        </w:tc>
        <w:tc>
          <w:tcPr>
            <w:tcW w:w="567" w:type="dxa"/>
            <w:tcBorders>
              <w:top w:val="nil"/>
              <w:left w:val="nil"/>
              <w:bottom w:val="single" w:sz="8" w:space="0" w:color="auto"/>
              <w:right w:val="single" w:sz="8" w:space="0" w:color="auto"/>
            </w:tcBorders>
            <w:shd w:val="clear" w:color="auto" w:fill="auto"/>
            <w:vAlign w:val="center"/>
          </w:tcPr>
          <w:p w14:paraId="75590978" w14:textId="77777777" w:rsidR="004B0524" w:rsidRPr="00F9037E" w:rsidRDefault="004B0524" w:rsidP="00C05C97">
            <w:pPr>
              <w:spacing w:before="120" w:after="120"/>
              <w:jc w:val="center"/>
              <w:rPr>
                <w:color w:val="auto"/>
                <w:sz w:val="12"/>
                <w:szCs w:val="12"/>
              </w:rPr>
            </w:pPr>
            <w:r w:rsidRPr="00F9037E">
              <w:rPr>
                <w:color w:val="auto"/>
                <w:sz w:val="12"/>
                <w:szCs w:val="12"/>
              </w:rPr>
              <w:t>85.801</w:t>
            </w:r>
          </w:p>
        </w:tc>
        <w:tc>
          <w:tcPr>
            <w:tcW w:w="567" w:type="dxa"/>
            <w:tcBorders>
              <w:top w:val="nil"/>
              <w:left w:val="nil"/>
              <w:bottom w:val="single" w:sz="8" w:space="0" w:color="auto"/>
              <w:right w:val="single" w:sz="8" w:space="0" w:color="auto"/>
            </w:tcBorders>
            <w:shd w:val="clear" w:color="auto" w:fill="auto"/>
            <w:vAlign w:val="center"/>
          </w:tcPr>
          <w:p w14:paraId="73CD2FEF" w14:textId="77777777" w:rsidR="004B0524" w:rsidRPr="00F9037E" w:rsidRDefault="004B0524" w:rsidP="00C05C97">
            <w:pPr>
              <w:spacing w:before="120" w:after="120"/>
              <w:jc w:val="center"/>
              <w:rPr>
                <w:color w:val="auto"/>
                <w:sz w:val="12"/>
                <w:szCs w:val="12"/>
              </w:rPr>
            </w:pPr>
            <w:r w:rsidRPr="00F9037E">
              <w:rPr>
                <w:color w:val="auto"/>
                <w:sz w:val="12"/>
                <w:szCs w:val="12"/>
              </w:rPr>
              <w:t>72.693</w:t>
            </w:r>
          </w:p>
        </w:tc>
        <w:tc>
          <w:tcPr>
            <w:tcW w:w="567" w:type="dxa"/>
            <w:tcBorders>
              <w:top w:val="nil"/>
              <w:left w:val="nil"/>
              <w:bottom w:val="single" w:sz="8" w:space="0" w:color="auto"/>
              <w:right w:val="single" w:sz="8" w:space="0" w:color="auto"/>
            </w:tcBorders>
            <w:shd w:val="clear" w:color="auto" w:fill="auto"/>
            <w:vAlign w:val="center"/>
          </w:tcPr>
          <w:p w14:paraId="21B4E108" w14:textId="77777777" w:rsidR="004B0524" w:rsidRPr="00F9037E" w:rsidRDefault="004B0524" w:rsidP="00C05C97">
            <w:pPr>
              <w:spacing w:before="120" w:after="120"/>
              <w:jc w:val="center"/>
              <w:rPr>
                <w:color w:val="auto"/>
                <w:sz w:val="12"/>
                <w:szCs w:val="12"/>
              </w:rPr>
            </w:pPr>
            <w:r w:rsidRPr="00F9037E">
              <w:rPr>
                <w:color w:val="auto"/>
                <w:sz w:val="12"/>
                <w:szCs w:val="12"/>
              </w:rPr>
              <w:t>66.777</w:t>
            </w:r>
          </w:p>
        </w:tc>
        <w:tc>
          <w:tcPr>
            <w:tcW w:w="567" w:type="dxa"/>
            <w:tcBorders>
              <w:top w:val="nil"/>
              <w:left w:val="nil"/>
              <w:bottom w:val="single" w:sz="8" w:space="0" w:color="auto"/>
              <w:right w:val="single" w:sz="8" w:space="0" w:color="auto"/>
            </w:tcBorders>
            <w:shd w:val="clear" w:color="auto" w:fill="auto"/>
            <w:vAlign w:val="center"/>
          </w:tcPr>
          <w:p w14:paraId="3329B777" w14:textId="77777777" w:rsidR="004B0524" w:rsidRPr="00F9037E" w:rsidRDefault="004B0524" w:rsidP="00C05C97">
            <w:pPr>
              <w:spacing w:before="120" w:after="120"/>
              <w:jc w:val="center"/>
              <w:rPr>
                <w:color w:val="auto"/>
                <w:sz w:val="12"/>
                <w:szCs w:val="12"/>
              </w:rPr>
            </w:pPr>
            <w:r w:rsidRPr="00F9037E">
              <w:rPr>
                <w:color w:val="auto"/>
                <w:sz w:val="12"/>
                <w:szCs w:val="12"/>
              </w:rPr>
              <w:t>37.778</w:t>
            </w:r>
          </w:p>
        </w:tc>
        <w:tc>
          <w:tcPr>
            <w:tcW w:w="567" w:type="dxa"/>
            <w:tcBorders>
              <w:top w:val="nil"/>
              <w:left w:val="nil"/>
              <w:bottom w:val="single" w:sz="8" w:space="0" w:color="auto"/>
              <w:right w:val="single" w:sz="8" w:space="0" w:color="auto"/>
            </w:tcBorders>
            <w:shd w:val="clear" w:color="auto" w:fill="auto"/>
            <w:vAlign w:val="center"/>
          </w:tcPr>
          <w:p w14:paraId="6270159D" w14:textId="77777777" w:rsidR="004B0524" w:rsidRPr="00F9037E" w:rsidRDefault="004B0524" w:rsidP="00C05C97">
            <w:pPr>
              <w:spacing w:before="120" w:after="120"/>
              <w:jc w:val="center"/>
              <w:rPr>
                <w:color w:val="auto"/>
                <w:sz w:val="12"/>
                <w:szCs w:val="12"/>
              </w:rPr>
            </w:pPr>
            <w:r w:rsidRPr="00F9037E">
              <w:rPr>
                <w:color w:val="auto"/>
                <w:sz w:val="12"/>
                <w:szCs w:val="12"/>
              </w:rPr>
              <w:t>17.365</w:t>
            </w:r>
          </w:p>
        </w:tc>
        <w:tc>
          <w:tcPr>
            <w:tcW w:w="567" w:type="dxa"/>
            <w:tcBorders>
              <w:top w:val="nil"/>
              <w:left w:val="nil"/>
              <w:bottom w:val="single" w:sz="8" w:space="0" w:color="auto"/>
              <w:right w:val="single" w:sz="8" w:space="0" w:color="auto"/>
            </w:tcBorders>
            <w:shd w:val="clear" w:color="auto" w:fill="auto"/>
            <w:vAlign w:val="center"/>
          </w:tcPr>
          <w:p w14:paraId="00FA0985" w14:textId="77777777" w:rsidR="004B0524" w:rsidRPr="00F9037E" w:rsidRDefault="004B0524" w:rsidP="00C05C97">
            <w:pPr>
              <w:spacing w:before="120" w:after="120"/>
              <w:jc w:val="center"/>
              <w:rPr>
                <w:color w:val="auto"/>
                <w:sz w:val="12"/>
                <w:szCs w:val="12"/>
              </w:rPr>
            </w:pPr>
            <w:r w:rsidRPr="00F9037E">
              <w:rPr>
                <w:color w:val="auto"/>
                <w:sz w:val="12"/>
                <w:szCs w:val="12"/>
              </w:rPr>
              <w:t>0.200</w:t>
            </w:r>
          </w:p>
        </w:tc>
        <w:tc>
          <w:tcPr>
            <w:tcW w:w="567" w:type="dxa"/>
            <w:tcBorders>
              <w:top w:val="nil"/>
              <w:left w:val="nil"/>
              <w:bottom w:val="single" w:sz="8" w:space="0" w:color="auto"/>
              <w:right w:val="single" w:sz="8" w:space="0" w:color="auto"/>
            </w:tcBorders>
            <w:shd w:val="clear" w:color="auto" w:fill="auto"/>
            <w:vAlign w:val="center"/>
          </w:tcPr>
          <w:p w14:paraId="134BF2DC" w14:textId="4E304C68"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63B09699"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88E452A"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5000252"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7C65E81D" w14:textId="77777777" w:rsidR="004B0524" w:rsidRPr="00F9037E" w:rsidRDefault="004B0524" w:rsidP="00C05C97">
            <w:pPr>
              <w:spacing w:before="120" w:after="120"/>
              <w:jc w:val="center"/>
              <w:rPr>
                <w:color w:val="auto"/>
                <w:sz w:val="12"/>
                <w:szCs w:val="12"/>
              </w:rPr>
            </w:pPr>
            <w:r w:rsidRPr="00F9037E">
              <w:rPr>
                <w:color w:val="auto"/>
                <w:sz w:val="12"/>
                <w:szCs w:val="12"/>
              </w:rPr>
              <w:t>83.344</w:t>
            </w:r>
          </w:p>
        </w:tc>
        <w:tc>
          <w:tcPr>
            <w:tcW w:w="567" w:type="dxa"/>
            <w:tcBorders>
              <w:top w:val="nil"/>
              <w:left w:val="nil"/>
              <w:bottom w:val="single" w:sz="8" w:space="0" w:color="auto"/>
              <w:right w:val="single" w:sz="8" w:space="0" w:color="auto"/>
            </w:tcBorders>
            <w:shd w:val="clear" w:color="auto" w:fill="auto"/>
            <w:vAlign w:val="center"/>
          </w:tcPr>
          <w:p w14:paraId="6C86A90D" w14:textId="77777777" w:rsidR="004B0524" w:rsidRPr="00F9037E" w:rsidRDefault="004B0524" w:rsidP="00C05C97">
            <w:pPr>
              <w:spacing w:before="120" w:after="120"/>
              <w:jc w:val="center"/>
              <w:rPr>
                <w:color w:val="auto"/>
                <w:sz w:val="12"/>
                <w:szCs w:val="12"/>
              </w:rPr>
            </w:pPr>
            <w:r w:rsidRPr="00F9037E">
              <w:rPr>
                <w:color w:val="auto"/>
                <w:sz w:val="12"/>
                <w:szCs w:val="12"/>
              </w:rPr>
              <w:t>69.118</w:t>
            </w:r>
          </w:p>
        </w:tc>
        <w:tc>
          <w:tcPr>
            <w:tcW w:w="567" w:type="dxa"/>
            <w:tcBorders>
              <w:top w:val="nil"/>
              <w:left w:val="nil"/>
              <w:bottom w:val="single" w:sz="8" w:space="0" w:color="auto"/>
              <w:right w:val="single" w:sz="8" w:space="0" w:color="auto"/>
            </w:tcBorders>
            <w:shd w:val="clear" w:color="auto" w:fill="auto"/>
            <w:vAlign w:val="center"/>
          </w:tcPr>
          <w:p w14:paraId="05105621" w14:textId="77777777" w:rsidR="004B0524" w:rsidRPr="00F9037E" w:rsidRDefault="004B0524" w:rsidP="00C05C97">
            <w:pPr>
              <w:spacing w:before="120" w:after="120"/>
              <w:jc w:val="center"/>
              <w:rPr>
                <w:color w:val="auto"/>
                <w:sz w:val="12"/>
                <w:szCs w:val="12"/>
              </w:rPr>
            </w:pPr>
            <w:r w:rsidRPr="00F9037E">
              <w:rPr>
                <w:color w:val="auto"/>
                <w:sz w:val="12"/>
                <w:szCs w:val="12"/>
              </w:rPr>
              <w:t>82.771</w:t>
            </w:r>
          </w:p>
        </w:tc>
        <w:tc>
          <w:tcPr>
            <w:tcW w:w="567" w:type="dxa"/>
            <w:tcBorders>
              <w:top w:val="nil"/>
              <w:left w:val="nil"/>
              <w:bottom w:val="single" w:sz="8" w:space="0" w:color="auto"/>
              <w:right w:val="single" w:sz="8" w:space="0" w:color="auto"/>
            </w:tcBorders>
            <w:shd w:val="clear" w:color="auto" w:fill="auto"/>
            <w:vAlign w:val="center"/>
          </w:tcPr>
          <w:p w14:paraId="5EC4F3F2" w14:textId="77777777" w:rsidR="004B0524" w:rsidRPr="00F9037E" w:rsidRDefault="004B0524" w:rsidP="00C05C97">
            <w:pPr>
              <w:spacing w:before="120" w:after="120"/>
              <w:jc w:val="center"/>
              <w:rPr>
                <w:color w:val="auto"/>
                <w:sz w:val="12"/>
                <w:szCs w:val="12"/>
              </w:rPr>
            </w:pPr>
            <w:r w:rsidRPr="00F9037E">
              <w:rPr>
                <w:color w:val="auto"/>
                <w:sz w:val="12"/>
                <w:szCs w:val="12"/>
              </w:rPr>
              <w:t>69.208</w:t>
            </w:r>
          </w:p>
        </w:tc>
        <w:tc>
          <w:tcPr>
            <w:tcW w:w="567" w:type="dxa"/>
            <w:tcBorders>
              <w:top w:val="nil"/>
              <w:left w:val="nil"/>
              <w:bottom w:val="single" w:sz="8" w:space="0" w:color="auto"/>
              <w:right w:val="single" w:sz="8" w:space="0" w:color="auto"/>
            </w:tcBorders>
            <w:shd w:val="clear" w:color="auto" w:fill="auto"/>
            <w:vAlign w:val="center"/>
          </w:tcPr>
          <w:p w14:paraId="44CF8173" w14:textId="77777777" w:rsidR="004B0524" w:rsidRPr="00F9037E" w:rsidRDefault="004B0524" w:rsidP="00C05C97">
            <w:pPr>
              <w:spacing w:before="120" w:after="120"/>
              <w:jc w:val="center"/>
              <w:rPr>
                <w:color w:val="auto"/>
                <w:sz w:val="12"/>
                <w:szCs w:val="12"/>
              </w:rPr>
            </w:pPr>
            <w:r w:rsidRPr="00F9037E">
              <w:rPr>
                <w:color w:val="auto"/>
                <w:sz w:val="12"/>
                <w:szCs w:val="12"/>
              </w:rPr>
              <w:t>54.606</w:t>
            </w:r>
          </w:p>
        </w:tc>
        <w:tc>
          <w:tcPr>
            <w:tcW w:w="567" w:type="dxa"/>
            <w:tcBorders>
              <w:top w:val="nil"/>
              <w:left w:val="nil"/>
              <w:bottom w:val="single" w:sz="8" w:space="0" w:color="auto"/>
              <w:right w:val="single" w:sz="8" w:space="0" w:color="auto"/>
            </w:tcBorders>
            <w:shd w:val="clear" w:color="auto" w:fill="auto"/>
            <w:vAlign w:val="center"/>
          </w:tcPr>
          <w:p w14:paraId="67A60040" w14:textId="77777777" w:rsidR="004B0524" w:rsidRPr="00F9037E" w:rsidRDefault="004B0524" w:rsidP="00C05C97">
            <w:pPr>
              <w:spacing w:before="120" w:after="120"/>
              <w:jc w:val="center"/>
              <w:rPr>
                <w:color w:val="auto"/>
                <w:sz w:val="12"/>
                <w:szCs w:val="12"/>
              </w:rPr>
            </w:pPr>
            <w:r w:rsidRPr="00F9037E">
              <w:rPr>
                <w:color w:val="auto"/>
                <w:sz w:val="12"/>
                <w:szCs w:val="12"/>
              </w:rPr>
              <w:t>37.778</w:t>
            </w:r>
          </w:p>
        </w:tc>
        <w:tc>
          <w:tcPr>
            <w:tcW w:w="567" w:type="dxa"/>
            <w:tcBorders>
              <w:top w:val="nil"/>
              <w:left w:val="nil"/>
              <w:bottom w:val="single" w:sz="8" w:space="0" w:color="auto"/>
              <w:right w:val="single" w:sz="8" w:space="0" w:color="auto"/>
            </w:tcBorders>
            <w:shd w:val="clear" w:color="auto" w:fill="auto"/>
            <w:vAlign w:val="center"/>
          </w:tcPr>
          <w:p w14:paraId="66649188" w14:textId="77777777" w:rsidR="004B0524" w:rsidRPr="00F9037E" w:rsidRDefault="004B0524" w:rsidP="00C05C97">
            <w:pPr>
              <w:spacing w:before="120" w:after="120"/>
              <w:jc w:val="center"/>
              <w:rPr>
                <w:color w:val="auto"/>
                <w:sz w:val="12"/>
                <w:szCs w:val="12"/>
              </w:rPr>
            </w:pPr>
            <w:r w:rsidRPr="00F9037E">
              <w:rPr>
                <w:color w:val="auto"/>
                <w:sz w:val="12"/>
                <w:szCs w:val="12"/>
              </w:rPr>
              <w:t>17.365</w:t>
            </w:r>
          </w:p>
        </w:tc>
        <w:tc>
          <w:tcPr>
            <w:tcW w:w="567" w:type="dxa"/>
            <w:tcBorders>
              <w:top w:val="nil"/>
              <w:left w:val="nil"/>
              <w:bottom w:val="single" w:sz="8" w:space="0" w:color="auto"/>
              <w:right w:val="single" w:sz="8" w:space="0" w:color="auto"/>
            </w:tcBorders>
            <w:shd w:val="clear" w:color="auto" w:fill="auto"/>
            <w:noWrap/>
            <w:vAlign w:val="center"/>
          </w:tcPr>
          <w:p w14:paraId="3B2FF908"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A716D97"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C8610D9"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E412A40"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4FEB5CA" w14:textId="77777777" w:rsidR="004B0524" w:rsidRPr="00F9037E" w:rsidRDefault="004B0524" w:rsidP="00C05C97">
            <w:pPr>
              <w:spacing w:before="120" w:after="120"/>
              <w:jc w:val="center"/>
              <w:rPr>
                <w:color w:val="auto"/>
                <w:sz w:val="12"/>
                <w:szCs w:val="12"/>
              </w:rPr>
            </w:pPr>
          </w:p>
        </w:tc>
      </w:tr>
      <w:tr w:rsidR="004B0524" w:rsidRPr="00F9037E" w14:paraId="716F01FD" w14:textId="77777777" w:rsidTr="00C05C97">
        <w:trPr>
          <w:cantSplit/>
          <w:trHeight w:val="1051"/>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F1708FE" w14:textId="2DF02326" w:rsidR="004B0524" w:rsidRPr="00F9037E" w:rsidRDefault="004B0524" w:rsidP="00C05C97">
            <w:pPr>
              <w:spacing w:before="120" w:after="120"/>
              <w:rPr>
                <w:color w:val="auto"/>
                <w:sz w:val="12"/>
                <w:szCs w:val="12"/>
              </w:rPr>
            </w:pPr>
            <w:r w:rsidRPr="00F9037E">
              <w:rPr>
                <w:color w:val="auto"/>
                <w:sz w:val="12"/>
                <w:szCs w:val="12"/>
              </w:rPr>
              <w:lastRenderedPageBreak/>
              <w:t>USA</w:t>
            </w:r>
          </w:p>
        </w:tc>
        <w:tc>
          <w:tcPr>
            <w:tcW w:w="818" w:type="dxa"/>
            <w:tcBorders>
              <w:top w:val="nil"/>
              <w:left w:val="nil"/>
              <w:bottom w:val="single" w:sz="8" w:space="0" w:color="auto"/>
              <w:right w:val="single" w:sz="8" w:space="0" w:color="auto"/>
            </w:tcBorders>
            <w:shd w:val="clear" w:color="auto" w:fill="auto"/>
            <w:vAlign w:val="center"/>
          </w:tcPr>
          <w:p w14:paraId="61C0FA59" w14:textId="77777777" w:rsidR="004B0524" w:rsidRPr="00F9037E" w:rsidRDefault="004B0524" w:rsidP="00C05C97">
            <w:pPr>
              <w:spacing w:before="120" w:after="120"/>
              <w:rPr>
                <w:color w:val="auto"/>
                <w:sz w:val="12"/>
                <w:szCs w:val="12"/>
              </w:rPr>
            </w:pPr>
            <w:r w:rsidRPr="00F9037E">
              <w:rPr>
                <w:color w:val="auto"/>
                <w:sz w:val="12"/>
                <w:szCs w:val="12"/>
              </w:rPr>
              <w:t>Smokehouse hams (Dry cure pork products) (building and product)</w:t>
            </w:r>
          </w:p>
        </w:tc>
        <w:tc>
          <w:tcPr>
            <w:tcW w:w="567" w:type="dxa"/>
            <w:tcBorders>
              <w:top w:val="nil"/>
              <w:left w:val="nil"/>
              <w:bottom w:val="single" w:sz="8" w:space="0" w:color="auto"/>
              <w:right w:val="single" w:sz="8" w:space="0" w:color="auto"/>
            </w:tcBorders>
            <w:shd w:val="clear" w:color="auto" w:fill="auto"/>
            <w:vAlign w:val="center"/>
          </w:tcPr>
          <w:p w14:paraId="43510EC2" w14:textId="77777777" w:rsidR="004B0524" w:rsidRPr="00F9037E" w:rsidRDefault="004B0524" w:rsidP="00C05C97">
            <w:pPr>
              <w:spacing w:before="120" w:after="120"/>
              <w:jc w:val="center"/>
              <w:rPr>
                <w:color w:val="auto"/>
                <w:sz w:val="10"/>
                <w:szCs w:val="12"/>
              </w:rPr>
            </w:pPr>
            <w:r w:rsidRPr="00F9037E">
              <w:rPr>
                <w:color w:val="auto"/>
                <w:sz w:val="10"/>
                <w:szCs w:val="12"/>
              </w:rPr>
              <w:t>136.304</w:t>
            </w:r>
          </w:p>
        </w:tc>
        <w:tc>
          <w:tcPr>
            <w:tcW w:w="567" w:type="dxa"/>
            <w:tcBorders>
              <w:top w:val="nil"/>
              <w:left w:val="nil"/>
              <w:bottom w:val="single" w:sz="8" w:space="0" w:color="auto"/>
              <w:right w:val="single" w:sz="8" w:space="0" w:color="auto"/>
            </w:tcBorders>
            <w:shd w:val="clear" w:color="auto" w:fill="auto"/>
            <w:vAlign w:val="center"/>
          </w:tcPr>
          <w:p w14:paraId="17B00DEF" w14:textId="77777777" w:rsidR="004B0524" w:rsidRPr="00F9037E" w:rsidRDefault="004B0524" w:rsidP="00C05C97">
            <w:pPr>
              <w:spacing w:before="120" w:after="120"/>
              <w:jc w:val="center"/>
              <w:rPr>
                <w:color w:val="auto"/>
                <w:sz w:val="10"/>
                <w:szCs w:val="12"/>
              </w:rPr>
            </w:pPr>
            <w:r w:rsidRPr="00F9037E">
              <w:rPr>
                <w:color w:val="auto"/>
                <w:sz w:val="10"/>
                <w:szCs w:val="12"/>
              </w:rPr>
              <w:t>135.742</w:t>
            </w:r>
          </w:p>
        </w:tc>
        <w:tc>
          <w:tcPr>
            <w:tcW w:w="567" w:type="dxa"/>
            <w:tcBorders>
              <w:top w:val="nil"/>
              <w:left w:val="nil"/>
              <w:bottom w:val="single" w:sz="8" w:space="0" w:color="auto"/>
              <w:right w:val="single" w:sz="8" w:space="0" w:color="auto"/>
            </w:tcBorders>
            <w:shd w:val="clear" w:color="auto" w:fill="auto"/>
            <w:vAlign w:val="center"/>
          </w:tcPr>
          <w:p w14:paraId="58133B0D" w14:textId="77777777" w:rsidR="004B0524" w:rsidRPr="00F9037E" w:rsidRDefault="004B0524" w:rsidP="00C05C97">
            <w:pPr>
              <w:spacing w:before="120" w:after="120"/>
              <w:jc w:val="center"/>
              <w:rPr>
                <w:color w:val="auto"/>
                <w:sz w:val="12"/>
                <w:szCs w:val="12"/>
              </w:rPr>
            </w:pPr>
            <w:r w:rsidRPr="00F9037E">
              <w:rPr>
                <w:color w:val="auto"/>
                <w:sz w:val="12"/>
                <w:szCs w:val="12"/>
              </w:rPr>
              <w:t>40.854</w:t>
            </w:r>
          </w:p>
        </w:tc>
        <w:tc>
          <w:tcPr>
            <w:tcW w:w="567" w:type="dxa"/>
            <w:tcBorders>
              <w:top w:val="nil"/>
              <w:left w:val="nil"/>
              <w:bottom w:val="single" w:sz="8" w:space="0" w:color="auto"/>
              <w:right w:val="single" w:sz="8" w:space="0" w:color="auto"/>
            </w:tcBorders>
            <w:shd w:val="clear" w:color="auto" w:fill="auto"/>
            <w:vAlign w:val="center"/>
          </w:tcPr>
          <w:p w14:paraId="74CD4885" w14:textId="77777777" w:rsidR="004B0524" w:rsidRPr="00F9037E" w:rsidRDefault="004B0524" w:rsidP="00C05C97">
            <w:pPr>
              <w:spacing w:before="120" w:after="120"/>
              <w:jc w:val="center"/>
              <w:rPr>
                <w:color w:val="auto"/>
                <w:sz w:val="12"/>
                <w:szCs w:val="12"/>
              </w:rPr>
            </w:pPr>
            <w:r w:rsidRPr="00F9037E">
              <w:rPr>
                <w:color w:val="auto"/>
                <w:sz w:val="12"/>
                <w:szCs w:val="12"/>
              </w:rPr>
              <w:t>19.669</w:t>
            </w:r>
          </w:p>
        </w:tc>
        <w:tc>
          <w:tcPr>
            <w:tcW w:w="567" w:type="dxa"/>
            <w:tcBorders>
              <w:top w:val="nil"/>
              <w:left w:val="nil"/>
              <w:bottom w:val="single" w:sz="8" w:space="0" w:color="auto"/>
              <w:right w:val="single" w:sz="8" w:space="0" w:color="auto"/>
            </w:tcBorders>
            <w:shd w:val="clear" w:color="auto" w:fill="auto"/>
            <w:vAlign w:val="center"/>
          </w:tcPr>
          <w:p w14:paraId="02641E9D" w14:textId="77777777" w:rsidR="004B0524" w:rsidRPr="00F9037E" w:rsidRDefault="004B0524" w:rsidP="00C05C97">
            <w:pPr>
              <w:spacing w:before="120" w:after="120"/>
              <w:jc w:val="center"/>
              <w:rPr>
                <w:color w:val="auto"/>
                <w:sz w:val="12"/>
                <w:szCs w:val="12"/>
              </w:rPr>
            </w:pPr>
            <w:r w:rsidRPr="00F9037E">
              <w:rPr>
                <w:color w:val="auto"/>
                <w:sz w:val="12"/>
                <w:szCs w:val="12"/>
              </w:rPr>
              <w:t>19.699</w:t>
            </w:r>
          </w:p>
        </w:tc>
        <w:tc>
          <w:tcPr>
            <w:tcW w:w="567" w:type="dxa"/>
            <w:tcBorders>
              <w:top w:val="nil"/>
              <w:left w:val="nil"/>
              <w:bottom w:val="single" w:sz="8" w:space="0" w:color="auto"/>
              <w:right w:val="single" w:sz="8" w:space="0" w:color="auto"/>
            </w:tcBorders>
            <w:shd w:val="clear" w:color="auto" w:fill="auto"/>
            <w:vAlign w:val="center"/>
          </w:tcPr>
          <w:p w14:paraId="55F73018" w14:textId="77777777" w:rsidR="004B0524" w:rsidRPr="00F9037E" w:rsidRDefault="004B0524" w:rsidP="00C05C97">
            <w:pPr>
              <w:spacing w:before="120" w:after="120"/>
              <w:jc w:val="center"/>
              <w:rPr>
                <w:color w:val="auto"/>
                <w:sz w:val="12"/>
                <w:szCs w:val="12"/>
              </w:rPr>
            </w:pPr>
            <w:r w:rsidRPr="00F9037E">
              <w:rPr>
                <w:color w:val="auto"/>
                <w:sz w:val="12"/>
                <w:szCs w:val="12"/>
              </w:rPr>
              <w:t>4.465</w:t>
            </w:r>
          </w:p>
        </w:tc>
        <w:tc>
          <w:tcPr>
            <w:tcW w:w="567" w:type="dxa"/>
            <w:tcBorders>
              <w:top w:val="nil"/>
              <w:left w:val="nil"/>
              <w:bottom w:val="single" w:sz="8" w:space="0" w:color="auto"/>
              <w:right w:val="single" w:sz="8" w:space="0" w:color="auto"/>
            </w:tcBorders>
            <w:shd w:val="clear" w:color="auto" w:fill="auto"/>
            <w:vAlign w:val="center"/>
          </w:tcPr>
          <w:p w14:paraId="06FCF85E" w14:textId="77777777" w:rsidR="004B0524" w:rsidRPr="00F9037E" w:rsidRDefault="004B0524" w:rsidP="00C05C97">
            <w:pPr>
              <w:spacing w:before="120" w:after="120"/>
              <w:jc w:val="center"/>
              <w:rPr>
                <w:color w:val="auto"/>
                <w:sz w:val="12"/>
                <w:szCs w:val="12"/>
              </w:rPr>
            </w:pPr>
            <w:r w:rsidRPr="00F9037E">
              <w:rPr>
                <w:color w:val="auto"/>
                <w:sz w:val="12"/>
                <w:szCs w:val="12"/>
              </w:rPr>
              <w:t>3.730</w:t>
            </w:r>
          </w:p>
        </w:tc>
        <w:tc>
          <w:tcPr>
            <w:tcW w:w="567" w:type="dxa"/>
            <w:tcBorders>
              <w:top w:val="nil"/>
              <w:left w:val="nil"/>
              <w:bottom w:val="single" w:sz="8" w:space="0" w:color="auto"/>
              <w:right w:val="single" w:sz="8" w:space="0" w:color="auto"/>
            </w:tcBorders>
            <w:shd w:val="clear" w:color="auto" w:fill="auto"/>
            <w:vAlign w:val="center"/>
          </w:tcPr>
          <w:p w14:paraId="31D0EAFE" w14:textId="77777777" w:rsidR="004B0524" w:rsidRPr="00F9037E" w:rsidRDefault="004B0524" w:rsidP="00C05C97">
            <w:pPr>
              <w:spacing w:before="120" w:after="120"/>
              <w:jc w:val="center"/>
              <w:rPr>
                <w:color w:val="auto"/>
                <w:sz w:val="12"/>
                <w:szCs w:val="12"/>
              </w:rPr>
            </w:pPr>
            <w:r w:rsidRPr="00F9037E">
              <w:rPr>
                <w:color w:val="auto"/>
                <w:sz w:val="12"/>
                <w:szCs w:val="12"/>
              </w:rPr>
              <w:t>3.730</w:t>
            </w:r>
          </w:p>
        </w:tc>
        <w:tc>
          <w:tcPr>
            <w:tcW w:w="567" w:type="dxa"/>
            <w:tcBorders>
              <w:top w:val="nil"/>
              <w:left w:val="nil"/>
              <w:bottom w:val="single" w:sz="8" w:space="0" w:color="auto"/>
              <w:right w:val="single" w:sz="8" w:space="0" w:color="auto"/>
            </w:tcBorders>
            <w:shd w:val="clear" w:color="auto" w:fill="auto"/>
            <w:vAlign w:val="center"/>
          </w:tcPr>
          <w:p w14:paraId="36D3D8A2" w14:textId="77777777" w:rsidR="004B0524" w:rsidRPr="00F9037E" w:rsidRDefault="004B0524" w:rsidP="00C05C97">
            <w:pPr>
              <w:spacing w:before="120" w:after="120"/>
              <w:jc w:val="center"/>
              <w:rPr>
                <w:color w:val="auto"/>
                <w:sz w:val="12"/>
                <w:szCs w:val="12"/>
              </w:rPr>
            </w:pPr>
            <w:r w:rsidRPr="00F9037E">
              <w:rPr>
                <w:color w:val="auto"/>
                <w:sz w:val="12"/>
                <w:szCs w:val="12"/>
              </w:rPr>
              <w:t>3.730</w:t>
            </w:r>
          </w:p>
        </w:tc>
        <w:tc>
          <w:tcPr>
            <w:tcW w:w="567" w:type="dxa"/>
            <w:tcBorders>
              <w:top w:val="nil"/>
              <w:left w:val="nil"/>
              <w:bottom w:val="single" w:sz="8" w:space="0" w:color="auto"/>
              <w:right w:val="single" w:sz="4" w:space="0" w:color="auto"/>
            </w:tcBorders>
            <w:vAlign w:val="center"/>
          </w:tcPr>
          <w:p w14:paraId="782A87D4" w14:textId="77777777" w:rsidR="004B0524" w:rsidRPr="00F9037E" w:rsidRDefault="004B0524" w:rsidP="00C05C97">
            <w:pPr>
              <w:spacing w:before="120" w:after="120"/>
              <w:jc w:val="center"/>
              <w:rPr>
                <w:color w:val="auto"/>
                <w:sz w:val="12"/>
                <w:szCs w:val="12"/>
              </w:rPr>
            </w:pPr>
            <w:r w:rsidRPr="00F9037E">
              <w:rPr>
                <w:color w:val="auto"/>
                <w:sz w:val="12"/>
                <w:szCs w:val="12"/>
              </w:rPr>
              <w:t>3.730</w:t>
            </w:r>
          </w:p>
        </w:tc>
        <w:tc>
          <w:tcPr>
            <w:tcW w:w="567" w:type="dxa"/>
            <w:tcBorders>
              <w:top w:val="nil"/>
              <w:left w:val="single" w:sz="4" w:space="0" w:color="auto"/>
              <w:bottom w:val="single" w:sz="8" w:space="0" w:color="auto"/>
              <w:right w:val="single" w:sz="4" w:space="0" w:color="auto"/>
            </w:tcBorders>
            <w:vAlign w:val="center"/>
          </w:tcPr>
          <w:p w14:paraId="12A9CD13" w14:textId="77777777" w:rsidR="004B0524" w:rsidRPr="00F9037E" w:rsidRDefault="004B0524" w:rsidP="00C05C97">
            <w:pPr>
              <w:spacing w:before="120" w:after="120"/>
              <w:jc w:val="center"/>
              <w:rPr>
                <w:color w:val="auto"/>
                <w:sz w:val="12"/>
                <w:szCs w:val="12"/>
              </w:rPr>
            </w:pPr>
            <w:r w:rsidRPr="00F9037E">
              <w:rPr>
                <w:color w:val="auto"/>
                <w:sz w:val="12"/>
                <w:szCs w:val="12"/>
              </w:rPr>
              <w:t>3.730</w:t>
            </w:r>
          </w:p>
        </w:tc>
        <w:tc>
          <w:tcPr>
            <w:tcW w:w="567" w:type="dxa"/>
            <w:tcBorders>
              <w:top w:val="nil"/>
              <w:left w:val="single" w:sz="4" w:space="0" w:color="auto"/>
              <w:bottom w:val="single" w:sz="8" w:space="0" w:color="auto"/>
              <w:right w:val="single" w:sz="4" w:space="0" w:color="auto"/>
            </w:tcBorders>
            <w:vAlign w:val="center"/>
          </w:tcPr>
          <w:p w14:paraId="172D0B86" w14:textId="77777777" w:rsidR="004B0524" w:rsidRPr="00F9037E" w:rsidRDefault="004B0524" w:rsidP="00C05C97">
            <w:pPr>
              <w:spacing w:before="120" w:after="120"/>
              <w:jc w:val="center"/>
              <w:rPr>
                <w:color w:val="auto"/>
                <w:sz w:val="12"/>
                <w:szCs w:val="12"/>
              </w:rPr>
            </w:pPr>
            <w:r w:rsidRPr="00F9037E">
              <w:rPr>
                <w:color w:val="auto"/>
                <w:sz w:val="12"/>
                <w:szCs w:val="12"/>
              </w:rPr>
              <w:t>3.730</w:t>
            </w:r>
          </w:p>
        </w:tc>
        <w:tc>
          <w:tcPr>
            <w:tcW w:w="709" w:type="dxa"/>
            <w:tcBorders>
              <w:top w:val="nil"/>
              <w:left w:val="single" w:sz="4" w:space="0" w:color="auto"/>
              <w:bottom w:val="single" w:sz="8" w:space="0" w:color="auto"/>
              <w:right w:val="single" w:sz="8" w:space="0" w:color="auto"/>
            </w:tcBorders>
            <w:shd w:val="clear" w:color="auto" w:fill="auto"/>
            <w:vAlign w:val="center"/>
          </w:tcPr>
          <w:p w14:paraId="361FE14E" w14:textId="77777777" w:rsidR="004B0524" w:rsidRPr="00F9037E" w:rsidRDefault="004B0524" w:rsidP="00C05C97">
            <w:pPr>
              <w:spacing w:before="120" w:after="120"/>
              <w:jc w:val="center"/>
              <w:rPr>
                <w:color w:val="auto"/>
                <w:sz w:val="12"/>
                <w:szCs w:val="12"/>
              </w:rPr>
            </w:pPr>
            <w:r w:rsidRPr="00F9037E">
              <w:rPr>
                <w:color w:val="auto"/>
                <w:sz w:val="12"/>
                <w:szCs w:val="12"/>
              </w:rPr>
              <w:t>67.907</w:t>
            </w:r>
          </w:p>
        </w:tc>
        <w:tc>
          <w:tcPr>
            <w:tcW w:w="567" w:type="dxa"/>
            <w:tcBorders>
              <w:top w:val="nil"/>
              <w:left w:val="nil"/>
              <w:bottom w:val="single" w:sz="8" w:space="0" w:color="auto"/>
              <w:right w:val="single" w:sz="8" w:space="0" w:color="auto"/>
            </w:tcBorders>
            <w:shd w:val="clear" w:color="auto" w:fill="auto"/>
            <w:vAlign w:val="center"/>
          </w:tcPr>
          <w:p w14:paraId="00134E13" w14:textId="77777777" w:rsidR="004B0524" w:rsidRPr="00F9037E" w:rsidRDefault="004B0524" w:rsidP="00C05C97">
            <w:pPr>
              <w:spacing w:before="120" w:after="120"/>
              <w:jc w:val="center"/>
              <w:rPr>
                <w:color w:val="auto"/>
                <w:sz w:val="12"/>
                <w:szCs w:val="12"/>
              </w:rPr>
            </w:pPr>
            <w:r w:rsidRPr="00F9037E">
              <w:rPr>
                <w:color w:val="auto"/>
                <w:sz w:val="12"/>
                <w:szCs w:val="12"/>
              </w:rPr>
              <w:t>81.708</w:t>
            </w:r>
          </w:p>
        </w:tc>
        <w:tc>
          <w:tcPr>
            <w:tcW w:w="567" w:type="dxa"/>
            <w:tcBorders>
              <w:top w:val="nil"/>
              <w:left w:val="nil"/>
              <w:bottom w:val="single" w:sz="8" w:space="0" w:color="auto"/>
              <w:right w:val="single" w:sz="8" w:space="0" w:color="auto"/>
            </w:tcBorders>
            <w:shd w:val="clear" w:color="auto" w:fill="auto"/>
            <w:vAlign w:val="center"/>
          </w:tcPr>
          <w:p w14:paraId="7FA6CF1E" w14:textId="77777777" w:rsidR="004B0524" w:rsidRPr="00F9037E" w:rsidRDefault="004B0524" w:rsidP="00C05C97">
            <w:pPr>
              <w:spacing w:before="120" w:after="120"/>
              <w:jc w:val="center"/>
              <w:rPr>
                <w:color w:val="auto"/>
                <w:sz w:val="12"/>
                <w:szCs w:val="12"/>
              </w:rPr>
            </w:pPr>
            <w:r w:rsidRPr="00F9037E">
              <w:rPr>
                <w:color w:val="auto"/>
                <w:sz w:val="12"/>
                <w:szCs w:val="12"/>
              </w:rPr>
              <w:t>18.998</w:t>
            </w:r>
          </w:p>
        </w:tc>
        <w:tc>
          <w:tcPr>
            <w:tcW w:w="567" w:type="dxa"/>
            <w:tcBorders>
              <w:top w:val="nil"/>
              <w:left w:val="nil"/>
              <w:bottom w:val="single" w:sz="8" w:space="0" w:color="auto"/>
              <w:right w:val="single" w:sz="8" w:space="0" w:color="auto"/>
            </w:tcBorders>
            <w:shd w:val="clear" w:color="auto" w:fill="auto"/>
            <w:vAlign w:val="center"/>
          </w:tcPr>
          <w:p w14:paraId="3D64B626" w14:textId="77777777" w:rsidR="004B0524" w:rsidRPr="00F9037E" w:rsidRDefault="004B0524" w:rsidP="00C05C97">
            <w:pPr>
              <w:spacing w:before="120" w:after="120"/>
              <w:jc w:val="center"/>
              <w:rPr>
                <w:color w:val="auto"/>
                <w:sz w:val="12"/>
                <w:szCs w:val="12"/>
              </w:rPr>
            </w:pPr>
            <w:r w:rsidRPr="00F9037E">
              <w:rPr>
                <w:color w:val="auto"/>
                <w:sz w:val="12"/>
                <w:szCs w:val="12"/>
              </w:rPr>
              <w:t>19.699</w:t>
            </w:r>
          </w:p>
        </w:tc>
        <w:tc>
          <w:tcPr>
            <w:tcW w:w="567" w:type="dxa"/>
            <w:tcBorders>
              <w:top w:val="nil"/>
              <w:left w:val="nil"/>
              <w:bottom w:val="single" w:sz="8" w:space="0" w:color="auto"/>
              <w:right w:val="single" w:sz="8" w:space="0" w:color="auto"/>
            </w:tcBorders>
            <w:shd w:val="clear" w:color="auto" w:fill="auto"/>
            <w:vAlign w:val="center"/>
          </w:tcPr>
          <w:p w14:paraId="5BACA7D8" w14:textId="77777777" w:rsidR="004B0524" w:rsidRPr="00F9037E" w:rsidRDefault="004B0524" w:rsidP="00C05C97">
            <w:pPr>
              <w:spacing w:before="120" w:after="120"/>
              <w:jc w:val="center"/>
              <w:rPr>
                <w:color w:val="auto"/>
                <w:sz w:val="12"/>
                <w:szCs w:val="12"/>
              </w:rPr>
            </w:pPr>
            <w:r w:rsidRPr="00F9037E">
              <w:rPr>
                <w:color w:val="auto"/>
                <w:sz w:val="12"/>
                <w:szCs w:val="12"/>
              </w:rPr>
              <w:t>18.998</w:t>
            </w:r>
          </w:p>
        </w:tc>
        <w:tc>
          <w:tcPr>
            <w:tcW w:w="567" w:type="dxa"/>
            <w:tcBorders>
              <w:top w:val="nil"/>
              <w:left w:val="nil"/>
              <w:bottom w:val="single" w:sz="8" w:space="0" w:color="auto"/>
              <w:right w:val="single" w:sz="8" w:space="0" w:color="auto"/>
            </w:tcBorders>
            <w:shd w:val="clear" w:color="auto" w:fill="auto"/>
            <w:vAlign w:val="center"/>
          </w:tcPr>
          <w:p w14:paraId="09AFF3B9" w14:textId="77777777" w:rsidR="004B0524" w:rsidRPr="00F9037E" w:rsidRDefault="004B0524" w:rsidP="00C05C97">
            <w:pPr>
              <w:spacing w:before="120" w:after="120"/>
              <w:jc w:val="center"/>
              <w:rPr>
                <w:color w:val="auto"/>
                <w:sz w:val="12"/>
                <w:szCs w:val="12"/>
              </w:rPr>
            </w:pPr>
            <w:r w:rsidRPr="00F9037E">
              <w:rPr>
                <w:color w:val="auto"/>
                <w:sz w:val="12"/>
                <w:szCs w:val="12"/>
              </w:rPr>
              <w:t>4.465</w:t>
            </w:r>
          </w:p>
        </w:tc>
        <w:tc>
          <w:tcPr>
            <w:tcW w:w="567" w:type="dxa"/>
            <w:tcBorders>
              <w:top w:val="nil"/>
              <w:left w:val="nil"/>
              <w:bottom w:val="single" w:sz="8" w:space="0" w:color="auto"/>
              <w:right w:val="single" w:sz="8" w:space="0" w:color="auto"/>
            </w:tcBorders>
            <w:shd w:val="clear" w:color="auto" w:fill="auto"/>
            <w:vAlign w:val="center"/>
          </w:tcPr>
          <w:p w14:paraId="3E25A30D" w14:textId="77777777" w:rsidR="004B0524" w:rsidRPr="00F9037E" w:rsidRDefault="004B0524" w:rsidP="00C05C97">
            <w:pPr>
              <w:spacing w:before="120" w:after="120"/>
              <w:jc w:val="center"/>
              <w:rPr>
                <w:color w:val="auto"/>
                <w:sz w:val="12"/>
                <w:szCs w:val="12"/>
              </w:rPr>
            </w:pPr>
            <w:r w:rsidRPr="00F9037E">
              <w:rPr>
                <w:color w:val="auto"/>
                <w:sz w:val="12"/>
                <w:szCs w:val="12"/>
              </w:rPr>
              <w:t>3.730</w:t>
            </w:r>
          </w:p>
        </w:tc>
        <w:tc>
          <w:tcPr>
            <w:tcW w:w="567" w:type="dxa"/>
            <w:tcBorders>
              <w:top w:val="nil"/>
              <w:left w:val="nil"/>
              <w:bottom w:val="single" w:sz="8" w:space="0" w:color="auto"/>
              <w:right w:val="single" w:sz="8" w:space="0" w:color="auto"/>
            </w:tcBorders>
            <w:shd w:val="clear" w:color="auto" w:fill="auto"/>
            <w:noWrap/>
            <w:vAlign w:val="center"/>
          </w:tcPr>
          <w:p w14:paraId="44ECEEF5" w14:textId="70813BD3" w:rsidR="004B0524" w:rsidRPr="00F9037E" w:rsidRDefault="004B0524" w:rsidP="00C05C97">
            <w:pPr>
              <w:spacing w:before="120" w:after="120"/>
              <w:jc w:val="center"/>
              <w:rPr>
                <w:color w:val="auto"/>
                <w:sz w:val="12"/>
                <w:szCs w:val="12"/>
              </w:rPr>
            </w:pPr>
            <w:r w:rsidRPr="00F9037E">
              <w:rPr>
                <w:color w:val="auto"/>
                <w:sz w:val="12"/>
                <w:szCs w:val="12"/>
              </w:rPr>
              <w:t>3.730</w:t>
            </w:r>
          </w:p>
        </w:tc>
        <w:tc>
          <w:tcPr>
            <w:tcW w:w="567" w:type="dxa"/>
            <w:tcBorders>
              <w:top w:val="nil"/>
              <w:left w:val="nil"/>
              <w:bottom w:val="single" w:sz="8" w:space="0" w:color="auto"/>
              <w:right w:val="single" w:sz="8" w:space="0" w:color="auto"/>
            </w:tcBorders>
            <w:vAlign w:val="center"/>
          </w:tcPr>
          <w:p w14:paraId="5098008C" w14:textId="77777777" w:rsidR="004B0524" w:rsidRPr="00F9037E" w:rsidRDefault="004B0524" w:rsidP="00C05C97">
            <w:pPr>
              <w:spacing w:before="120" w:after="120"/>
              <w:jc w:val="center"/>
              <w:rPr>
                <w:color w:val="auto"/>
                <w:sz w:val="12"/>
                <w:szCs w:val="12"/>
              </w:rPr>
            </w:pPr>
            <w:r w:rsidRPr="00F9037E">
              <w:rPr>
                <w:color w:val="auto"/>
                <w:sz w:val="12"/>
                <w:szCs w:val="12"/>
              </w:rPr>
              <w:t>3.730</w:t>
            </w:r>
          </w:p>
        </w:tc>
        <w:tc>
          <w:tcPr>
            <w:tcW w:w="567" w:type="dxa"/>
            <w:tcBorders>
              <w:top w:val="nil"/>
              <w:left w:val="nil"/>
              <w:bottom w:val="single" w:sz="8" w:space="0" w:color="auto"/>
              <w:right w:val="single" w:sz="8" w:space="0" w:color="auto"/>
            </w:tcBorders>
            <w:vAlign w:val="center"/>
          </w:tcPr>
          <w:p w14:paraId="7259E900" w14:textId="77777777" w:rsidR="004B0524" w:rsidRPr="00F9037E" w:rsidRDefault="004B0524" w:rsidP="00C05C97">
            <w:pPr>
              <w:spacing w:before="120" w:after="120"/>
              <w:jc w:val="center"/>
              <w:rPr>
                <w:color w:val="auto"/>
                <w:sz w:val="12"/>
                <w:szCs w:val="12"/>
              </w:rPr>
            </w:pPr>
            <w:r w:rsidRPr="00F9037E">
              <w:rPr>
                <w:color w:val="auto"/>
                <w:sz w:val="12"/>
                <w:szCs w:val="12"/>
              </w:rPr>
              <w:t>3.730</w:t>
            </w:r>
          </w:p>
        </w:tc>
        <w:tc>
          <w:tcPr>
            <w:tcW w:w="567" w:type="dxa"/>
            <w:tcBorders>
              <w:top w:val="nil"/>
              <w:left w:val="nil"/>
              <w:bottom w:val="single" w:sz="8" w:space="0" w:color="auto"/>
              <w:right w:val="single" w:sz="8" w:space="0" w:color="auto"/>
            </w:tcBorders>
            <w:vAlign w:val="center"/>
          </w:tcPr>
          <w:p w14:paraId="7E4CA5A6" w14:textId="77777777" w:rsidR="004B0524" w:rsidRPr="00F9037E" w:rsidRDefault="004B0524" w:rsidP="00C05C97">
            <w:pPr>
              <w:spacing w:before="120" w:after="120"/>
              <w:jc w:val="center"/>
              <w:rPr>
                <w:color w:val="auto"/>
                <w:sz w:val="12"/>
                <w:szCs w:val="12"/>
              </w:rPr>
            </w:pPr>
            <w:r w:rsidRPr="00F9037E">
              <w:rPr>
                <w:color w:val="auto"/>
                <w:sz w:val="12"/>
                <w:szCs w:val="12"/>
              </w:rPr>
              <w:t>3.730</w:t>
            </w:r>
          </w:p>
        </w:tc>
        <w:tc>
          <w:tcPr>
            <w:tcW w:w="567" w:type="dxa"/>
            <w:tcBorders>
              <w:top w:val="nil"/>
              <w:left w:val="nil"/>
              <w:bottom w:val="single" w:sz="8" w:space="0" w:color="auto"/>
              <w:right w:val="single" w:sz="8" w:space="0" w:color="auto"/>
            </w:tcBorders>
            <w:vAlign w:val="center"/>
          </w:tcPr>
          <w:p w14:paraId="5D7BCCDC" w14:textId="77777777" w:rsidR="004B0524" w:rsidRPr="00F9037E" w:rsidRDefault="004B0524" w:rsidP="00C05C97">
            <w:pPr>
              <w:spacing w:before="120" w:after="120"/>
              <w:jc w:val="center"/>
              <w:rPr>
                <w:color w:val="auto"/>
                <w:sz w:val="12"/>
                <w:szCs w:val="12"/>
              </w:rPr>
            </w:pPr>
            <w:r w:rsidRPr="00F9037E">
              <w:rPr>
                <w:color w:val="auto"/>
                <w:sz w:val="12"/>
                <w:szCs w:val="12"/>
              </w:rPr>
              <w:t>3.730</w:t>
            </w:r>
          </w:p>
        </w:tc>
      </w:tr>
      <w:tr w:rsidR="004B0524" w:rsidRPr="00F9037E" w14:paraId="38FB67FB" w14:textId="77777777" w:rsidTr="00C05C97">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4AAC4098" w14:textId="28E0F162" w:rsidR="004B0524" w:rsidRPr="00082015" w:rsidRDefault="004B0524" w:rsidP="00C05C97">
            <w:pPr>
              <w:spacing w:before="120" w:after="120"/>
              <w:rPr>
                <w:color w:val="auto"/>
                <w:sz w:val="12"/>
                <w:szCs w:val="12"/>
              </w:rPr>
            </w:pPr>
            <w:r w:rsidRPr="00082015">
              <w:rPr>
                <w:color w:val="auto"/>
                <w:sz w:val="12"/>
                <w:szCs w:val="12"/>
              </w:rPr>
              <w:t>USA</w:t>
            </w:r>
          </w:p>
        </w:tc>
        <w:tc>
          <w:tcPr>
            <w:tcW w:w="818" w:type="dxa"/>
            <w:tcBorders>
              <w:top w:val="nil"/>
              <w:left w:val="nil"/>
              <w:bottom w:val="single" w:sz="8" w:space="0" w:color="auto"/>
              <w:right w:val="single" w:sz="8" w:space="0" w:color="auto"/>
            </w:tcBorders>
            <w:shd w:val="clear" w:color="auto" w:fill="auto"/>
            <w:vAlign w:val="center"/>
          </w:tcPr>
          <w:p w14:paraId="4D36E075" w14:textId="58990D73" w:rsidR="004B0524" w:rsidRPr="00220275" w:rsidRDefault="004B0524" w:rsidP="00C05C97">
            <w:pPr>
              <w:spacing w:before="120" w:after="120"/>
              <w:rPr>
                <w:color w:val="auto"/>
                <w:sz w:val="12"/>
                <w:szCs w:val="12"/>
              </w:rPr>
            </w:pPr>
            <w:r w:rsidRPr="00220275">
              <w:rPr>
                <w:color w:val="auto"/>
                <w:sz w:val="12"/>
                <w:szCs w:val="12"/>
              </w:rPr>
              <w:t>Mills and Processors</w:t>
            </w:r>
          </w:p>
        </w:tc>
        <w:tc>
          <w:tcPr>
            <w:tcW w:w="567" w:type="dxa"/>
            <w:tcBorders>
              <w:top w:val="nil"/>
              <w:left w:val="nil"/>
              <w:bottom w:val="single" w:sz="8" w:space="0" w:color="auto"/>
              <w:right w:val="single" w:sz="8" w:space="0" w:color="auto"/>
            </w:tcBorders>
            <w:shd w:val="clear" w:color="auto" w:fill="auto"/>
            <w:vAlign w:val="center"/>
          </w:tcPr>
          <w:p w14:paraId="4D4DCF28" w14:textId="77777777" w:rsidR="004B0524" w:rsidRPr="00220275" w:rsidRDefault="004B0524" w:rsidP="00C05C97">
            <w:pPr>
              <w:spacing w:before="120" w:after="120"/>
              <w:jc w:val="center"/>
              <w:rPr>
                <w:color w:val="auto"/>
                <w:sz w:val="10"/>
                <w:szCs w:val="12"/>
              </w:rPr>
            </w:pPr>
            <w:r w:rsidRPr="00220275">
              <w:rPr>
                <w:color w:val="auto"/>
                <w:sz w:val="10"/>
                <w:szCs w:val="12"/>
              </w:rPr>
              <w:t>536.328</w:t>
            </w:r>
          </w:p>
        </w:tc>
        <w:tc>
          <w:tcPr>
            <w:tcW w:w="567" w:type="dxa"/>
            <w:tcBorders>
              <w:top w:val="nil"/>
              <w:left w:val="nil"/>
              <w:bottom w:val="single" w:sz="8" w:space="0" w:color="auto"/>
              <w:right w:val="single" w:sz="8" w:space="0" w:color="auto"/>
            </w:tcBorders>
            <w:shd w:val="clear" w:color="auto" w:fill="auto"/>
            <w:vAlign w:val="center"/>
          </w:tcPr>
          <w:p w14:paraId="3D110587" w14:textId="77777777" w:rsidR="004B0524" w:rsidRPr="00220275" w:rsidRDefault="004B0524" w:rsidP="00C05C97">
            <w:pPr>
              <w:spacing w:before="120" w:after="120"/>
              <w:jc w:val="center"/>
              <w:rPr>
                <w:color w:val="auto"/>
                <w:sz w:val="10"/>
                <w:szCs w:val="12"/>
              </w:rPr>
            </w:pPr>
            <w:r w:rsidRPr="00220275">
              <w:rPr>
                <w:color w:val="auto"/>
                <w:sz w:val="10"/>
                <w:szCs w:val="12"/>
              </w:rPr>
              <w:t>505.982</w:t>
            </w:r>
          </w:p>
        </w:tc>
        <w:tc>
          <w:tcPr>
            <w:tcW w:w="567" w:type="dxa"/>
            <w:tcBorders>
              <w:top w:val="nil"/>
              <w:left w:val="nil"/>
              <w:bottom w:val="single" w:sz="8" w:space="0" w:color="auto"/>
              <w:right w:val="single" w:sz="8" w:space="0" w:color="auto"/>
            </w:tcBorders>
            <w:shd w:val="clear" w:color="auto" w:fill="auto"/>
            <w:vAlign w:val="center"/>
          </w:tcPr>
          <w:p w14:paraId="510DD745" w14:textId="77777777" w:rsidR="004B0524" w:rsidRPr="00220275" w:rsidRDefault="004B0524" w:rsidP="00C05C97">
            <w:pPr>
              <w:spacing w:before="120" w:after="120"/>
              <w:jc w:val="center"/>
              <w:rPr>
                <w:color w:val="auto"/>
                <w:sz w:val="10"/>
                <w:szCs w:val="12"/>
              </w:rPr>
            </w:pPr>
            <w:r w:rsidRPr="00220275">
              <w:rPr>
                <w:color w:val="auto"/>
                <w:sz w:val="10"/>
                <w:szCs w:val="12"/>
              </w:rPr>
              <w:t>401.889</w:t>
            </w:r>
          </w:p>
        </w:tc>
        <w:tc>
          <w:tcPr>
            <w:tcW w:w="567" w:type="dxa"/>
            <w:tcBorders>
              <w:top w:val="nil"/>
              <w:left w:val="nil"/>
              <w:bottom w:val="single" w:sz="8" w:space="0" w:color="auto"/>
              <w:right w:val="single" w:sz="8" w:space="0" w:color="auto"/>
            </w:tcBorders>
            <w:shd w:val="clear" w:color="auto" w:fill="auto"/>
            <w:vAlign w:val="center"/>
          </w:tcPr>
          <w:p w14:paraId="1B0859FF" w14:textId="77777777" w:rsidR="004B0524" w:rsidRPr="00B87B95" w:rsidRDefault="004B0524" w:rsidP="00C05C97">
            <w:pPr>
              <w:spacing w:before="120" w:after="120"/>
              <w:jc w:val="center"/>
              <w:rPr>
                <w:color w:val="auto"/>
                <w:sz w:val="10"/>
                <w:szCs w:val="12"/>
              </w:rPr>
            </w:pPr>
            <w:r w:rsidRPr="00B87B95">
              <w:rPr>
                <w:color w:val="auto"/>
                <w:sz w:val="10"/>
                <w:szCs w:val="12"/>
              </w:rPr>
              <w:t>362.952</w:t>
            </w:r>
          </w:p>
        </w:tc>
        <w:tc>
          <w:tcPr>
            <w:tcW w:w="567" w:type="dxa"/>
            <w:tcBorders>
              <w:top w:val="nil"/>
              <w:left w:val="nil"/>
              <w:bottom w:val="single" w:sz="8" w:space="0" w:color="auto"/>
              <w:right w:val="single" w:sz="8" w:space="0" w:color="auto"/>
            </w:tcBorders>
            <w:shd w:val="clear" w:color="auto" w:fill="auto"/>
            <w:vAlign w:val="center"/>
          </w:tcPr>
          <w:p w14:paraId="2A713CA4" w14:textId="77777777" w:rsidR="004B0524" w:rsidRPr="00B87B95" w:rsidRDefault="004B0524" w:rsidP="00C05C97">
            <w:pPr>
              <w:spacing w:before="120" w:after="120"/>
              <w:jc w:val="center"/>
              <w:rPr>
                <w:color w:val="auto"/>
                <w:sz w:val="10"/>
                <w:szCs w:val="12"/>
              </w:rPr>
            </w:pPr>
            <w:r w:rsidRPr="00B87B95">
              <w:rPr>
                <w:color w:val="auto"/>
                <w:sz w:val="10"/>
                <w:szCs w:val="12"/>
              </w:rPr>
              <w:t>291.418</w:t>
            </w:r>
          </w:p>
        </w:tc>
        <w:tc>
          <w:tcPr>
            <w:tcW w:w="567" w:type="dxa"/>
            <w:tcBorders>
              <w:top w:val="nil"/>
              <w:left w:val="nil"/>
              <w:bottom w:val="single" w:sz="8" w:space="0" w:color="auto"/>
              <w:right w:val="single" w:sz="8" w:space="0" w:color="auto"/>
            </w:tcBorders>
            <w:shd w:val="clear" w:color="auto" w:fill="auto"/>
            <w:vAlign w:val="center"/>
          </w:tcPr>
          <w:p w14:paraId="55303179" w14:textId="77777777" w:rsidR="004B0524" w:rsidRPr="00563BC0" w:rsidRDefault="004B0524" w:rsidP="00C05C97">
            <w:pPr>
              <w:spacing w:before="120" w:after="120"/>
              <w:jc w:val="center"/>
              <w:rPr>
                <w:color w:val="auto"/>
                <w:sz w:val="10"/>
                <w:szCs w:val="12"/>
              </w:rPr>
            </w:pPr>
            <w:r w:rsidRPr="00563BC0">
              <w:rPr>
                <w:color w:val="auto"/>
                <w:sz w:val="10"/>
                <w:szCs w:val="12"/>
              </w:rPr>
              <w:t>173.023</w:t>
            </w:r>
          </w:p>
        </w:tc>
        <w:tc>
          <w:tcPr>
            <w:tcW w:w="567" w:type="dxa"/>
            <w:tcBorders>
              <w:top w:val="nil"/>
              <w:left w:val="nil"/>
              <w:bottom w:val="single" w:sz="8" w:space="0" w:color="auto"/>
              <w:right w:val="single" w:sz="8" w:space="0" w:color="auto"/>
            </w:tcBorders>
            <w:shd w:val="clear" w:color="auto" w:fill="auto"/>
            <w:vAlign w:val="center"/>
          </w:tcPr>
          <w:p w14:paraId="34E6DD41" w14:textId="77777777" w:rsidR="004B0524" w:rsidRPr="00563BC0" w:rsidRDefault="004B0524" w:rsidP="00C05C97">
            <w:pPr>
              <w:spacing w:before="120" w:after="120"/>
              <w:jc w:val="center"/>
              <w:rPr>
                <w:color w:val="auto"/>
                <w:sz w:val="10"/>
                <w:szCs w:val="12"/>
              </w:rPr>
            </w:pPr>
            <w:r w:rsidRPr="00563BC0">
              <w:rPr>
                <w:color w:val="auto"/>
                <w:sz w:val="10"/>
                <w:szCs w:val="12"/>
              </w:rPr>
              <w:t>135.299</w:t>
            </w:r>
          </w:p>
        </w:tc>
        <w:tc>
          <w:tcPr>
            <w:tcW w:w="567" w:type="dxa"/>
            <w:tcBorders>
              <w:top w:val="nil"/>
              <w:left w:val="nil"/>
              <w:bottom w:val="single" w:sz="8" w:space="0" w:color="auto"/>
              <w:right w:val="single" w:sz="8" w:space="0" w:color="auto"/>
            </w:tcBorders>
            <w:shd w:val="clear" w:color="auto" w:fill="auto"/>
            <w:vAlign w:val="center"/>
          </w:tcPr>
          <w:p w14:paraId="17C2C87A" w14:textId="77777777" w:rsidR="004B0524" w:rsidRPr="00563BC0" w:rsidRDefault="004B0524" w:rsidP="00C05C97">
            <w:pPr>
              <w:spacing w:before="120" w:after="120"/>
              <w:jc w:val="center"/>
              <w:rPr>
                <w:color w:val="auto"/>
                <w:sz w:val="12"/>
                <w:szCs w:val="12"/>
              </w:rPr>
            </w:pPr>
            <w:r w:rsidRPr="00563BC0">
              <w:rPr>
                <w:color w:val="auto"/>
                <w:sz w:val="12"/>
                <w:szCs w:val="12"/>
              </w:rPr>
              <w:t>74.51</w:t>
            </w:r>
          </w:p>
        </w:tc>
        <w:tc>
          <w:tcPr>
            <w:tcW w:w="567" w:type="dxa"/>
            <w:tcBorders>
              <w:top w:val="nil"/>
              <w:left w:val="nil"/>
              <w:bottom w:val="single" w:sz="8" w:space="0" w:color="auto"/>
              <w:right w:val="single" w:sz="8" w:space="0" w:color="auto"/>
            </w:tcBorders>
            <w:shd w:val="clear" w:color="auto" w:fill="auto"/>
            <w:vAlign w:val="center"/>
          </w:tcPr>
          <w:p w14:paraId="2691BD33" w14:textId="77777777" w:rsidR="004B0524" w:rsidRPr="00563BC0" w:rsidRDefault="004B0524" w:rsidP="00C05C97">
            <w:pPr>
              <w:spacing w:before="120" w:after="120"/>
              <w:jc w:val="center"/>
              <w:rPr>
                <w:color w:val="auto"/>
                <w:sz w:val="12"/>
                <w:szCs w:val="12"/>
              </w:rPr>
            </w:pPr>
            <w:r w:rsidRPr="00563BC0">
              <w:rPr>
                <w:color w:val="auto"/>
                <w:sz w:val="12"/>
                <w:szCs w:val="12"/>
              </w:rPr>
              <w:t>25.334</w:t>
            </w:r>
          </w:p>
        </w:tc>
        <w:tc>
          <w:tcPr>
            <w:tcW w:w="567" w:type="dxa"/>
            <w:tcBorders>
              <w:top w:val="nil"/>
              <w:left w:val="nil"/>
              <w:bottom w:val="single" w:sz="8" w:space="0" w:color="auto"/>
              <w:right w:val="single" w:sz="4" w:space="0" w:color="auto"/>
            </w:tcBorders>
            <w:vAlign w:val="center"/>
          </w:tcPr>
          <w:p w14:paraId="40140EF1" w14:textId="77777777" w:rsidR="004B0524" w:rsidRPr="00563BC0" w:rsidRDefault="004B0524" w:rsidP="00C05C97">
            <w:pPr>
              <w:spacing w:before="120" w:after="120"/>
              <w:jc w:val="center"/>
              <w:rPr>
                <w:color w:val="auto"/>
                <w:sz w:val="12"/>
                <w:szCs w:val="12"/>
              </w:rPr>
            </w:pPr>
            <w:r w:rsidRPr="00563BC0">
              <w:rPr>
                <w:color w:val="auto"/>
                <w:sz w:val="12"/>
                <w:szCs w:val="12"/>
              </w:rPr>
              <w:t>22.800</w:t>
            </w:r>
          </w:p>
        </w:tc>
        <w:tc>
          <w:tcPr>
            <w:tcW w:w="567" w:type="dxa"/>
            <w:tcBorders>
              <w:top w:val="nil"/>
              <w:left w:val="single" w:sz="4" w:space="0" w:color="auto"/>
              <w:bottom w:val="single" w:sz="8" w:space="0" w:color="auto"/>
              <w:right w:val="single" w:sz="4" w:space="0" w:color="auto"/>
            </w:tcBorders>
            <w:vAlign w:val="center"/>
          </w:tcPr>
          <w:p w14:paraId="5C8DFCFB" w14:textId="77777777" w:rsidR="004B0524" w:rsidRPr="00563BC0" w:rsidRDefault="004B0524" w:rsidP="00C05C97">
            <w:pPr>
              <w:spacing w:before="120" w:after="120"/>
              <w:jc w:val="center"/>
              <w:rPr>
                <w:b/>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E2F0352" w14:textId="77777777" w:rsidR="004B0524" w:rsidRPr="000F08B5" w:rsidRDefault="004B0524" w:rsidP="00C05C97">
            <w:pPr>
              <w:spacing w:before="120" w:after="120"/>
              <w:jc w:val="center"/>
              <w:rPr>
                <w:b/>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7C9F4E55" w14:textId="77777777" w:rsidR="004B0524" w:rsidRPr="000F08B5" w:rsidRDefault="004B0524" w:rsidP="00C05C97">
            <w:pPr>
              <w:spacing w:before="120" w:after="120"/>
              <w:jc w:val="center"/>
              <w:rPr>
                <w:color w:val="auto"/>
                <w:sz w:val="12"/>
                <w:szCs w:val="12"/>
              </w:rPr>
            </w:pPr>
            <w:r w:rsidRPr="000F08B5">
              <w:rPr>
                <w:color w:val="auto"/>
                <w:sz w:val="12"/>
                <w:szCs w:val="12"/>
              </w:rPr>
              <w:t>483.000</w:t>
            </w:r>
          </w:p>
        </w:tc>
        <w:tc>
          <w:tcPr>
            <w:tcW w:w="567" w:type="dxa"/>
            <w:tcBorders>
              <w:top w:val="nil"/>
              <w:left w:val="nil"/>
              <w:bottom w:val="single" w:sz="8" w:space="0" w:color="auto"/>
              <w:right w:val="single" w:sz="8" w:space="0" w:color="auto"/>
            </w:tcBorders>
            <w:shd w:val="clear" w:color="auto" w:fill="auto"/>
            <w:vAlign w:val="center"/>
          </w:tcPr>
          <w:p w14:paraId="068D0227" w14:textId="77777777" w:rsidR="004B0524" w:rsidRPr="00365366" w:rsidRDefault="004B0524" w:rsidP="00C05C97">
            <w:pPr>
              <w:spacing w:before="120" w:after="120"/>
              <w:jc w:val="center"/>
              <w:rPr>
                <w:color w:val="auto"/>
                <w:sz w:val="10"/>
                <w:szCs w:val="12"/>
              </w:rPr>
            </w:pPr>
            <w:r w:rsidRPr="00365366">
              <w:rPr>
                <w:color w:val="auto"/>
                <w:sz w:val="10"/>
                <w:szCs w:val="12"/>
              </w:rPr>
              <w:t>461.758</w:t>
            </w:r>
          </w:p>
        </w:tc>
        <w:tc>
          <w:tcPr>
            <w:tcW w:w="567" w:type="dxa"/>
            <w:tcBorders>
              <w:top w:val="nil"/>
              <w:left w:val="nil"/>
              <w:bottom w:val="single" w:sz="8" w:space="0" w:color="auto"/>
              <w:right w:val="single" w:sz="8" w:space="0" w:color="auto"/>
            </w:tcBorders>
            <w:shd w:val="clear" w:color="auto" w:fill="auto"/>
            <w:vAlign w:val="center"/>
          </w:tcPr>
          <w:p w14:paraId="6A983B9A" w14:textId="77777777" w:rsidR="004B0524" w:rsidRPr="00F9037E" w:rsidRDefault="004B0524" w:rsidP="00C05C97">
            <w:pPr>
              <w:spacing w:before="120" w:after="120"/>
              <w:jc w:val="center"/>
              <w:rPr>
                <w:color w:val="auto"/>
                <w:sz w:val="10"/>
                <w:szCs w:val="12"/>
              </w:rPr>
            </w:pPr>
            <w:r w:rsidRPr="00F9037E">
              <w:rPr>
                <w:color w:val="auto"/>
                <w:sz w:val="10"/>
                <w:szCs w:val="12"/>
              </w:rPr>
              <w:t>401.889</w:t>
            </w:r>
          </w:p>
        </w:tc>
        <w:tc>
          <w:tcPr>
            <w:tcW w:w="567" w:type="dxa"/>
            <w:tcBorders>
              <w:top w:val="nil"/>
              <w:left w:val="nil"/>
              <w:bottom w:val="single" w:sz="8" w:space="0" w:color="auto"/>
              <w:right w:val="single" w:sz="8" w:space="0" w:color="auto"/>
            </w:tcBorders>
            <w:shd w:val="clear" w:color="auto" w:fill="auto"/>
            <w:vAlign w:val="center"/>
          </w:tcPr>
          <w:p w14:paraId="6D336DF1" w14:textId="77777777" w:rsidR="004B0524" w:rsidRPr="00F9037E" w:rsidRDefault="004B0524" w:rsidP="00C05C97">
            <w:pPr>
              <w:spacing w:before="120" w:after="120"/>
              <w:jc w:val="center"/>
              <w:rPr>
                <w:color w:val="auto"/>
                <w:sz w:val="10"/>
                <w:szCs w:val="12"/>
              </w:rPr>
            </w:pPr>
            <w:r w:rsidRPr="00F9037E">
              <w:rPr>
                <w:color w:val="auto"/>
                <w:sz w:val="10"/>
                <w:szCs w:val="12"/>
              </w:rPr>
              <w:t>348.237</w:t>
            </w:r>
          </w:p>
        </w:tc>
        <w:tc>
          <w:tcPr>
            <w:tcW w:w="567" w:type="dxa"/>
            <w:tcBorders>
              <w:top w:val="nil"/>
              <w:left w:val="nil"/>
              <w:bottom w:val="single" w:sz="8" w:space="0" w:color="auto"/>
              <w:right w:val="single" w:sz="8" w:space="0" w:color="auto"/>
            </w:tcBorders>
            <w:shd w:val="clear" w:color="auto" w:fill="auto"/>
            <w:vAlign w:val="center"/>
          </w:tcPr>
          <w:p w14:paraId="690D9F13" w14:textId="77777777" w:rsidR="004B0524" w:rsidRPr="00F9037E" w:rsidRDefault="004B0524" w:rsidP="00C05C97">
            <w:pPr>
              <w:spacing w:before="120" w:after="120"/>
              <w:jc w:val="center"/>
              <w:rPr>
                <w:color w:val="auto"/>
                <w:sz w:val="10"/>
                <w:szCs w:val="12"/>
              </w:rPr>
            </w:pPr>
            <w:r w:rsidRPr="00F9037E">
              <w:rPr>
                <w:color w:val="auto"/>
                <w:sz w:val="10"/>
                <w:szCs w:val="12"/>
              </w:rPr>
              <w:t>291.418</w:t>
            </w:r>
          </w:p>
        </w:tc>
        <w:tc>
          <w:tcPr>
            <w:tcW w:w="567" w:type="dxa"/>
            <w:tcBorders>
              <w:top w:val="nil"/>
              <w:left w:val="nil"/>
              <w:bottom w:val="single" w:sz="8" w:space="0" w:color="auto"/>
              <w:right w:val="single" w:sz="8" w:space="0" w:color="auto"/>
            </w:tcBorders>
            <w:shd w:val="clear" w:color="auto" w:fill="auto"/>
            <w:vAlign w:val="center"/>
          </w:tcPr>
          <w:p w14:paraId="4A9C84BA" w14:textId="77777777" w:rsidR="004B0524" w:rsidRPr="00F9037E" w:rsidRDefault="004B0524" w:rsidP="00C05C97">
            <w:pPr>
              <w:spacing w:before="120" w:after="120"/>
              <w:jc w:val="center"/>
              <w:rPr>
                <w:color w:val="auto"/>
                <w:sz w:val="10"/>
                <w:szCs w:val="12"/>
              </w:rPr>
            </w:pPr>
            <w:r w:rsidRPr="00F9037E">
              <w:rPr>
                <w:color w:val="auto"/>
                <w:sz w:val="10"/>
                <w:szCs w:val="12"/>
              </w:rPr>
              <w:t>173.023</w:t>
            </w:r>
          </w:p>
        </w:tc>
        <w:tc>
          <w:tcPr>
            <w:tcW w:w="567" w:type="dxa"/>
            <w:tcBorders>
              <w:top w:val="nil"/>
              <w:left w:val="nil"/>
              <w:bottom w:val="single" w:sz="8" w:space="0" w:color="auto"/>
              <w:right w:val="single" w:sz="8" w:space="0" w:color="auto"/>
            </w:tcBorders>
            <w:shd w:val="clear" w:color="auto" w:fill="auto"/>
            <w:vAlign w:val="center"/>
          </w:tcPr>
          <w:p w14:paraId="719CB1D4" w14:textId="77777777" w:rsidR="004B0524" w:rsidRPr="00F9037E" w:rsidRDefault="004B0524" w:rsidP="00C05C97">
            <w:pPr>
              <w:spacing w:before="120" w:after="120"/>
              <w:jc w:val="center"/>
              <w:rPr>
                <w:color w:val="auto"/>
                <w:sz w:val="10"/>
                <w:szCs w:val="12"/>
              </w:rPr>
            </w:pPr>
            <w:r w:rsidRPr="00F9037E">
              <w:rPr>
                <w:color w:val="auto"/>
                <w:sz w:val="10"/>
                <w:szCs w:val="12"/>
              </w:rPr>
              <w:t>135.299</w:t>
            </w:r>
          </w:p>
        </w:tc>
        <w:tc>
          <w:tcPr>
            <w:tcW w:w="567" w:type="dxa"/>
            <w:tcBorders>
              <w:top w:val="nil"/>
              <w:left w:val="nil"/>
              <w:bottom w:val="single" w:sz="8" w:space="0" w:color="auto"/>
              <w:right w:val="single" w:sz="8" w:space="0" w:color="auto"/>
            </w:tcBorders>
            <w:shd w:val="clear" w:color="auto" w:fill="auto"/>
            <w:noWrap/>
            <w:vAlign w:val="center"/>
          </w:tcPr>
          <w:p w14:paraId="235EFF30" w14:textId="02A5CE3F" w:rsidR="004B0524" w:rsidRPr="00F9037E" w:rsidRDefault="004B0524" w:rsidP="00C05C97">
            <w:pPr>
              <w:spacing w:before="120" w:after="120"/>
              <w:jc w:val="center"/>
              <w:rPr>
                <w:color w:val="auto"/>
                <w:sz w:val="10"/>
                <w:szCs w:val="12"/>
              </w:rPr>
            </w:pPr>
            <w:r w:rsidRPr="00F9037E">
              <w:rPr>
                <w:color w:val="auto"/>
                <w:sz w:val="10"/>
                <w:szCs w:val="12"/>
              </w:rPr>
              <w:t>74.510</w:t>
            </w:r>
          </w:p>
        </w:tc>
        <w:tc>
          <w:tcPr>
            <w:tcW w:w="567" w:type="dxa"/>
            <w:tcBorders>
              <w:top w:val="nil"/>
              <w:left w:val="nil"/>
              <w:bottom w:val="single" w:sz="8" w:space="0" w:color="auto"/>
              <w:right w:val="single" w:sz="8" w:space="0" w:color="auto"/>
            </w:tcBorders>
            <w:vAlign w:val="center"/>
          </w:tcPr>
          <w:p w14:paraId="0E70A0F1" w14:textId="77777777" w:rsidR="004B0524" w:rsidRPr="00F9037E" w:rsidRDefault="004B0524" w:rsidP="00C05C97">
            <w:pPr>
              <w:spacing w:before="120" w:after="120"/>
              <w:jc w:val="center"/>
              <w:rPr>
                <w:color w:val="auto"/>
                <w:sz w:val="12"/>
                <w:szCs w:val="12"/>
              </w:rPr>
            </w:pPr>
            <w:r w:rsidRPr="00F9037E">
              <w:rPr>
                <w:color w:val="auto"/>
                <w:sz w:val="12"/>
                <w:szCs w:val="12"/>
              </w:rPr>
              <w:t>22.800</w:t>
            </w:r>
          </w:p>
        </w:tc>
        <w:tc>
          <w:tcPr>
            <w:tcW w:w="567" w:type="dxa"/>
            <w:tcBorders>
              <w:top w:val="nil"/>
              <w:left w:val="nil"/>
              <w:bottom w:val="single" w:sz="8" w:space="0" w:color="auto"/>
              <w:right w:val="single" w:sz="8" w:space="0" w:color="auto"/>
            </w:tcBorders>
            <w:vAlign w:val="center"/>
          </w:tcPr>
          <w:p w14:paraId="11DB027D" w14:textId="77777777" w:rsidR="004B0524" w:rsidRPr="00F9037E" w:rsidRDefault="004B0524" w:rsidP="00C05C97">
            <w:pPr>
              <w:spacing w:before="120" w:after="120"/>
              <w:jc w:val="center"/>
              <w:rPr>
                <w:b/>
                <w:color w:val="auto"/>
                <w:sz w:val="12"/>
                <w:szCs w:val="12"/>
              </w:rPr>
            </w:pPr>
            <w:r w:rsidRPr="00F9037E">
              <w:rPr>
                <w:b/>
                <w:color w:val="auto"/>
                <w:sz w:val="12"/>
                <w:szCs w:val="12"/>
              </w:rPr>
              <w:t>22.800</w:t>
            </w:r>
          </w:p>
        </w:tc>
        <w:tc>
          <w:tcPr>
            <w:tcW w:w="567" w:type="dxa"/>
            <w:tcBorders>
              <w:top w:val="nil"/>
              <w:left w:val="nil"/>
              <w:bottom w:val="single" w:sz="8" w:space="0" w:color="auto"/>
              <w:right w:val="single" w:sz="8" w:space="0" w:color="auto"/>
            </w:tcBorders>
            <w:vAlign w:val="center"/>
          </w:tcPr>
          <w:p w14:paraId="19FB2D16" w14:textId="77777777" w:rsidR="004B0524" w:rsidRPr="00F9037E" w:rsidRDefault="004B0524" w:rsidP="00C05C97">
            <w:pPr>
              <w:spacing w:before="120" w:after="120"/>
              <w:jc w:val="center"/>
              <w:rPr>
                <w:b/>
                <w:color w:val="auto"/>
                <w:sz w:val="12"/>
                <w:szCs w:val="12"/>
              </w:rPr>
            </w:pPr>
          </w:p>
        </w:tc>
        <w:tc>
          <w:tcPr>
            <w:tcW w:w="567" w:type="dxa"/>
            <w:tcBorders>
              <w:top w:val="nil"/>
              <w:left w:val="nil"/>
              <w:bottom w:val="single" w:sz="8" w:space="0" w:color="auto"/>
              <w:right w:val="single" w:sz="8" w:space="0" w:color="auto"/>
            </w:tcBorders>
            <w:vAlign w:val="center"/>
          </w:tcPr>
          <w:p w14:paraId="53FD56E5" w14:textId="77777777" w:rsidR="004B0524" w:rsidRPr="00F9037E" w:rsidRDefault="004B0524" w:rsidP="00C05C97">
            <w:pPr>
              <w:spacing w:before="120" w:after="120"/>
              <w:jc w:val="center"/>
              <w:rPr>
                <w:b/>
                <w:color w:val="auto"/>
                <w:sz w:val="12"/>
                <w:szCs w:val="12"/>
              </w:rPr>
            </w:pPr>
          </w:p>
        </w:tc>
      </w:tr>
      <w:tr w:rsidR="004B0524" w:rsidRPr="00F9037E" w14:paraId="37E54999" w14:textId="77777777" w:rsidTr="00C05C97">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1FD0EB64" w14:textId="77777777" w:rsidR="004B0524" w:rsidRPr="00F9037E" w:rsidRDefault="004B0524" w:rsidP="00C05C97">
            <w:pPr>
              <w:spacing w:before="120" w:after="120"/>
              <w:rPr>
                <w:color w:val="auto"/>
                <w:sz w:val="12"/>
                <w:szCs w:val="12"/>
              </w:rPr>
            </w:pPr>
            <w:r w:rsidRPr="00F9037E">
              <w:rPr>
                <w:color w:val="auto"/>
                <w:sz w:val="12"/>
                <w:szCs w:val="12"/>
              </w:rPr>
              <w:t>USA</w:t>
            </w:r>
          </w:p>
        </w:tc>
        <w:tc>
          <w:tcPr>
            <w:tcW w:w="818" w:type="dxa"/>
            <w:tcBorders>
              <w:top w:val="nil"/>
              <w:left w:val="nil"/>
              <w:bottom w:val="single" w:sz="8" w:space="0" w:color="auto"/>
              <w:right w:val="single" w:sz="8" w:space="0" w:color="auto"/>
            </w:tcBorders>
            <w:shd w:val="clear" w:color="auto" w:fill="auto"/>
            <w:vAlign w:val="center"/>
          </w:tcPr>
          <w:p w14:paraId="2CE321B0" w14:textId="77777777" w:rsidR="004B0524" w:rsidRPr="00F9037E" w:rsidRDefault="004B0524" w:rsidP="00C05C97">
            <w:pPr>
              <w:spacing w:before="120" w:after="120"/>
              <w:rPr>
                <w:color w:val="auto"/>
                <w:sz w:val="12"/>
                <w:szCs w:val="12"/>
              </w:rPr>
            </w:pPr>
            <w:r w:rsidRPr="00F9037E">
              <w:rPr>
                <w:color w:val="auto"/>
                <w:sz w:val="12"/>
                <w:szCs w:val="12"/>
              </w:rPr>
              <w:t>Research</w:t>
            </w:r>
          </w:p>
        </w:tc>
        <w:tc>
          <w:tcPr>
            <w:tcW w:w="567" w:type="dxa"/>
            <w:tcBorders>
              <w:top w:val="nil"/>
              <w:left w:val="nil"/>
              <w:bottom w:val="single" w:sz="8" w:space="0" w:color="auto"/>
              <w:right w:val="single" w:sz="8" w:space="0" w:color="auto"/>
            </w:tcBorders>
            <w:shd w:val="clear" w:color="auto" w:fill="auto"/>
            <w:vAlign w:val="center"/>
          </w:tcPr>
          <w:p w14:paraId="209025EB"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50B7F10"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51668B9"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7BC47DE"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D1DCE23"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B7A014A"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2902EED"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0651908" w14:textId="77777777" w:rsidR="004B0524" w:rsidRPr="00F9037E" w:rsidRDefault="004B0524" w:rsidP="00C05C97">
            <w:pPr>
              <w:spacing w:before="120" w:after="120"/>
              <w:jc w:val="center"/>
              <w:rPr>
                <w:color w:val="auto"/>
                <w:sz w:val="12"/>
                <w:szCs w:val="12"/>
              </w:rPr>
            </w:pPr>
            <w:r w:rsidRPr="00F9037E">
              <w:rPr>
                <w:color w:val="auto"/>
                <w:sz w:val="12"/>
                <w:szCs w:val="12"/>
              </w:rPr>
              <w:t>0.159</w:t>
            </w:r>
          </w:p>
        </w:tc>
        <w:tc>
          <w:tcPr>
            <w:tcW w:w="567" w:type="dxa"/>
            <w:tcBorders>
              <w:top w:val="nil"/>
              <w:left w:val="nil"/>
              <w:bottom w:val="single" w:sz="8" w:space="0" w:color="auto"/>
              <w:right w:val="single" w:sz="8" w:space="0" w:color="auto"/>
            </w:tcBorders>
            <w:shd w:val="clear" w:color="auto" w:fill="auto"/>
            <w:vAlign w:val="center"/>
          </w:tcPr>
          <w:p w14:paraId="517E2710" w14:textId="77777777" w:rsidR="004B0524" w:rsidRPr="00F9037E" w:rsidRDefault="004B0524" w:rsidP="00C05C97">
            <w:pPr>
              <w:spacing w:before="120" w:after="120"/>
              <w:jc w:val="center"/>
              <w:rPr>
                <w:color w:val="auto"/>
                <w:sz w:val="12"/>
                <w:szCs w:val="12"/>
              </w:rPr>
            </w:pPr>
            <w:r w:rsidRPr="00F9037E">
              <w:rPr>
                <w:color w:val="auto"/>
                <w:sz w:val="12"/>
                <w:szCs w:val="12"/>
              </w:rPr>
              <w:t>0.159</w:t>
            </w:r>
          </w:p>
        </w:tc>
        <w:tc>
          <w:tcPr>
            <w:tcW w:w="567" w:type="dxa"/>
            <w:tcBorders>
              <w:top w:val="nil"/>
              <w:left w:val="nil"/>
              <w:bottom w:val="single" w:sz="8" w:space="0" w:color="auto"/>
              <w:right w:val="single" w:sz="4" w:space="0" w:color="auto"/>
            </w:tcBorders>
            <w:vAlign w:val="center"/>
          </w:tcPr>
          <w:p w14:paraId="6FAD84E0"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ECF6D13" w14:textId="77777777" w:rsidR="004B0524" w:rsidRPr="00F9037E" w:rsidRDefault="004B0524" w:rsidP="00C05C97">
            <w:pPr>
              <w:spacing w:before="120" w:after="12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6985ABB" w14:textId="77777777" w:rsidR="004B0524" w:rsidRPr="00F9037E" w:rsidRDefault="004B0524" w:rsidP="00C05C97">
            <w:pPr>
              <w:spacing w:before="120" w:after="12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3DDD6FE8"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31AE50E"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9D238C1"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0D828E4"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FA5986E"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ED5997D"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36E2EF8"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650CC2C6"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5990850"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AE0AB7F"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81FF716" w14:textId="77777777" w:rsidR="004B0524" w:rsidRPr="00F9037E" w:rsidRDefault="004B0524" w:rsidP="00C05C97">
            <w:pPr>
              <w:spacing w:before="120" w:after="12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D56D990" w14:textId="77777777" w:rsidR="004B0524" w:rsidRPr="00F9037E" w:rsidRDefault="004B0524" w:rsidP="00C05C97">
            <w:pPr>
              <w:spacing w:before="120" w:after="120"/>
              <w:jc w:val="center"/>
              <w:rPr>
                <w:color w:val="auto"/>
                <w:sz w:val="12"/>
                <w:szCs w:val="12"/>
              </w:rPr>
            </w:pPr>
          </w:p>
        </w:tc>
      </w:tr>
    </w:tbl>
    <w:p w14:paraId="724535CA" w14:textId="77777777" w:rsidR="00D41068" w:rsidRPr="00F9037E" w:rsidRDefault="00D41068" w:rsidP="00651F65">
      <w:pPr>
        <w:rPr>
          <w:color w:val="auto"/>
        </w:rPr>
      </w:pPr>
    </w:p>
    <w:sectPr w:rsidR="00D41068" w:rsidRPr="00F9037E" w:rsidSect="003753FB">
      <w:headerReference w:type="even" r:id="rId61"/>
      <w:footerReference w:type="even" r:id="rId62"/>
      <w:pgSz w:w="16834" w:h="11909" w:orient="landscape" w:code="9"/>
      <w:pgMar w:top="1440" w:right="1168" w:bottom="144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47871" w14:textId="77777777" w:rsidR="00474B89" w:rsidRDefault="00474B89">
      <w:r>
        <w:separator/>
      </w:r>
    </w:p>
  </w:endnote>
  <w:endnote w:type="continuationSeparator" w:id="0">
    <w:p w14:paraId="6E4A6A85" w14:textId="77777777" w:rsidR="00474B89" w:rsidRDefault="00474B89">
      <w:r>
        <w:continuationSeparator/>
      </w:r>
    </w:p>
  </w:endnote>
  <w:endnote w:type="continuationNotice" w:id="1">
    <w:p w14:paraId="786DCC3C" w14:textId="77777777" w:rsidR="00474B89" w:rsidRDefault="00474B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oman Bold">
    <w:panose1 w:val="020208030705050203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Roman">
    <w:altName w:val="Times New Roman"/>
    <w:panose1 w:val="00000000000000000000"/>
    <w:charset w:val="FF"/>
    <w:family w:val="roman"/>
    <w:notTrueType/>
    <w:pitch w:val="variable"/>
    <w:sig w:usb0="00000003" w:usb1="00000000" w:usb2="00000000" w:usb3="00000000" w:csb0="00000000" w:csb1="00000000"/>
  </w:font>
  <w:font w:name="Chicago">
    <w:altName w:val="Arial"/>
    <w:charset w:val="00"/>
    <w:family w:val="auto"/>
    <w:pitch w:val="variable"/>
    <w:sig w:usb0="03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
    <w:charset w:val="00"/>
    <w:family w:val="auto"/>
    <w:pitch w:val="variable"/>
    <w:sig w:usb0="80000067" w:usb1="00000000" w:usb2="00000000" w:usb3="00000000" w:csb0="000001FB" w:csb1="00000000"/>
  </w:font>
  <w:font w:name="Galliard">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FrutigerLTStd-Light">
    <w:altName w:val="Times New Roman"/>
    <w:panose1 w:val="00000000000000000000"/>
    <w:charset w:val="00"/>
    <w:family w:val="auto"/>
    <w:notTrueType/>
    <w:pitch w:val="default"/>
    <w:sig w:usb0="00000003" w:usb1="00000000" w:usb2="00000000" w:usb3="00000000" w:csb0="00000001" w:csb1="00000000"/>
  </w:font>
  <w:font w:name="FrutigerLTStd-Bold">
    <w:altName w:val="Times New Roman"/>
    <w:panose1 w:val="00000000000000000000"/>
    <w:charset w:val="00"/>
    <w:family w:val="auto"/>
    <w:notTrueType/>
    <w:pitch w:val="default"/>
    <w:sig w:usb0="00000003" w:usb1="00000000" w:usb2="00000000" w:usb3="00000000" w:csb0="00000001" w:csb1="00000000"/>
  </w:font>
  <w:font w:name="Times-Roman">
    <w:altName w:val="Times"/>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OJFKL G+ Melior">
    <w:altName w:val="Times New Roma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auto"/>
    <w:notTrueType/>
    <w:pitch w:val="default"/>
    <w:sig w:usb0="91FCE36F" w:usb1="00271D40" w:usb2="00271E20" w:usb3="45A2D150" w:csb0="00000001" w:csb1="00000000"/>
  </w:font>
  <w:font w:name="Adobe Garamond Pro">
    <w:altName w:val="Cambria"/>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3D802" w14:textId="77777777" w:rsidR="008C634A" w:rsidRPr="00114183" w:rsidRDefault="008C634A" w:rsidP="006B71CA">
    <w:pPr>
      <w:pStyle w:val="Footer"/>
      <w:tabs>
        <w:tab w:val="clear" w:pos="4320"/>
        <w:tab w:val="clear" w:pos="8640"/>
        <w:tab w:val="left" w:pos="1620"/>
        <w:tab w:val="center" w:pos="4140"/>
        <w:tab w:val="right" w:pos="8190"/>
        <w:tab w:val="right" w:pos="13860"/>
      </w:tabs>
      <w:spacing w:after="0"/>
      <w:ind w:left="-360" w:right="30"/>
      <w:jc w:val="center"/>
      <w:rPr>
        <w:b/>
        <w:sz w:val="20"/>
      </w:rPr>
    </w:pPr>
    <w:r>
      <w:rPr>
        <w:rStyle w:val="PageNumber"/>
      </w:rPr>
      <w:fldChar w:fldCharType="begin"/>
    </w:r>
    <w:r>
      <w:rPr>
        <w:rStyle w:val="PageNumber"/>
      </w:rPr>
      <w:instrText xml:space="preserve"> PAGE </w:instrText>
    </w:r>
    <w:r>
      <w:rPr>
        <w:rStyle w:val="PageNumber"/>
      </w:rPr>
      <w:fldChar w:fldCharType="separate"/>
    </w:r>
    <w:r w:rsidR="00511F3E">
      <w:rPr>
        <w:rStyle w:val="PageNumber"/>
        <w:noProof/>
      </w:rPr>
      <w:t>vi</w:t>
    </w:r>
    <w:r>
      <w:rPr>
        <w:rStyle w:val="PageNumber"/>
      </w:rPr>
      <w:fldChar w:fldCharType="end"/>
    </w:r>
    <w:r>
      <w:rPr>
        <w:rStyle w:val="PageNumber"/>
      </w:rPr>
      <w:tab/>
    </w:r>
    <w:r>
      <w:rPr>
        <w:rStyle w:val="PageNumber"/>
        <w:b/>
        <w:sz w:val="20"/>
      </w:rPr>
      <w:t>2016 CUNs: MBTOC Final Recommendations – September 2016</w:t>
    </w:r>
    <w:r>
      <w:rPr>
        <w:rStyle w:val="PageNumber"/>
        <w:b/>
        <w:sz w:val="20"/>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E4778" w14:textId="77777777" w:rsidR="008C634A" w:rsidRDefault="008C634A" w:rsidP="00114183">
    <w:pPr>
      <w:pStyle w:val="Footer"/>
      <w:tabs>
        <w:tab w:val="clear" w:pos="4320"/>
        <w:tab w:val="clear" w:pos="8640"/>
        <w:tab w:val="left" w:pos="270"/>
        <w:tab w:val="center" w:pos="7290"/>
        <w:tab w:val="right" w:pos="15660"/>
      </w:tabs>
      <w:spacing w:after="0"/>
      <w:ind w:right="30" w:firstLine="360"/>
      <w:jc w:val="center"/>
    </w:pPr>
    <w:r>
      <w:rPr>
        <w:rStyle w:val="PageNumber"/>
      </w:rPr>
      <w:fldChar w:fldCharType="begin"/>
    </w:r>
    <w:r>
      <w:rPr>
        <w:rStyle w:val="PageNumber"/>
      </w:rPr>
      <w:instrText xml:space="preserve"> PAGE </w:instrText>
    </w:r>
    <w:r>
      <w:rPr>
        <w:rStyle w:val="PageNumber"/>
      </w:rPr>
      <w:fldChar w:fldCharType="separate"/>
    </w:r>
    <w:r w:rsidR="00511F3E">
      <w:rPr>
        <w:rStyle w:val="PageNumber"/>
        <w:noProof/>
      </w:rPr>
      <w:t>30</w:t>
    </w:r>
    <w:r>
      <w:rPr>
        <w:rStyle w:val="PageNumber"/>
      </w:rPr>
      <w:fldChar w:fldCharType="end"/>
    </w:r>
    <w:r>
      <w:rPr>
        <w:rStyle w:val="PageNumber"/>
      </w:rPr>
      <w:tab/>
    </w:r>
    <w:r>
      <w:rPr>
        <w:rStyle w:val="PageNumber"/>
        <w:b/>
        <w:sz w:val="20"/>
      </w:rPr>
      <w:t>2016 CUNs: MBTOC Final Recommendations – September 2016</w:t>
    </w:r>
    <w:r>
      <w:rPr>
        <w:rStyle w:val="PageNumber"/>
        <w:b/>
        <w:sz w:val="20"/>
      </w:rP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F282C" w14:textId="77777777" w:rsidR="008C634A" w:rsidRDefault="008C634A">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511F3E">
      <w:rPr>
        <w:rStyle w:val="PageNumber"/>
        <w:noProof/>
      </w:rPr>
      <w:t>29</w:t>
    </w:r>
    <w:r>
      <w:rPr>
        <w:rStyle w:val="PageNumber"/>
      </w:rPr>
      <w:fldChar w:fldCharType="end"/>
    </w:r>
  </w:p>
  <w:p w14:paraId="0654F016" w14:textId="77777777" w:rsidR="008C634A" w:rsidRPr="00245D65" w:rsidRDefault="008C634A" w:rsidP="0062421F">
    <w:pPr>
      <w:pStyle w:val="Footer"/>
      <w:tabs>
        <w:tab w:val="clear" w:pos="4320"/>
        <w:tab w:val="clear" w:pos="8640"/>
        <w:tab w:val="center" w:pos="7920"/>
        <w:tab w:val="right" w:pos="15030"/>
      </w:tabs>
      <w:spacing w:before="240" w:after="0"/>
      <w:ind w:right="400"/>
      <w:jc w:val="center"/>
      <w:rPr>
        <w:sz w:val="20"/>
      </w:rPr>
    </w:pPr>
    <w:r>
      <w:rPr>
        <w:rStyle w:val="PageNumber"/>
        <w:b/>
        <w:sz w:val="20"/>
      </w:rPr>
      <w:tab/>
      <w:t>2016 CUNs: MBTOC Final Recommendations – September 2016</w:t>
    </w:r>
    <w:r>
      <w:rPr>
        <w:rStyle w:val="PageNumber"/>
        <w:b/>
        <w:sz w:val="20"/>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A3795" w14:textId="77777777" w:rsidR="008C634A" w:rsidRDefault="008C634A" w:rsidP="00114183">
    <w:pPr>
      <w:pStyle w:val="Footer"/>
      <w:tabs>
        <w:tab w:val="clear" w:pos="8640"/>
        <w:tab w:val="right" w:pos="9000"/>
        <w:tab w:val="right" w:pos="13860"/>
      </w:tabs>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r>
    <w:r>
      <w:rPr>
        <w:rStyle w:val="PageNumber"/>
        <w:b/>
        <w:sz w:val="20"/>
      </w:rPr>
      <w:t>2016 CUNs: MBTOC Final Recommendations – September 2016</w:t>
    </w:r>
    <w:r>
      <w:rPr>
        <w:rStyle w:val="PageNumber"/>
        <w:b/>
        <w:sz w:val="20"/>
      </w:rPr>
      <w:tab/>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1629B" w14:textId="77777777" w:rsidR="008C634A" w:rsidRDefault="008C634A">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511F3E">
      <w:rPr>
        <w:rStyle w:val="PageNumber"/>
        <w:noProof/>
      </w:rPr>
      <w:t>31</w:t>
    </w:r>
    <w:r>
      <w:rPr>
        <w:rStyle w:val="PageNumber"/>
      </w:rPr>
      <w:fldChar w:fldCharType="end"/>
    </w:r>
  </w:p>
  <w:p w14:paraId="27C0889C" w14:textId="77777777" w:rsidR="008C634A" w:rsidRPr="00245D65" w:rsidRDefault="008C634A" w:rsidP="00114183">
    <w:pPr>
      <w:pStyle w:val="Footer"/>
      <w:tabs>
        <w:tab w:val="clear" w:pos="8640"/>
        <w:tab w:val="right" w:pos="13860"/>
      </w:tabs>
      <w:spacing w:after="0"/>
      <w:ind w:right="30" w:firstLine="360"/>
      <w:jc w:val="center"/>
      <w:rPr>
        <w:b/>
        <w:sz w:val="20"/>
      </w:rPr>
    </w:pPr>
    <w:r w:rsidRPr="00114183">
      <w:rPr>
        <w:rStyle w:val="PageNumber"/>
        <w:b/>
        <w:sz w:val="20"/>
      </w:rPr>
      <w:t>MBTOC 2016 CUNs: Interim Recommendations – June 2016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E4953" w14:textId="77777777" w:rsidR="008C634A" w:rsidRPr="00114183" w:rsidRDefault="008C634A" w:rsidP="000633FC">
    <w:pPr>
      <w:pStyle w:val="Footer"/>
      <w:tabs>
        <w:tab w:val="clear" w:pos="4320"/>
        <w:tab w:val="clear" w:pos="8640"/>
        <w:tab w:val="center" w:pos="7290"/>
        <w:tab w:val="right" w:pos="13860"/>
      </w:tabs>
      <w:spacing w:after="0"/>
      <w:ind w:right="30"/>
      <w:jc w:val="center"/>
      <w:rPr>
        <w:b/>
        <w:sz w:val="20"/>
      </w:rPr>
    </w:pPr>
    <w:r>
      <w:rPr>
        <w:rStyle w:val="PageNumber"/>
      </w:rPr>
      <w:fldChar w:fldCharType="begin"/>
    </w:r>
    <w:r>
      <w:rPr>
        <w:rStyle w:val="PageNumber"/>
      </w:rPr>
      <w:instrText xml:space="preserve"> PAGE </w:instrText>
    </w:r>
    <w:r>
      <w:rPr>
        <w:rStyle w:val="PageNumber"/>
      </w:rPr>
      <w:fldChar w:fldCharType="separate"/>
    </w:r>
    <w:r w:rsidR="00511F3E">
      <w:rPr>
        <w:rStyle w:val="PageNumber"/>
        <w:noProof/>
      </w:rPr>
      <w:t>34</w:t>
    </w:r>
    <w:r>
      <w:rPr>
        <w:rStyle w:val="PageNumber"/>
      </w:rPr>
      <w:fldChar w:fldCharType="end"/>
    </w:r>
    <w:r>
      <w:rPr>
        <w:rStyle w:val="PageNumber"/>
      </w:rPr>
      <w:tab/>
    </w:r>
    <w:r>
      <w:rPr>
        <w:rStyle w:val="PageNumber"/>
        <w:b/>
        <w:sz w:val="20"/>
      </w:rPr>
      <w:t>2016 CUNs: MBTOC Final Recommendations – September 2016</w:t>
    </w:r>
    <w:r>
      <w:rPr>
        <w:rStyle w:val="PageNumber"/>
        <w:b/>
        <w:sz w:val="20"/>
      </w:rPr>
      <w:tab/>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3579E" w14:textId="77777777" w:rsidR="008C634A" w:rsidRDefault="008C634A">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511F3E">
      <w:rPr>
        <w:rStyle w:val="PageNumber"/>
        <w:noProof/>
      </w:rPr>
      <w:t>35</w:t>
    </w:r>
    <w:r>
      <w:rPr>
        <w:rStyle w:val="PageNumber"/>
      </w:rPr>
      <w:fldChar w:fldCharType="end"/>
    </w:r>
  </w:p>
  <w:p w14:paraId="62B500F8" w14:textId="77777777" w:rsidR="008C634A" w:rsidRDefault="008C634A" w:rsidP="000633FC">
    <w:pPr>
      <w:pStyle w:val="Footer"/>
      <w:tabs>
        <w:tab w:val="clear" w:pos="8640"/>
        <w:tab w:val="right" w:pos="13860"/>
      </w:tabs>
      <w:spacing w:after="0"/>
      <w:ind w:right="30" w:firstLine="360"/>
      <w:jc w:val="center"/>
      <w:rPr>
        <w:b/>
        <w:sz w:val="20"/>
      </w:rPr>
    </w:pPr>
    <w:r>
      <w:rPr>
        <w:rStyle w:val="PageNumber"/>
        <w:b/>
        <w:sz w:val="20"/>
      </w:rPr>
      <w:t>2016 CUNs: MBTOC Final Recommendations – September 2016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2166C" w14:textId="77777777" w:rsidR="008C634A" w:rsidRPr="00114183" w:rsidRDefault="008C634A" w:rsidP="00114183">
    <w:pPr>
      <w:pStyle w:val="Footer"/>
      <w:tabs>
        <w:tab w:val="clear" w:pos="4320"/>
        <w:tab w:val="clear" w:pos="8640"/>
        <w:tab w:val="center" w:pos="7290"/>
        <w:tab w:val="right" w:pos="13860"/>
      </w:tabs>
      <w:spacing w:after="0"/>
      <w:ind w:right="30"/>
      <w:jc w:val="center"/>
      <w:rPr>
        <w:b/>
        <w:sz w:val="20"/>
      </w:rPr>
    </w:pPr>
    <w:r>
      <w:rPr>
        <w:rStyle w:val="PageNumber"/>
      </w:rPr>
      <w:fldChar w:fldCharType="begin"/>
    </w:r>
    <w:r>
      <w:rPr>
        <w:rStyle w:val="PageNumber"/>
      </w:rPr>
      <w:instrText xml:space="preserve"> PAGE </w:instrText>
    </w:r>
    <w:r>
      <w:rPr>
        <w:rStyle w:val="PageNumber"/>
      </w:rPr>
      <w:fldChar w:fldCharType="separate"/>
    </w:r>
    <w:r w:rsidR="00511F3E">
      <w:rPr>
        <w:rStyle w:val="PageNumber"/>
        <w:noProof/>
      </w:rPr>
      <w:t>38</w:t>
    </w:r>
    <w:r>
      <w:rPr>
        <w:rStyle w:val="PageNumber"/>
      </w:rPr>
      <w:fldChar w:fldCharType="end"/>
    </w:r>
    <w:r>
      <w:rPr>
        <w:rStyle w:val="PageNumber"/>
      </w:rPr>
      <w:tab/>
    </w:r>
    <w:r>
      <w:rPr>
        <w:rStyle w:val="PageNumber"/>
        <w:b/>
        <w:sz w:val="20"/>
      </w:rPr>
      <w:t>2016 CUNs: MBTOC Final Recommendations – September 2016</w:t>
    </w:r>
    <w:r>
      <w:rPr>
        <w:rStyle w:val="PageNumber"/>
        <w:b/>
        <w:sz w:val="20"/>
      </w:rPr>
      <w:tab/>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42E55" w14:textId="77777777" w:rsidR="008C634A" w:rsidRDefault="008C634A">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511F3E">
      <w:rPr>
        <w:rStyle w:val="PageNumber"/>
        <w:noProof/>
      </w:rPr>
      <w:t>37</w:t>
    </w:r>
    <w:r>
      <w:rPr>
        <w:rStyle w:val="PageNumber"/>
      </w:rPr>
      <w:fldChar w:fldCharType="end"/>
    </w:r>
  </w:p>
  <w:p w14:paraId="75D24BAA" w14:textId="77777777" w:rsidR="008C634A" w:rsidRDefault="008C634A" w:rsidP="008A43F0">
    <w:pPr>
      <w:pStyle w:val="Footer"/>
      <w:tabs>
        <w:tab w:val="clear" w:pos="8640"/>
        <w:tab w:val="right" w:pos="13860"/>
      </w:tabs>
      <w:spacing w:after="0"/>
      <w:ind w:right="30" w:firstLine="360"/>
      <w:jc w:val="center"/>
      <w:rPr>
        <w:b/>
        <w:sz w:val="20"/>
      </w:rPr>
    </w:pPr>
    <w:r>
      <w:rPr>
        <w:rStyle w:val="PageNumber"/>
        <w:b/>
        <w:sz w:val="20"/>
      </w:rPr>
      <w:t>2016 CUNs: MBTOC Final Recommendations – September 2016</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BB2FA" w14:textId="77777777" w:rsidR="008C634A" w:rsidRPr="00114183" w:rsidRDefault="008C634A" w:rsidP="00114183">
    <w:pPr>
      <w:pStyle w:val="Footer"/>
      <w:tabs>
        <w:tab w:val="clear" w:pos="8640"/>
        <w:tab w:val="left" w:pos="2160"/>
        <w:tab w:val="right" w:pos="9000"/>
        <w:tab w:val="right" w:pos="13860"/>
      </w:tabs>
      <w:spacing w:after="0"/>
      <w:ind w:left="-180" w:right="30"/>
      <w:jc w:val="center"/>
      <w:rPr>
        <w:b/>
        <w:sz w:val="20"/>
      </w:rPr>
    </w:pPr>
    <w:r>
      <w:rPr>
        <w:rStyle w:val="PageNumber"/>
      </w:rPr>
      <w:fldChar w:fldCharType="begin"/>
    </w:r>
    <w:r>
      <w:rPr>
        <w:rStyle w:val="PageNumber"/>
      </w:rPr>
      <w:instrText xml:space="preserve"> PAGE </w:instrText>
    </w:r>
    <w:r>
      <w:rPr>
        <w:rStyle w:val="PageNumber"/>
      </w:rPr>
      <w:fldChar w:fldCharType="separate"/>
    </w:r>
    <w:r w:rsidR="00511F3E">
      <w:rPr>
        <w:rStyle w:val="PageNumber"/>
        <w:noProof/>
      </w:rPr>
      <w:t>44</w:t>
    </w:r>
    <w:r>
      <w:rPr>
        <w:rStyle w:val="PageNumber"/>
      </w:rPr>
      <w:fldChar w:fldCharType="end"/>
    </w:r>
    <w:r>
      <w:rPr>
        <w:rStyle w:val="PageNumber"/>
      </w:rPr>
      <w:tab/>
    </w:r>
    <w:r>
      <w:rPr>
        <w:rStyle w:val="PageNumber"/>
        <w:b/>
        <w:sz w:val="20"/>
      </w:rPr>
      <w:t>2016 CUNs: MBTOC Final Recommendations – September 2016</w:t>
    </w:r>
    <w:r>
      <w:rPr>
        <w:rStyle w:val="PageNumber"/>
        <w:b/>
        <w:sz w:val="20"/>
      </w:rPr>
      <w:tab/>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88C38" w14:textId="77777777" w:rsidR="008C634A" w:rsidRDefault="008C634A">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511F3E">
      <w:rPr>
        <w:rStyle w:val="PageNumber"/>
        <w:noProof/>
      </w:rPr>
      <w:t>43</w:t>
    </w:r>
    <w:r>
      <w:rPr>
        <w:rStyle w:val="PageNumber"/>
      </w:rPr>
      <w:fldChar w:fldCharType="end"/>
    </w:r>
  </w:p>
  <w:p w14:paraId="11981F95" w14:textId="77777777" w:rsidR="008C634A" w:rsidRDefault="008C634A" w:rsidP="00114183">
    <w:pPr>
      <w:pStyle w:val="Footer"/>
      <w:spacing w:before="240"/>
      <w:jc w:val="center"/>
      <w:rPr>
        <w:b/>
        <w:sz w:val="20"/>
      </w:rPr>
    </w:pPr>
    <w:r>
      <w:rPr>
        <w:rStyle w:val="PageNumber"/>
        <w:b/>
        <w:sz w:val="20"/>
      </w:rPr>
      <w:t xml:space="preserve">2016 CUNs: MBTOC Final Recommendations – September 2016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3AA00" w14:textId="77777777" w:rsidR="008C634A" w:rsidRPr="00363DC2" w:rsidRDefault="008C634A" w:rsidP="00363DC2">
    <w:pPr>
      <w:pStyle w:val="Footer"/>
      <w:jc w:val="right"/>
    </w:pPr>
    <w:r>
      <w:fldChar w:fldCharType="begin"/>
    </w:r>
    <w:r>
      <w:instrText xml:space="preserve"> PAGE   \* MERGEFORMAT </w:instrText>
    </w:r>
    <w:r>
      <w:fldChar w:fldCharType="separate"/>
    </w:r>
    <w:r>
      <w:rPr>
        <w:noProof/>
      </w:rPr>
      <w:t>i</w:t>
    </w:r>
    <w:r>
      <w:rPr>
        <w:noProof/>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4D1F5" w14:textId="77777777" w:rsidR="008C634A" w:rsidRPr="00114183" w:rsidRDefault="008C634A" w:rsidP="00114183">
    <w:pPr>
      <w:pStyle w:val="Footer"/>
      <w:tabs>
        <w:tab w:val="clear" w:pos="4320"/>
        <w:tab w:val="clear" w:pos="8640"/>
        <w:tab w:val="center" w:pos="7920"/>
        <w:tab w:val="right" w:pos="15660"/>
      </w:tabs>
      <w:spacing w:after="0"/>
      <w:ind w:left="-180" w:right="30"/>
      <w:jc w:val="center"/>
      <w:rPr>
        <w:b/>
        <w:sz w:val="20"/>
      </w:rPr>
    </w:pPr>
    <w:r>
      <w:rPr>
        <w:rStyle w:val="PageNumber"/>
      </w:rPr>
      <w:fldChar w:fldCharType="begin"/>
    </w:r>
    <w:r>
      <w:rPr>
        <w:rStyle w:val="PageNumber"/>
      </w:rPr>
      <w:instrText xml:space="preserve"> PAGE </w:instrText>
    </w:r>
    <w:r>
      <w:rPr>
        <w:rStyle w:val="PageNumber"/>
      </w:rPr>
      <w:fldChar w:fldCharType="separate"/>
    </w:r>
    <w:r w:rsidR="00511F3E">
      <w:rPr>
        <w:rStyle w:val="PageNumber"/>
        <w:noProof/>
      </w:rPr>
      <w:t>58</w:t>
    </w:r>
    <w:r>
      <w:rPr>
        <w:rStyle w:val="PageNumber"/>
      </w:rPr>
      <w:fldChar w:fldCharType="end"/>
    </w:r>
    <w:r>
      <w:rPr>
        <w:rStyle w:val="PageNumber"/>
      </w:rPr>
      <w:tab/>
    </w:r>
    <w:r>
      <w:rPr>
        <w:rStyle w:val="PageNumber"/>
        <w:b/>
        <w:sz w:val="20"/>
      </w:rPr>
      <w:t>2016 CUNs: MBTOC Final Recommendations – September 2016</w:t>
    </w:r>
    <w:r>
      <w:rPr>
        <w:rStyle w:val="PageNumber"/>
        <w:b/>
        <w:sz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477DF" w14:textId="77777777" w:rsidR="008C634A" w:rsidRDefault="008C634A" w:rsidP="00114183">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C7038" w14:textId="77777777" w:rsidR="008C634A" w:rsidRDefault="008C634A">
    <w:pPr>
      <w:pStyle w:val="Footer"/>
      <w:jc w:val="right"/>
    </w:pPr>
    <w:r>
      <w:fldChar w:fldCharType="begin"/>
    </w:r>
    <w:r>
      <w:instrText xml:space="preserve"> PAGE   \* MERGEFORMAT </w:instrText>
    </w:r>
    <w:r>
      <w:fldChar w:fldCharType="separate"/>
    </w:r>
    <w:r>
      <w:rPr>
        <w:noProof/>
      </w:rPr>
      <w:t>ii</w:t>
    </w:r>
    <w:r>
      <w:rPr>
        <w:noProof/>
      </w:rPr>
      <w:fldChar w:fldCharType="end"/>
    </w:r>
  </w:p>
  <w:p w14:paraId="58F9EDE2" w14:textId="77777777" w:rsidR="008C634A" w:rsidRDefault="008C634A">
    <w:pPr>
      <w:pStyle w:val="Footer"/>
      <w:spacing w:after="0"/>
      <w:ind w:right="993"/>
      <w:rPr>
        <w:b/>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09B37" w14:textId="77777777" w:rsidR="008C634A" w:rsidRPr="00114183" w:rsidRDefault="008C634A" w:rsidP="0062421F">
    <w:pPr>
      <w:pStyle w:val="Footer"/>
      <w:tabs>
        <w:tab w:val="clear" w:pos="8640"/>
        <w:tab w:val="left" w:pos="360"/>
        <w:tab w:val="right" w:pos="9000"/>
        <w:tab w:val="right" w:pos="13860"/>
      </w:tabs>
      <w:spacing w:after="0"/>
      <w:ind w:right="30" w:firstLine="360"/>
      <w:jc w:val="center"/>
      <w:rPr>
        <w:b/>
        <w:sz w:val="20"/>
      </w:rPr>
    </w:pPr>
    <w:r>
      <w:rPr>
        <w:rStyle w:val="PageNumber"/>
        <w:b/>
        <w:sz w:val="20"/>
      </w:rPr>
      <w:tab/>
      <w:t>2016 CUNs: MBTOC Final Recommendations – September 2016</w:t>
    </w:r>
    <w:r>
      <w:rPr>
        <w:b/>
        <w:sz w:val="20"/>
      </w:rPr>
      <w:tab/>
    </w:r>
    <w:r>
      <w:fldChar w:fldCharType="begin"/>
    </w:r>
    <w:r>
      <w:instrText xml:space="preserve"> PAGE   \* MERGEFORMAT </w:instrText>
    </w:r>
    <w:r>
      <w:fldChar w:fldCharType="separate"/>
    </w:r>
    <w:r w:rsidR="00511F3E">
      <w:rPr>
        <w:noProof/>
      </w:rPr>
      <w:t>9</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14E97" w14:textId="77777777" w:rsidR="008C634A" w:rsidRDefault="008C634A" w:rsidP="00114183">
    <w:pPr>
      <w:pStyle w:val="Footer"/>
      <w:framePr w:w="837" w:wrap="around" w:vAnchor="text" w:hAnchor="page" w:x="10601" w:y="-24"/>
      <w:ind w:right="20"/>
      <w:rPr>
        <w:rStyle w:val="PageNumber"/>
      </w:rPr>
    </w:pPr>
    <w:r>
      <w:rPr>
        <w:rStyle w:val="PageNumber"/>
      </w:rPr>
      <w:fldChar w:fldCharType="begin"/>
    </w:r>
    <w:r>
      <w:rPr>
        <w:rStyle w:val="PageNumber"/>
      </w:rPr>
      <w:instrText xml:space="preserve">PAGE  </w:instrText>
    </w:r>
    <w:r>
      <w:rPr>
        <w:rStyle w:val="PageNumber"/>
      </w:rPr>
      <w:fldChar w:fldCharType="separate"/>
    </w:r>
    <w:r w:rsidR="00511F3E">
      <w:rPr>
        <w:rStyle w:val="PageNumber"/>
        <w:noProof/>
      </w:rPr>
      <w:t>iii</w:t>
    </w:r>
    <w:r>
      <w:rPr>
        <w:rStyle w:val="PageNumber"/>
      </w:rPr>
      <w:fldChar w:fldCharType="end"/>
    </w:r>
  </w:p>
  <w:p w14:paraId="7900EEE3" w14:textId="77777777" w:rsidR="008C634A" w:rsidRPr="00114183" w:rsidRDefault="008C634A" w:rsidP="00114183">
    <w:pPr>
      <w:pStyle w:val="Footer"/>
      <w:tabs>
        <w:tab w:val="clear" w:pos="8640"/>
        <w:tab w:val="left" w:pos="360"/>
        <w:tab w:val="right" w:pos="13860"/>
      </w:tabs>
      <w:spacing w:after="0"/>
      <w:ind w:right="30"/>
      <w:jc w:val="center"/>
      <w:rPr>
        <w:b/>
        <w:sz w:val="20"/>
      </w:rPr>
    </w:pPr>
    <w:r>
      <w:rPr>
        <w:rStyle w:val="PageNumber"/>
        <w:b/>
        <w:sz w:val="20"/>
      </w:rPr>
      <w:tab/>
      <w:t>2016 CUNs: MBTOC Final Recommendations – September 2016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86205" w14:textId="77777777" w:rsidR="008C634A" w:rsidRPr="00114183" w:rsidRDefault="008C634A" w:rsidP="00114183">
    <w:pPr>
      <w:pStyle w:val="Footer"/>
      <w:tabs>
        <w:tab w:val="clear" w:pos="8640"/>
        <w:tab w:val="right" w:pos="9000"/>
        <w:tab w:val="right" w:pos="13860"/>
      </w:tabs>
      <w:spacing w:after="0"/>
      <w:ind w:right="30"/>
      <w:jc w:val="center"/>
      <w:rPr>
        <w:b/>
        <w:sz w:val="20"/>
      </w:rPr>
    </w:pPr>
    <w:r>
      <w:rPr>
        <w:rStyle w:val="PageNumber"/>
      </w:rPr>
      <w:fldChar w:fldCharType="begin"/>
    </w:r>
    <w:r>
      <w:rPr>
        <w:rStyle w:val="PageNumber"/>
      </w:rPr>
      <w:instrText xml:space="preserve"> PAGE </w:instrText>
    </w:r>
    <w:r>
      <w:rPr>
        <w:rStyle w:val="PageNumber"/>
      </w:rPr>
      <w:fldChar w:fldCharType="separate"/>
    </w:r>
    <w:r w:rsidR="00511F3E">
      <w:rPr>
        <w:rStyle w:val="PageNumber"/>
        <w:noProof/>
      </w:rPr>
      <w:t>viii</w:t>
    </w:r>
    <w:r>
      <w:rPr>
        <w:rStyle w:val="PageNumber"/>
      </w:rPr>
      <w:fldChar w:fldCharType="end"/>
    </w:r>
    <w:r>
      <w:rPr>
        <w:rStyle w:val="PageNumber"/>
      </w:rPr>
      <w:tab/>
    </w:r>
    <w:r>
      <w:rPr>
        <w:rStyle w:val="PageNumber"/>
        <w:b/>
        <w:sz w:val="20"/>
      </w:rPr>
      <w:t>2016 CUNs: MBTOC Final Recommendations – September 2016</w:t>
    </w:r>
    <w:r>
      <w:rPr>
        <w:b/>
        <w:sz w:val="20"/>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80EE5" w14:textId="77777777" w:rsidR="008C634A" w:rsidRDefault="008C634A" w:rsidP="00114183">
    <w:pPr>
      <w:pStyle w:val="Footer"/>
      <w:tabs>
        <w:tab w:val="clear" w:pos="8640"/>
        <w:tab w:val="right" w:pos="13860"/>
      </w:tabs>
      <w:spacing w:before="240"/>
      <w:ind w:right="360"/>
    </w:pPr>
    <w:r>
      <w:rPr>
        <w:rStyle w:val="PageNumber"/>
      </w:rPr>
      <w:fldChar w:fldCharType="begin"/>
    </w:r>
    <w:r>
      <w:rPr>
        <w:rStyle w:val="PageNumber"/>
      </w:rPr>
      <w:instrText xml:space="preserve"> PAGE </w:instrText>
    </w:r>
    <w:r>
      <w:rPr>
        <w:rStyle w:val="PageNumber"/>
      </w:rPr>
      <w:fldChar w:fldCharType="separate"/>
    </w:r>
    <w:r w:rsidR="00511F3E">
      <w:rPr>
        <w:rStyle w:val="PageNumber"/>
        <w:noProof/>
      </w:rPr>
      <w:t>18</w:t>
    </w:r>
    <w:r>
      <w:rPr>
        <w:rStyle w:val="PageNumber"/>
      </w:rPr>
      <w:fldChar w:fldCharType="end"/>
    </w:r>
    <w:r>
      <w:rPr>
        <w:rStyle w:val="PageNumber"/>
      </w:rPr>
      <w:tab/>
    </w:r>
    <w:r>
      <w:rPr>
        <w:rStyle w:val="PageNumber"/>
        <w:b/>
        <w:sz w:val="20"/>
      </w:rPr>
      <w:t>2016 CUNs: MBTOC Final Recommendations – September 2016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B7612" w14:textId="77777777" w:rsidR="008C634A" w:rsidRDefault="008C634A">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511F3E">
      <w:rPr>
        <w:rStyle w:val="PageNumber"/>
        <w:noProof/>
      </w:rPr>
      <w:t>17</w:t>
    </w:r>
    <w:r>
      <w:rPr>
        <w:rStyle w:val="PageNumber"/>
      </w:rPr>
      <w:fldChar w:fldCharType="end"/>
    </w:r>
  </w:p>
  <w:p w14:paraId="29DD546D" w14:textId="77777777" w:rsidR="008C634A" w:rsidRPr="00245D65" w:rsidRDefault="008C634A" w:rsidP="0062421F">
    <w:pPr>
      <w:pStyle w:val="Footer"/>
      <w:tabs>
        <w:tab w:val="clear" w:pos="8640"/>
        <w:tab w:val="right" w:pos="15030"/>
      </w:tabs>
      <w:spacing w:before="240" w:after="0"/>
      <w:ind w:right="400"/>
      <w:jc w:val="center"/>
      <w:rPr>
        <w:sz w:val="20"/>
      </w:rPr>
    </w:pPr>
    <w:r>
      <w:rPr>
        <w:rStyle w:val="PageNumber"/>
        <w:b/>
        <w:sz w:val="20"/>
      </w:rPr>
      <w:tab/>
      <w:t>2016 CUNs: MBTOC Final Recommendations – September 2016</w:t>
    </w:r>
    <w:r>
      <w:rPr>
        <w:rStyle w:val="PageNumber"/>
        <w:b/>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E8D7F" w14:textId="77777777" w:rsidR="00474B89" w:rsidRDefault="00474B89">
      <w:r>
        <w:separator/>
      </w:r>
    </w:p>
  </w:footnote>
  <w:footnote w:type="continuationSeparator" w:id="0">
    <w:p w14:paraId="2D3B34BF" w14:textId="77777777" w:rsidR="00474B89" w:rsidRDefault="00474B89">
      <w:r>
        <w:continuationSeparator/>
      </w:r>
    </w:p>
  </w:footnote>
  <w:footnote w:type="continuationNotice" w:id="1">
    <w:p w14:paraId="24CE7953" w14:textId="77777777" w:rsidR="00474B89" w:rsidRDefault="00474B89">
      <w:pPr>
        <w:spacing w:after="0"/>
      </w:pPr>
    </w:p>
  </w:footnote>
  <w:footnote w:id="2">
    <w:p w14:paraId="534BF1BF" w14:textId="77777777" w:rsidR="008C634A" w:rsidRDefault="008C634A" w:rsidP="00F108F5">
      <w:pPr>
        <w:pStyle w:val="FootnoteText"/>
        <w:ind w:left="1152"/>
        <w:rPr>
          <w:sz w:val="18"/>
          <w:lang w:val="en-US"/>
        </w:rPr>
      </w:pPr>
      <w:r>
        <w:rPr>
          <w:rStyle w:val="FootnoteReference"/>
          <w:sz w:val="18"/>
        </w:rPr>
        <w:footnoteRef/>
      </w:r>
      <w:r>
        <w:rPr>
          <w:sz w:val="18"/>
          <w:lang w:val="en-US"/>
        </w:rPr>
        <w:tab/>
        <w:t>UNEP/</w:t>
      </w:r>
      <w:proofErr w:type="spellStart"/>
      <w:r>
        <w:rPr>
          <w:sz w:val="18"/>
          <w:lang w:val="en-US"/>
        </w:rPr>
        <w:t>OzL.Pro.ExMP</w:t>
      </w:r>
      <w:proofErr w:type="spellEnd"/>
      <w:r>
        <w:rPr>
          <w:sz w:val="18"/>
          <w:lang w:val="en-US"/>
        </w:rPr>
        <w:t>/1/INF/1, para. 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DF44D" w14:textId="77777777" w:rsidR="008C634A" w:rsidRDefault="008C634A">
    <w:pPr>
      <w:pStyle w:val="Header"/>
      <w:jc w:val="right"/>
      <w:rPr>
        <w:b/>
        <w:sz w:val="18"/>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645AA" w14:textId="77777777" w:rsidR="008C634A" w:rsidRDefault="008C634A">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8AB9F" w14:textId="77777777" w:rsidR="008C634A" w:rsidRDefault="008C634A">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4D6DF" w14:textId="77777777" w:rsidR="008C634A" w:rsidRDefault="008C634A">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731C0" w14:textId="77777777" w:rsidR="008C634A" w:rsidRDefault="008C634A">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7840D" w14:textId="77777777" w:rsidR="008C634A" w:rsidRDefault="008C634A">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496E7" w14:textId="77777777" w:rsidR="008C634A" w:rsidRDefault="008C634A">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72AA3" w14:textId="77777777" w:rsidR="008C634A" w:rsidRPr="006B71CA" w:rsidRDefault="008C634A" w:rsidP="006B71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84463" w14:textId="77777777" w:rsidR="008C634A" w:rsidRDefault="008C634A">
    <w:pPr>
      <w:pStyle w:val="Header"/>
      <w:jc w:val="right"/>
      <w:rPr>
        <w:b/>
        <w:bCs/>
        <w:sz w:val="18"/>
        <w:szCs w:val="18"/>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9E50E" w14:textId="77777777" w:rsidR="008C634A" w:rsidRPr="00363DC2" w:rsidRDefault="008C634A" w:rsidP="00363DC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E9513" w14:textId="77777777" w:rsidR="008C634A" w:rsidRDefault="008C634A">
    <w:pPr>
      <w:pStyle w:val="Header"/>
    </w:pPr>
  </w:p>
  <w:p w14:paraId="19A9C462" w14:textId="77777777" w:rsidR="008C634A" w:rsidRDefault="008C634A" w:rsidP="005417D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8B4C2" w14:textId="77777777" w:rsidR="008C634A" w:rsidRDefault="008C634A">
    <w:pPr>
      <w:pStyle w:val="Header"/>
      <w:jc w:val="right"/>
      <w:rPr>
        <w:b/>
        <w:sz w:val="18"/>
        <w:lang w:val="en-US"/>
      </w:rPr>
    </w:pPr>
  </w:p>
  <w:p w14:paraId="792B3A5C" w14:textId="77777777" w:rsidR="008C634A" w:rsidRPr="00245D65" w:rsidRDefault="008C634A" w:rsidP="006147A9">
    <w:pPr>
      <w:pStyle w:val="Header"/>
      <w:jc w:val="right"/>
      <w:rPr>
        <w:b/>
        <w:sz w:val="18"/>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C1B7D" w14:textId="77777777" w:rsidR="008C634A" w:rsidRDefault="008C634A">
    <w:pPr>
      <w:pStyle w:val="Header"/>
    </w:pPr>
  </w:p>
  <w:p w14:paraId="01F75CC3" w14:textId="77777777" w:rsidR="008C634A" w:rsidRDefault="008C634A" w:rsidP="006147A9"/>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4260E" w14:textId="77777777" w:rsidR="008C634A" w:rsidRDefault="008C634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0E268" w14:textId="77777777" w:rsidR="008C634A" w:rsidRDefault="008C634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6D051" w14:textId="77777777" w:rsidR="008C634A" w:rsidRDefault="008C63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4CF16F9"/>
    <w:multiLevelType w:val="hybridMultilevel"/>
    <w:tmpl w:val="F56A7EE4"/>
    <w:lvl w:ilvl="0" w:tplc="FFFFFFFF">
      <w:start w:val="1"/>
      <w:numFmt w:val="decimal"/>
      <w:lvlText w:val="%1."/>
      <w:lvlJc w:val="left"/>
      <w:pPr>
        <w:tabs>
          <w:tab w:val="num" w:pos="2304"/>
        </w:tabs>
        <w:ind w:left="1152" w:firstLine="576"/>
      </w:pPr>
      <w:rPr>
        <w:rFonts w:hint="default"/>
      </w:rPr>
    </w:lvl>
    <w:lvl w:ilvl="1" w:tplc="FFFFFFFF">
      <w:start w:val="1"/>
      <w:numFmt w:val="lowerLetter"/>
      <w:lvlText w:val="%2)"/>
      <w:lvlJc w:val="left"/>
      <w:pPr>
        <w:tabs>
          <w:tab w:val="num" w:pos="1440"/>
        </w:tabs>
        <w:ind w:left="1440" w:hanging="360"/>
      </w:pPr>
      <w:rPr>
        <w:rFonts w:hint="default"/>
      </w:rPr>
    </w:lvl>
    <w:lvl w:ilvl="2" w:tplc="04090019">
      <w:start w:val="1"/>
      <w:numFmt w:val="lowerLetter"/>
      <w:lvlText w:val="%3."/>
      <w:lvlJc w:val="left"/>
      <w:pPr>
        <w:ind w:left="2664"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56F2CB8"/>
    <w:multiLevelType w:val="singleLevel"/>
    <w:tmpl w:val="040C000F"/>
    <w:lvl w:ilvl="0">
      <w:start w:val="1"/>
      <w:numFmt w:val="decimal"/>
      <w:lvlText w:val="%1."/>
      <w:lvlJc w:val="left"/>
      <w:pPr>
        <w:tabs>
          <w:tab w:val="num" w:pos="360"/>
        </w:tabs>
        <w:ind w:left="360" w:hanging="360"/>
      </w:pPr>
      <w:rPr>
        <w:rFonts w:cs="Times New Roman"/>
      </w:rPr>
    </w:lvl>
  </w:abstractNum>
  <w:abstractNum w:abstractNumId="3" w15:restartNumberingAfterBreak="0">
    <w:nsid w:val="13CE0A91"/>
    <w:multiLevelType w:val="multilevel"/>
    <w:tmpl w:val="03A634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9E7B8B"/>
    <w:multiLevelType w:val="hybridMultilevel"/>
    <w:tmpl w:val="C730F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A69A3"/>
    <w:multiLevelType w:val="hybridMultilevel"/>
    <w:tmpl w:val="EA569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810148"/>
    <w:multiLevelType w:val="hybridMultilevel"/>
    <w:tmpl w:val="A484D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E11E35"/>
    <w:multiLevelType w:val="hybridMultilevel"/>
    <w:tmpl w:val="41F818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B7E4905"/>
    <w:multiLevelType w:val="hybridMultilevel"/>
    <w:tmpl w:val="FC48FE2C"/>
    <w:lvl w:ilvl="0" w:tplc="04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1E962BD"/>
    <w:multiLevelType w:val="hybridMultilevel"/>
    <w:tmpl w:val="5DC4B96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26515EC"/>
    <w:multiLevelType w:val="hybridMultilevel"/>
    <w:tmpl w:val="72D6166A"/>
    <w:lvl w:ilvl="0" w:tplc="0C090001">
      <w:start w:val="1"/>
      <w:numFmt w:val="bullet"/>
      <w:lvlText w:val=""/>
      <w:lvlJc w:val="left"/>
      <w:pPr>
        <w:ind w:left="1038" w:hanging="360"/>
      </w:pPr>
      <w:rPr>
        <w:rFonts w:ascii="Symbol" w:hAnsi="Symbol" w:hint="default"/>
      </w:rPr>
    </w:lvl>
    <w:lvl w:ilvl="1" w:tplc="0C090003" w:tentative="1">
      <w:start w:val="1"/>
      <w:numFmt w:val="bullet"/>
      <w:lvlText w:val="o"/>
      <w:lvlJc w:val="left"/>
      <w:pPr>
        <w:ind w:left="1758" w:hanging="360"/>
      </w:pPr>
      <w:rPr>
        <w:rFonts w:ascii="Courier New" w:hAnsi="Courier New" w:cs="Courier New" w:hint="default"/>
      </w:rPr>
    </w:lvl>
    <w:lvl w:ilvl="2" w:tplc="0C090005" w:tentative="1">
      <w:start w:val="1"/>
      <w:numFmt w:val="bullet"/>
      <w:lvlText w:val=""/>
      <w:lvlJc w:val="left"/>
      <w:pPr>
        <w:ind w:left="2478" w:hanging="360"/>
      </w:pPr>
      <w:rPr>
        <w:rFonts w:ascii="Wingdings" w:hAnsi="Wingdings" w:hint="default"/>
      </w:rPr>
    </w:lvl>
    <w:lvl w:ilvl="3" w:tplc="0C090001" w:tentative="1">
      <w:start w:val="1"/>
      <w:numFmt w:val="bullet"/>
      <w:lvlText w:val=""/>
      <w:lvlJc w:val="left"/>
      <w:pPr>
        <w:ind w:left="3198" w:hanging="360"/>
      </w:pPr>
      <w:rPr>
        <w:rFonts w:ascii="Symbol" w:hAnsi="Symbol" w:hint="default"/>
      </w:rPr>
    </w:lvl>
    <w:lvl w:ilvl="4" w:tplc="0C090003" w:tentative="1">
      <w:start w:val="1"/>
      <w:numFmt w:val="bullet"/>
      <w:lvlText w:val="o"/>
      <w:lvlJc w:val="left"/>
      <w:pPr>
        <w:ind w:left="3918" w:hanging="360"/>
      </w:pPr>
      <w:rPr>
        <w:rFonts w:ascii="Courier New" w:hAnsi="Courier New" w:cs="Courier New" w:hint="default"/>
      </w:rPr>
    </w:lvl>
    <w:lvl w:ilvl="5" w:tplc="0C090005" w:tentative="1">
      <w:start w:val="1"/>
      <w:numFmt w:val="bullet"/>
      <w:lvlText w:val=""/>
      <w:lvlJc w:val="left"/>
      <w:pPr>
        <w:ind w:left="4638" w:hanging="360"/>
      </w:pPr>
      <w:rPr>
        <w:rFonts w:ascii="Wingdings" w:hAnsi="Wingdings" w:hint="default"/>
      </w:rPr>
    </w:lvl>
    <w:lvl w:ilvl="6" w:tplc="0C090001" w:tentative="1">
      <w:start w:val="1"/>
      <w:numFmt w:val="bullet"/>
      <w:lvlText w:val=""/>
      <w:lvlJc w:val="left"/>
      <w:pPr>
        <w:ind w:left="5358" w:hanging="360"/>
      </w:pPr>
      <w:rPr>
        <w:rFonts w:ascii="Symbol" w:hAnsi="Symbol" w:hint="default"/>
      </w:rPr>
    </w:lvl>
    <w:lvl w:ilvl="7" w:tplc="0C090003" w:tentative="1">
      <w:start w:val="1"/>
      <w:numFmt w:val="bullet"/>
      <w:lvlText w:val="o"/>
      <w:lvlJc w:val="left"/>
      <w:pPr>
        <w:ind w:left="6078" w:hanging="360"/>
      </w:pPr>
      <w:rPr>
        <w:rFonts w:ascii="Courier New" w:hAnsi="Courier New" w:cs="Courier New" w:hint="default"/>
      </w:rPr>
    </w:lvl>
    <w:lvl w:ilvl="8" w:tplc="0C090005" w:tentative="1">
      <w:start w:val="1"/>
      <w:numFmt w:val="bullet"/>
      <w:lvlText w:val=""/>
      <w:lvlJc w:val="left"/>
      <w:pPr>
        <w:ind w:left="6798" w:hanging="360"/>
      </w:pPr>
      <w:rPr>
        <w:rFonts w:ascii="Wingdings" w:hAnsi="Wingdings" w:hint="default"/>
      </w:rPr>
    </w:lvl>
  </w:abstractNum>
  <w:abstractNum w:abstractNumId="11" w15:restartNumberingAfterBreak="0">
    <w:nsid w:val="351651D3"/>
    <w:multiLevelType w:val="hybridMultilevel"/>
    <w:tmpl w:val="BE6E1F50"/>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8B06FE7"/>
    <w:multiLevelType w:val="multilevel"/>
    <w:tmpl w:val="0A7A6A7E"/>
    <w:lvl w:ilvl="0">
      <w:start w:val="1"/>
      <w:numFmt w:val="decimal"/>
      <w:pStyle w:val="Alt2-LevelLegal1"/>
      <w:lvlText w:val="CHAPTER %1"/>
      <w:lvlJc w:val="left"/>
      <w:pPr>
        <w:tabs>
          <w:tab w:val="num" w:pos="1440"/>
        </w:tabs>
      </w:pPr>
      <w:rPr>
        <w:rFonts w:ascii="Times New Roman" w:hAnsi="Times New Roman" w:cs="Times New Roman" w:hint="default"/>
        <w:b/>
        <w:i w:val="0"/>
        <w:color w:val="000000"/>
        <w:sz w:val="28"/>
        <w:szCs w:val="28"/>
      </w:rPr>
    </w:lvl>
    <w:lvl w:ilvl="1">
      <w:start w:val="1"/>
      <w:numFmt w:val="decimal"/>
      <w:pStyle w:val="Alt2-LevelLegal2"/>
      <w:isLgl/>
      <w:lvlText w:val="%1.%2"/>
      <w:lvlJc w:val="left"/>
      <w:pPr>
        <w:tabs>
          <w:tab w:val="num" w:pos="720"/>
        </w:tabs>
        <w:ind w:left="720" w:hanging="720"/>
      </w:pPr>
      <w:rPr>
        <w:rFonts w:ascii="Times New Roman" w:hAnsi="Times New Roman" w:cs="Times New Roman" w:hint="default"/>
        <w:b/>
        <w:i w:val="0"/>
        <w:color w:val="000000"/>
        <w:sz w:val="22"/>
      </w:rPr>
    </w:lvl>
    <w:lvl w:ilvl="2">
      <w:start w:val="1"/>
      <w:numFmt w:val="decimal"/>
      <w:pStyle w:val="Alt2-LevelLegal3"/>
      <w:isLgl/>
      <w:lvlText w:val="%1.%2.%3"/>
      <w:lvlJc w:val="left"/>
      <w:pPr>
        <w:tabs>
          <w:tab w:val="num" w:pos="720"/>
        </w:tabs>
        <w:ind w:left="720" w:hanging="720"/>
      </w:pPr>
      <w:rPr>
        <w:rFonts w:ascii="Times New Roman" w:hAnsi="Times New Roman" w:cs="Times New Roman" w:hint="default"/>
        <w:b/>
        <w:i w:val="0"/>
        <w:color w:val="000000"/>
        <w:sz w:val="22"/>
      </w:rPr>
    </w:lvl>
    <w:lvl w:ilvl="3">
      <w:start w:val="1"/>
      <w:numFmt w:val="lowerLetter"/>
      <w:pStyle w:val="Alt2-LevelLegal4"/>
      <w:lvlText w:val="(%4)"/>
      <w:lvlJc w:val="left"/>
      <w:pPr>
        <w:tabs>
          <w:tab w:val="num" w:pos="1440"/>
        </w:tabs>
        <w:ind w:left="1440" w:hanging="720"/>
      </w:pPr>
      <w:rPr>
        <w:rFonts w:cs="Times New Roman" w:hint="default"/>
        <w:color w:val="000000"/>
      </w:rPr>
    </w:lvl>
    <w:lvl w:ilvl="4">
      <w:start w:val="1"/>
      <w:numFmt w:val="lowerRoman"/>
      <w:pStyle w:val="Alt2-LevelLegal5"/>
      <w:lvlText w:val="(%5)"/>
      <w:lvlJc w:val="left"/>
      <w:pPr>
        <w:tabs>
          <w:tab w:val="num" w:pos="2160"/>
        </w:tabs>
        <w:ind w:left="2160" w:hanging="720"/>
      </w:pPr>
      <w:rPr>
        <w:rFonts w:cs="Times New Roman" w:hint="default"/>
        <w:color w:val="000000"/>
      </w:rPr>
    </w:lvl>
    <w:lvl w:ilvl="5">
      <w:start w:val="1"/>
      <w:numFmt w:val="decimal"/>
      <w:pStyle w:val="Alt2-LevelLegal6"/>
      <w:lvlText w:val="%6."/>
      <w:lvlJc w:val="left"/>
      <w:pPr>
        <w:tabs>
          <w:tab w:val="num" w:pos="1440"/>
        </w:tabs>
        <w:ind w:left="1440" w:hanging="720"/>
      </w:pPr>
      <w:rPr>
        <w:rFonts w:cs="Times New Roman" w:hint="default"/>
        <w:color w:val="000000"/>
      </w:rPr>
    </w:lvl>
    <w:lvl w:ilvl="6">
      <w:start w:val="1"/>
      <w:numFmt w:val="upperLetter"/>
      <w:pStyle w:val="Alt2-LevelLegal7"/>
      <w:lvlText w:val="(%7)"/>
      <w:lvlJc w:val="left"/>
      <w:pPr>
        <w:tabs>
          <w:tab w:val="num" w:pos="3600"/>
        </w:tabs>
        <w:ind w:left="3600" w:hanging="720"/>
      </w:pPr>
      <w:rPr>
        <w:rFonts w:cs="Times New Roman" w:hint="default"/>
        <w:color w:val="00000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3A4767E0"/>
    <w:multiLevelType w:val="multilevel"/>
    <w:tmpl w:val="EA5697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1D19C9"/>
    <w:multiLevelType w:val="hybridMultilevel"/>
    <w:tmpl w:val="C0D43176"/>
    <w:lvl w:ilvl="0" w:tplc="1C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142350"/>
    <w:multiLevelType w:val="hybridMultilevel"/>
    <w:tmpl w:val="B6FEA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6A7B56"/>
    <w:multiLevelType w:val="multilevel"/>
    <w:tmpl w:val="C0D431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3F3CE3"/>
    <w:multiLevelType w:val="hybridMultilevel"/>
    <w:tmpl w:val="070216E0"/>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FD262C"/>
    <w:multiLevelType w:val="hybridMultilevel"/>
    <w:tmpl w:val="4AAAE598"/>
    <w:lvl w:ilvl="0" w:tplc="0001040C">
      <w:start w:val="1"/>
      <w:numFmt w:val="bullet"/>
      <w:lvlText w:val=""/>
      <w:lvlJc w:val="left"/>
      <w:pPr>
        <w:tabs>
          <w:tab w:val="num" w:pos="360"/>
        </w:tabs>
        <w:ind w:left="360" w:hanging="360"/>
      </w:pPr>
      <w:rPr>
        <w:rFonts w:ascii="Symbol" w:hAnsi="Symbol" w:hint="default"/>
      </w:rPr>
    </w:lvl>
    <w:lvl w:ilvl="1" w:tplc="0003040C" w:tentative="1">
      <w:start w:val="1"/>
      <w:numFmt w:val="bullet"/>
      <w:lvlText w:val="o"/>
      <w:lvlJc w:val="left"/>
      <w:pPr>
        <w:tabs>
          <w:tab w:val="num" w:pos="1080"/>
        </w:tabs>
        <w:ind w:left="1080" w:hanging="360"/>
      </w:pPr>
      <w:rPr>
        <w:rFonts w:ascii="Courier New" w:hAnsi="Courier New" w:hint="default"/>
      </w:rPr>
    </w:lvl>
    <w:lvl w:ilvl="2" w:tplc="0005040C" w:tentative="1">
      <w:start w:val="1"/>
      <w:numFmt w:val="bullet"/>
      <w:lvlText w:val=""/>
      <w:lvlJc w:val="left"/>
      <w:pPr>
        <w:tabs>
          <w:tab w:val="num" w:pos="1800"/>
        </w:tabs>
        <w:ind w:left="1800" w:hanging="360"/>
      </w:pPr>
      <w:rPr>
        <w:rFonts w:ascii="Wingdings" w:hAnsi="Wingdings"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New" w:hAnsi="Courier New"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New" w:hAnsi="Courier New"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E166811"/>
    <w:multiLevelType w:val="hybridMultilevel"/>
    <w:tmpl w:val="08E0CA18"/>
    <w:lvl w:ilvl="0" w:tplc="FFFFFFFF">
      <w:start w:val="2"/>
      <w:numFmt w:val="lowerLetter"/>
      <w:lvlText w:val="(%1)"/>
      <w:lvlJc w:val="left"/>
      <w:pPr>
        <w:tabs>
          <w:tab w:val="num" w:pos="720"/>
        </w:tabs>
        <w:ind w:left="720" w:hanging="720"/>
      </w:pPr>
      <w:rPr>
        <w:rFonts w:cs="Times New Roman" w:hint="default"/>
      </w:rPr>
    </w:lvl>
    <w:lvl w:ilvl="1" w:tplc="FFFFFFFF" w:tentative="1">
      <w:start w:val="1"/>
      <w:numFmt w:val="lowerLetter"/>
      <w:lvlText w:val="%2."/>
      <w:lvlJc w:val="left"/>
      <w:pPr>
        <w:tabs>
          <w:tab w:val="num" w:pos="1250"/>
        </w:tabs>
        <w:ind w:left="1250" w:hanging="360"/>
      </w:pPr>
      <w:rPr>
        <w:rFonts w:cs="Times New Roman"/>
      </w:rPr>
    </w:lvl>
    <w:lvl w:ilvl="2" w:tplc="FFFFFFFF" w:tentative="1">
      <w:start w:val="1"/>
      <w:numFmt w:val="lowerRoman"/>
      <w:lvlText w:val="%3."/>
      <w:lvlJc w:val="right"/>
      <w:pPr>
        <w:tabs>
          <w:tab w:val="num" w:pos="1970"/>
        </w:tabs>
        <w:ind w:left="1970" w:hanging="180"/>
      </w:pPr>
      <w:rPr>
        <w:rFonts w:cs="Times New Roman"/>
      </w:rPr>
    </w:lvl>
    <w:lvl w:ilvl="3" w:tplc="FFFFFFFF" w:tentative="1">
      <w:start w:val="1"/>
      <w:numFmt w:val="decimal"/>
      <w:lvlText w:val="%4."/>
      <w:lvlJc w:val="left"/>
      <w:pPr>
        <w:tabs>
          <w:tab w:val="num" w:pos="2690"/>
        </w:tabs>
        <w:ind w:left="2690" w:hanging="360"/>
      </w:pPr>
      <w:rPr>
        <w:rFonts w:cs="Times New Roman"/>
      </w:rPr>
    </w:lvl>
    <w:lvl w:ilvl="4" w:tplc="FFFFFFFF" w:tentative="1">
      <w:start w:val="1"/>
      <w:numFmt w:val="lowerLetter"/>
      <w:lvlText w:val="%5."/>
      <w:lvlJc w:val="left"/>
      <w:pPr>
        <w:tabs>
          <w:tab w:val="num" w:pos="3410"/>
        </w:tabs>
        <w:ind w:left="3410" w:hanging="360"/>
      </w:pPr>
      <w:rPr>
        <w:rFonts w:cs="Times New Roman"/>
      </w:rPr>
    </w:lvl>
    <w:lvl w:ilvl="5" w:tplc="FFFFFFFF" w:tentative="1">
      <w:start w:val="1"/>
      <w:numFmt w:val="lowerRoman"/>
      <w:lvlText w:val="%6."/>
      <w:lvlJc w:val="right"/>
      <w:pPr>
        <w:tabs>
          <w:tab w:val="num" w:pos="4130"/>
        </w:tabs>
        <w:ind w:left="4130" w:hanging="180"/>
      </w:pPr>
      <w:rPr>
        <w:rFonts w:cs="Times New Roman"/>
      </w:rPr>
    </w:lvl>
    <w:lvl w:ilvl="6" w:tplc="FFFFFFFF" w:tentative="1">
      <w:start w:val="1"/>
      <w:numFmt w:val="decimal"/>
      <w:lvlText w:val="%7."/>
      <w:lvlJc w:val="left"/>
      <w:pPr>
        <w:tabs>
          <w:tab w:val="num" w:pos="4850"/>
        </w:tabs>
        <w:ind w:left="4850" w:hanging="360"/>
      </w:pPr>
      <w:rPr>
        <w:rFonts w:cs="Times New Roman"/>
      </w:rPr>
    </w:lvl>
    <w:lvl w:ilvl="7" w:tplc="FFFFFFFF" w:tentative="1">
      <w:start w:val="1"/>
      <w:numFmt w:val="lowerLetter"/>
      <w:lvlText w:val="%8."/>
      <w:lvlJc w:val="left"/>
      <w:pPr>
        <w:tabs>
          <w:tab w:val="num" w:pos="5570"/>
        </w:tabs>
        <w:ind w:left="5570" w:hanging="360"/>
      </w:pPr>
      <w:rPr>
        <w:rFonts w:cs="Times New Roman"/>
      </w:rPr>
    </w:lvl>
    <w:lvl w:ilvl="8" w:tplc="FFFFFFFF" w:tentative="1">
      <w:start w:val="1"/>
      <w:numFmt w:val="lowerRoman"/>
      <w:lvlText w:val="%9."/>
      <w:lvlJc w:val="right"/>
      <w:pPr>
        <w:tabs>
          <w:tab w:val="num" w:pos="6290"/>
        </w:tabs>
        <w:ind w:left="6290" w:hanging="180"/>
      </w:pPr>
      <w:rPr>
        <w:rFonts w:cs="Times New Roman"/>
      </w:rPr>
    </w:lvl>
  </w:abstractNum>
  <w:abstractNum w:abstractNumId="20" w15:restartNumberingAfterBreak="0">
    <w:nsid w:val="4F1E7470"/>
    <w:multiLevelType w:val="hybridMultilevel"/>
    <w:tmpl w:val="71F0821C"/>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45D3AEB"/>
    <w:multiLevelType w:val="hybridMultilevel"/>
    <w:tmpl w:val="66F2E1D0"/>
    <w:lvl w:ilvl="0" w:tplc="040C0001">
      <w:start w:val="1"/>
      <w:numFmt w:val="lowerRoman"/>
      <w:lvlText w:val="%1)"/>
      <w:lvlJc w:val="left"/>
      <w:pPr>
        <w:tabs>
          <w:tab w:val="num" w:pos="780"/>
        </w:tabs>
        <w:ind w:left="780" w:hanging="720"/>
      </w:pPr>
      <w:rPr>
        <w:rFonts w:cs="Times New Roman" w:hint="default"/>
      </w:rPr>
    </w:lvl>
    <w:lvl w:ilvl="1" w:tplc="0C090001">
      <w:start w:val="1"/>
      <w:numFmt w:val="lowerLetter"/>
      <w:lvlText w:val="%2."/>
      <w:lvlJc w:val="left"/>
      <w:pPr>
        <w:tabs>
          <w:tab w:val="num" w:pos="1140"/>
        </w:tabs>
        <w:ind w:left="1140" w:hanging="360"/>
      </w:pPr>
      <w:rPr>
        <w:rFonts w:cs="Times New Roman"/>
      </w:rPr>
    </w:lvl>
    <w:lvl w:ilvl="2" w:tplc="040C0005" w:tentative="1">
      <w:start w:val="1"/>
      <w:numFmt w:val="lowerRoman"/>
      <w:lvlText w:val="%3."/>
      <w:lvlJc w:val="right"/>
      <w:pPr>
        <w:tabs>
          <w:tab w:val="num" w:pos="1860"/>
        </w:tabs>
        <w:ind w:left="1860" w:hanging="180"/>
      </w:pPr>
      <w:rPr>
        <w:rFonts w:cs="Times New Roman"/>
      </w:rPr>
    </w:lvl>
    <w:lvl w:ilvl="3" w:tplc="040C0001" w:tentative="1">
      <w:start w:val="1"/>
      <w:numFmt w:val="decimal"/>
      <w:lvlText w:val="%4."/>
      <w:lvlJc w:val="left"/>
      <w:pPr>
        <w:tabs>
          <w:tab w:val="num" w:pos="2580"/>
        </w:tabs>
        <w:ind w:left="2580" w:hanging="360"/>
      </w:pPr>
      <w:rPr>
        <w:rFonts w:cs="Times New Roman"/>
      </w:rPr>
    </w:lvl>
    <w:lvl w:ilvl="4" w:tplc="040C0003" w:tentative="1">
      <w:start w:val="1"/>
      <w:numFmt w:val="lowerLetter"/>
      <w:lvlText w:val="%5."/>
      <w:lvlJc w:val="left"/>
      <w:pPr>
        <w:tabs>
          <w:tab w:val="num" w:pos="3300"/>
        </w:tabs>
        <w:ind w:left="3300" w:hanging="360"/>
      </w:pPr>
      <w:rPr>
        <w:rFonts w:cs="Times New Roman"/>
      </w:rPr>
    </w:lvl>
    <w:lvl w:ilvl="5" w:tplc="040C0005" w:tentative="1">
      <w:start w:val="1"/>
      <w:numFmt w:val="lowerRoman"/>
      <w:lvlText w:val="%6."/>
      <w:lvlJc w:val="right"/>
      <w:pPr>
        <w:tabs>
          <w:tab w:val="num" w:pos="4020"/>
        </w:tabs>
        <w:ind w:left="4020" w:hanging="180"/>
      </w:pPr>
      <w:rPr>
        <w:rFonts w:cs="Times New Roman"/>
      </w:rPr>
    </w:lvl>
    <w:lvl w:ilvl="6" w:tplc="040C0001" w:tentative="1">
      <w:start w:val="1"/>
      <w:numFmt w:val="decimal"/>
      <w:lvlText w:val="%7."/>
      <w:lvlJc w:val="left"/>
      <w:pPr>
        <w:tabs>
          <w:tab w:val="num" w:pos="4740"/>
        </w:tabs>
        <w:ind w:left="4740" w:hanging="360"/>
      </w:pPr>
      <w:rPr>
        <w:rFonts w:cs="Times New Roman"/>
      </w:rPr>
    </w:lvl>
    <w:lvl w:ilvl="7" w:tplc="040C0003" w:tentative="1">
      <w:start w:val="1"/>
      <w:numFmt w:val="lowerLetter"/>
      <w:lvlText w:val="%8."/>
      <w:lvlJc w:val="left"/>
      <w:pPr>
        <w:tabs>
          <w:tab w:val="num" w:pos="5460"/>
        </w:tabs>
        <w:ind w:left="5460" w:hanging="360"/>
      </w:pPr>
      <w:rPr>
        <w:rFonts w:cs="Times New Roman"/>
      </w:rPr>
    </w:lvl>
    <w:lvl w:ilvl="8" w:tplc="040C0005" w:tentative="1">
      <w:start w:val="1"/>
      <w:numFmt w:val="lowerRoman"/>
      <w:lvlText w:val="%9."/>
      <w:lvlJc w:val="right"/>
      <w:pPr>
        <w:tabs>
          <w:tab w:val="num" w:pos="6180"/>
        </w:tabs>
        <w:ind w:left="6180" w:hanging="180"/>
      </w:pPr>
      <w:rPr>
        <w:rFonts w:cs="Times New Roman"/>
      </w:rPr>
    </w:lvl>
  </w:abstractNum>
  <w:abstractNum w:abstractNumId="22" w15:restartNumberingAfterBreak="0">
    <w:nsid w:val="55957203"/>
    <w:multiLevelType w:val="multilevel"/>
    <w:tmpl w:val="BE6E1F5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774526B"/>
    <w:multiLevelType w:val="hybridMultilevel"/>
    <w:tmpl w:val="4B2E7A30"/>
    <w:lvl w:ilvl="0" w:tplc="0409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604B6700"/>
    <w:multiLevelType w:val="multilevel"/>
    <w:tmpl w:val="C6A41D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9324D3"/>
    <w:multiLevelType w:val="hybridMultilevel"/>
    <w:tmpl w:val="CA908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14083F"/>
    <w:multiLevelType w:val="hybridMultilevel"/>
    <w:tmpl w:val="16BC72EA"/>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191AB3"/>
    <w:multiLevelType w:val="hybridMultilevel"/>
    <w:tmpl w:val="03A634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7CB11B5"/>
    <w:multiLevelType w:val="multilevel"/>
    <w:tmpl w:val="A484D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995D2C"/>
    <w:multiLevelType w:val="multilevel"/>
    <w:tmpl w:val="7A5813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A6A217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1" w15:restartNumberingAfterBreak="0">
    <w:nsid w:val="6DCD195C"/>
    <w:multiLevelType w:val="hybridMultilevel"/>
    <w:tmpl w:val="6B38C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F945D20"/>
    <w:multiLevelType w:val="hybridMultilevel"/>
    <w:tmpl w:val="ADD8C09C"/>
    <w:lvl w:ilvl="0" w:tplc="FFFFFFFF">
      <w:start w:val="1"/>
      <w:numFmt w:val="decimal"/>
      <w:lvlText w:val="%1."/>
      <w:lvlJc w:val="left"/>
      <w:pPr>
        <w:tabs>
          <w:tab w:val="num" w:pos="1168"/>
        </w:tabs>
        <w:ind w:left="16" w:firstLine="576"/>
      </w:pPr>
      <w:rPr>
        <w:rFonts w:hint="default"/>
      </w:rPr>
    </w:lvl>
    <w:lvl w:ilvl="1" w:tplc="FFFFFFFF">
      <w:start w:val="1"/>
      <w:numFmt w:val="lowerLetter"/>
      <w:lvlText w:val="%2)"/>
      <w:lvlJc w:val="left"/>
      <w:pPr>
        <w:tabs>
          <w:tab w:val="num" w:pos="304"/>
        </w:tabs>
        <w:ind w:left="304" w:hanging="360"/>
      </w:pPr>
      <w:rPr>
        <w:rFonts w:hint="default"/>
      </w:rPr>
    </w:lvl>
    <w:lvl w:ilvl="2" w:tplc="FFFFFFFF">
      <w:start w:val="1"/>
      <w:numFmt w:val="lowerLetter"/>
      <w:lvlText w:val="(%3)"/>
      <w:lvlJc w:val="left"/>
      <w:pPr>
        <w:tabs>
          <w:tab w:val="num" w:pos="1744"/>
        </w:tabs>
        <w:ind w:left="1744" w:hanging="576"/>
      </w:pPr>
      <w:rPr>
        <w:rFonts w:hint="default"/>
      </w:rPr>
    </w:lvl>
    <w:lvl w:ilvl="3" w:tplc="FFFFFFFF">
      <w:start w:val="1"/>
      <w:numFmt w:val="decimal"/>
      <w:lvlText w:val="%4."/>
      <w:lvlJc w:val="left"/>
      <w:pPr>
        <w:tabs>
          <w:tab w:val="num" w:pos="1744"/>
        </w:tabs>
        <w:ind w:left="1744" w:hanging="360"/>
      </w:pPr>
    </w:lvl>
    <w:lvl w:ilvl="4" w:tplc="FFFFFFFF" w:tentative="1">
      <w:start w:val="1"/>
      <w:numFmt w:val="lowerLetter"/>
      <w:lvlText w:val="%5."/>
      <w:lvlJc w:val="left"/>
      <w:pPr>
        <w:tabs>
          <w:tab w:val="num" w:pos="2464"/>
        </w:tabs>
        <w:ind w:left="2464" w:hanging="360"/>
      </w:pPr>
    </w:lvl>
    <w:lvl w:ilvl="5" w:tplc="FFFFFFFF" w:tentative="1">
      <w:start w:val="1"/>
      <w:numFmt w:val="lowerRoman"/>
      <w:lvlText w:val="%6."/>
      <w:lvlJc w:val="right"/>
      <w:pPr>
        <w:tabs>
          <w:tab w:val="num" w:pos="3184"/>
        </w:tabs>
        <w:ind w:left="3184" w:hanging="180"/>
      </w:pPr>
    </w:lvl>
    <w:lvl w:ilvl="6" w:tplc="FFFFFFFF" w:tentative="1">
      <w:start w:val="1"/>
      <w:numFmt w:val="decimal"/>
      <w:lvlText w:val="%7."/>
      <w:lvlJc w:val="left"/>
      <w:pPr>
        <w:tabs>
          <w:tab w:val="num" w:pos="3904"/>
        </w:tabs>
        <w:ind w:left="3904" w:hanging="360"/>
      </w:pPr>
    </w:lvl>
    <w:lvl w:ilvl="7" w:tplc="FFFFFFFF" w:tentative="1">
      <w:start w:val="1"/>
      <w:numFmt w:val="lowerLetter"/>
      <w:lvlText w:val="%8."/>
      <w:lvlJc w:val="left"/>
      <w:pPr>
        <w:tabs>
          <w:tab w:val="num" w:pos="4624"/>
        </w:tabs>
        <w:ind w:left="4624" w:hanging="360"/>
      </w:pPr>
    </w:lvl>
    <w:lvl w:ilvl="8" w:tplc="FFFFFFFF" w:tentative="1">
      <w:start w:val="1"/>
      <w:numFmt w:val="lowerRoman"/>
      <w:lvlText w:val="%9."/>
      <w:lvlJc w:val="right"/>
      <w:pPr>
        <w:tabs>
          <w:tab w:val="num" w:pos="5344"/>
        </w:tabs>
        <w:ind w:left="5344" w:hanging="180"/>
      </w:pPr>
    </w:lvl>
  </w:abstractNum>
  <w:abstractNum w:abstractNumId="33" w15:restartNumberingAfterBreak="0">
    <w:nsid w:val="741B09D0"/>
    <w:multiLevelType w:val="hybridMultilevel"/>
    <w:tmpl w:val="332C6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7F95F43"/>
    <w:multiLevelType w:val="hybridMultilevel"/>
    <w:tmpl w:val="A08C90D8"/>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D37640"/>
    <w:multiLevelType w:val="hybridMultilevel"/>
    <w:tmpl w:val="9AFA0E02"/>
    <w:lvl w:ilvl="0" w:tplc="FFFFFFFF">
      <w:start w:val="10"/>
      <w:numFmt w:val="decimal"/>
      <w:lvlText w:val="%1."/>
      <w:lvlJc w:val="left"/>
      <w:pPr>
        <w:tabs>
          <w:tab w:val="num" w:pos="360"/>
        </w:tabs>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6" w15:restartNumberingAfterBreak="0">
    <w:nsid w:val="78DB32A4"/>
    <w:multiLevelType w:val="hybridMultilevel"/>
    <w:tmpl w:val="C6A41D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C5C1826"/>
    <w:multiLevelType w:val="hybridMultilevel"/>
    <w:tmpl w:val="2A1CDFF6"/>
    <w:lvl w:ilvl="0" w:tplc="04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11"/>
  </w:num>
  <w:num w:numId="4">
    <w:abstractNumId w:val="19"/>
  </w:num>
  <w:num w:numId="5">
    <w:abstractNumId w:val="20"/>
  </w:num>
  <w:num w:numId="6">
    <w:abstractNumId w:val="4"/>
  </w:num>
  <w:num w:numId="7">
    <w:abstractNumId w:val="27"/>
  </w:num>
  <w:num w:numId="8">
    <w:abstractNumId w:val="36"/>
  </w:num>
  <w:num w:numId="9">
    <w:abstractNumId w:val="7"/>
  </w:num>
  <w:num w:numId="10">
    <w:abstractNumId w:val="6"/>
  </w:num>
  <w:num w:numId="11">
    <w:abstractNumId w:val="25"/>
  </w:num>
  <w:num w:numId="12">
    <w:abstractNumId w:val="32"/>
  </w:num>
  <w:num w:numId="13">
    <w:abstractNumId w:val="1"/>
  </w:num>
  <w:num w:numId="14">
    <w:abstractNumId w:val="14"/>
  </w:num>
  <w:num w:numId="15">
    <w:abstractNumId w:val="33"/>
  </w:num>
  <w:num w:numId="16">
    <w:abstractNumId w:val="5"/>
  </w:num>
  <w:num w:numId="17">
    <w:abstractNumId w:val="31"/>
  </w:num>
  <w:num w:numId="18">
    <w:abstractNumId w:val="10"/>
  </w:num>
  <w:num w:numId="19">
    <w:abstractNumId w:val="29"/>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2"/>
  </w:num>
  <w:num w:numId="31">
    <w:abstractNumId w:val="35"/>
  </w:num>
  <w:num w:numId="32">
    <w:abstractNumId w:val="18"/>
  </w:num>
  <w:num w:numId="33">
    <w:abstractNumId w:val="26"/>
  </w:num>
  <w:num w:numId="34">
    <w:abstractNumId w:val="16"/>
  </w:num>
  <w:num w:numId="35">
    <w:abstractNumId w:val="23"/>
  </w:num>
  <w:num w:numId="36">
    <w:abstractNumId w:val="22"/>
  </w:num>
  <w:num w:numId="37">
    <w:abstractNumId w:val="9"/>
  </w:num>
  <w:num w:numId="38">
    <w:abstractNumId w:val="3"/>
  </w:num>
  <w:num w:numId="39">
    <w:abstractNumId w:val="37"/>
  </w:num>
  <w:num w:numId="40">
    <w:abstractNumId w:val="24"/>
  </w:num>
  <w:num w:numId="41">
    <w:abstractNumId w:val="8"/>
  </w:num>
  <w:num w:numId="42">
    <w:abstractNumId w:val="15"/>
  </w:num>
  <w:num w:numId="43">
    <w:abstractNumId w:val="13"/>
  </w:num>
  <w:num w:numId="44">
    <w:abstractNumId w:val="17"/>
  </w:num>
  <w:num w:numId="45">
    <w:abstractNumId w:val="28"/>
  </w:num>
  <w:num w:numId="46">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80"/>
  <w:hyphenationZone w:val="425"/>
  <w:doNotHyphenateCaps/>
  <w:evenAndOddHeader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5C2"/>
    <w:rsid w:val="000002B5"/>
    <w:rsid w:val="000003B8"/>
    <w:rsid w:val="00000A1F"/>
    <w:rsid w:val="000011BD"/>
    <w:rsid w:val="00001D7E"/>
    <w:rsid w:val="00002672"/>
    <w:rsid w:val="0000299A"/>
    <w:rsid w:val="00002AA7"/>
    <w:rsid w:val="00004816"/>
    <w:rsid w:val="00004883"/>
    <w:rsid w:val="00005800"/>
    <w:rsid w:val="00006CB1"/>
    <w:rsid w:val="00007A98"/>
    <w:rsid w:val="0001120D"/>
    <w:rsid w:val="00011ACB"/>
    <w:rsid w:val="00011E44"/>
    <w:rsid w:val="0001517E"/>
    <w:rsid w:val="00015751"/>
    <w:rsid w:val="00017F5C"/>
    <w:rsid w:val="00020022"/>
    <w:rsid w:val="000204EC"/>
    <w:rsid w:val="00021635"/>
    <w:rsid w:val="00021F37"/>
    <w:rsid w:val="00022FF5"/>
    <w:rsid w:val="000232D1"/>
    <w:rsid w:val="00024E6F"/>
    <w:rsid w:val="0002509D"/>
    <w:rsid w:val="000250B6"/>
    <w:rsid w:val="00025AA4"/>
    <w:rsid w:val="00025E75"/>
    <w:rsid w:val="00026CBD"/>
    <w:rsid w:val="00031890"/>
    <w:rsid w:val="00031E6A"/>
    <w:rsid w:val="00032225"/>
    <w:rsid w:val="000326CB"/>
    <w:rsid w:val="000345AD"/>
    <w:rsid w:val="00035378"/>
    <w:rsid w:val="00035AB3"/>
    <w:rsid w:val="00040A51"/>
    <w:rsid w:val="00040C14"/>
    <w:rsid w:val="00040D6B"/>
    <w:rsid w:val="00041A4B"/>
    <w:rsid w:val="00043067"/>
    <w:rsid w:val="000439A1"/>
    <w:rsid w:val="000441DF"/>
    <w:rsid w:val="00045A7D"/>
    <w:rsid w:val="00045D16"/>
    <w:rsid w:val="00047832"/>
    <w:rsid w:val="00047C4E"/>
    <w:rsid w:val="000510D9"/>
    <w:rsid w:val="0005295A"/>
    <w:rsid w:val="000536CB"/>
    <w:rsid w:val="00054E91"/>
    <w:rsid w:val="000554C8"/>
    <w:rsid w:val="00056FFF"/>
    <w:rsid w:val="0005736C"/>
    <w:rsid w:val="0006114D"/>
    <w:rsid w:val="000625FA"/>
    <w:rsid w:val="000633FC"/>
    <w:rsid w:val="00063B5E"/>
    <w:rsid w:val="00064304"/>
    <w:rsid w:val="000646DF"/>
    <w:rsid w:val="0006535A"/>
    <w:rsid w:val="00066285"/>
    <w:rsid w:val="00066323"/>
    <w:rsid w:val="00066BB2"/>
    <w:rsid w:val="00067290"/>
    <w:rsid w:val="00067981"/>
    <w:rsid w:val="00067EB6"/>
    <w:rsid w:val="0007014A"/>
    <w:rsid w:val="000718F1"/>
    <w:rsid w:val="00071B93"/>
    <w:rsid w:val="000728DA"/>
    <w:rsid w:val="0007364D"/>
    <w:rsid w:val="00074AB5"/>
    <w:rsid w:val="0007556B"/>
    <w:rsid w:val="00075929"/>
    <w:rsid w:val="0007660D"/>
    <w:rsid w:val="00076BD1"/>
    <w:rsid w:val="00077EAE"/>
    <w:rsid w:val="0008006F"/>
    <w:rsid w:val="000802E7"/>
    <w:rsid w:val="0008080B"/>
    <w:rsid w:val="00080C39"/>
    <w:rsid w:val="00081B64"/>
    <w:rsid w:val="00082015"/>
    <w:rsid w:val="0008399E"/>
    <w:rsid w:val="00084B6E"/>
    <w:rsid w:val="000850EB"/>
    <w:rsid w:val="000863EF"/>
    <w:rsid w:val="00086B93"/>
    <w:rsid w:val="000870E5"/>
    <w:rsid w:val="00087109"/>
    <w:rsid w:val="00092303"/>
    <w:rsid w:val="00093383"/>
    <w:rsid w:val="00094463"/>
    <w:rsid w:val="000956DC"/>
    <w:rsid w:val="000A082B"/>
    <w:rsid w:val="000A3F7C"/>
    <w:rsid w:val="000A422D"/>
    <w:rsid w:val="000A5599"/>
    <w:rsid w:val="000A598B"/>
    <w:rsid w:val="000A658C"/>
    <w:rsid w:val="000A78C0"/>
    <w:rsid w:val="000A7E1D"/>
    <w:rsid w:val="000B05F1"/>
    <w:rsid w:val="000B181F"/>
    <w:rsid w:val="000B1B2C"/>
    <w:rsid w:val="000B25C2"/>
    <w:rsid w:val="000B2961"/>
    <w:rsid w:val="000B2B73"/>
    <w:rsid w:val="000B36D8"/>
    <w:rsid w:val="000B3F81"/>
    <w:rsid w:val="000B4C82"/>
    <w:rsid w:val="000B4D45"/>
    <w:rsid w:val="000B4FC1"/>
    <w:rsid w:val="000B623A"/>
    <w:rsid w:val="000B6D27"/>
    <w:rsid w:val="000B74E4"/>
    <w:rsid w:val="000C257B"/>
    <w:rsid w:val="000C2766"/>
    <w:rsid w:val="000C2894"/>
    <w:rsid w:val="000C34CC"/>
    <w:rsid w:val="000C374F"/>
    <w:rsid w:val="000C392F"/>
    <w:rsid w:val="000C3A21"/>
    <w:rsid w:val="000C4E3C"/>
    <w:rsid w:val="000C649D"/>
    <w:rsid w:val="000C69F5"/>
    <w:rsid w:val="000C6D2D"/>
    <w:rsid w:val="000D085E"/>
    <w:rsid w:val="000D114C"/>
    <w:rsid w:val="000D16B0"/>
    <w:rsid w:val="000D1CFA"/>
    <w:rsid w:val="000D1FCE"/>
    <w:rsid w:val="000D22D3"/>
    <w:rsid w:val="000D24ED"/>
    <w:rsid w:val="000D36A0"/>
    <w:rsid w:val="000D61B2"/>
    <w:rsid w:val="000D682B"/>
    <w:rsid w:val="000D6997"/>
    <w:rsid w:val="000D7156"/>
    <w:rsid w:val="000D74CF"/>
    <w:rsid w:val="000D7A14"/>
    <w:rsid w:val="000D7B4C"/>
    <w:rsid w:val="000D7F69"/>
    <w:rsid w:val="000E02F5"/>
    <w:rsid w:val="000E088A"/>
    <w:rsid w:val="000E117D"/>
    <w:rsid w:val="000E287D"/>
    <w:rsid w:val="000E2BAE"/>
    <w:rsid w:val="000E2E28"/>
    <w:rsid w:val="000E46B3"/>
    <w:rsid w:val="000E64F3"/>
    <w:rsid w:val="000E67BA"/>
    <w:rsid w:val="000E7DF0"/>
    <w:rsid w:val="000F01E4"/>
    <w:rsid w:val="000F08B5"/>
    <w:rsid w:val="000F1523"/>
    <w:rsid w:val="000F1FA9"/>
    <w:rsid w:val="000F226B"/>
    <w:rsid w:val="000F22AA"/>
    <w:rsid w:val="000F2501"/>
    <w:rsid w:val="000F2616"/>
    <w:rsid w:val="000F2BF3"/>
    <w:rsid w:val="000F34C0"/>
    <w:rsid w:val="000F3D2C"/>
    <w:rsid w:val="000F41F4"/>
    <w:rsid w:val="000F45FE"/>
    <w:rsid w:val="000F543A"/>
    <w:rsid w:val="000F55B5"/>
    <w:rsid w:val="000F59B7"/>
    <w:rsid w:val="000F6B47"/>
    <w:rsid w:val="000F72B1"/>
    <w:rsid w:val="000F7A7F"/>
    <w:rsid w:val="000F7F25"/>
    <w:rsid w:val="001002FA"/>
    <w:rsid w:val="0010041A"/>
    <w:rsid w:val="001004F4"/>
    <w:rsid w:val="00100FA1"/>
    <w:rsid w:val="00100FDA"/>
    <w:rsid w:val="00101B7D"/>
    <w:rsid w:val="00102C2F"/>
    <w:rsid w:val="00103D77"/>
    <w:rsid w:val="00103F31"/>
    <w:rsid w:val="00104BE4"/>
    <w:rsid w:val="001061F3"/>
    <w:rsid w:val="001079E6"/>
    <w:rsid w:val="00110237"/>
    <w:rsid w:val="001106A8"/>
    <w:rsid w:val="00111E20"/>
    <w:rsid w:val="00112AC1"/>
    <w:rsid w:val="00112D11"/>
    <w:rsid w:val="00113508"/>
    <w:rsid w:val="00114183"/>
    <w:rsid w:val="001155A3"/>
    <w:rsid w:val="00115B29"/>
    <w:rsid w:val="00115CC3"/>
    <w:rsid w:val="00117457"/>
    <w:rsid w:val="00117B87"/>
    <w:rsid w:val="00117F1E"/>
    <w:rsid w:val="00120719"/>
    <w:rsid w:val="00120FA9"/>
    <w:rsid w:val="0012309B"/>
    <w:rsid w:val="00123174"/>
    <w:rsid w:val="00123301"/>
    <w:rsid w:val="00123606"/>
    <w:rsid w:val="0012534A"/>
    <w:rsid w:val="00125AAA"/>
    <w:rsid w:val="00127D9F"/>
    <w:rsid w:val="001307B1"/>
    <w:rsid w:val="001309F8"/>
    <w:rsid w:val="00133155"/>
    <w:rsid w:val="001338E7"/>
    <w:rsid w:val="00133A78"/>
    <w:rsid w:val="001343C2"/>
    <w:rsid w:val="00134C19"/>
    <w:rsid w:val="00135D89"/>
    <w:rsid w:val="0013628A"/>
    <w:rsid w:val="001367AD"/>
    <w:rsid w:val="00136ACF"/>
    <w:rsid w:val="001377B5"/>
    <w:rsid w:val="00137E47"/>
    <w:rsid w:val="001401EF"/>
    <w:rsid w:val="0014144D"/>
    <w:rsid w:val="00141F14"/>
    <w:rsid w:val="00142C0A"/>
    <w:rsid w:val="00143452"/>
    <w:rsid w:val="00143796"/>
    <w:rsid w:val="00144093"/>
    <w:rsid w:val="0014640F"/>
    <w:rsid w:val="00146C0D"/>
    <w:rsid w:val="0015083C"/>
    <w:rsid w:val="00150D22"/>
    <w:rsid w:val="00150E29"/>
    <w:rsid w:val="001517C2"/>
    <w:rsid w:val="00151B56"/>
    <w:rsid w:val="001527B5"/>
    <w:rsid w:val="001528A3"/>
    <w:rsid w:val="00152CC7"/>
    <w:rsid w:val="00153F40"/>
    <w:rsid w:val="00155158"/>
    <w:rsid w:val="00155897"/>
    <w:rsid w:val="00160AF9"/>
    <w:rsid w:val="001611C4"/>
    <w:rsid w:val="001635CB"/>
    <w:rsid w:val="00164A94"/>
    <w:rsid w:val="00165D1B"/>
    <w:rsid w:val="0016662A"/>
    <w:rsid w:val="0016684C"/>
    <w:rsid w:val="00167104"/>
    <w:rsid w:val="00170E35"/>
    <w:rsid w:val="00171B5F"/>
    <w:rsid w:val="00172B7E"/>
    <w:rsid w:val="001735F2"/>
    <w:rsid w:val="0017367D"/>
    <w:rsid w:val="00173B76"/>
    <w:rsid w:val="001740F4"/>
    <w:rsid w:val="0017435F"/>
    <w:rsid w:val="001754FE"/>
    <w:rsid w:val="001765C8"/>
    <w:rsid w:val="00177B81"/>
    <w:rsid w:val="00180328"/>
    <w:rsid w:val="00181E17"/>
    <w:rsid w:val="001826BD"/>
    <w:rsid w:val="00183640"/>
    <w:rsid w:val="00183862"/>
    <w:rsid w:val="00183910"/>
    <w:rsid w:val="00183E7A"/>
    <w:rsid w:val="001849E8"/>
    <w:rsid w:val="00187040"/>
    <w:rsid w:val="00187856"/>
    <w:rsid w:val="0019081A"/>
    <w:rsid w:val="00190D58"/>
    <w:rsid w:val="00191962"/>
    <w:rsid w:val="00191F57"/>
    <w:rsid w:val="00195804"/>
    <w:rsid w:val="00195E96"/>
    <w:rsid w:val="00196CA6"/>
    <w:rsid w:val="00196EED"/>
    <w:rsid w:val="001975FE"/>
    <w:rsid w:val="001A153C"/>
    <w:rsid w:val="001A3B27"/>
    <w:rsid w:val="001A4BE9"/>
    <w:rsid w:val="001A758D"/>
    <w:rsid w:val="001B00B1"/>
    <w:rsid w:val="001B0203"/>
    <w:rsid w:val="001B09DC"/>
    <w:rsid w:val="001B0F82"/>
    <w:rsid w:val="001B1427"/>
    <w:rsid w:val="001B1D21"/>
    <w:rsid w:val="001B4856"/>
    <w:rsid w:val="001B4960"/>
    <w:rsid w:val="001B59DD"/>
    <w:rsid w:val="001B6C52"/>
    <w:rsid w:val="001B7223"/>
    <w:rsid w:val="001B7327"/>
    <w:rsid w:val="001B7910"/>
    <w:rsid w:val="001B793A"/>
    <w:rsid w:val="001B7A50"/>
    <w:rsid w:val="001B7E13"/>
    <w:rsid w:val="001C0ED1"/>
    <w:rsid w:val="001C1142"/>
    <w:rsid w:val="001C21D2"/>
    <w:rsid w:val="001C2DA7"/>
    <w:rsid w:val="001C423E"/>
    <w:rsid w:val="001D0124"/>
    <w:rsid w:val="001D05C8"/>
    <w:rsid w:val="001D2AA7"/>
    <w:rsid w:val="001D3023"/>
    <w:rsid w:val="001D37A4"/>
    <w:rsid w:val="001D4E42"/>
    <w:rsid w:val="001D5715"/>
    <w:rsid w:val="001D57B3"/>
    <w:rsid w:val="001D581E"/>
    <w:rsid w:val="001D6AC6"/>
    <w:rsid w:val="001D766D"/>
    <w:rsid w:val="001D7AE2"/>
    <w:rsid w:val="001E0342"/>
    <w:rsid w:val="001E133A"/>
    <w:rsid w:val="001E2BD8"/>
    <w:rsid w:val="001E3306"/>
    <w:rsid w:val="001E3DC1"/>
    <w:rsid w:val="001E40D1"/>
    <w:rsid w:val="001E535B"/>
    <w:rsid w:val="001E5E54"/>
    <w:rsid w:val="001E7C4D"/>
    <w:rsid w:val="001F1EAF"/>
    <w:rsid w:val="001F21A8"/>
    <w:rsid w:val="001F49CC"/>
    <w:rsid w:val="001F5912"/>
    <w:rsid w:val="002002C5"/>
    <w:rsid w:val="00200BDF"/>
    <w:rsid w:val="00200EE1"/>
    <w:rsid w:val="00201289"/>
    <w:rsid w:val="0020184A"/>
    <w:rsid w:val="002020AA"/>
    <w:rsid w:val="00204C7D"/>
    <w:rsid w:val="00204EBC"/>
    <w:rsid w:val="00205029"/>
    <w:rsid w:val="00207782"/>
    <w:rsid w:val="00210905"/>
    <w:rsid w:val="00210CEC"/>
    <w:rsid w:val="002113B3"/>
    <w:rsid w:val="002116F6"/>
    <w:rsid w:val="002124FC"/>
    <w:rsid w:val="00212E6F"/>
    <w:rsid w:val="0021355E"/>
    <w:rsid w:val="0021406E"/>
    <w:rsid w:val="00214DED"/>
    <w:rsid w:val="00220275"/>
    <w:rsid w:val="0022091F"/>
    <w:rsid w:val="00220E4E"/>
    <w:rsid w:val="002210B3"/>
    <w:rsid w:val="002234C1"/>
    <w:rsid w:val="00224D50"/>
    <w:rsid w:val="00225AC5"/>
    <w:rsid w:val="00226B2F"/>
    <w:rsid w:val="00227491"/>
    <w:rsid w:val="00227D0D"/>
    <w:rsid w:val="00227F2E"/>
    <w:rsid w:val="00230892"/>
    <w:rsid w:val="00231970"/>
    <w:rsid w:val="00232B5F"/>
    <w:rsid w:val="00233318"/>
    <w:rsid w:val="00234175"/>
    <w:rsid w:val="00234E0D"/>
    <w:rsid w:val="00234F9B"/>
    <w:rsid w:val="002354D7"/>
    <w:rsid w:val="00235D5A"/>
    <w:rsid w:val="0023613A"/>
    <w:rsid w:val="00237314"/>
    <w:rsid w:val="002402D1"/>
    <w:rsid w:val="0024077F"/>
    <w:rsid w:val="00241147"/>
    <w:rsid w:val="00241D87"/>
    <w:rsid w:val="002437E5"/>
    <w:rsid w:val="0024383A"/>
    <w:rsid w:val="00243982"/>
    <w:rsid w:val="00243D7B"/>
    <w:rsid w:val="002445C1"/>
    <w:rsid w:val="00244B6A"/>
    <w:rsid w:val="00245180"/>
    <w:rsid w:val="0024574E"/>
    <w:rsid w:val="00245D65"/>
    <w:rsid w:val="0024685A"/>
    <w:rsid w:val="00247BB9"/>
    <w:rsid w:val="00250171"/>
    <w:rsid w:val="00250DBF"/>
    <w:rsid w:val="00251560"/>
    <w:rsid w:val="002522A3"/>
    <w:rsid w:val="0025277E"/>
    <w:rsid w:val="00252C4C"/>
    <w:rsid w:val="00253844"/>
    <w:rsid w:val="00253B54"/>
    <w:rsid w:val="00253CA8"/>
    <w:rsid w:val="00254F25"/>
    <w:rsid w:val="0025542E"/>
    <w:rsid w:val="00255524"/>
    <w:rsid w:val="0025560A"/>
    <w:rsid w:val="00260BD4"/>
    <w:rsid w:val="00260FCF"/>
    <w:rsid w:val="00261066"/>
    <w:rsid w:val="0026159C"/>
    <w:rsid w:val="00261DA1"/>
    <w:rsid w:val="00263F75"/>
    <w:rsid w:val="00263FD8"/>
    <w:rsid w:val="00265B04"/>
    <w:rsid w:val="00266385"/>
    <w:rsid w:val="002663FF"/>
    <w:rsid w:val="00266678"/>
    <w:rsid w:val="002667C8"/>
    <w:rsid w:val="002713F3"/>
    <w:rsid w:val="002765C1"/>
    <w:rsid w:val="0027732D"/>
    <w:rsid w:val="002807DD"/>
    <w:rsid w:val="00280BE0"/>
    <w:rsid w:val="002822C5"/>
    <w:rsid w:val="002834E9"/>
    <w:rsid w:val="0028401E"/>
    <w:rsid w:val="00284C6E"/>
    <w:rsid w:val="00285040"/>
    <w:rsid w:val="00285472"/>
    <w:rsid w:val="002858C3"/>
    <w:rsid w:val="00285A83"/>
    <w:rsid w:val="00286C4F"/>
    <w:rsid w:val="00286DCF"/>
    <w:rsid w:val="002873C0"/>
    <w:rsid w:val="00287CD8"/>
    <w:rsid w:val="002907E7"/>
    <w:rsid w:val="00291076"/>
    <w:rsid w:val="002924D0"/>
    <w:rsid w:val="00292924"/>
    <w:rsid w:val="00293037"/>
    <w:rsid w:val="0029352C"/>
    <w:rsid w:val="00294254"/>
    <w:rsid w:val="002942A8"/>
    <w:rsid w:val="00295FB6"/>
    <w:rsid w:val="00295FF2"/>
    <w:rsid w:val="0029764D"/>
    <w:rsid w:val="002979B2"/>
    <w:rsid w:val="002A0623"/>
    <w:rsid w:val="002A08AB"/>
    <w:rsid w:val="002A0BDB"/>
    <w:rsid w:val="002A1695"/>
    <w:rsid w:val="002A2B72"/>
    <w:rsid w:val="002A41A0"/>
    <w:rsid w:val="002A5729"/>
    <w:rsid w:val="002A6061"/>
    <w:rsid w:val="002A6B91"/>
    <w:rsid w:val="002A6C96"/>
    <w:rsid w:val="002A6EEC"/>
    <w:rsid w:val="002A732E"/>
    <w:rsid w:val="002B0F25"/>
    <w:rsid w:val="002B2F50"/>
    <w:rsid w:val="002B3F30"/>
    <w:rsid w:val="002B4134"/>
    <w:rsid w:val="002B439E"/>
    <w:rsid w:val="002B4A81"/>
    <w:rsid w:val="002B573B"/>
    <w:rsid w:val="002B590A"/>
    <w:rsid w:val="002B5FF0"/>
    <w:rsid w:val="002B6023"/>
    <w:rsid w:val="002B6D3A"/>
    <w:rsid w:val="002B6DD1"/>
    <w:rsid w:val="002B749B"/>
    <w:rsid w:val="002B791D"/>
    <w:rsid w:val="002B7CB5"/>
    <w:rsid w:val="002C06DF"/>
    <w:rsid w:val="002C0A33"/>
    <w:rsid w:val="002C2F9B"/>
    <w:rsid w:val="002C3202"/>
    <w:rsid w:val="002C34D4"/>
    <w:rsid w:val="002C37CE"/>
    <w:rsid w:val="002C6601"/>
    <w:rsid w:val="002C6E31"/>
    <w:rsid w:val="002C702A"/>
    <w:rsid w:val="002C7EEC"/>
    <w:rsid w:val="002D0261"/>
    <w:rsid w:val="002D14B8"/>
    <w:rsid w:val="002D1CA2"/>
    <w:rsid w:val="002D2101"/>
    <w:rsid w:val="002D422F"/>
    <w:rsid w:val="002D4CDD"/>
    <w:rsid w:val="002D66BC"/>
    <w:rsid w:val="002D6CC1"/>
    <w:rsid w:val="002E12FB"/>
    <w:rsid w:val="002E17BD"/>
    <w:rsid w:val="002E2011"/>
    <w:rsid w:val="002E2D3E"/>
    <w:rsid w:val="002E3429"/>
    <w:rsid w:val="002E3F3D"/>
    <w:rsid w:val="002E40B8"/>
    <w:rsid w:val="002E4260"/>
    <w:rsid w:val="002E4877"/>
    <w:rsid w:val="002E5378"/>
    <w:rsid w:val="002E578B"/>
    <w:rsid w:val="002E6128"/>
    <w:rsid w:val="002E65A5"/>
    <w:rsid w:val="002E67FB"/>
    <w:rsid w:val="002E7047"/>
    <w:rsid w:val="002E7B05"/>
    <w:rsid w:val="002F0999"/>
    <w:rsid w:val="002F144A"/>
    <w:rsid w:val="002F153E"/>
    <w:rsid w:val="002F41A2"/>
    <w:rsid w:val="002F466D"/>
    <w:rsid w:val="002F4D34"/>
    <w:rsid w:val="002F530B"/>
    <w:rsid w:val="002F58B2"/>
    <w:rsid w:val="002F6DFE"/>
    <w:rsid w:val="002F7462"/>
    <w:rsid w:val="002F7B52"/>
    <w:rsid w:val="0030097D"/>
    <w:rsid w:val="00300B07"/>
    <w:rsid w:val="00300B63"/>
    <w:rsid w:val="00300FB5"/>
    <w:rsid w:val="003027EE"/>
    <w:rsid w:val="00303180"/>
    <w:rsid w:val="003031BD"/>
    <w:rsid w:val="00303CFC"/>
    <w:rsid w:val="00304B87"/>
    <w:rsid w:val="003068A8"/>
    <w:rsid w:val="00306F13"/>
    <w:rsid w:val="003072D2"/>
    <w:rsid w:val="003079B9"/>
    <w:rsid w:val="00310180"/>
    <w:rsid w:val="00310912"/>
    <w:rsid w:val="00311AD9"/>
    <w:rsid w:val="0031222D"/>
    <w:rsid w:val="00312654"/>
    <w:rsid w:val="003129AA"/>
    <w:rsid w:val="00312C96"/>
    <w:rsid w:val="00312E91"/>
    <w:rsid w:val="003133A4"/>
    <w:rsid w:val="00313E7D"/>
    <w:rsid w:val="003150E9"/>
    <w:rsid w:val="003159A8"/>
    <w:rsid w:val="00316075"/>
    <w:rsid w:val="00316181"/>
    <w:rsid w:val="003163B5"/>
    <w:rsid w:val="003169F2"/>
    <w:rsid w:val="00317A96"/>
    <w:rsid w:val="00320375"/>
    <w:rsid w:val="00320C1C"/>
    <w:rsid w:val="0032120F"/>
    <w:rsid w:val="00321F31"/>
    <w:rsid w:val="00322528"/>
    <w:rsid w:val="00322F2B"/>
    <w:rsid w:val="003233D7"/>
    <w:rsid w:val="003235D3"/>
    <w:rsid w:val="003249EE"/>
    <w:rsid w:val="00327D4E"/>
    <w:rsid w:val="00331C9C"/>
    <w:rsid w:val="003322BA"/>
    <w:rsid w:val="00332A99"/>
    <w:rsid w:val="00334122"/>
    <w:rsid w:val="00334934"/>
    <w:rsid w:val="00334DBD"/>
    <w:rsid w:val="00336359"/>
    <w:rsid w:val="00336D32"/>
    <w:rsid w:val="00336F94"/>
    <w:rsid w:val="00340820"/>
    <w:rsid w:val="00340D60"/>
    <w:rsid w:val="00340F94"/>
    <w:rsid w:val="0034143E"/>
    <w:rsid w:val="00341BC0"/>
    <w:rsid w:val="00342E2C"/>
    <w:rsid w:val="00345318"/>
    <w:rsid w:val="00345E7F"/>
    <w:rsid w:val="00346089"/>
    <w:rsid w:val="003467C6"/>
    <w:rsid w:val="00347656"/>
    <w:rsid w:val="00350BCF"/>
    <w:rsid w:val="00351105"/>
    <w:rsid w:val="003528D7"/>
    <w:rsid w:val="00352E9D"/>
    <w:rsid w:val="003531E6"/>
    <w:rsid w:val="003536A0"/>
    <w:rsid w:val="00355929"/>
    <w:rsid w:val="00356EBB"/>
    <w:rsid w:val="003572A5"/>
    <w:rsid w:val="0035760E"/>
    <w:rsid w:val="00357820"/>
    <w:rsid w:val="00357FC5"/>
    <w:rsid w:val="003600DC"/>
    <w:rsid w:val="0036087C"/>
    <w:rsid w:val="003626EB"/>
    <w:rsid w:val="003627EE"/>
    <w:rsid w:val="00362C65"/>
    <w:rsid w:val="00363DC2"/>
    <w:rsid w:val="00363F9B"/>
    <w:rsid w:val="003641DD"/>
    <w:rsid w:val="00364869"/>
    <w:rsid w:val="00365344"/>
    <w:rsid w:val="00365366"/>
    <w:rsid w:val="003655C2"/>
    <w:rsid w:val="00365D08"/>
    <w:rsid w:val="00367460"/>
    <w:rsid w:val="00367FFB"/>
    <w:rsid w:val="003708AD"/>
    <w:rsid w:val="00370B34"/>
    <w:rsid w:val="0037138E"/>
    <w:rsid w:val="00371A56"/>
    <w:rsid w:val="003727E2"/>
    <w:rsid w:val="00372838"/>
    <w:rsid w:val="003738C7"/>
    <w:rsid w:val="00373A85"/>
    <w:rsid w:val="003753FB"/>
    <w:rsid w:val="003764B6"/>
    <w:rsid w:val="00377E91"/>
    <w:rsid w:val="003805AF"/>
    <w:rsid w:val="0038126D"/>
    <w:rsid w:val="00381381"/>
    <w:rsid w:val="0038178A"/>
    <w:rsid w:val="00382041"/>
    <w:rsid w:val="00383131"/>
    <w:rsid w:val="00383745"/>
    <w:rsid w:val="0038379E"/>
    <w:rsid w:val="003850A4"/>
    <w:rsid w:val="00386E44"/>
    <w:rsid w:val="00387191"/>
    <w:rsid w:val="0038722C"/>
    <w:rsid w:val="003915E5"/>
    <w:rsid w:val="00392C6A"/>
    <w:rsid w:val="003945DB"/>
    <w:rsid w:val="003945FA"/>
    <w:rsid w:val="00394A05"/>
    <w:rsid w:val="00396DF7"/>
    <w:rsid w:val="00397A48"/>
    <w:rsid w:val="003A0A3A"/>
    <w:rsid w:val="003A0B3F"/>
    <w:rsid w:val="003A1860"/>
    <w:rsid w:val="003A2233"/>
    <w:rsid w:val="003A30C7"/>
    <w:rsid w:val="003A31F0"/>
    <w:rsid w:val="003A3E5F"/>
    <w:rsid w:val="003A417B"/>
    <w:rsid w:val="003A4724"/>
    <w:rsid w:val="003A4A6E"/>
    <w:rsid w:val="003A4B02"/>
    <w:rsid w:val="003A753F"/>
    <w:rsid w:val="003B015C"/>
    <w:rsid w:val="003B2058"/>
    <w:rsid w:val="003B2F2A"/>
    <w:rsid w:val="003B4FA8"/>
    <w:rsid w:val="003B66EF"/>
    <w:rsid w:val="003B674C"/>
    <w:rsid w:val="003B687E"/>
    <w:rsid w:val="003B6890"/>
    <w:rsid w:val="003B6A8A"/>
    <w:rsid w:val="003C016D"/>
    <w:rsid w:val="003C06B0"/>
    <w:rsid w:val="003C0E77"/>
    <w:rsid w:val="003C212E"/>
    <w:rsid w:val="003C25A2"/>
    <w:rsid w:val="003C2FDE"/>
    <w:rsid w:val="003C33A3"/>
    <w:rsid w:val="003C3F25"/>
    <w:rsid w:val="003C4D11"/>
    <w:rsid w:val="003C528F"/>
    <w:rsid w:val="003C583E"/>
    <w:rsid w:val="003C65B6"/>
    <w:rsid w:val="003C6AC1"/>
    <w:rsid w:val="003C7C85"/>
    <w:rsid w:val="003D10FD"/>
    <w:rsid w:val="003D3675"/>
    <w:rsid w:val="003D4CDB"/>
    <w:rsid w:val="003D51BD"/>
    <w:rsid w:val="003D576D"/>
    <w:rsid w:val="003D5E18"/>
    <w:rsid w:val="003D6611"/>
    <w:rsid w:val="003D6B56"/>
    <w:rsid w:val="003D7E0A"/>
    <w:rsid w:val="003D7FE2"/>
    <w:rsid w:val="003E098A"/>
    <w:rsid w:val="003E0E10"/>
    <w:rsid w:val="003E11F0"/>
    <w:rsid w:val="003E287F"/>
    <w:rsid w:val="003E4043"/>
    <w:rsid w:val="003E47A4"/>
    <w:rsid w:val="003E48BF"/>
    <w:rsid w:val="003E49D6"/>
    <w:rsid w:val="003E4C90"/>
    <w:rsid w:val="003E553C"/>
    <w:rsid w:val="003E63A3"/>
    <w:rsid w:val="003E66DE"/>
    <w:rsid w:val="003E6787"/>
    <w:rsid w:val="003F021F"/>
    <w:rsid w:val="003F1632"/>
    <w:rsid w:val="003F32D0"/>
    <w:rsid w:val="003F36E6"/>
    <w:rsid w:val="003F384D"/>
    <w:rsid w:val="003F3DEE"/>
    <w:rsid w:val="003F498E"/>
    <w:rsid w:val="003F4A0C"/>
    <w:rsid w:val="003F4A12"/>
    <w:rsid w:val="003F68EE"/>
    <w:rsid w:val="00400A4D"/>
    <w:rsid w:val="00400BFA"/>
    <w:rsid w:val="00402D1E"/>
    <w:rsid w:val="00402D72"/>
    <w:rsid w:val="00403D30"/>
    <w:rsid w:val="0040432B"/>
    <w:rsid w:val="004047BD"/>
    <w:rsid w:val="00404D5B"/>
    <w:rsid w:val="00410122"/>
    <w:rsid w:val="00411520"/>
    <w:rsid w:val="0041194D"/>
    <w:rsid w:val="004120DA"/>
    <w:rsid w:val="00415442"/>
    <w:rsid w:val="0041605C"/>
    <w:rsid w:val="004161A2"/>
    <w:rsid w:val="0041748A"/>
    <w:rsid w:val="0041789A"/>
    <w:rsid w:val="004227E6"/>
    <w:rsid w:val="004229CA"/>
    <w:rsid w:val="00422B9B"/>
    <w:rsid w:val="004233CC"/>
    <w:rsid w:val="004250AA"/>
    <w:rsid w:val="004255C3"/>
    <w:rsid w:val="00425946"/>
    <w:rsid w:val="0042606F"/>
    <w:rsid w:val="00426600"/>
    <w:rsid w:val="00426B0C"/>
    <w:rsid w:val="004274EB"/>
    <w:rsid w:val="00427A58"/>
    <w:rsid w:val="00427C03"/>
    <w:rsid w:val="00427CCB"/>
    <w:rsid w:val="00427EF4"/>
    <w:rsid w:val="00430781"/>
    <w:rsid w:val="00431510"/>
    <w:rsid w:val="00431814"/>
    <w:rsid w:val="004327DA"/>
    <w:rsid w:val="00433A46"/>
    <w:rsid w:val="004345CC"/>
    <w:rsid w:val="00434796"/>
    <w:rsid w:val="00435676"/>
    <w:rsid w:val="004362E0"/>
    <w:rsid w:val="00436382"/>
    <w:rsid w:val="004363D7"/>
    <w:rsid w:val="00436C7F"/>
    <w:rsid w:val="00436E7F"/>
    <w:rsid w:val="004376D6"/>
    <w:rsid w:val="00437AFC"/>
    <w:rsid w:val="00437FEA"/>
    <w:rsid w:val="00441808"/>
    <w:rsid w:val="004432B1"/>
    <w:rsid w:val="00443753"/>
    <w:rsid w:val="00443C56"/>
    <w:rsid w:val="00444054"/>
    <w:rsid w:val="00444509"/>
    <w:rsid w:val="00444874"/>
    <w:rsid w:val="00444A39"/>
    <w:rsid w:val="00444C56"/>
    <w:rsid w:val="00445A8F"/>
    <w:rsid w:val="00446D89"/>
    <w:rsid w:val="00447000"/>
    <w:rsid w:val="004518CB"/>
    <w:rsid w:val="00451CAF"/>
    <w:rsid w:val="004523BF"/>
    <w:rsid w:val="0045553D"/>
    <w:rsid w:val="004559DF"/>
    <w:rsid w:val="0045667E"/>
    <w:rsid w:val="00456B00"/>
    <w:rsid w:val="00456DA9"/>
    <w:rsid w:val="004605E4"/>
    <w:rsid w:val="004614F3"/>
    <w:rsid w:val="004619D3"/>
    <w:rsid w:val="0046444E"/>
    <w:rsid w:val="00464C3C"/>
    <w:rsid w:val="004651F0"/>
    <w:rsid w:val="00466367"/>
    <w:rsid w:val="004664BC"/>
    <w:rsid w:val="004670E0"/>
    <w:rsid w:val="004701D2"/>
    <w:rsid w:val="00471F32"/>
    <w:rsid w:val="00472265"/>
    <w:rsid w:val="00472BDC"/>
    <w:rsid w:val="00472CAA"/>
    <w:rsid w:val="00473278"/>
    <w:rsid w:val="00473BE5"/>
    <w:rsid w:val="00474B89"/>
    <w:rsid w:val="004755C7"/>
    <w:rsid w:val="00476610"/>
    <w:rsid w:val="00477007"/>
    <w:rsid w:val="00477015"/>
    <w:rsid w:val="00477934"/>
    <w:rsid w:val="00477E01"/>
    <w:rsid w:val="00481110"/>
    <w:rsid w:val="00482A74"/>
    <w:rsid w:val="00482F2B"/>
    <w:rsid w:val="00483DD4"/>
    <w:rsid w:val="0048506B"/>
    <w:rsid w:val="0048554C"/>
    <w:rsid w:val="0048594A"/>
    <w:rsid w:val="0048609D"/>
    <w:rsid w:val="004865BD"/>
    <w:rsid w:val="00486A0B"/>
    <w:rsid w:val="00487CFF"/>
    <w:rsid w:val="00490078"/>
    <w:rsid w:val="00490EC9"/>
    <w:rsid w:val="00491733"/>
    <w:rsid w:val="00493D05"/>
    <w:rsid w:val="00494802"/>
    <w:rsid w:val="004953FF"/>
    <w:rsid w:val="004967A6"/>
    <w:rsid w:val="004969F9"/>
    <w:rsid w:val="004973C0"/>
    <w:rsid w:val="004A01F9"/>
    <w:rsid w:val="004A0E5F"/>
    <w:rsid w:val="004A13CB"/>
    <w:rsid w:val="004A21B7"/>
    <w:rsid w:val="004A2521"/>
    <w:rsid w:val="004A38C3"/>
    <w:rsid w:val="004A41EF"/>
    <w:rsid w:val="004A4C65"/>
    <w:rsid w:val="004A57F0"/>
    <w:rsid w:val="004A590F"/>
    <w:rsid w:val="004A71E3"/>
    <w:rsid w:val="004A73B8"/>
    <w:rsid w:val="004B0524"/>
    <w:rsid w:val="004B0757"/>
    <w:rsid w:val="004B07CF"/>
    <w:rsid w:val="004B0ADA"/>
    <w:rsid w:val="004B1379"/>
    <w:rsid w:val="004B1393"/>
    <w:rsid w:val="004B14FD"/>
    <w:rsid w:val="004B3C87"/>
    <w:rsid w:val="004B5383"/>
    <w:rsid w:val="004B5D98"/>
    <w:rsid w:val="004B781C"/>
    <w:rsid w:val="004B78EB"/>
    <w:rsid w:val="004C06DD"/>
    <w:rsid w:val="004C17B7"/>
    <w:rsid w:val="004C2C09"/>
    <w:rsid w:val="004C2C8A"/>
    <w:rsid w:val="004C3B46"/>
    <w:rsid w:val="004C4AEE"/>
    <w:rsid w:val="004C4DA7"/>
    <w:rsid w:val="004C59CA"/>
    <w:rsid w:val="004C72F4"/>
    <w:rsid w:val="004C777A"/>
    <w:rsid w:val="004C7E45"/>
    <w:rsid w:val="004D0B4A"/>
    <w:rsid w:val="004D14B0"/>
    <w:rsid w:val="004D1791"/>
    <w:rsid w:val="004D1E56"/>
    <w:rsid w:val="004D20A7"/>
    <w:rsid w:val="004D33A5"/>
    <w:rsid w:val="004D3D23"/>
    <w:rsid w:val="004D3FBF"/>
    <w:rsid w:val="004D5D24"/>
    <w:rsid w:val="004D6151"/>
    <w:rsid w:val="004D77C3"/>
    <w:rsid w:val="004E0429"/>
    <w:rsid w:val="004E182A"/>
    <w:rsid w:val="004E1C12"/>
    <w:rsid w:val="004E296C"/>
    <w:rsid w:val="004E2C95"/>
    <w:rsid w:val="004E338B"/>
    <w:rsid w:val="004E447A"/>
    <w:rsid w:val="004E63E1"/>
    <w:rsid w:val="004E6A75"/>
    <w:rsid w:val="004E756C"/>
    <w:rsid w:val="004F00F7"/>
    <w:rsid w:val="004F0239"/>
    <w:rsid w:val="004F1DE6"/>
    <w:rsid w:val="004F302E"/>
    <w:rsid w:val="004F3DCD"/>
    <w:rsid w:val="004F5D91"/>
    <w:rsid w:val="004F7094"/>
    <w:rsid w:val="004F70F9"/>
    <w:rsid w:val="004F7830"/>
    <w:rsid w:val="00500F07"/>
    <w:rsid w:val="00501205"/>
    <w:rsid w:val="00501812"/>
    <w:rsid w:val="00501DC3"/>
    <w:rsid w:val="00502336"/>
    <w:rsid w:val="00503564"/>
    <w:rsid w:val="00504A8D"/>
    <w:rsid w:val="005050AD"/>
    <w:rsid w:val="00505AE6"/>
    <w:rsid w:val="00505B09"/>
    <w:rsid w:val="005065D3"/>
    <w:rsid w:val="00506A4E"/>
    <w:rsid w:val="00507126"/>
    <w:rsid w:val="00507388"/>
    <w:rsid w:val="005106D4"/>
    <w:rsid w:val="00511F3E"/>
    <w:rsid w:val="005131B2"/>
    <w:rsid w:val="00513F16"/>
    <w:rsid w:val="00514802"/>
    <w:rsid w:val="00514C23"/>
    <w:rsid w:val="00515217"/>
    <w:rsid w:val="005155CF"/>
    <w:rsid w:val="00515758"/>
    <w:rsid w:val="00516182"/>
    <w:rsid w:val="005170E3"/>
    <w:rsid w:val="0052032A"/>
    <w:rsid w:val="00521070"/>
    <w:rsid w:val="005220FC"/>
    <w:rsid w:val="00522255"/>
    <w:rsid w:val="00522411"/>
    <w:rsid w:val="005225E0"/>
    <w:rsid w:val="00522616"/>
    <w:rsid w:val="00525656"/>
    <w:rsid w:val="0052634B"/>
    <w:rsid w:val="005269A4"/>
    <w:rsid w:val="00526A39"/>
    <w:rsid w:val="00531AD2"/>
    <w:rsid w:val="0053337D"/>
    <w:rsid w:val="00534B35"/>
    <w:rsid w:val="005357A2"/>
    <w:rsid w:val="00535889"/>
    <w:rsid w:val="005368A6"/>
    <w:rsid w:val="00536FDA"/>
    <w:rsid w:val="00540B95"/>
    <w:rsid w:val="00540C18"/>
    <w:rsid w:val="00540CAC"/>
    <w:rsid w:val="0054146F"/>
    <w:rsid w:val="005417D0"/>
    <w:rsid w:val="005419C4"/>
    <w:rsid w:val="00541D86"/>
    <w:rsid w:val="0054210F"/>
    <w:rsid w:val="005434AD"/>
    <w:rsid w:val="00544677"/>
    <w:rsid w:val="00545766"/>
    <w:rsid w:val="00545982"/>
    <w:rsid w:val="00546796"/>
    <w:rsid w:val="005468CE"/>
    <w:rsid w:val="00546F09"/>
    <w:rsid w:val="0054773F"/>
    <w:rsid w:val="00547775"/>
    <w:rsid w:val="00547A7C"/>
    <w:rsid w:val="00547C1D"/>
    <w:rsid w:val="00550428"/>
    <w:rsid w:val="00551540"/>
    <w:rsid w:val="0055272D"/>
    <w:rsid w:val="00552E6C"/>
    <w:rsid w:val="005531BB"/>
    <w:rsid w:val="00553525"/>
    <w:rsid w:val="00553744"/>
    <w:rsid w:val="005542A1"/>
    <w:rsid w:val="005546D5"/>
    <w:rsid w:val="00554E5E"/>
    <w:rsid w:val="005559BD"/>
    <w:rsid w:val="00556792"/>
    <w:rsid w:val="00556E72"/>
    <w:rsid w:val="0055770C"/>
    <w:rsid w:val="00557A05"/>
    <w:rsid w:val="00557D01"/>
    <w:rsid w:val="00560252"/>
    <w:rsid w:val="005618A5"/>
    <w:rsid w:val="00562698"/>
    <w:rsid w:val="00563BC0"/>
    <w:rsid w:val="005641C1"/>
    <w:rsid w:val="00564876"/>
    <w:rsid w:val="00564CAA"/>
    <w:rsid w:val="00565A28"/>
    <w:rsid w:val="00566586"/>
    <w:rsid w:val="00566DB0"/>
    <w:rsid w:val="00566EFF"/>
    <w:rsid w:val="00567870"/>
    <w:rsid w:val="00567A7A"/>
    <w:rsid w:val="00570F3B"/>
    <w:rsid w:val="0057107C"/>
    <w:rsid w:val="00572CF1"/>
    <w:rsid w:val="00577823"/>
    <w:rsid w:val="005778DC"/>
    <w:rsid w:val="00583686"/>
    <w:rsid w:val="00583990"/>
    <w:rsid w:val="005846EB"/>
    <w:rsid w:val="005848FC"/>
    <w:rsid w:val="00585EF9"/>
    <w:rsid w:val="00587835"/>
    <w:rsid w:val="00590634"/>
    <w:rsid w:val="00590C61"/>
    <w:rsid w:val="00590CE2"/>
    <w:rsid w:val="00590DFE"/>
    <w:rsid w:val="00591341"/>
    <w:rsid w:val="005914CA"/>
    <w:rsid w:val="00592954"/>
    <w:rsid w:val="00594178"/>
    <w:rsid w:val="0059516F"/>
    <w:rsid w:val="00595981"/>
    <w:rsid w:val="00595A60"/>
    <w:rsid w:val="00595FF9"/>
    <w:rsid w:val="005968CA"/>
    <w:rsid w:val="00597761"/>
    <w:rsid w:val="005A09A2"/>
    <w:rsid w:val="005A0D30"/>
    <w:rsid w:val="005A1DE7"/>
    <w:rsid w:val="005A2D43"/>
    <w:rsid w:val="005A44A9"/>
    <w:rsid w:val="005A4748"/>
    <w:rsid w:val="005A573D"/>
    <w:rsid w:val="005A6D88"/>
    <w:rsid w:val="005A7434"/>
    <w:rsid w:val="005A7BDB"/>
    <w:rsid w:val="005B19E1"/>
    <w:rsid w:val="005B1B89"/>
    <w:rsid w:val="005B222B"/>
    <w:rsid w:val="005B492F"/>
    <w:rsid w:val="005B4D37"/>
    <w:rsid w:val="005B55D2"/>
    <w:rsid w:val="005B6628"/>
    <w:rsid w:val="005B6AA1"/>
    <w:rsid w:val="005B7599"/>
    <w:rsid w:val="005C0B14"/>
    <w:rsid w:val="005C12FD"/>
    <w:rsid w:val="005C2B42"/>
    <w:rsid w:val="005C34DE"/>
    <w:rsid w:val="005C364D"/>
    <w:rsid w:val="005C36E1"/>
    <w:rsid w:val="005C3774"/>
    <w:rsid w:val="005C6C07"/>
    <w:rsid w:val="005C7FC1"/>
    <w:rsid w:val="005D1109"/>
    <w:rsid w:val="005D1AFA"/>
    <w:rsid w:val="005D38EF"/>
    <w:rsid w:val="005D49A2"/>
    <w:rsid w:val="005D5093"/>
    <w:rsid w:val="005D64E7"/>
    <w:rsid w:val="005D6928"/>
    <w:rsid w:val="005D6D59"/>
    <w:rsid w:val="005D7973"/>
    <w:rsid w:val="005D7CF3"/>
    <w:rsid w:val="005D7D58"/>
    <w:rsid w:val="005E01F4"/>
    <w:rsid w:val="005E0957"/>
    <w:rsid w:val="005E16D1"/>
    <w:rsid w:val="005E17C0"/>
    <w:rsid w:val="005E1B68"/>
    <w:rsid w:val="005E1EA8"/>
    <w:rsid w:val="005E2A42"/>
    <w:rsid w:val="005E329A"/>
    <w:rsid w:val="005E4D1D"/>
    <w:rsid w:val="005E5097"/>
    <w:rsid w:val="005E5195"/>
    <w:rsid w:val="005E61A1"/>
    <w:rsid w:val="005E71EF"/>
    <w:rsid w:val="005F0138"/>
    <w:rsid w:val="005F2303"/>
    <w:rsid w:val="005F2858"/>
    <w:rsid w:val="005F2AA2"/>
    <w:rsid w:val="005F370C"/>
    <w:rsid w:val="005F38BD"/>
    <w:rsid w:val="005F4B01"/>
    <w:rsid w:val="005F4B8C"/>
    <w:rsid w:val="005F51F9"/>
    <w:rsid w:val="005F54E9"/>
    <w:rsid w:val="005F6454"/>
    <w:rsid w:val="005F6B4F"/>
    <w:rsid w:val="005F72D6"/>
    <w:rsid w:val="0060032B"/>
    <w:rsid w:val="00600BFB"/>
    <w:rsid w:val="00600E07"/>
    <w:rsid w:val="006016F3"/>
    <w:rsid w:val="00602A8C"/>
    <w:rsid w:val="00603B9B"/>
    <w:rsid w:val="006050EB"/>
    <w:rsid w:val="0060700A"/>
    <w:rsid w:val="00610E79"/>
    <w:rsid w:val="00613936"/>
    <w:rsid w:val="00613A86"/>
    <w:rsid w:val="006141A5"/>
    <w:rsid w:val="006147A9"/>
    <w:rsid w:val="00614C6A"/>
    <w:rsid w:val="006151AC"/>
    <w:rsid w:val="0061598A"/>
    <w:rsid w:val="006171B3"/>
    <w:rsid w:val="0061723B"/>
    <w:rsid w:val="006204AE"/>
    <w:rsid w:val="00620671"/>
    <w:rsid w:val="00620B3C"/>
    <w:rsid w:val="0062341C"/>
    <w:rsid w:val="00623C2F"/>
    <w:rsid w:val="0062421F"/>
    <w:rsid w:val="0062609D"/>
    <w:rsid w:val="006260D1"/>
    <w:rsid w:val="0062740D"/>
    <w:rsid w:val="00630DB1"/>
    <w:rsid w:val="00631CBB"/>
    <w:rsid w:val="006322A2"/>
    <w:rsid w:val="00632F1E"/>
    <w:rsid w:val="0063336A"/>
    <w:rsid w:val="00635440"/>
    <w:rsid w:val="006361D8"/>
    <w:rsid w:val="006365B7"/>
    <w:rsid w:val="00636A32"/>
    <w:rsid w:val="0064077E"/>
    <w:rsid w:val="00640F7F"/>
    <w:rsid w:val="00644C50"/>
    <w:rsid w:val="00644DA4"/>
    <w:rsid w:val="00645769"/>
    <w:rsid w:val="00646A37"/>
    <w:rsid w:val="00646B2D"/>
    <w:rsid w:val="00646C40"/>
    <w:rsid w:val="006514F2"/>
    <w:rsid w:val="00651F65"/>
    <w:rsid w:val="00653126"/>
    <w:rsid w:val="006539E5"/>
    <w:rsid w:val="00653B3A"/>
    <w:rsid w:val="00654D93"/>
    <w:rsid w:val="00654E33"/>
    <w:rsid w:val="00654F00"/>
    <w:rsid w:val="00655481"/>
    <w:rsid w:val="00655D62"/>
    <w:rsid w:val="00656ACA"/>
    <w:rsid w:val="00656BE3"/>
    <w:rsid w:val="00657F6B"/>
    <w:rsid w:val="006621C4"/>
    <w:rsid w:val="00662AB3"/>
    <w:rsid w:val="00662FFC"/>
    <w:rsid w:val="00663C35"/>
    <w:rsid w:val="00664A02"/>
    <w:rsid w:val="006655CA"/>
    <w:rsid w:val="00665E90"/>
    <w:rsid w:val="006674C5"/>
    <w:rsid w:val="00667530"/>
    <w:rsid w:val="006676EF"/>
    <w:rsid w:val="006700B1"/>
    <w:rsid w:val="0067064F"/>
    <w:rsid w:val="00670CCE"/>
    <w:rsid w:val="0067223F"/>
    <w:rsid w:val="00673ED0"/>
    <w:rsid w:val="006744E9"/>
    <w:rsid w:val="0067483C"/>
    <w:rsid w:val="00674A6D"/>
    <w:rsid w:val="00675B58"/>
    <w:rsid w:val="0067765E"/>
    <w:rsid w:val="00681ECA"/>
    <w:rsid w:val="006823D4"/>
    <w:rsid w:val="00682496"/>
    <w:rsid w:val="006827A3"/>
    <w:rsid w:val="006827C5"/>
    <w:rsid w:val="0068282A"/>
    <w:rsid w:val="006837ED"/>
    <w:rsid w:val="00684E97"/>
    <w:rsid w:val="00685C3F"/>
    <w:rsid w:val="00686E3D"/>
    <w:rsid w:val="00687D8A"/>
    <w:rsid w:val="00692982"/>
    <w:rsid w:val="00692B96"/>
    <w:rsid w:val="006939EE"/>
    <w:rsid w:val="00693C78"/>
    <w:rsid w:val="00693E69"/>
    <w:rsid w:val="00694D8E"/>
    <w:rsid w:val="006955C5"/>
    <w:rsid w:val="00695E9C"/>
    <w:rsid w:val="0069634E"/>
    <w:rsid w:val="0069668A"/>
    <w:rsid w:val="00697342"/>
    <w:rsid w:val="006977B0"/>
    <w:rsid w:val="00697A62"/>
    <w:rsid w:val="00697C5D"/>
    <w:rsid w:val="006A0708"/>
    <w:rsid w:val="006A07FA"/>
    <w:rsid w:val="006A118C"/>
    <w:rsid w:val="006A1B34"/>
    <w:rsid w:val="006A28FA"/>
    <w:rsid w:val="006A4291"/>
    <w:rsid w:val="006A4693"/>
    <w:rsid w:val="006A54A1"/>
    <w:rsid w:val="006A5D1C"/>
    <w:rsid w:val="006A648A"/>
    <w:rsid w:val="006A6D0F"/>
    <w:rsid w:val="006A7C04"/>
    <w:rsid w:val="006B0AA1"/>
    <w:rsid w:val="006B0D78"/>
    <w:rsid w:val="006B1209"/>
    <w:rsid w:val="006B25F0"/>
    <w:rsid w:val="006B2B06"/>
    <w:rsid w:val="006B35CD"/>
    <w:rsid w:val="006B37CB"/>
    <w:rsid w:val="006B3E84"/>
    <w:rsid w:val="006B71CA"/>
    <w:rsid w:val="006B76C1"/>
    <w:rsid w:val="006B7E7E"/>
    <w:rsid w:val="006B7F3C"/>
    <w:rsid w:val="006C019B"/>
    <w:rsid w:val="006C05C5"/>
    <w:rsid w:val="006C0981"/>
    <w:rsid w:val="006C1CFB"/>
    <w:rsid w:val="006C1EE6"/>
    <w:rsid w:val="006C2448"/>
    <w:rsid w:val="006C286B"/>
    <w:rsid w:val="006C2AE2"/>
    <w:rsid w:val="006C333C"/>
    <w:rsid w:val="006C4A1D"/>
    <w:rsid w:val="006C5F92"/>
    <w:rsid w:val="006C760F"/>
    <w:rsid w:val="006D0623"/>
    <w:rsid w:val="006D0E9A"/>
    <w:rsid w:val="006D1231"/>
    <w:rsid w:val="006D1828"/>
    <w:rsid w:val="006D1847"/>
    <w:rsid w:val="006D309C"/>
    <w:rsid w:val="006D3267"/>
    <w:rsid w:val="006D387F"/>
    <w:rsid w:val="006D3D7E"/>
    <w:rsid w:val="006D5AC3"/>
    <w:rsid w:val="006D5E93"/>
    <w:rsid w:val="006D60AE"/>
    <w:rsid w:val="006E0415"/>
    <w:rsid w:val="006E04F4"/>
    <w:rsid w:val="006E0911"/>
    <w:rsid w:val="006E0BB6"/>
    <w:rsid w:val="006E346F"/>
    <w:rsid w:val="006E3A1A"/>
    <w:rsid w:val="006E6BF9"/>
    <w:rsid w:val="006F0188"/>
    <w:rsid w:val="006F0355"/>
    <w:rsid w:val="006F04FA"/>
    <w:rsid w:val="006F0FA2"/>
    <w:rsid w:val="006F3E5D"/>
    <w:rsid w:val="006F4D0A"/>
    <w:rsid w:val="006F69CE"/>
    <w:rsid w:val="006F736F"/>
    <w:rsid w:val="006F7378"/>
    <w:rsid w:val="006F75BF"/>
    <w:rsid w:val="006F776A"/>
    <w:rsid w:val="006F7BF2"/>
    <w:rsid w:val="00700F5C"/>
    <w:rsid w:val="00702C64"/>
    <w:rsid w:val="00703655"/>
    <w:rsid w:val="00703A20"/>
    <w:rsid w:val="007045DB"/>
    <w:rsid w:val="00704AFF"/>
    <w:rsid w:val="00704C7D"/>
    <w:rsid w:val="00704EF5"/>
    <w:rsid w:val="00706481"/>
    <w:rsid w:val="00707378"/>
    <w:rsid w:val="00711744"/>
    <w:rsid w:val="00712380"/>
    <w:rsid w:val="00712705"/>
    <w:rsid w:val="00715BFF"/>
    <w:rsid w:val="00716179"/>
    <w:rsid w:val="0071673F"/>
    <w:rsid w:val="0072038C"/>
    <w:rsid w:val="00720A36"/>
    <w:rsid w:val="0072185C"/>
    <w:rsid w:val="00721CE1"/>
    <w:rsid w:val="00723DAB"/>
    <w:rsid w:val="007240B9"/>
    <w:rsid w:val="00724192"/>
    <w:rsid w:val="0072589E"/>
    <w:rsid w:val="00725E7E"/>
    <w:rsid w:val="00727222"/>
    <w:rsid w:val="00731367"/>
    <w:rsid w:val="007325A9"/>
    <w:rsid w:val="00733410"/>
    <w:rsid w:val="007340C7"/>
    <w:rsid w:val="00734AF9"/>
    <w:rsid w:val="0073509F"/>
    <w:rsid w:val="00735306"/>
    <w:rsid w:val="0073543E"/>
    <w:rsid w:val="00735650"/>
    <w:rsid w:val="007362BF"/>
    <w:rsid w:val="00736B30"/>
    <w:rsid w:val="00740BDD"/>
    <w:rsid w:val="00740FD1"/>
    <w:rsid w:val="00741077"/>
    <w:rsid w:val="0074251B"/>
    <w:rsid w:val="00742EAF"/>
    <w:rsid w:val="00744088"/>
    <w:rsid w:val="00745C1D"/>
    <w:rsid w:val="00745DC8"/>
    <w:rsid w:val="00746CA2"/>
    <w:rsid w:val="00746F3A"/>
    <w:rsid w:val="0074758C"/>
    <w:rsid w:val="00751FA0"/>
    <w:rsid w:val="007520F8"/>
    <w:rsid w:val="00753125"/>
    <w:rsid w:val="0075399F"/>
    <w:rsid w:val="007541C5"/>
    <w:rsid w:val="0075581D"/>
    <w:rsid w:val="007559E6"/>
    <w:rsid w:val="00755E3A"/>
    <w:rsid w:val="00756483"/>
    <w:rsid w:val="00757359"/>
    <w:rsid w:val="00757DAE"/>
    <w:rsid w:val="0076130C"/>
    <w:rsid w:val="00763C99"/>
    <w:rsid w:val="00763FF2"/>
    <w:rsid w:val="0076427D"/>
    <w:rsid w:val="00764492"/>
    <w:rsid w:val="0076468C"/>
    <w:rsid w:val="00764FBD"/>
    <w:rsid w:val="00765CCC"/>
    <w:rsid w:val="00765FC5"/>
    <w:rsid w:val="007673B6"/>
    <w:rsid w:val="00767FAD"/>
    <w:rsid w:val="00771CE3"/>
    <w:rsid w:val="00772182"/>
    <w:rsid w:val="00772C4A"/>
    <w:rsid w:val="00773A81"/>
    <w:rsid w:val="0077432A"/>
    <w:rsid w:val="007776AD"/>
    <w:rsid w:val="00777794"/>
    <w:rsid w:val="00781E90"/>
    <w:rsid w:val="007824EB"/>
    <w:rsid w:val="00782EF5"/>
    <w:rsid w:val="00782F4C"/>
    <w:rsid w:val="00783521"/>
    <w:rsid w:val="00783D80"/>
    <w:rsid w:val="00784006"/>
    <w:rsid w:val="0078496E"/>
    <w:rsid w:val="00785757"/>
    <w:rsid w:val="007869DD"/>
    <w:rsid w:val="0079153B"/>
    <w:rsid w:val="0079319F"/>
    <w:rsid w:val="00793CD9"/>
    <w:rsid w:val="007944AF"/>
    <w:rsid w:val="00794C75"/>
    <w:rsid w:val="00794D74"/>
    <w:rsid w:val="00795239"/>
    <w:rsid w:val="0079732D"/>
    <w:rsid w:val="00797B12"/>
    <w:rsid w:val="007A0B46"/>
    <w:rsid w:val="007A1490"/>
    <w:rsid w:val="007A1E77"/>
    <w:rsid w:val="007A1FC6"/>
    <w:rsid w:val="007A2A12"/>
    <w:rsid w:val="007A36A2"/>
    <w:rsid w:val="007A396F"/>
    <w:rsid w:val="007A4474"/>
    <w:rsid w:val="007A4571"/>
    <w:rsid w:val="007A6055"/>
    <w:rsid w:val="007A6453"/>
    <w:rsid w:val="007A7E82"/>
    <w:rsid w:val="007B13EA"/>
    <w:rsid w:val="007B1D44"/>
    <w:rsid w:val="007B4B6F"/>
    <w:rsid w:val="007B7B9B"/>
    <w:rsid w:val="007B7D6B"/>
    <w:rsid w:val="007C121E"/>
    <w:rsid w:val="007C27BF"/>
    <w:rsid w:val="007C2976"/>
    <w:rsid w:val="007C4564"/>
    <w:rsid w:val="007C5ED0"/>
    <w:rsid w:val="007C61BB"/>
    <w:rsid w:val="007D265D"/>
    <w:rsid w:val="007D57C4"/>
    <w:rsid w:val="007D66A2"/>
    <w:rsid w:val="007E099B"/>
    <w:rsid w:val="007E0D1E"/>
    <w:rsid w:val="007E1820"/>
    <w:rsid w:val="007E1C19"/>
    <w:rsid w:val="007E22DE"/>
    <w:rsid w:val="007E2F33"/>
    <w:rsid w:val="007E38FC"/>
    <w:rsid w:val="007E3C82"/>
    <w:rsid w:val="007E467F"/>
    <w:rsid w:val="007E5384"/>
    <w:rsid w:val="007E68DE"/>
    <w:rsid w:val="007E6B67"/>
    <w:rsid w:val="007F23C0"/>
    <w:rsid w:val="007F24FB"/>
    <w:rsid w:val="007F2E11"/>
    <w:rsid w:val="007F37D4"/>
    <w:rsid w:val="007F4F67"/>
    <w:rsid w:val="007F5AC0"/>
    <w:rsid w:val="007F5D10"/>
    <w:rsid w:val="007F5EC3"/>
    <w:rsid w:val="007F65E8"/>
    <w:rsid w:val="00800174"/>
    <w:rsid w:val="00802A86"/>
    <w:rsid w:val="008036A6"/>
    <w:rsid w:val="008036A9"/>
    <w:rsid w:val="008036B8"/>
    <w:rsid w:val="0080381B"/>
    <w:rsid w:val="00803C52"/>
    <w:rsid w:val="0080438F"/>
    <w:rsid w:val="0080503B"/>
    <w:rsid w:val="00805D1A"/>
    <w:rsid w:val="00806550"/>
    <w:rsid w:val="00806AAF"/>
    <w:rsid w:val="00806BF9"/>
    <w:rsid w:val="00807A61"/>
    <w:rsid w:val="00807F4D"/>
    <w:rsid w:val="00810553"/>
    <w:rsid w:val="008107CD"/>
    <w:rsid w:val="00811466"/>
    <w:rsid w:val="00812A0C"/>
    <w:rsid w:val="00813464"/>
    <w:rsid w:val="00813916"/>
    <w:rsid w:val="00814C4C"/>
    <w:rsid w:val="0082102E"/>
    <w:rsid w:val="00821ED5"/>
    <w:rsid w:val="00822800"/>
    <w:rsid w:val="00822A1B"/>
    <w:rsid w:val="00822AED"/>
    <w:rsid w:val="0082374B"/>
    <w:rsid w:val="0082383F"/>
    <w:rsid w:val="00823ABC"/>
    <w:rsid w:val="00823B62"/>
    <w:rsid w:val="0082427A"/>
    <w:rsid w:val="00824BBE"/>
    <w:rsid w:val="0082595E"/>
    <w:rsid w:val="00826340"/>
    <w:rsid w:val="00826A84"/>
    <w:rsid w:val="00826C95"/>
    <w:rsid w:val="00827002"/>
    <w:rsid w:val="0082736F"/>
    <w:rsid w:val="00830654"/>
    <w:rsid w:val="008307DE"/>
    <w:rsid w:val="00830C64"/>
    <w:rsid w:val="00831E2D"/>
    <w:rsid w:val="00832DD5"/>
    <w:rsid w:val="0083418D"/>
    <w:rsid w:val="00834414"/>
    <w:rsid w:val="00834C41"/>
    <w:rsid w:val="00834DF1"/>
    <w:rsid w:val="00834EC4"/>
    <w:rsid w:val="00835555"/>
    <w:rsid w:val="008368AC"/>
    <w:rsid w:val="00837B4B"/>
    <w:rsid w:val="008408C7"/>
    <w:rsid w:val="0084140A"/>
    <w:rsid w:val="008417FC"/>
    <w:rsid w:val="00842AF8"/>
    <w:rsid w:val="008457F3"/>
    <w:rsid w:val="0084583F"/>
    <w:rsid w:val="00845F60"/>
    <w:rsid w:val="00846108"/>
    <w:rsid w:val="00850F1E"/>
    <w:rsid w:val="00852230"/>
    <w:rsid w:val="008552FB"/>
    <w:rsid w:val="0085536B"/>
    <w:rsid w:val="00855449"/>
    <w:rsid w:val="008555B3"/>
    <w:rsid w:val="00855BBF"/>
    <w:rsid w:val="00856598"/>
    <w:rsid w:val="0085771F"/>
    <w:rsid w:val="00857C5E"/>
    <w:rsid w:val="008610EE"/>
    <w:rsid w:val="008619CE"/>
    <w:rsid w:val="00861EF2"/>
    <w:rsid w:val="00865451"/>
    <w:rsid w:val="00865493"/>
    <w:rsid w:val="00866195"/>
    <w:rsid w:val="008675C9"/>
    <w:rsid w:val="0086771C"/>
    <w:rsid w:val="0087074B"/>
    <w:rsid w:val="00871F90"/>
    <w:rsid w:val="0087212C"/>
    <w:rsid w:val="00872D9A"/>
    <w:rsid w:val="00873CCA"/>
    <w:rsid w:val="008745E5"/>
    <w:rsid w:val="0087480C"/>
    <w:rsid w:val="00875BB2"/>
    <w:rsid w:val="00876409"/>
    <w:rsid w:val="00876ECA"/>
    <w:rsid w:val="0088022D"/>
    <w:rsid w:val="00880682"/>
    <w:rsid w:val="008824EC"/>
    <w:rsid w:val="00883290"/>
    <w:rsid w:val="008843BA"/>
    <w:rsid w:val="00884BC3"/>
    <w:rsid w:val="00885572"/>
    <w:rsid w:val="00885576"/>
    <w:rsid w:val="0088693B"/>
    <w:rsid w:val="00886EA0"/>
    <w:rsid w:val="00887262"/>
    <w:rsid w:val="008908B4"/>
    <w:rsid w:val="00890D25"/>
    <w:rsid w:val="0089221F"/>
    <w:rsid w:val="008925D8"/>
    <w:rsid w:val="008928BE"/>
    <w:rsid w:val="00893F99"/>
    <w:rsid w:val="00893FCF"/>
    <w:rsid w:val="0089528B"/>
    <w:rsid w:val="00895EBD"/>
    <w:rsid w:val="00895EE5"/>
    <w:rsid w:val="00895FF1"/>
    <w:rsid w:val="008966B0"/>
    <w:rsid w:val="00896B71"/>
    <w:rsid w:val="00897EDE"/>
    <w:rsid w:val="008A048B"/>
    <w:rsid w:val="008A10CA"/>
    <w:rsid w:val="008A18CD"/>
    <w:rsid w:val="008A4189"/>
    <w:rsid w:val="008A43F0"/>
    <w:rsid w:val="008A4853"/>
    <w:rsid w:val="008A4B18"/>
    <w:rsid w:val="008A4D37"/>
    <w:rsid w:val="008A4E44"/>
    <w:rsid w:val="008A4F75"/>
    <w:rsid w:val="008A52BF"/>
    <w:rsid w:val="008A56FD"/>
    <w:rsid w:val="008A6DA5"/>
    <w:rsid w:val="008B121C"/>
    <w:rsid w:val="008B1352"/>
    <w:rsid w:val="008B2534"/>
    <w:rsid w:val="008B416F"/>
    <w:rsid w:val="008B4191"/>
    <w:rsid w:val="008B5778"/>
    <w:rsid w:val="008B5AA2"/>
    <w:rsid w:val="008B741B"/>
    <w:rsid w:val="008B74E7"/>
    <w:rsid w:val="008C0391"/>
    <w:rsid w:val="008C0759"/>
    <w:rsid w:val="008C4885"/>
    <w:rsid w:val="008C5ABD"/>
    <w:rsid w:val="008C634A"/>
    <w:rsid w:val="008C7BF1"/>
    <w:rsid w:val="008D0A9C"/>
    <w:rsid w:val="008D17CD"/>
    <w:rsid w:val="008D18C1"/>
    <w:rsid w:val="008D2D82"/>
    <w:rsid w:val="008D34C7"/>
    <w:rsid w:val="008D3F84"/>
    <w:rsid w:val="008D560B"/>
    <w:rsid w:val="008D5F24"/>
    <w:rsid w:val="008D6718"/>
    <w:rsid w:val="008D7679"/>
    <w:rsid w:val="008E0623"/>
    <w:rsid w:val="008E0825"/>
    <w:rsid w:val="008E33D7"/>
    <w:rsid w:val="008E4210"/>
    <w:rsid w:val="008E4262"/>
    <w:rsid w:val="008E4D58"/>
    <w:rsid w:val="008E6047"/>
    <w:rsid w:val="008E64A8"/>
    <w:rsid w:val="008E78BC"/>
    <w:rsid w:val="008F0173"/>
    <w:rsid w:val="008F0E8D"/>
    <w:rsid w:val="008F3812"/>
    <w:rsid w:val="008F48B0"/>
    <w:rsid w:val="008F5233"/>
    <w:rsid w:val="008F5BFB"/>
    <w:rsid w:val="008F7174"/>
    <w:rsid w:val="00900A21"/>
    <w:rsid w:val="009025F3"/>
    <w:rsid w:val="00902B42"/>
    <w:rsid w:val="00902FB6"/>
    <w:rsid w:val="0090329B"/>
    <w:rsid w:val="009038EA"/>
    <w:rsid w:val="0090394E"/>
    <w:rsid w:val="00904079"/>
    <w:rsid w:val="009041AB"/>
    <w:rsid w:val="009051E2"/>
    <w:rsid w:val="009053D3"/>
    <w:rsid w:val="00907D43"/>
    <w:rsid w:val="00907E7A"/>
    <w:rsid w:val="00910FEE"/>
    <w:rsid w:val="00911DE6"/>
    <w:rsid w:val="00912759"/>
    <w:rsid w:val="0091282F"/>
    <w:rsid w:val="00912935"/>
    <w:rsid w:val="00913002"/>
    <w:rsid w:val="00914874"/>
    <w:rsid w:val="00914E72"/>
    <w:rsid w:val="00914FA4"/>
    <w:rsid w:val="00915F72"/>
    <w:rsid w:val="009170E1"/>
    <w:rsid w:val="009200A5"/>
    <w:rsid w:val="009214FA"/>
    <w:rsid w:val="009215BF"/>
    <w:rsid w:val="0092164B"/>
    <w:rsid w:val="00921733"/>
    <w:rsid w:val="00922270"/>
    <w:rsid w:val="00923B1A"/>
    <w:rsid w:val="00924575"/>
    <w:rsid w:val="00924D3E"/>
    <w:rsid w:val="00925F57"/>
    <w:rsid w:val="009271A9"/>
    <w:rsid w:val="00927A4E"/>
    <w:rsid w:val="00931D66"/>
    <w:rsid w:val="00931F6A"/>
    <w:rsid w:val="00932E81"/>
    <w:rsid w:val="00932F91"/>
    <w:rsid w:val="00933BFF"/>
    <w:rsid w:val="00934A30"/>
    <w:rsid w:val="00935024"/>
    <w:rsid w:val="00935717"/>
    <w:rsid w:val="009361CD"/>
    <w:rsid w:val="00936205"/>
    <w:rsid w:val="0093700F"/>
    <w:rsid w:val="00937075"/>
    <w:rsid w:val="0093738F"/>
    <w:rsid w:val="00937937"/>
    <w:rsid w:val="00940252"/>
    <w:rsid w:val="00940388"/>
    <w:rsid w:val="009446BE"/>
    <w:rsid w:val="00945FBE"/>
    <w:rsid w:val="00946A5C"/>
    <w:rsid w:val="009508A2"/>
    <w:rsid w:val="00951860"/>
    <w:rsid w:val="00952150"/>
    <w:rsid w:val="009530B3"/>
    <w:rsid w:val="00953EFC"/>
    <w:rsid w:val="00955E82"/>
    <w:rsid w:val="0096104D"/>
    <w:rsid w:val="00962589"/>
    <w:rsid w:val="009627D8"/>
    <w:rsid w:val="00963F45"/>
    <w:rsid w:val="00964228"/>
    <w:rsid w:val="00964D89"/>
    <w:rsid w:val="00965237"/>
    <w:rsid w:val="00965E6F"/>
    <w:rsid w:val="009663A4"/>
    <w:rsid w:val="0096672B"/>
    <w:rsid w:val="00970491"/>
    <w:rsid w:val="009709C9"/>
    <w:rsid w:val="009719E4"/>
    <w:rsid w:val="00971D5F"/>
    <w:rsid w:val="009729FA"/>
    <w:rsid w:val="00972F4C"/>
    <w:rsid w:val="00973692"/>
    <w:rsid w:val="00973AF7"/>
    <w:rsid w:val="00974A41"/>
    <w:rsid w:val="009761A4"/>
    <w:rsid w:val="009765F6"/>
    <w:rsid w:val="00977336"/>
    <w:rsid w:val="00977FED"/>
    <w:rsid w:val="0098094D"/>
    <w:rsid w:val="00980FD6"/>
    <w:rsid w:val="00982021"/>
    <w:rsid w:val="0098269D"/>
    <w:rsid w:val="009828CB"/>
    <w:rsid w:val="00982A81"/>
    <w:rsid w:val="00983E86"/>
    <w:rsid w:val="0098487D"/>
    <w:rsid w:val="009856F3"/>
    <w:rsid w:val="0098577C"/>
    <w:rsid w:val="00986AB9"/>
    <w:rsid w:val="00987A32"/>
    <w:rsid w:val="00987DE1"/>
    <w:rsid w:val="00991F3B"/>
    <w:rsid w:val="00992101"/>
    <w:rsid w:val="00995B02"/>
    <w:rsid w:val="00996002"/>
    <w:rsid w:val="009964D3"/>
    <w:rsid w:val="00996A98"/>
    <w:rsid w:val="00996E31"/>
    <w:rsid w:val="00997902"/>
    <w:rsid w:val="00997BDD"/>
    <w:rsid w:val="009A0922"/>
    <w:rsid w:val="009A0A58"/>
    <w:rsid w:val="009A0F08"/>
    <w:rsid w:val="009A102F"/>
    <w:rsid w:val="009A15C8"/>
    <w:rsid w:val="009A70A9"/>
    <w:rsid w:val="009A767C"/>
    <w:rsid w:val="009B11B5"/>
    <w:rsid w:val="009B1DE8"/>
    <w:rsid w:val="009B296A"/>
    <w:rsid w:val="009B299C"/>
    <w:rsid w:val="009B3D67"/>
    <w:rsid w:val="009B4587"/>
    <w:rsid w:val="009B5640"/>
    <w:rsid w:val="009B6FBF"/>
    <w:rsid w:val="009B7331"/>
    <w:rsid w:val="009C06F3"/>
    <w:rsid w:val="009C0DF0"/>
    <w:rsid w:val="009C172C"/>
    <w:rsid w:val="009C25F6"/>
    <w:rsid w:val="009C2836"/>
    <w:rsid w:val="009C58E9"/>
    <w:rsid w:val="009C609F"/>
    <w:rsid w:val="009C6CA6"/>
    <w:rsid w:val="009D0B78"/>
    <w:rsid w:val="009D0C3D"/>
    <w:rsid w:val="009D1198"/>
    <w:rsid w:val="009D1BE7"/>
    <w:rsid w:val="009D2B4C"/>
    <w:rsid w:val="009D3610"/>
    <w:rsid w:val="009D4744"/>
    <w:rsid w:val="009D4ACD"/>
    <w:rsid w:val="009D53A5"/>
    <w:rsid w:val="009D5C01"/>
    <w:rsid w:val="009D7159"/>
    <w:rsid w:val="009D75BD"/>
    <w:rsid w:val="009D7BB4"/>
    <w:rsid w:val="009E0866"/>
    <w:rsid w:val="009E12D1"/>
    <w:rsid w:val="009E1C0E"/>
    <w:rsid w:val="009E202A"/>
    <w:rsid w:val="009E2688"/>
    <w:rsid w:val="009E3FBA"/>
    <w:rsid w:val="009E6C49"/>
    <w:rsid w:val="009E7F9D"/>
    <w:rsid w:val="009F062A"/>
    <w:rsid w:val="009F11A0"/>
    <w:rsid w:val="009F17EB"/>
    <w:rsid w:val="009F2124"/>
    <w:rsid w:val="009F3308"/>
    <w:rsid w:val="009F3419"/>
    <w:rsid w:val="009F38B1"/>
    <w:rsid w:val="009F3DC2"/>
    <w:rsid w:val="009F473D"/>
    <w:rsid w:val="009F48C0"/>
    <w:rsid w:val="009F5482"/>
    <w:rsid w:val="009F5CDF"/>
    <w:rsid w:val="00A00632"/>
    <w:rsid w:val="00A00721"/>
    <w:rsid w:val="00A01B13"/>
    <w:rsid w:val="00A02F93"/>
    <w:rsid w:val="00A04A82"/>
    <w:rsid w:val="00A04F57"/>
    <w:rsid w:val="00A05B90"/>
    <w:rsid w:val="00A0765D"/>
    <w:rsid w:val="00A1031F"/>
    <w:rsid w:val="00A10663"/>
    <w:rsid w:val="00A115AA"/>
    <w:rsid w:val="00A13EE2"/>
    <w:rsid w:val="00A1602B"/>
    <w:rsid w:val="00A168BA"/>
    <w:rsid w:val="00A16E72"/>
    <w:rsid w:val="00A17009"/>
    <w:rsid w:val="00A175FF"/>
    <w:rsid w:val="00A1775E"/>
    <w:rsid w:val="00A177E6"/>
    <w:rsid w:val="00A17DBE"/>
    <w:rsid w:val="00A22324"/>
    <w:rsid w:val="00A22C7A"/>
    <w:rsid w:val="00A23226"/>
    <w:rsid w:val="00A23740"/>
    <w:rsid w:val="00A23E4B"/>
    <w:rsid w:val="00A25880"/>
    <w:rsid w:val="00A26146"/>
    <w:rsid w:val="00A2637D"/>
    <w:rsid w:val="00A26724"/>
    <w:rsid w:val="00A270C7"/>
    <w:rsid w:val="00A27CF7"/>
    <w:rsid w:val="00A30DBD"/>
    <w:rsid w:val="00A31AE1"/>
    <w:rsid w:val="00A331AF"/>
    <w:rsid w:val="00A33384"/>
    <w:rsid w:val="00A3464B"/>
    <w:rsid w:val="00A34F9A"/>
    <w:rsid w:val="00A359C9"/>
    <w:rsid w:val="00A35E9B"/>
    <w:rsid w:val="00A372D3"/>
    <w:rsid w:val="00A37733"/>
    <w:rsid w:val="00A37DE5"/>
    <w:rsid w:val="00A401B1"/>
    <w:rsid w:val="00A407CA"/>
    <w:rsid w:val="00A40DDF"/>
    <w:rsid w:val="00A414F9"/>
    <w:rsid w:val="00A41D50"/>
    <w:rsid w:val="00A42AB1"/>
    <w:rsid w:val="00A42CD2"/>
    <w:rsid w:val="00A43315"/>
    <w:rsid w:val="00A43ED5"/>
    <w:rsid w:val="00A43F1B"/>
    <w:rsid w:val="00A4421F"/>
    <w:rsid w:val="00A44FFD"/>
    <w:rsid w:val="00A45121"/>
    <w:rsid w:val="00A458D0"/>
    <w:rsid w:val="00A45AD7"/>
    <w:rsid w:val="00A467EF"/>
    <w:rsid w:val="00A468B3"/>
    <w:rsid w:val="00A471C5"/>
    <w:rsid w:val="00A47AB5"/>
    <w:rsid w:val="00A500C9"/>
    <w:rsid w:val="00A50A63"/>
    <w:rsid w:val="00A50F34"/>
    <w:rsid w:val="00A51B9E"/>
    <w:rsid w:val="00A53E6A"/>
    <w:rsid w:val="00A549CB"/>
    <w:rsid w:val="00A54AA1"/>
    <w:rsid w:val="00A54D57"/>
    <w:rsid w:val="00A55D53"/>
    <w:rsid w:val="00A5611D"/>
    <w:rsid w:val="00A57248"/>
    <w:rsid w:val="00A5733D"/>
    <w:rsid w:val="00A60568"/>
    <w:rsid w:val="00A60735"/>
    <w:rsid w:val="00A611C6"/>
    <w:rsid w:val="00A62EEC"/>
    <w:rsid w:val="00A63167"/>
    <w:rsid w:val="00A63617"/>
    <w:rsid w:val="00A639C6"/>
    <w:rsid w:val="00A64AC5"/>
    <w:rsid w:val="00A65125"/>
    <w:rsid w:val="00A6516C"/>
    <w:rsid w:val="00A654E0"/>
    <w:rsid w:val="00A67776"/>
    <w:rsid w:val="00A71ADA"/>
    <w:rsid w:val="00A72206"/>
    <w:rsid w:val="00A72E45"/>
    <w:rsid w:val="00A732C1"/>
    <w:rsid w:val="00A73DDE"/>
    <w:rsid w:val="00A74B8C"/>
    <w:rsid w:val="00A76C3E"/>
    <w:rsid w:val="00A77DA2"/>
    <w:rsid w:val="00A80440"/>
    <w:rsid w:val="00A80E6B"/>
    <w:rsid w:val="00A81059"/>
    <w:rsid w:val="00A81A1B"/>
    <w:rsid w:val="00A82F75"/>
    <w:rsid w:val="00A83898"/>
    <w:rsid w:val="00A83E56"/>
    <w:rsid w:val="00A83F58"/>
    <w:rsid w:val="00A84607"/>
    <w:rsid w:val="00A84A04"/>
    <w:rsid w:val="00A858A7"/>
    <w:rsid w:val="00A85D2F"/>
    <w:rsid w:val="00A915A6"/>
    <w:rsid w:val="00A9233E"/>
    <w:rsid w:val="00A930CF"/>
    <w:rsid w:val="00A9351D"/>
    <w:rsid w:val="00A93FFE"/>
    <w:rsid w:val="00A942AA"/>
    <w:rsid w:val="00A944F1"/>
    <w:rsid w:val="00A948BA"/>
    <w:rsid w:val="00A95148"/>
    <w:rsid w:val="00A95437"/>
    <w:rsid w:val="00A956EE"/>
    <w:rsid w:val="00A963B9"/>
    <w:rsid w:val="00A96481"/>
    <w:rsid w:val="00A96FCB"/>
    <w:rsid w:val="00A97443"/>
    <w:rsid w:val="00AA0821"/>
    <w:rsid w:val="00AA15E9"/>
    <w:rsid w:val="00AA1E64"/>
    <w:rsid w:val="00AA225A"/>
    <w:rsid w:val="00AA2911"/>
    <w:rsid w:val="00AA2C8F"/>
    <w:rsid w:val="00AA3C9E"/>
    <w:rsid w:val="00AA4222"/>
    <w:rsid w:val="00AA43BE"/>
    <w:rsid w:val="00AA492A"/>
    <w:rsid w:val="00AA55EC"/>
    <w:rsid w:val="00AA591B"/>
    <w:rsid w:val="00AA5A08"/>
    <w:rsid w:val="00AA5D6D"/>
    <w:rsid w:val="00AA63BE"/>
    <w:rsid w:val="00AA6A52"/>
    <w:rsid w:val="00AA73FD"/>
    <w:rsid w:val="00AA776F"/>
    <w:rsid w:val="00AB0579"/>
    <w:rsid w:val="00AB34C2"/>
    <w:rsid w:val="00AB34DD"/>
    <w:rsid w:val="00AB547A"/>
    <w:rsid w:val="00AB5893"/>
    <w:rsid w:val="00AB7346"/>
    <w:rsid w:val="00AC156D"/>
    <w:rsid w:val="00AC1935"/>
    <w:rsid w:val="00AC20A5"/>
    <w:rsid w:val="00AC33FB"/>
    <w:rsid w:val="00AC4014"/>
    <w:rsid w:val="00AC43B3"/>
    <w:rsid w:val="00AC58C8"/>
    <w:rsid w:val="00AC5AEF"/>
    <w:rsid w:val="00AC5CB8"/>
    <w:rsid w:val="00AC5E06"/>
    <w:rsid w:val="00AC5F60"/>
    <w:rsid w:val="00AC6280"/>
    <w:rsid w:val="00AC6656"/>
    <w:rsid w:val="00AC759A"/>
    <w:rsid w:val="00AC7D88"/>
    <w:rsid w:val="00AD057B"/>
    <w:rsid w:val="00AD05EA"/>
    <w:rsid w:val="00AD086A"/>
    <w:rsid w:val="00AD0A31"/>
    <w:rsid w:val="00AD0F88"/>
    <w:rsid w:val="00AD13C3"/>
    <w:rsid w:val="00AD1787"/>
    <w:rsid w:val="00AD28C6"/>
    <w:rsid w:val="00AD34EA"/>
    <w:rsid w:val="00AD35FF"/>
    <w:rsid w:val="00AD3866"/>
    <w:rsid w:val="00AD3FD0"/>
    <w:rsid w:val="00AD4022"/>
    <w:rsid w:val="00AD4987"/>
    <w:rsid w:val="00AD49BA"/>
    <w:rsid w:val="00AD4C4B"/>
    <w:rsid w:val="00AD4E97"/>
    <w:rsid w:val="00AD568C"/>
    <w:rsid w:val="00AD5A63"/>
    <w:rsid w:val="00AD72D0"/>
    <w:rsid w:val="00AD7B2C"/>
    <w:rsid w:val="00AD7F76"/>
    <w:rsid w:val="00AE2169"/>
    <w:rsid w:val="00AE42EC"/>
    <w:rsid w:val="00AE4C9D"/>
    <w:rsid w:val="00AE6965"/>
    <w:rsid w:val="00AE6AA8"/>
    <w:rsid w:val="00AE73DC"/>
    <w:rsid w:val="00AF2855"/>
    <w:rsid w:val="00AF3F35"/>
    <w:rsid w:val="00AF42F0"/>
    <w:rsid w:val="00AF4632"/>
    <w:rsid w:val="00AF6463"/>
    <w:rsid w:val="00B00944"/>
    <w:rsid w:val="00B00BA0"/>
    <w:rsid w:val="00B012B6"/>
    <w:rsid w:val="00B01B58"/>
    <w:rsid w:val="00B031CA"/>
    <w:rsid w:val="00B04349"/>
    <w:rsid w:val="00B05AB9"/>
    <w:rsid w:val="00B06722"/>
    <w:rsid w:val="00B1005E"/>
    <w:rsid w:val="00B10177"/>
    <w:rsid w:val="00B10CF8"/>
    <w:rsid w:val="00B11EFB"/>
    <w:rsid w:val="00B1236E"/>
    <w:rsid w:val="00B12CBD"/>
    <w:rsid w:val="00B131E4"/>
    <w:rsid w:val="00B1473B"/>
    <w:rsid w:val="00B14A21"/>
    <w:rsid w:val="00B160CA"/>
    <w:rsid w:val="00B170F6"/>
    <w:rsid w:val="00B17500"/>
    <w:rsid w:val="00B17B6C"/>
    <w:rsid w:val="00B17F48"/>
    <w:rsid w:val="00B22322"/>
    <w:rsid w:val="00B22F71"/>
    <w:rsid w:val="00B239BA"/>
    <w:rsid w:val="00B2417F"/>
    <w:rsid w:val="00B27246"/>
    <w:rsid w:val="00B2753B"/>
    <w:rsid w:val="00B27BF7"/>
    <w:rsid w:val="00B30A97"/>
    <w:rsid w:val="00B31808"/>
    <w:rsid w:val="00B32385"/>
    <w:rsid w:val="00B3396A"/>
    <w:rsid w:val="00B33D68"/>
    <w:rsid w:val="00B35754"/>
    <w:rsid w:val="00B35F72"/>
    <w:rsid w:val="00B37A1A"/>
    <w:rsid w:val="00B37BCC"/>
    <w:rsid w:val="00B43CAE"/>
    <w:rsid w:val="00B43EA1"/>
    <w:rsid w:val="00B44035"/>
    <w:rsid w:val="00B44164"/>
    <w:rsid w:val="00B4439A"/>
    <w:rsid w:val="00B44C45"/>
    <w:rsid w:val="00B44D41"/>
    <w:rsid w:val="00B44DB2"/>
    <w:rsid w:val="00B4514B"/>
    <w:rsid w:val="00B4690A"/>
    <w:rsid w:val="00B4778F"/>
    <w:rsid w:val="00B4796C"/>
    <w:rsid w:val="00B47A35"/>
    <w:rsid w:val="00B50D4A"/>
    <w:rsid w:val="00B52A67"/>
    <w:rsid w:val="00B52F64"/>
    <w:rsid w:val="00B532AF"/>
    <w:rsid w:val="00B53701"/>
    <w:rsid w:val="00B53F29"/>
    <w:rsid w:val="00B5430E"/>
    <w:rsid w:val="00B54D54"/>
    <w:rsid w:val="00B600F2"/>
    <w:rsid w:val="00B60778"/>
    <w:rsid w:val="00B62983"/>
    <w:rsid w:val="00B63253"/>
    <w:rsid w:val="00B63923"/>
    <w:rsid w:val="00B63EF4"/>
    <w:rsid w:val="00B63F9E"/>
    <w:rsid w:val="00B64341"/>
    <w:rsid w:val="00B647C5"/>
    <w:rsid w:val="00B64A17"/>
    <w:rsid w:val="00B64AE3"/>
    <w:rsid w:val="00B6650D"/>
    <w:rsid w:val="00B66635"/>
    <w:rsid w:val="00B66C3C"/>
    <w:rsid w:val="00B679A8"/>
    <w:rsid w:val="00B70B20"/>
    <w:rsid w:val="00B72BDC"/>
    <w:rsid w:val="00B73337"/>
    <w:rsid w:val="00B73390"/>
    <w:rsid w:val="00B7392D"/>
    <w:rsid w:val="00B73977"/>
    <w:rsid w:val="00B73A55"/>
    <w:rsid w:val="00B73D5B"/>
    <w:rsid w:val="00B74566"/>
    <w:rsid w:val="00B750FC"/>
    <w:rsid w:val="00B752F7"/>
    <w:rsid w:val="00B75B30"/>
    <w:rsid w:val="00B76F04"/>
    <w:rsid w:val="00B76F7D"/>
    <w:rsid w:val="00B82263"/>
    <w:rsid w:val="00B823AB"/>
    <w:rsid w:val="00B82935"/>
    <w:rsid w:val="00B850FE"/>
    <w:rsid w:val="00B85A34"/>
    <w:rsid w:val="00B8639F"/>
    <w:rsid w:val="00B87142"/>
    <w:rsid w:val="00B87760"/>
    <w:rsid w:val="00B8785F"/>
    <w:rsid w:val="00B87B95"/>
    <w:rsid w:val="00B901ED"/>
    <w:rsid w:val="00B90F76"/>
    <w:rsid w:val="00B9234D"/>
    <w:rsid w:val="00B92552"/>
    <w:rsid w:val="00B932A3"/>
    <w:rsid w:val="00B93812"/>
    <w:rsid w:val="00B944BA"/>
    <w:rsid w:val="00B960EE"/>
    <w:rsid w:val="00B9613B"/>
    <w:rsid w:val="00BA020F"/>
    <w:rsid w:val="00BA0ADC"/>
    <w:rsid w:val="00BA13E1"/>
    <w:rsid w:val="00BA1AAD"/>
    <w:rsid w:val="00BA1B1D"/>
    <w:rsid w:val="00BA2A59"/>
    <w:rsid w:val="00BA3171"/>
    <w:rsid w:val="00BA3AFE"/>
    <w:rsid w:val="00BA4973"/>
    <w:rsid w:val="00BA59B3"/>
    <w:rsid w:val="00BA5A61"/>
    <w:rsid w:val="00BA5F7D"/>
    <w:rsid w:val="00BA64CA"/>
    <w:rsid w:val="00BB024E"/>
    <w:rsid w:val="00BB1274"/>
    <w:rsid w:val="00BB21D7"/>
    <w:rsid w:val="00BB2F68"/>
    <w:rsid w:val="00BB3774"/>
    <w:rsid w:val="00BB3A55"/>
    <w:rsid w:val="00BB4936"/>
    <w:rsid w:val="00BB4A06"/>
    <w:rsid w:val="00BB5D9E"/>
    <w:rsid w:val="00BB6000"/>
    <w:rsid w:val="00BB7A90"/>
    <w:rsid w:val="00BC007C"/>
    <w:rsid w:val="00BC01BA"/>
    <w:rsid w:val="00BC05FB"/>
    <w:rsid w:val="00BC070F"/>
    <w:rsid w:val="00BC0A06"/>
    <w:rsid w:val="00BC0D34"/>
    <w:rsid w:val="00BC0D5E"/>
    <w:rsid w:val="00BC1CDC"/>
    <w:rsid w:val="00BC1ECA"/>
    <w:rsid w:val="00BC233D"/>
    <w:rsid w:val="00BC244C"/>
    <w:rsid w:val="00BC3257"/>
    <w:rsid w:val="00BC3918"/>
    <w:rsid w:val="00BC4C15"/>
    <w:rsid w:val="00BC4F6E"/>
    <w:rsid w:val="00BC52CE"/>
    <w:rsid w:val="00BC546D"/>
    <w:rsid w:val="00BC5ED5"/>
    <w:rsid w:val="00BC70BF"/>
    <w:rsid w:val="00BD1275"/>
    <w:rsid w:val="00BD2B4D"/>
    <w:rsid w:val="00BD353E"/>
    <w:rsid w:val="00BD4504"/>
    <w:rsid w:val="00BD475D"/>
    <w:rsid w:val="00BD5B57"/>
    <w:rsid w:val="00BD5C67"/>
    <w:rsid w:val="00BD66F1"/>
    <w:rsid w:val="00BD6A8B"/>
    <w:rsid w:val="00BE0F27"/>
    <w:rsid w:val="00BE18A9"/>
    <w:rsid w:val="00BE20A4"/>
    <w:rsid w:val="00BE3AFB"/>
    <w:rsid w:val="00BE4826"/>
    <w:rsid w:val="00BE4B70"/>
    <w:rsid w:val="00BE531D"/>
    <w:rsid w:val="00BE549E"/>
    <w:rsid w:val="00BE6F9D"/>
    <w:rsid w:val="00BF06D3"/>
    <w:rsid w:val="00BF087C"/>
    <w:rsid w:val="00BF12AB"/>
    <w:rsid w:val="00BF1659"/>
    <w:rsid w:val="00BF1813"/>
    <w:rsid w:val="00BF2EDF"/>
    <w:rsid w:val="00BF370A"/>
    <w:rsid w:val="00BF396C"/>
    <w:rsid w:val="00BF399A"/>
    <w:rsid w:val="00BF49B3"/>
    <w:rsid w:val="00BF5759"/>
    <w:rsid w:val="00BF604F"/>
    <w:rsid w:val="00BF69CB"/>
    <w:rsid w:val="00BF7642"/>
    <w:rsid w:val="00BF76AA"/>
    <w:rsid w:val="00BF7988"/>
    <w:rsid w:val="00C0066B"/>
    <w:rsid w:val="00C03C3B"/>
    <w:rsid w:val="00C03CDD"/>
    <w:rsid w:val="00C0468C"/>
    <w:rsid w:val="00C047E2"/>
    <w:rsid w:val="00C05C97"/>
    <w:rsid w:val="00C11A2E"/>
    <w:rsid w:val="00C11D22"/>
    <w:rsid w:val="00C137D9"/>
    <w:rsid w:val="00C15522"/>
    <w:rsid w:val="00C15CD1"/>
    <w:rsid w:val="00C16850"/>
    <w:rsid w:val="00C16D9A"/>
    <w:rsid w:val="00C16DC4"/>
    <w:rsid w:val="00C172B8"/>
    <w:rsid w:val="00C173B9"/>
    <w:rsid w:val="00C17D19"/>
    <w:rsid w:val="00C20011"/>
    <w:rsid w:val="00C20675"/>
    <w:rsid w:val="00C20A3A"/>
    <w:rsid w:val="00C2161C"/>
    <w:rsid w:val="00C219AE"/>
    <w:rsid w:val="00C21C82"/>
    <w:rsid w:val="00C22E50"/>
    <w:rsid w:val="00C23006"/>
    <w:rsid w:val="00C2388C"/>
    <w:rsid w:val="00C23EBA"/>
    <w:rsid w:val="00C24675"/>
    <w:rsid w:val="00C2519B"/>
    <w:rsid w:val="00C31430"/>
    <w:rsid w:val="00C3229C"/>
    <w:rsid w:val="00C32517"/>
    <w:rsid w:val="00C3272D"/>
    <w:rsid w:val="00C32C38"/>
    <w:rsid w:val="00C32DF4"/>
    <w:rsid w:val="00C3370C"/>
    <w:rsid w:val="00C33EB6"/>
    <w:rsid w:val="00C3401E"/>
    <w:rsid w:val="00C34DC3"/>
    <w:rsid w:val="00C3509C"/>
    <w:rsid w:val="00C37053"/>
    <w:rsid w:val="00C4152F"/>
    <w:rsid w:val="00C42B86"/>
    <w:rsid w:val="00C436D0"/>
    <w:rsid w:val="00C44190"/>
    <w:rsid w:val="00C447E2"/>
    <w:rsid w:val="00C44AB5"/>
    <w:rsid w:val="00C4605B"/>
    <w:rsid w:val="00C4725C"/>
    <w:rsid w:val="00C51357"/>
    <w:rsid w:val="00C51C31"/>
    <w:rsid w:val="00C528FF"/>
    <w:rsid w:val="00C54B98"/>
    <w:rsid w:val="00C56853"/>
    <w:rsid w:val="00C57C98"/>
    <w:rsid w:val="00C6025C"/>
    <w:rsid w:val="00C613C8"/>
    <w:rsid w:val="00C628A1"/>
    <w:rsid w:val="00C62D5C"/>
    <w:rsid w:val="00C64E7A"/>
    <w:rsid w:val="00C67D9C"/>
    <w:rsid w:val="00C7079F"/>
    <w:rsid w:val="00C70CB5"/>
    <w:rsid w:val="00C72367"/>
    <w:rsid w:val="00C72497"/>
    <w:rsid w:val="00C72CC0"/>
    <w:rsid w:val="00C72F03"/>
    <w:rsid w:val="00C73FEE"/>
    <w:rsid w:val="00C75553"/>
    <w:rsid w:val="00C7587A"/>
    <w:rsid w:val="00C759E7"/>
    <w:rsid w:val="00C76192"/>
    <w:rsid w:val="00C764A8"/>
    <w:rsid w:val="00C77A7F"/>
    <w:rsid w:val="00C77F5A"/>
    <w:rsid w:val="00C808E7"/>
    <w:rsid w:val="00C80BD2"/>
    <w:rsid w:val="00C826F0"/>
    <w:rsid w:val="00C843CD"/>
    <w:rsid w:val="00C85ED3"/>
    <w:rsid w:val="00C872D1"/>
    <w:rsid w:val="00C91196"/>
    <w:rsid w:val="00C912D9"/>
    <w:rsid w:val="00C91483"/>
    <w:rsid w:val="00C916E4"/>
    <w:rsid w:val="00C96241"/>
    <w:rsid w:val="00CA0D72"/>
    <w:rsid w:val="00CA167C"/>
    <w:rsid w:val="00CA2F87"/>
    <w:rsid w:val="00CA3FD2"/>
    <w:rsid w:val="00CA44D9"/>
    <w:rsid w:val="00CA49AB"/>
    <w:rsid w:val="00CA50CD"/>
    <w:rsid w:val="00CA659C"/>
    <w:rsid w:val="00CA6B2C"/>
    <w:rsid w:val="00CA70B4"/>
    <w:rsid w:val="00CA7565"/>
    <w:rsid w:val="00CA7B4C"/>
    <w:rsid w:val="00CB0052"/>
    <w:rsid w:val="00CB05EA"/>
    <w:rsid w:val="00CB127C"/>
    <w:rsid w:val="00CB2226"/>
    <w:rsid w:val="00CB2CCB"/>
    <w:rsid w:val="00CB3D8F"/>
    <w:rsid w:val="00CB4060"/>
    <w:rsid w:val="00CB4A33"/>
    <w:rsid w:val="00CB50C4"/>
    <w:rsid w:val="00CB65F6"/>
    <w:rsid w:val="00CB71A8"/>
    <w:rsid w:val="00CB7681"/>
    <w:rsid w:val="00CB7800"/>
    <w:rsid w:val="00CB7B35"/>
    <w:rsid w:val="00CC0570"/>
    <w:rsid w:val="00CC0F5B"/>
    <w:rsid w:val="00CC1070"/>
    <w:rsid w:val="00CC16A0"/>
    <w:rsid w:val="00CC1B2C"/>
    <w:rsid w:val="00CC1CE4"/>
    <w:rsid w:val="00CC1F6F"/>
    <w:rsid w:val="00CC2AE7"/>
    <w:rsid w:val="00CC3CF9"/>
    <w:rsid w:val="00CC4057"/>
    <w:rsid w:val="00CC5698"/>
    <w:rsid w:val="00CC5CAC"/>
    <w:rsid w:val="00CC74D4"/>
    <w:rsid w:val="00CD0937"/>
    <w:rsid w:val="00CD261C"/>
    <w:rsid w:val="00CD33E7"/>
    <w:rsid w:val="00CD355A"/>
    <w:rsid w:val="00CD394C"/>
    <w:rsid w:val="00CD3CBD"/>
    <w:rsid w:val="00CD56A4"/>
    <w:rsid w:val="00CD5840"/>
    <w:rsid w:val="00CE0D0E"/>
    <w:rsid w:val="00CE0D52"/>
    <w:rsid w:val="00CE3600"/>
    <w:rsid w:val="00CE3A84"/>
    <w:rsid w:val="00CE3FA6"/>
    <w:rsid w:val="00CE41E0"/>
    <w:rsid w:val="00CE474D"/>
    <w:rsid w:val="00CE474E"/>
    <w:rsid w:val="00CE5152"/>
    <w:rsid w:val="00CE5370"/>
    <w:rsid w:val="00CE5A73"/>
    <w:rsid w:val="00CE5F76"/>
    <w:rsid w:val="00CE63DB"/>
    <w:rsid w:val="00CE67EA"/>
    <w:rsid w:val="00CE7A84"/>
    <w:rsid w:val="00CF0036"/>
    <w:rsid w:val="00CF0AFA"/>
    <w:rsid w:val="00CF0D4B"/>
    <w:rsid w:val="00CF1C0E"/>
    <w:rsid w:val="00CF1E68"/>
    <w:rsid w:val="00CF297A"/>
    <w:rsid w:val="00CF2C5A"/>
    <w:rsid w:val="00CF2F84"/>
    <w:rsid w:val="00CF40BE"/>
    <w:rsid w:val="00CF4CC0"/>
    <w:rsid w:val="00CF57D5"/>
    <w:rsid w:val="00CF6B7A"/>
    <w:rsid w:val="00CF6CD0"/>
    <w:rsid w:val="00CF7560"/>
    <w:rsid w:val="00CF7A67"/>
    <w:rsid w:val="00CF7F4C"/>
    <w:rsid w:val="00D01934"/>
    <w:rsid w:val="00D01FD6"/>
    <w:rsid w:val="00D02F30"/>
    <w:rsid w:val="00D03654"/>
    <w:rsid w:val="00D04185"/>
    <w:rsid w:val="00D04654"/>
    <w:rsid w:val="00D05BB6"/>
    <w:rsid w:val="00D07958"/>
    <w:rsid w:val="00D10245"/>
    <w:rsid w:val="00D115E5"/>
    <w:rsid w:val="00D1355A"/>
    <w:rsid w:val="00D16BE1"/>
    <w:rsid w:val="00D17436"/>
    <w:rsid w:val="00D17781"/>
    <w:rsid w:val="00D17870"/>
    <w:rsid w:val="00D179E3"/>
    <w:rsid w:val="00D17C19"/>
    <w:rsid w:val="00D23485"/>
    <w:rsid w:val="00D23F72"/>
    <w:rsid w:val="00D24274"/>
    <w:rsid w:val="00D248D9"/>
    <w:rsid w:val="00D25436"/>
    <w:rsid w:val="00D26F11"/>
    <w:rsid w:val="00D3291A"/>
    <w:rsid w:val="00D33C12"/>
    <w:rsid w:val="00D34227"/>
    <w:rsid w:val="00D34C6F"/>
    <w:rsid w:val="00D357AB"/>
    <w:rsid w:val="00D3698D"/>
    <w:rsid w:val="00D36BEE"/>
    <w:rsid w:val="00D37868"/>
    <w:rsid w:val="00D37A9B"/>
    <w:rsid w:val="00D37B67"/>
    <w:rsid w:val="00D40553"/>
    <w:rsid w:val="00D40557"/>
    <w:rsid w:val="00D408BB"/>
    <w:rsid w:val="00D41068"/>
    <w:rsid w:val="00D414F7"/>
    <w:rsid w:val="00D418ED"/>
    <w:rsid w:val="00D4297A"/>
    <w:rsid w:val="00D4534F"/>
    <w:rsid w:val="00D4679B"/>
    <w:rsid w:val="00D46A38"/>
    <w:rsid w:val="00D46C2D"/>
    <w:rsid w:val="00D46F0E"/>
    <w:rsid w:val="00D47AE2"/>
    <w:rsid w:val="00D47BD2"/>
    <w:rsid w:val="00D502E5"/>
    <w:rsid w:val="00D50F7F"/>
    <w:rsid w:val="00D530A0"/>
    <w:rsid w:val="00D53CCF"/>
    <w:rsid w:val="00D54C94"/>
    <w:rsid w:val="00D55295"/>
    <w:rsid w:val="00D5576E"/>
    <w:rsid w:val="00D577A4"/>
    <w:rsid w:val="00D607B5"/>
    <w:rsid w:val="00D62185"/>
    <w:rsid w:val="00D6456B"/>
    <w:rsid w:val="00D65EA2"/>
    <w:rsid w:val="00D66931"/>
    <w:rsid w:val="00D67E60"/>
    <w:rsid w:val="00D71192"/>
    <w:rsid w:val="00D715F8"/>
    <w:rsid w:val="00D71979"/>
    <w:rsid w:val="00D72537"/>
    <w:rsid w:val="00D72DDE"/>
    <w:rsid w:val="00D7456A"/>
    <w:rsid w:val="00D747F8"/>
    <w:rsid w:val="00D74F33"/>
    <w:rsid w:val="00D759A2"/>
    <w:rsid w:val="00D75ED7"/>
    <w:rsid w:val="00D76523"/>
    <w:rsid w:val="00D77708"/>
    <w:rsid w:val="00D77CE9"/>
    <w:rsid w:val="00D817FA"/>
    <w:rsid w:val="00D81925"/>
    <w:rsid w:val="00D82589"/>
    <w:rsid w:val="00D830B8"/>
    <w:rsid w:val="00D84859"/>
    <w:rsid w:val="00D85659"/>
    <w:rsid w:val="00D87228"/>
    <w:rsid w:val="00D87394"/>
    <w:rsid w:val="00D900D5"/>
    <w:rsid w:val="00D90151"/>
    <w:rsid w:val="00D90513"/>
    <w:rsid w:val="00D909EA"/>
    <w:rsid w:val="00D90C05"/>
    <w:rsid w:val="00D91816"/>
    <w:rsid w:val="00D92060"/>
    <w:rsid w:val="00D9262D"/>
    <w:rsid w:val="00D92CBF"/>
    <w:rsid w:val="00D93384"/>
    <w:rsid w:val="00D93EAD"/>
    <w:rsid w:val="00D953A0"/>
    <w:rsid w:val="00D96CBB"/>
    <w:rsid w:val="00D97A68"/>
    <w:rsid w:val="00DA0354"/>
    <w:rsid w:val="00DA0677"/>
    <w:rsid w:val="00DA0AF3"/>
    <w:rsid w:val="00DA1036"/>
    <w:rsid w:val="00DA1B85"/>
    <w:rsid w:val="00DA23B7"/>
    <w:rsid w:val="00DA3BC1"/>
    <w:rsid w:val="00DA3F68"/>
    <w:rsid w:val="00DA42E6"/>
    <w:rsid w:val="00DA4689"/>
    <w:rsid w:val="00DA4834"/>
    <w:rsid w:val="00DA55AC"/>
    <w:rsid w:val="00DA630F"/>
    <w:rsid w:val="00DA6643"/>
    <w:rsid w:val="00DA724C"/>
    <w:rsid w:val="00DA7522"/>
    <w:rsid w:val="00DA76FB"/>
    <w:rsid w:val="00DA7A7C"/>
    <w:rsid w:val="00DB0310"/>
    <w:rsid w:val="00DB1088"/>
    <w:rsid w:val="00DB1149"/>
    <w:rsid w:val="00DB115D"/>
    <w:rsid w:val="00DB1A7E"/>
    <w:rsid w:val="00DB2DA1"/>
    <w:rsid w:val="00DB378D"/>
    <w:rsid w:val="00DB4221"/>
    <w:rsid w:val="00DB4B9C"/>
    <w:rsid w:val="00DB4C61"/>
    <w:rsid w:val="00DB59C1"/>
    <w:rsid w:val="00DB5AC8"/>
    <w:rsid w:val="00DB5C95"/>
    <w:rsid w:val="00DB5E3F"/>
    <w:rsid w:val="00DB66DB"/>
    <w:rsid w:val="00DB6D3C"/>
    <w:rsid w:val="00DB7036"/>
    <w:rsid w:val="00DC0C00"/>
    <w:rsid w:val="00DC394E"/>
    <w:rsid w:val="00DC3BB6"/>
    <w:rsid w:val="00DC4FD9"/>
    <w:rsid w:val="00DC7383"/>
    <w:rsid w:val="00DC7495"/>
    <w:rsid w:val="00DD04D3"/>
    <w:rsid w:val="00DD122F"/>
    <w:rsid w:val="00DD1B8C"/>
    <w:rsid w:val="00DD2380"/>
    <w:rsid w:val="00DD351C"/>
    <w:rsid w:val="00DD3B30"/>
    <w:rsid w:val="00DD40B2"/>
    <w:rsid w:val="00DD4170"/>
    <w:rsid w:val="00DD5DD7"/>
    <w:rsid w:val="00DD5E23"/>
    <w:rsid w:val="00DD6815"/>
    <w:rsid w:val="00DD6E3A"/>
    <w:rsid w:val="00DE0B26"/>
    <w:rsid w:val="00DE31C5"/>
    <w:rsid w:val="00DE38F6"/>
    <w:rsid w:val="00DE48BA"/>
    <w:rsid w:val="00DE4BA8"/>
    <w:rsid w:val="00DE5331"/>
    <w:rsid w:val="00DE5A07"/>
    <w:rsid w:val="00DE66DF"/>
    <w:rsid w:val="00DE7300"/>
    <w:rsid w:val="00DF1658"/>
    <w:rsid w:val="00DF2DBE"/>
    <w:rsid w:val="00DF384D"/>
    <w:rsid w:val="00DF39B8"/>
    <w:rsid w:val="00DF3C9E"/>
    <w:rsid w:val="00DF45A4"/>
    <w:rsid w:val="00DF513E"/>
    <w:rsid w:val="00DF5480"/>
    <w:rsid w:val="00DF5CA0"/>
    <w:rsid w:val="00DF6E7E"/>
    <w:rsid w:val="00E0005A"/>
    <w:rsid w:val="00E0005C"/>
    <w:rsid w:val="00E00082"/>
    <w:rsid w:val="00E01476"/>
    <w:rsid w:val="00E02EF1"/>
    <w:rsid w:val="00E03592"/>
    <w:rsid w:val="00E04634"/>
    <w:rsid w:val="00E04FD9"/>
    <w:rsid w:val="00E05CD3"/>
    <w:rsid w:val="00E06DA5"/>
    <w:rsid w:val="00E10320"/>
    <w:rsid w:val="00E10F43"/>
    <w:rsid w:val="00E11572"/>
    <w:rsid w:val="00E11D60"/>
    <w:rsid w:val="00E12006"/>
    <w:rsid w:val="00E12294"/>
    <w:rsid w:val="00E13A4B"/>
    <w:rsid w:val="00E1433F"/>
    <w:rsid w:val="00E14727"/>
    <w:rsid w:val="00E1510D"/>
    <w:rsid w:val="00E160A4"/>
    <w:rsid w:val="00E16387"/>
    <w:rsid w:val="00E16819"/>
    <w:rsid w:val="00E20043"/>
    <w:rsid w:val="00E2019C"/>
    <w:rsid w:val="00E21A18"/>
    <w:rsid w:val="00E21AD4"/>
    <w:rsid w:val="00E23EC9"/>
    <w:rsid w:val="00E24B60"/>
    <w:rsid w:val="00E25FC2"/>
    <w:rsid w:val="00E31587"/>
    <w:rsid w:val="00E32484"/>
    <w:rsid w:val="00E325D6"/>
    <w:rsid w:val="00E32FE8"/>
    <w:rsid w:val="00E344F1"/>
    <w:rsid w:val="00E360CC"/>
    <w:rsid w:val="00E3654D"/>
    <w:rsid w:val="00E40CD4"/>
    <w:rsid w:val="00E417DF"/>
    <w:rsid w:val="00E41DD8"/>
    <w:rsid w:val="00E4235D"/>
    <w:rsid w:val="00E42987"/>
    <w:rsid w:val="00E44B08"/>
    <w:rsid w:val="00E45B39"/>
    <w:rsid w:val="00E45EF2"/>
    <w:rsid w:val="00E45F9F"/>
    <w:rsid w:val="00E4642F"/>
    <w:rsid w:val="00E47EB5"/>
    <w:rsid w:val="00E52499"/>
    <w:rsid w:val="00E5321D"/>
    <w:rsid w:val="00E542A0"/>
    <w:rsid w:val="00E546C7"/>
    <w:rsid w:val="00E54A3B"/>
    <w:rsid w:val="00E567FD"/>
    <w:rsid w:val="00E57142"/>
    <w:rsid w:val="00E6113A"/>
    <w:rsid w:val="00E6236A"/>
    <w:rsid w:val="00E647D6"/>
    <w:rsid w:val="00E651EB"/>
    <w:rsid w:val="00E65A3C"/>
    <w:rsid w:val="00E65C93"/>
    <w:rsid w:val="00E66092"/>
    <w:rsid w:val="00E66AB3"/>
    <w:rsid w:val="00E66FA3"/>
    <w:rsid w:val="00E67891"/>
    <w:rsid w:val="00E67A15"/>
    <w:rsid w:val="00E70194"/>
    <w:rsid w:val="00E704D9"/>
    <w:rsid w:val="00E7054B"/>
    <w:rsid w:val="00E707A5"/>
    <w:rsid w:val="00E723F5"/>
    <w:rsid w:val="00E725F3"/>
    <w:rsid w:val="00E72D12"/>
    <w:rsid w:val="00E750EB"/>
    <w:rsid w:val="00E753CC"/>
    <w:rsid w:val="00E757B8"/>
    <w:rsid w:val="00E76436"/>
    <w:rsid w:val="00E7790E"/>
    <w:rsid w:val="00E80608"/>
    <w:rsid w:val="00E80ECC"/>
    <w:rsid w:val="00E81A5B"/>
    <w:rsid w:val="00E82D8A"/>
    <w:rsid w:val="00E83D0E"/>
    <w:rsid w:val="00E83F57"/>
    <w:rsid w:val="00E84FA8"/>
    <w:rsid w:val="00E85756"/>
    <w:rsid w:val="00E90F79"/>
    <w:rsid w:val="00E92047"/>
    <w:rsid w:val="00E95678"/>
    <w:rsid w:val="00E96AD8"/>
    <w:rsid w:val="00E972A5"/>
    <w:rsid w:val="00E9748D"/>
    <w:rsid w:val="00EA29F4"/>
    <w:rsid w:val="00EA4530"/>
    <w:rsid w:val="00EA58F3"/>
    <w:rsid w:val="00EA5E36"/>
    <w:rsid w:val="00EB0A63"/>
    <w:rsid w:val="00EB0DFE"/>
    <w:rsid w:val="00EB0FAE"/>
    <w:rsid w:val="00EB18D0"/>
    <w:rsid w:val="00EB3415"/>
    <w:rsid w:val="00EB3A14"/>
    <w:rsid w:val="00EB49FD"/>
    <w:rsid w:val="00EB6ECF"/>
    <w:rsid w:val="00EB7441"/>
    <w:rsid w:val="00EB7F94"/>
    <w:rsid w:val="00EC0C35"/>
    <w:rsid w:val="00EC0F8C"/>
    <w:rsid w:val="00EC1009"/>
    <w:rsid w:val="00EC10A6"/>
    <w:rsid w:val="00EC180D"/>
    <w:rsid w:val="00EC1E0E"/>
    <w:rsid w:val="00EC29D5"/>
    <w:rsid w:val="00EC33F5"/>
    <w:rsid w:val="00EC4873"/>
    <w:rsid w:val="00EC671A"/>
    <w:rsid w:val="00EC6B87"/>
    <w:rsid w:val="00EC7893"/>
    <w:rsid w:val="00ED0B63"/>
    <w:rsid w:val="00ED2184"/>
    <w:rsid w:val="00ED2268"/>
    <w:rsid w:val="00ED3853"/>
    <w:rsid w:val="00ED3856"/>
    <w:rsid w:val="00ED419E"/>
    <w:rsid w:val="00ED54EF"/>
    <w:rsid w:val="00ED5758"/>
    <w:rsid w:val="00ED609C"/>
    <w:rsid w:val="00ED68F8"/>
    <w:rsid w:val="00ED72EB"/>
    <w:rsid w:val="00ED7931"/>
    <w:rsid w:val="00ED7BE0"/>
    <w:rsid w:val="00EE0BCB"/>
    <w:rsid w:val="00EE0BE8"/>
    <w:rsid w:val="00EE0EB5"/>
    <w:rsid w:val="00EE191B"/>
    <w:rsid w:val="00EE1C5A"/>
    <w:rsid w:val="00EE22CB"/>
    <w:rsid w:val="00EE2F56"/>
    <w:rsid w:val="00EE3890"/>
    <w:rsid w:val="00EE51E8"/>
    <w:rsid w:val="00EE5D4C"/>
    <w:rsid w:val="00EE5E01"/>
    <w:rsid w:val="00EE5FCF"/>
    <w:rsid w:val="00EE728F"/>
    <w:rsid w:val="00EE7C81"/>
    <w:rsid w:val="00EE7DDC"/>
    <w:rsid w:val="00EF2960"/>
    <w:rsid w:val="00EF30ED"/>
    <w:rsid w:val="00EF348C"/>
    <w:rsid w:val="00EF3BA7"/>
    <w:rsid w:val="00EF449F"/>
    <w:rsid w:val="00EF53CF"/>
    <w:rsid w:val="00EF5BA2"/>
    <w:rsid w:val="00EF7986"/>
    <w:rsid w:val="00F0003A"/>
    <w:rsid w:val="00F0182E"/>
    <w:rsid w:val="00F01B6D"/>
    <w:rsid w:val="00F01FB5"/>
    <w:rsid w:val="00F0252D"/>
    <w:rsid w:val="00F02DA4"/>
    <w:rsid w:val="00F033A6"/>
    <w:rsid w:val="00F044A6"/>
    <w:rsid w:val="00F0562B"/>
    <w:rsid w:val="00F056C9"/>
    <w:rsid w:val="00F05988"/>
    <w:rsid w:val="00F07947"/>
    <w:rsid w:val="00F07A9B"/>
    <w:rsid w:val="00F104FE"/>
    <w:rsid w:val="00F108F5"/>
    <w:rsid w:val="00F10C95"/>
    <w:rsid w:val="00F1102F"/>
    <w:rsid w:val="00F11C40"/>
    <w:rsid w:val="00F130CD"/>
    <w:rsid w:val="00F130ED"/>
    <w:rsid w:val="00F13BE0"/>
    <w:rsid w:val="00F14A4D"/>
    <w:rsid w:val="00F14CC2"/>
    <w:rsid w:val="00F15345"/>
    <w:rsid w:val="00F153ED"/>
    <w:rsid w:val="00F15519"/>
    <w:rsid w:val="00F16A73"/>
    <w:rsid w:val="00F20A67"/>
    <w:rsid w:val="00F20C97"/>
    <w:rsid w:val="00F213A0"/>
    <w:rsid w:val="00F220F5"/>
    <w:rsid w:val="00F22396"/>
    <w:rsid w:val="00F23BA9"/>
    <w:rsid w:val="00F2408C"/>
    <w:rsid w:val="00F2463A"/>
    <w:rsid w:val="00F2474D"/>
    <w:rsid w:val="00F25143"/>
    <w:rsid w:val="00F263E1"/>
    <w:rsid w:val="00F26968"/>
    <w:rsid w:val="00F27EC4"/>
    <w:rsid w:val="00F30482"/>
    <w:rsid w:val="00F30CDC"/>
    <w:rsid w:val="00F314A1"/>
    <w:rsid w:val="00F31F44"/>
    <w:rsid w:val="00F332E7"/>
    <w:rsid w:val="00F342D7"/>
    <w:rsid w:val="00F3578E"/>
    <w:rsid w:val="00F3582B"/>
    <w:rsid w:val="00F36AE3"/>
    <w:rsid w:val="00F372C4"/>
    <w:rsid w:val="00F40CB0"/>
    <w:rsid w:val="00F40EFF"/>
    <w:rsid w:val="00F41D2B"/>
    <w:rsid w:val="00F41E23"/>
    <w:rsid w:val="00F42AD9"/>
    <w:rsid w:val="00F42B68"/>
    <w:rsid w:val="00F42D06"/>
    <w:rsid w:val="00F42DDD"/>
    <w:rsid w:val="00F45209"/>
    <w:rsid w:val="00F45586"/>
    <w:rsid w:val="00F46505"/>
    <w:rsid w:val="00F5042A"/>
    <w:rsid w:val="00F50436"/>
    <w:rsid w:val="00F50798"/>
    <w:rsid w:val="00F50916"/>
    <w:rsid w:val="00F51209"/>
    <w:rsid w:val="00F520DB"/>
    <w:rsid w:val="00F52639"/>
    <w:rsid w:val="00F52AA0"/>
    <w:rsid w:val="00F5313E"/>
    <w:rsid w:val="00F545C2"/>
    <w:rsid w:val="00F565F1"/>
    <w:rsid w:val="00F56DC4"/>
    <w:rsid w:val="00F57ED9"/>
    <w:rsid w:val="00F60581"/>
    <w:rsid w:val="00F60727"/>
    <w:rsid w:val="00F6073D"/>
    <w:rsid w:val="00F6266A"/>
    <w:rsid w:val="00F627BC"/>
    <w:rsid w:val="00F6319F"/>
    <w:rsid w:val="00F635E3"/>
    <w:rsid w:val="00F6457C"/>
    <w:rsid w:val="00F64C9D"/>
    <w:rsid w:val="00F65113"/>
    <w:rsid w:val="00F654A0"/>
    <w:rsid w:val="00F65E63"/>
    <w:rsid w:val="00F66F6D"/>
    <w:rsid w:val="00F70E4D"/>
    <w:rsid w:val="00F710E3"/>
    <w:rsid w:val="00F713B4"/>
    <w:rsid w:val="00F729A5"/>
    <w:rsid w:val="00F74022"/>
    <w:rsid w:val="00F7466E"/>
    <w:rsid w:val="00F75680"/>
    <w:rsid w:val="00F7599D"/>
    <w:rsid w:val="00F77BB2"/>
    <w:rsid w:val="00F77E8A"/>
    <w:rsid w:val="00F80DEB"/>
    <w:rsid w:val="00F80F3E"/>
    <w:rsid w:val="00F81C21"/>
    <w:rsid w:val="00F827BD"/>
    <w:rsid w:val="00F82FEA"/>
    <w:rsid w:val="00F848F0"/>
    <w:rsid w:val="00F85FD5"/>
    <w:rsid w:val="00F8635B"/>
    <w:rsid w:val="00F86887"/>
    <w:rsid w:val="00F86C30"/>
    <w:rsid w:val="00F87EF3"/>
    <w:rsid w:val="00F9037E"/>
    <w:rsid w:val="00F931AD"/>
    <w:rsid w:val="00F935F8"/>
    <w:rsid w:val="00F936D3"/>
    <w:rsid w:val="00F9400D"/>
    <w:rsid w:val="00F94AFA"/>
    <w:rsid w:val="00F95A59"/>
    <w:rsid w:val="00F960C8"/>
    <w:rsid w:val="00F9654A"/>
    <w:rsid w:val="00F96FB7"/>
    <w:rsid w:val="00FA03F1"/>
    <w:rsid w:val="00FA1231"/>
    <w:rsid w:val="00FA17BB"/>
    <w:rsid w:val="00FA191A"/>
    <w:rsid w:val="00FA261B"/>
    <w:rsid w:val="00FA35D7"/>
    <w:rsid w:val="00FA4AA8"/>
    <w:rsid w:val="00FA5516"/>
    <w:rsid w:val="00FA57DC"/>
    <w:rsid w:val="00FA758D"/>
    <w:rsid w:val="00FA7F73"/>
    <w:rsid w:val="00FB42AD"/>
    <w:rsid w:val="00FB46B0"/>
    <w:rsid w:val="00FB6526"/>
    <w:rsid w:val="00FB7E26"/>
    <w:rsid w:val="00FB7EA6"/>
    <w:rsid w:val="00FC125A"/>
    <w:rsid w:val="00FC1EA5"/>
    <w:rsid w:val="00FC31FD"/>
    <w:rsid w:val="00FC3577"/>
    <w:rsid w:val="00FC4A53"/>
    <w:rsid w:val="00FC63CA"/>
    <w:rsid w:val="00FC6E54"/>
    <w:rsid w:val="00FC7499"/>
    <w:rsid w:val="00FC7AD8"/>
    <w:rsid w:val="00FD06FB"/>
    <w:rsid w:val="00FD0EA4"/>
    <w:rsid w:val="00FD224E"/>
    <w:rsid w:val="00FD3A94"/>
    <w:rsid w:val="00FD5475"/>
    <w:rsid w:val="00FD5FCE"/>
    <w:rsid w:val="00FD7146"/>
    <w:rsid w:val="00FD78C0"/>
    <w:rsid w:val="00FE5A9F"/>
    <w:rsid w:val="00FE6643"/>
    <w:rsid w:val="00FE73E4"/>
    <w:rsid w:val="00FE7C0D"/>
    <w:rsid w:val="00FF01F9"/>
    <w:rsid w:val="00FF0B61"/>
    <w:rsid w:val="00FF12BF"/>
    <w:rsid w:val="00FF1C09"/>
    <w:rsid w:val="00FF25A7"/>
    <w:rsid w:val="00FF3D57"/>
    <w:rsid w:val="00FF43B2"/>
    <w:rsid w:val="00FF549D"/>
    <w:rsid w:val="00FF74DB"/>
  </w:rsids>
  <m:mathPr>
    <m:mathFont m:val="Cambria Math"/>
    <m:brkBin m:val="before"/>
    <m:brkBinSub m:val="--"/>
    <m:smallFrac/>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B0B422"/>
  <w15:docId w15:val="{236F149F-D50E-4119-A2A5-E7189F070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fr-FR" w:eastAsia="fr-F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iPriority="99"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59"/>
    <w:lsdException w:name="Table Theme" w:locked="1" w:semiHidden="1" w:unhideWhenUsed="1"/>
    <w:lsdException w:name="Placeholder Text" w:locked="1"/>
    <w:lsdException w:name="No Spacing" w:locked="1" w:uiPriority="1"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ocked="1"/>
    <w:lsdException w:name="Medium Grid 2" w:locked="1" w:qFormat="1"/>
    <w:lsdException w:name="Medium Grid 3" w:locked="1"/>
    <w:lsdException w:name="Dark List" w:locked="1"/>
    <w:lsdException w:name="Colorful Shading" w:locked="1"/>
    <w:lsdException w:name="Colorful List" w:locked="1"/>
    <w:lsdException w:name="Colorful Grid" w:locked="1"/>
    <w:lsdException w:name="Light Shading Accent 1" w:locked="1"/>
    <w:lsdException w:name="Light List Accent 1" w:locked="1"/>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99"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384"/>
    <w:pPr>
      <w:spacing w:after="240"/>
    </w:pPr>
    <w:rPr>
      <w:rFonts w:ascii="Times New Roman" w:hAnsi="Times New Roman"/>
      <w:color w:val="000000"/>
      <w:sz w:val="22"/>
      <w:lang w:val="en-GB" w:eastAsia="zh-CN"/>
    </w:rPr>
  </w:style>
  <w:style w:type="paragraph" w:styleId="Heading1">
    <w:name w:val="heading 1"/>
    <w:aliases w:val="Para (1),Heading 1 Char1 Char,Heading 1 Char Char Char,Para (1) Char Char Char,Para (1) Char1 Char,Heading 1 Char1,Heading 1 Char Char,Para (1) Char Char,Para (1) Char1,Heading 1 Char1 Char Char,Heading 1 Char,Heading 1 Char1 Char Char Char"/>
    <w:basedOn w:val="Normal"/>
    <w:next w:val="Normal"/>
    <w:link w:val="Heading1Char4"/>
    <w:autoRedefine/>
    <w:qFormat/>
    <w:rsid w:val="006A54A1"/>
    <w:pPr>
      <w:keepNext/>
      <w:tabs>
        <w:tab w:val="left" w:pos="720"/>
      </w:tabs>
      <w:ind w:left="720" w:hanging="720"/>
      <w:outlineLvl w:val="0"/>
    </w:pPr>
    <w:rPr>
      <w:rFonts w:eastAsia="MS ????"/>
      <w:b/>
      <w:color w:val="auto"/>
      <w:sz w:val="36"/>
      <w:szCs w:val="24"/>
      <w:lang w:val="nb-NO"/>
    </w:rPr>
  </w:style>
  <w:style w:type="paragraph" w:styleId="Heading2">
    <w:name w:val="heading 2"/>
    <w:aliases w:val="SubPara (a),Heading 2 Char1 Char,SubPara (a) Char1 Char,Heading 1 C...,Heading 2 Char3 Char Char,Heading 2 Char Char2 Char Char,Heading 2 Char1 Char Char1 Char Char,SubPara (a) Char Char Char1 Char Char,Heading 2 Char Char Char Char1 Char Cha"/>
    <w:basedOn w:val="Heading1"/>
    <w:next w:val="Normal"/>
    <w:link w:val="Heading2Char1"/>
    <w:autoRedefine/>
    <w:qFormat/>
    <w:rsid w:val="002979B2"/>
    <w:pPr>
      <w:spacing w:before="240"/>
      <w:outlineLvl w:val="1"/>
    </w:pPr>
    <w:rPr>
      <w:rFonts w:eastAsia="MS Mincho"/>
      <w:sz w:val="24"/>
      <w:szCs w:val="20"/>
    </w:rPr>
  </w:style>
  <w:style w:type="paragraph" w:styleId="Heading3">
    <w:name w:val="heading 3"/>
    <w:aliases w:val="Heading 3 Char1 Char,Heading 3 Char Char Char,Char Char Char Char,Char Char1 Char,Sec"/>
    <w:basedOn w:val="Heading2"/>
    <w:next w:val="Normal"/>
    <w:link w:val="Heading3Char"/>
    <w:qFormat/>
    <w:rsid w:val="004345CC"/>
    <w:pPr>
      <w:keepLines/>
      <w:tabs>
        <w:tab w:val="num" w:pos="643"/>
      </w:tabs>
      <w:spacing w:before="120"/>
      <w:ind w:left="1134" w:hanging="1134"/>
      <w:outlineLvl w:val="2"/>
    </w:pPr>
    <w:rPr>
      <w:rFonts w:ascii="Times" w:eastAsia="Times New Roman" w:hAnsi="Times"/>
      <w:sz w:val="20"/>
    </w:rPr>
  </w:style>
  <w:style w:type="paragraph" w:styleId="Heading4">
    <w:name w:val="heading 4"/>
    <w:aliases w:val="MainPara"/>
    <w:basedOn w:val="Heading3"/>
    <w:next w:val="Normal"/>
    <w:link w:val="Heading4Char"/>
    <w:autoRedefine/>
    <w:qFormat/>
    <w:rsid w:val="004345CC"/>
    <w:pPr>
      <w:numPr>
        <w:ilvl w:val="3"/>
      </w:numPr>
      <w:tabs>
        <w:tab w:val="num" w:pos="643"/>
        <w:tab w:val="num" w:pos="2208"/>
      </w:tabs>
      <w:ind w:left="1077" w:hanging="1077"/>
      <w:outlineLvl w:val="3"/>
    </w:pPr>
  </w:style>
  <w:style w:type="paragraph" w:styleId="Heading5">
    <w:name w:val="heading 5"/>
    <w:aliases w:val="Subpara 2"/>
    <w:basedOn w:val="Heading1"/>
    <w:next w:val="Normal"/>
    <w:link w:val="Heading5Char"/>
    <w:qFormat/>
    <w:rsid w:val="003531E6"/>
    <w:pPr>
      <w:widowControl w:val="0"/>
      <w:tabs>
        <w:tab w:val="num" w:pos="643"/>
      </w:tabs>
      <w:ind w:left="1134" w:hanging="1134"/>
      <w:outlineLvl w:val="4"/>
    </w:pPr>
    <w:rPr>
      <w:b w:val="0"/>
      <w:color w:val="000000"/>
      <w:sz w:val="20"/>
      <w:szCs w:val="20"/>
      <w:lang w:val="en-GB"/>
    </w:rPr>
  </w:style>
  <w:style w:type="paragraph" w:styleId="Heading6">
    <w:name w:val="heading 6"/>
    <w:aliases w:val="Subpara 3"/>
    <w:basedOn w:val="Normal"/>
    <w:next w:val="Normal"/>
    <w:link w:val="Heading6Char"/>
    <w:qFormat/>
    <w:rsid w:val="00664A02"/>
    <w:pPr>
      <w:keepNext/>
      <w:tabs>
        <w:tab w:val="left" w:pos="230"/>
        <w:tab w:val="left" w:pos="1877"/>
      </w:tabs>
      <w:spacing w:before="48"/>
      <w:outlineLvl w:val="5"/>
    </w:pPr>
    <w:rPr>
      <w:rFonts w:ascii="Calibri" w:hAnsi="Calibri"/>
      <w:b/>
      <w:sz w:val="20"/>
    </w:rPr>
  </w:style>
  <w:style w:type="paragraph" w:styleId="Heading7">
    <w:name w:val="heading 7"/>
    <w:aliases w:val="Subpara 4"/>
    <w:basedOn w:val="Normal"/>
    <w:next w:val="Normal"/>
    <w:link w:val="Heading7Char"/>
    <w:qFormat/>
    <w:rsid w:val="004345CC"/>
    <w:pPr>
      <w:keepNext/>
      <w:tabs>
        <w:tab w:val="num" w:pos="1296"/>
      </w:tabs>
      <w:spacing w:before="48"/>
      <w:ind w:left="1296" w:hanging="1296"/>
      <w:jc w:val="center"/>
      <w:outlineLvl w:val="6"/>
    </w:pPr>
    <w:rPr>
      <w:b/>
      <w:sz w:val="20"/>
    </w:rPr>
  </w:style>
  <w:style w:type="paragraph" w:styleId="Heading8">
    <w:name w:val="heading 8"/>
    <w:aliases w:val="Subpara 5"/>
    <w:basedOn w:val="Normal"/>
    <w:next w:val="Normal"/>
    <w:link w:val="Heading8Char"/>
    <w:qFormat/>
    <w:rsid w:val="004345CC"/>
    <w:pPr>
      <w:keepNext/>
      <w:tabs>
        <w:tab w:val="num" w:pos="1440"/>
        <w:tab w:val="left" w:pos="2160"/>
        <w:tab w:val="left" w:pos="2880"/>
        <w:tab w:val="left" w:pos="3600"/>
        <w:tab w:val="left" w:pos="6480"/>
        <w:tab w:val="left" w:pos="7290"/>
        <w:tab w:val="left" w:pos="7920"/>
        <w:tab w:val="left" w:pos="8640"/>
      </w:tabs>
      <w:spacing w:line="240" w:lineRule="exact"/>
      <w:ind w:left="1440" w:hanging="1440"/>
      <w:outlineLvl w:val="7"/>
    </w:pPr>
    <w:rPr>
      <w:b/>
      <w:sz w:val="20"/>
    </w:rPr>
  </w:style>
  <w:style w:type="paragraph" w:styleId="Heading9">
    <w:name w:val="heading 9"/>
    <w:aliases w:val="Subpara 6"/>
    <w:basedOn w:val="Normal"/>
    <w:next w:val="Normal"/>
    <w:link w:val="Heading9Char"/>
    <w:qFormat/>
    <w:rsid w:val="004345CC"/>
    <w:pPr>
      <w:keepNext/>
      <w:tabs>
        <w:tab w:val="num" w:pos="1584"/>
      </w:tabs>
      <w:spacing w:line="240" w:lineRule="atLeast"/>
      <w:ind w:left="1584" w:hanging="1584"/>
      <w:jc w:val="cente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664A02"/>
    <w:rPr>
      <w:rFonts w:ascii="Tahoma" w:hAnsi="Tahoma"/>
      <w:color w:val="auto"/>
      <w:sz w:val="16"/>
    </w:rPr>
  </w:style>
  <w:style w:type="character" w:customStyle="1" w:styleId="Heading1Char2">
    <w:name w:val="Heading 1 Char2"/>
    <w:aliases w:val="Para (1) Char,Heading 1 Char1 Char Char1,Heading 1 Char Char Char Char,Para (1) Char Char Char Char,Para (1) Char1 Char Char,Heading 1 Char1 Char1,Heading 1 Char Char Char1,Para (1) Char Char Char1,Para (1) Char1 Char1"/>
    <w:rsid w:val="000D114C"/>
    <w:rPr>
      <w:rFonts w:ascii="Cambria" w:hAnsi="Cambria" w:cs="Times New Roman"/>
      <w:b/>
      <w:bCs/>
      <w:color w:val="000000"/>
      <w:kern w:val="32"/>
      <w:sz w:val="32"/>
      <w:szCs w:val="32"/>
      <w:lang w:val="en-GB" w:eastAsia="zh-CN"/>
    </w:rPr>
  </w:style>
  <w:style w:type="character" w:customStyle="1" w:styleId="Heading2Char">
    <w:name w:val="Heading 2 Char"/>
    <w:aliases w:val="SubPara (a) Char,Heading 2 Char1 Char Char,SubPara (a) Char1 Char Char,Heading 1 C... Char,Heading 2 Char3 Char Char Char,Heading 2 Char Char2 Char Char Char,Heading 2 Char1 Char Char1 Char Char Char"/>
    <w:locked/>
    <w:rsid w:val="007340C7"/>
    <w:rPr>
      <w:rFonts w:ascii="Times New Roman Bold" w:eastAsia="MS ????" w:hAnsi="Times New Roman Bold"/>
      <w:color w:val="000000"/>
      <w:sz w:val="28"/>
      <w:lang w:val="en-GB"/>
    </w:rPr>
  </w:style>
  <w:style w:type="character" w:customStyle="1" w:styleId="Heading3Char">
    <w:name w:val="Heading 3 Char"/>
    <w:aliases w:val="Heading 3 Char1 Char Char,Heading 3 Char Char Char Char,Char Char Char Char Char,Char Char1 Char Char,Sec Char"/>
    <w:link w:val="Heading3"/>
    <w:locked/>
    <w:rsid w:val="003531E6"/>
    <w:rPr>
      <w:rFonts w:cs="Times New Roman"/>
      <w:b/>
      <w:i/>
      <w:sz w:val="20"/>
    </w:rPr>
  </w:style>
  <w:style w:type="character" w:customStyle="1" w:styleId="Heading4Char">
    <w:name w:val="Heading 4 Char"/>
    <w:aliases w:val="MainPara Char"/>
    <w:link w:val="Heading4"/>
    <w:locked/>
    <w:rsid w:val="003531E6"/>
    <w:rPr>
      <w:rFonts w:cs="Times New Roman"/>
      <w:b/>
      <w:i/>
      <w:sz w:val="20"/>
    </w:rPr>
  </w:style>
  <w:style w:type="character" w:customStyle="1" w:styleId="Heading5Char">
    <w:name w:val="Heading 5 Char"/>
    <w:aliases w:val="Subpara 2 Char"/>
    <w:link w:val="Heading5"/>
    <w:locked/>
    <w:rsid w:val="00521070"/>
    <w:rPr>
      <w:rFonts w:ascii="Times New Roman" w:hAnsi="Times New Roman" w:cs="Times New Roman"/>
      <w:color w:val="000000"/>
      <w:sz w:val="20"/>
      <w:lang w:val="en-GB" w:eastAsia="zh-CN"/>
    </w:rPr>
  </w:style>
  <w:style w:type="character" w:customStyle="1" w:styleId="Heading6Char">
    <w:name w:val="Heading 6 Char"/>
    <w:aliases w:val="Subpara 3 Char"/>
    <w:link w:val="Heading6"/>
    <w:semiHidden/>
    <w:locked/>
    <w:rsid w:val="00521070"/>
    <w:rPr>
      <w:rFonts w:ascii="Calibri" w:hAnsi="Calibri" w:cs="Times New Roman"/>
      <w:b/>
      <w:color w:val="000000"/>
      <w:lang w:val="en-GB" w:eastAsia="zh-CN"/>
    </w:rPr>
  </w:style>
  <w:style w:type="character" w:customStyle="1" w:styleId="Heading7Char">
    <w:name w:val="Heading 7 Char"/>
    <w:aliases w:val="Subpara 4 Char"/>
    <w:link w:val="Heading7"/>
    <w:locked/>
    <w:rsid w:val="00521070"/>
    <w:rPr>
      <w:rFonts w:ascii="Times New Roman" w:hAnsi="Times New Roman" w:cs="Times New Roman"/>
      <w:b/>
      <w:color w:val="000000"/>
      <w:sz w:val="20"/>
      <w:lang w:val="en-GB" w:eastAsia="zh-CN"/>
    </w:rPr>
  </w:style>
  <w:style w:type="character" w:customStyle="1" w:styleId="Heading8Char">
    <w:name w:val="Heading 8 Char"/>
    <w:aliases w:val="Subpara 5 Char"/>
    <w:link w:val="Heading8"/>
    <w:locked/>
    <w:rsid w:val="00521070"/>
    <w:rPr>
      <w:rFonts w:ascii="Times New Roman" w:hAnsi="Times New Roman" w:cs="Times New Roman"/>
      <w:b/>
      <w:color w:val="000000"/>
      <w:sz w:val="20"/>
      <w:lang w:val="en-GB" w:eastAsia="zh-CN"/>
    </w:rPr>
  </w:style>
  <w:style w:type="character" w:customStyle="1" w:styleId="Heading9Char">
    <w:name w:val="Heading 9 Char"/>
    <w:aliases w:val="Subpara 6 Char"/>
    <w:link w:val="Heading9"/>
    <w:locked/>
    <w:rsid w:val="00521070"/>
    <w:rPr>
      <w:rFonts w:ascii="Times New Roman" w:hAnsi="Times New Roman" w:cs="Times New Roman"/>
      <w:b/>
      <w:color w:val="000000"/>
      <w:sz w:val="20"/>
      <w:lang w:val="en-GB" w:eastAsia="zh-CN"/>
    </w:rPr>
  </w:style>
  <w:style w:type="character" w:customStyle="1" w:styleId="BalloonTextChar">
    <w:name w:val="Balloon Text Char"/>
    <w:link w:val="BalloonText"/>
    <w:uiPriority w:val="99"/>
    <w:locked/>
    <w:rsid w:val="00564876"/>
    <w:rPr>
      <w:rFonts w:ascii="Tahoma" w:hAnsi="Tahoma" w:cs="Times New Roman"/>
      <w:sz w:val="16"/>
    </w:rPr>
  </w:style>
  <w:style w:type="character" w:customStyle="1" w:styleId="Heading1Char4">
    <w:name w:val="Heading 1 Char4"/>
    <w:aliases w:val="Para (1) Char3,Heading 1 Char1 Char Char3,Heading 1 Char Char Char Char2,Para (1) Char Char Char Char2,Para (1) Char1 Char Char2,Heading 1 Char1 Char3,Heading 1 Char Char Char3,Para (1) Char Char Char3,Para (1) Char1 Char3"/>
    <w:link w:val="Heading1"/>
    <w:locked/>
    <w:rsid w:val="006A54A1"/>
    <w:rPr>
      <w:rFonts w:ascii="Times New Roman" w:eastAsia="MS ????" w:hAnsi="Times New Roman"/>
      <w:b/>
      <w:sz w:val="36"/>
      <w:szCs w:val="24"/>
      <w:lang w:val="nb-NO" w:eastAsia="zh-CN"/>
    </w:rPr>
  </w:style>
  <w:style w:type="character" w:customStyle="1" w:styleId="Heading2Char1">
    <w:name w:val="Heading 2 Char1"/>
    <w:aliases w:val="SubPara (a) Char1,Heading 2 Char1 Char Char1,SubPara (a) Char1 Char Char1,Heading 1 C... Char1,Heading 2 Char3 Char Char Char1,Heading 2 Char Char2 Char Char Char1,Heading 2 Char1 Char Char1 Char Char Char1"/>
    <w:link w:val="Heading2"/>
    <w:locked/>
    <w:rsid w:val="002979B2"/>
    <w:rPr>
      <w:rFonts w:ascii="Times New Roman" w:eastAsia="MS Mincho" w:hAnsi="Times New Roman"/>
      <w:b/>
      <w:sz w:val="24"/>
      <w:lang w:val="nb-NO" w:eastAsia="zh-CN"/>
    </w:rPr>
  </w:style>
  <w:style w:type="character" w:customStyle="1" w:styleId="CharChar2">
    <w:name w:val="Char Char2"/>
    <w:locked/>
    <w:rsid w:val="00664A02"/>
    <w:rPr>
      <w:b/>
      <w:color w:val="000000"/>
      <w:sz w:val="28"/>
      <w:lang w:val="en-GB" w:eastAsia="zh-CN"/>
    </w:rPr>
  </w:style>
  <w:style w:type="character" w:customStyle="1" w:styleId="SubParaaCharChar">
    <w:name w:val="SubPara (a) Char Char"/>
    <w:rsid w:val="00664A02"/>
    <w:rPr>
      <w:b/>
      <w:snapToGrid/>
      <w:color w:val="000000"/>
      <w:sz w:val="24"/>
      <w:lang w:val="en-GB" w:eastAsia="zh-CN"/>
    </w:rPr>
  </w:style>
  <w:style w:type="paragraph" w:styleId="BodyText">
    <w:name w:val="Body Text"/>
    <w:aliases w:val="Char Char,Body Text Char Char Char Char Char,Body Text Char Char Char Char, Char Char"/>
    <w:basedOn w:val="Normal"/>
    <w:link w:val="BodyTextChar"/>
    <w:rsid w:val="00664A02"/>
    <w:pPr>
      <w:spacing w:line="240" w:lineRule="atLeast"/>
    </w:pPr>
    <w:rPr>
      <w:sz w:val="20"/>
    </w:rPr>
  </w:style>
  <w:style w:type="character" w:customStyle="1" w:styleId="BodyTextChar">
    <w:name w:val="Body Text Char"/>
    <w:aliases w:val="Char Char Char,Body Text Char Char Char Char Char Char,Body Text Char Char Char Char Char1, Char Char Char"/>
    <w:link w:val="BodyText"/>
    <w:locked/>
    <w:rsid w:val="00521070"/>
    <w:rPr>
      <w:rFonts w:ascii="Times New Roman" w:hAnsi="Times New Roman" w:cs="Times New Roman"/>
      <w:color w:val="000000"/>
      <w:sz w:val="20"/>
      <w:lang w:val="en-GB" w:eastAsia="zh-CN"/>
    </w:rPr>
  </w:style>
  <w:style w:type="paragraph" w:styleId="Footer">
    <w:name w:val="footer"/>
    <w:basedOn w:val="Normal"/>
    <w:link w:val="FooterChar"/>
    <w:uiPriority w:val="99"/>
    <w:rsid w:val="00664A02"/>
    <w:pPr>
      <w:tabs>
        <w:tab w:val="center" w:pos="4320"/>
        <w:tab w:val="right" w:pos="8640"/>
      </w:tabs>
    </w:pPr>
    <w:rPr>
      <w:rFonts w:ascii="Times" w:eastAsia="SimSun" w:hAnsi="Times"/>
      <w:color w:val="auto"/>
    </w:rPr>
  </w:style>
  <w:style w:type="character" w:customStyle="1" w:styleId="FooterChar">
    <w:name w:val="Footer Char"/>
    <w:link w:val="Footer"/>
    <w:uiPriority w:val="99"/>
    <w:locked/>
    <w:rsid w:val="00664A02"/>
    <w:rPr>
      <w:rFonts w:eastAsia="SimSun" w:cs="Times New Roman"/>
      <w:sz w:val="22"/>
      <w:lang w:eastAsia="zh-CN"/>
    </w:rPr>
  </w:style>
  <w:style w:type="character" w:styleId="PageNumber">
    <w:name w:val="page number"/>
    <w:rsid w:val="00664A02"/>
    <w:rPr>
      <w:rFonts w:cs="Times New Roman"/>
    </w:rPr>
  </w:style>
  <w:style w:type="paragraph" w:styleId="Header">
    <w:name w:val="header"/>
    <w:aliases w:val="EthylHeader"/>
    <w:basedOn w:val="Normal"/>
    <w:link w:val="HeaderChar"/>
    <w:rsid w:val="00664A02"/>
    <w:pPr>
      <w:tabs>
        <w:tab w:val="center" w:pos="4320"/>
        <w:tab w:val="right" w:pos="8640"/>
      </w:tabs>
    </w:pPr>
    <w:rPr>
      <w:rFonts w:ascii="Times" w:hAnsi="Times"/>
      <w:sz w:val="24"/>
    </w:rPr>
  </w:style>
  <w:style w:type="character" w:customStyle="1" w:styleId="HeaderChar">
    <w:name w:val="Header Char"/>
    <w:aliases w:val="EthylHeader Char"/>
    <w:link w:val="Header"/>
    <w:locked/>
    <w:rsid w:val="00664A02"/>
    <w:rPr>
      <w:rFonts w:cs="Times New Roman"/>
      <w:color w:val="000000"/>
      <w:sz w:val="24"/>
      <w:lang w:val="en-GB" w:eastAsia="zh-CN"/>
    </w:rPr>
  </w:style>
  <w:style w:type="paragraph" w:customStyle="1" w:styleId="ChapterHeading">
    <w:name w:val="Chapter Heading"/>
    <w:basedOn w:val="Heading1"/>
    <w:rsid w:val="004345CC"/>
    <w:pPr>
      <w:keepNext w:val="0"/>
      <w:keepLines/>
      <w:ind w:left="2520" w:hanging="1440"/>
    </w:pPr>
    <w:rPr>
      <w:sz w:val="32"/>
    </w:rPr>
  </w:style>
  <w:style w:type="paragraph" w:customStyle="1" w:styleId="Bullet">
    <w:name w:val="Bullet"/>
    <w:basedOn w:val="Normal"/>
    <w:rsid w:val="00664A02"/>
    <w:pPr>
      <w:tabs>
        <w:tab w:val="num" w:pos="1437"/>
        <w:tab w:val="left" w:pos="1531"/>
      </w:tabs>
      <w:spacing w:before="60" w:after="60"/>
      <w:ind w:left="1437" w:hanging="360"/>
    </w:pPr>
  </w:style>
  <w:style w:type="character" w:styleId="FootnoteReference">
    <w:name w:val="footnote reference"/>
    <w:aliases w:val="Footnote text,16 Point,Superscript 6 Point"/>
    <w:rsid w:val="004345CC"/>
    <w:rPr>
      <w:rFonts w:cs="Times New Roman"/>
      <w:vertAlign w:val="superscript"/>
    </w:rPr>
  </w:style>
  <w:style w:type="paragraph" w:styleId="ListBullet">
    <w:name w:val="List Bullet"/>
    <w:basedOn w:val="Normal"/>
    <w:rsid w:val="00664A02"/>
    <w:pPr>
      <w:widowControl w:val="0"/>
      <w:ind w:left="425" w:hanging="425"/>
    </w:pPr>
    <w:rPr>
      <w:color w:val="auto"/>
    </w:rPr>
  </w:style>
  <w:style w:type="paragraph" w:styleId="ListNumber">
    <w:name w:val="List Number"/>
    <w:basedOn w:val="Normal"/>
    <w:rsid w:val="00664A02"/>
    <w:pPr>
      <w:widowControl w:val="0"/>
      <w:spacing w:before="120"/>
      <w:ind w:left="1512" w:hanging="432"/>
    </w:pPr>
    <w:rPr>
      <w:color w:val="auto"/>
    </w:rPr>
  </w:style>
  <w:style w:type="paragraph" w:styleId="FootnoteText">
    <w:name w:val="footnote text"/>
    <w:aliases w:val="Geneva 9,Font: Geneva 9,Boston 10,f"/>
    <w:basedOn w:val="Normal"/>
    <w:link w:val="FootnoteTextChar"/>
    <w:semiHidden/>
    <w:rsid w:val="00664A02"/>
    <w:pPr>
      <w:widowControl w:val="0"/>
    </w:pPr>
    <w:rPr>
      <w:sz w:val="20"/>
    </w:rPr>
  </w:style>
  <w:style w:type="character" w:customStyle="1" w:styleId="FootnoteTextChar">
    <w:name w:val="Footnote Text Char"/>
    <w:aliases w:val="Geneva 9 Char,Font: Geneva 9 Char,Boston 10 Char,f Char"/>
    <w:link w:val="FootnoteText"/>
    <w:semiHidden/>
    <w:locked/>
    <w:rsid w:val="00521070"/>
    <w:rPr>
      <w:rFonts w:ascii="Times New Roman" w:hAnsi="Times New Roman" w:cs="Times New Roman"/>
      <w:color w:val="000000"/>
      <w:sz w:val="20"/>
      <w:lang w:val="en-GB" w:eastAsia="zh-CN"/>
    </w:rPr>
  </w:style>
  <w:style w:type="paragraph" w:styleId="BodyTextIndent">
    <w:name w:val="Body Text Indent"/>
    <w:basedOn w:val="Normal"/>
    <w:link w:val="BodyTextIndentChar"/>
    <w:rsid w:val="00664A02"/>
    <w:pPr>
      <w:spacing w:line="240" w:lineRule="atLeast"/>
      <w:ind w:left="2127" w:hanging="993"/>
    </w:pPr>
    <w:rPr>
      <w:sz w:val="20"/>
    </w:rPr>
  </w:style>
  <w:style w:type="character" w:customStyle="1" w:styleId="BodyTextIndentChar">
    <w:name w:val="Body Text Indent Char"/>
    <w:link w:val="BodyTextIndent"/>
    <w:semiHidden/>
    <w:locked/>
    <w:rsid w:val="00521070"/>
    <w:rPr>
      <w:rFonts w:ascii="Times New Roman" w:hAnsi="Times New Roman" w:cs="Times New Roman"/>
      <w:color w:val="000000"/>
      <w:sz w:val="20"/>
      <w:lang w:val="en-GB" w:eastAsia="zh-CN"/>
    </w:rPr>
  </w:style>
  <w:style w:type="character" w:styleId="LineNumber">
    <w:name w:val="line number"/>
    <w:rsid w:val="00664A02"/>
    <w:rPr>
      <w:rFonts w:cs="Times New Roman"/>
    </w:rPr>
  </w:style>
  <w:style w:type="paragraph" w:customStyle="1" w:styleId="SummaryShading">
    <w:name w:val="Summary Shading"/>
    <w:basedOn w:val="Normal"/>
    <w:rsid w:val="00664A02"/>
    <w:pPr>
      <w:shd w:val="pct5" w:color="808080" w:fill="auto"/>
      <w:spacing w:before="120" w:after="120"/>
      <w:jc w:val="both"/>
    </w:pPr>
    <w:rPr>
      <w:rFonts w:ascii="Garamond" w:hAnsi="Garamond"/>
      <w:color w:val="auto"/>
    </w:rPr>
  </w:style>
  <w:style w:type="paragraph" w:customStyle="1" w:styleId="MainText">
    <w:name w:val="Main Text"/>
    <w:rsid w:val="00664A02"/>
    <w:pPr>
      <w:widowControl w:val="0"/>
      <w:spacing w:line="240" w:lineRule="exact"/>
      <w:ind w:left="567" w:hanging="567"/>
    </w:pPr>
    <w:rPr>
      <w:color w:val="000000"/>
      <w:lang w:val="en-US" w:eastAsia="zh-CN"/>
    </w:rPr>
  </w:style>
  <w:style w:type="paragraph" w:customStyle="1" w:styleId="Paragraph">
    <w:name w:val="Paragraph"/>
    <w:basedOn w:val="Normal"/>
    <w:rsid w:val="00664A02"/>
    <w:pPr>
      <w:spacing w:before="120" w:after="120"/>
      <w:jc w:val="both"/>
    </w:pPr>
    <w:rPr>
      <w:rFonts w:ascii="Garamond" w:hAnsi="Garamond"/>
      <w:lang w:val="de-DE"/>
    </w:rPr>
  </w:style>
  <w:style w:type="paragraph" w:customStyle="1" w:styleId="DotPoints">
    <w:name w:val="Dot Points"/>
    <w:basedOn w:val="Normal"/>
    <w:rsid w:val="00664A02"/>
    <w:pPr>
      <w:spacing w:after="60"/>
      <w:ind w:left="709" w:right="284" w:hanging="284"/>
      <w:jc w:val="both"/>
    </w:pPr>
    <w:rPr>
      <w:rFonts w:ascii="Garamond" w:hAnsi="Garamond"/>
      <w:color w:val="auto"/>
    </w:rPr>
  </w:style>
  <w:style w:type="paragraph" w:customStyle="1" w:styleId="Style1">
    <w:name w:val="Style1"/>
    <w:basedOn w:val="Normal"/>
    <w:rsid w:val="00664A02"/>
    <w:pPr>
      <w:spacing w:before="120" w:after="120" w:line="360" w:lineRule="auto"/>
    </w:pPr>
    <w:rPr>
      <w:rFonts w:ascii="Garamond" w:hAnsi="Garamond"/>
      <w:color w:val="auto"/>
      <w:lang w:val="en-AU"/>
    </w:rPr>
  </w:style>
  <w:style w:type="paragraph" w:customStyle="1" w:styleId="TableColumnHeading">
    <w:name w:val="Table Column Heading"/>
    <w:basedOn w:val="Normal"/>
    <w:rsid w:val="00664A02"/>
    <w:pPr>
      <w:spacing w:before="80" w:after="120"/>
      <w:jc w:val="center"/>
    </w:pPr>
    <w:rPr>
      <w:rFonts w:ascii="Arial Narrow" w:hAnsi="Arial Narrow"/>
      <w:b/>
      <w:color w:val="auto"/>
      <w:sz w:val="20"/>
    </w:rPr>
  </w:style>
  <w:style w:type="paragraph" w:customStyle="1" w:styleId="TableDetails">
    <w:name w:val="Table Details"/>
    <w:basedOn w:val="Normal"/>
    <w:rsid w:val="00664A02"/>
    <w:pPr>
      <w:spacing w:before="60" w:after="60"/>
      <w:ind w:left="113" w:right="113"/>
      <w:jc w:val="both"/>
    </w:pPr>
    <w:rPr>
      <w:rFonts w:ascii="Arial Narrow" w:hAnsi="Arial Narrow"/>
      <w:color w:val="auto"/>
      <w:sz w:val="20"/>
    </w:rPr>
  </w:style>
  <w:style w:type="paragraph" w:customStyle="1" w:styleId="TableHeading">
    <w:name w:val="Table Heading"/>
    <w:basedOn w:val="Normal"/>
    <w:rsid w:val="00664A02"/>
    <w:pPr>
      <w:spacing w:before="120" w:after="120"/>
      <w:ind w:left="1134" w:hanging="1134"/>
      <w:jc w:val="both"/>
    </w:pPr>
    <w:rPr>
      <w:rFonts w:ascii="Arial" w:hAnsi="Arial"/>
      <w:b/>
      <w:color w:val="auto"/>
      <w:sz w:val="20"/>
    </w:rPr>
  </w:style>
  <w:style w:type="paragraph" w:customStyle="1" w:styleId="References">
    <w:name w:val="References"/>
    <w:basedOn w:val="Normal"/>
    <w:rsid w:val="005E2A42"/>
    <w:pPr>
      <w:keepLines/>
      <w:spacing w:before="60" w:after="60"/>
      <w:ind w:left="1134" w:hanging="1134"/>
      <w:jc w:val="both"/>
    </w:pPr>
    <w:rPr>
      <w:rFonts w:ascii="Garamond" w:hAnsi="Garamond"/>
      <w:bCs/>
      <w:color w:val="auto"/>
      <w:sz w:val="20"/>
    </w:rPr>
  </w:style>
  <w:style w:type="character" w:styleId="Hyperlink">
    <w:name w:val="Hyperlink"/>
    <w:uiPriority w:val="99"/>
    <w:rsid w:val="00664A02"/>
    <w:rPr>
      <w:rFonts w:cs="Times New Roman"/>
      <w:color w:val="0000FF"/>
      <w:u w:val="single"/>
    </w:rPr>
  </w:style>
  <w:style w:type="paragraph" w:styleId="Caption">
    <w:name w:val="caption"/>
    <w:basedOn w:val="Normal"/>
    <w:next w:val="Normal"/>
    <w:qFormat/>
    <w:rsid w:val="00664A02"/>
    <w:pPr>
      <w:spacing w:line="240" w:lineRule="atLeast"/>
      <w:ind w:left="1077"/>
    </w:pPr>
    <w:rPr>
      <w:i/>
    </w:rPr>
  </w:style>
  <w:style w:type="character" w:styleId="CommentReference">
    <w:name w:val="annotation reference"/>
    <w:rsid w:val="00664A02"/>
    <w:rPr>
      <w:rFonts w:cs="Times New Roman"/>
      <w:sz w:val="16"/>
    </w:rPr>
  </w:style>
  <w:style w:type="paragraph" w:styleId="CommentText">
    <w:name w:val="annotation text"/>
    <w:basedOn w:val="Normal"/>
    <w:link w:val="CommentTextChar"/>
    <w:rsid w:val="00664A02"/>
    <w:pPr>
      <w:widowControl w:val="0"/>
    </w:pPr>
    <w:rPr>
      <w:color w:val="auto"/>
      <w:sz w:val="24"/>
      <w:lang w:eastAsia="ja-JP"/>
    </w:rPr>
  </w:style>
  <w:style w:type="character" w:customStyle="1" w:styleId="CommentTextChar">
    <w:name w:val="Comment Text Char"/>
    <w:link w:val="CommentText"/>
    <w:locked/>
    <w:rsid w:val="00564876"/>
    <w:rPr>
      <w:rFonts w:ascii="Times New Roman" w:hAnsi="Times New Roman" w:cs="Times New Roman"/>
      <w:sz w:val="24"/>
      <w:lang w:eastAsia="ja-JP"/>
    </w:rPr>
  </w:style>
  <w:style w:type="character" w:customStyle="1" w:styleId="CharChar1">
    <w:name w:val="Char Char1"/>
    <w:rsid w:val="00664A02"/>
    <w:rPr>
      <w:rFonts w:ascii="Arial" w:hAnsi="Arial"/>
      <w:lang w:val="en-GB" w:eastAsia="zh-CN"/>
    </w:rPr>
  </w:style>
  <w:style w:type="paragraph" w:styleId="TOC1">
    <w:name w:val="toc 1"/>
    <w:basedOn w:val="Normal"/>
    <w:next w:val="Normal"/>
    <w:autoRedefine/>
    <w:uiPriority w:val="39"/>
    <w:rsid w:val="003655C2"/>
    <w:pPr>
      <w:tabs>
        <w:tab w:val="left" w:pos="574"/>
        <w:tab w:val="right" w:leader="dot" w:pos="9019"/>
      </w:tabs>
      <w:spacing w:before="120" w:after="0"/>
      <w:ind w:left="630" w:hanging="630"/>
    </w:pPr>
    <w:rPr>
      <w:rFonts w:ascii="Cambria" w:eastAsia="MS ????" w:hAnsi="Cambria"/>
      <w:b/>
      <w:caps/>
      <w:noProof/>
      <w:szCs w:val="22"/>
    </w:rPr>
  </w:style>
  <w:style w:type="paragraph" w:styleId="TOC2">
    <w:name w:val="toc 2"/>
    <w:basedOn w:val="Normal"/>
    <w:next w:val="Normal"/>
    <w:autoRedefine/>
    <w:uiPriority w:val="39"/>
    <w:rsid w:val="00E9748D"/>
    <w:pPr>
      <w:tabs>
        <w:tab w:val="left" w:pos="1100"/>
        <w:tab w:val="right" w:leader="dot" w:pos="9019"/>
      </w:tabs>
      <w:spacing w:after="0"/>
      <w:ind w:left="720" w:hanging="500"/>
    </w:pPr>
    <w:rPr>
      <w:rFonts w:asciiTheme="minorHAnsi" w:hAnsiTheme="minorHAnsi"/>
      <w:smallCaps/>
      <w:szCs w:val="22"/>
    </w:rPr>
  </w:style>
  <w:style w:type="paragraph" w:styleId="TOC3">
    <w:name w:val="toc 3"/>
    <w:basedOn w:val="Normal"/>
    <w:next w:val="Normal"/>
    <w:autoRedefine/>
    <w:uiPriority w:val="39"/>
    <w:rsid w:val="001079E6"/>
    <w:pPr>
      <w:spacing w:after="0"/>
      <w:ind w:left="440"/>
    </w:pPr>
    <w:rPr>
      <w:rFonts w:asciiTheme="minorHAnsi" w:hAnsiTheme="minorHAnsi"/>
      <w:i/>
      <w:szCs w:val="22"/>
    </w:rPr>
  </w:style>
  <w:style w:type="paragraph" w:styleId="TOC4">
    <w:name w:val="toc 4"/>
    <w:basedOn w:val="Normal"/>
    <w:next w:val="Normal"/>
    <w:autoRedefine/>
    <w:rsid w:val="00C17D19"/>
    <w:pPr>
      <w:spacing w:after="0"/>
      <w:ind w:left="660"/>
    </w:pPr>
    <w:rPr>
      <w:rFonts w:asciiTheme="minorHAnsi" w:hAnsiTheme="minorHAnsi"/>
      <w:sz w:val="18"/>
      <w:szCs w:val="18"/>
    </w:rPr>
  </w:style>
  <w:style w:type="paragraph" w:styleId="TOC5">
    <w:name w:val="toc 5"/>
    <w:basedOn w:val="Normal"/>
    <w:next w:val="Normal"/>
    <w:autoRedefine/>
    <w:semiHidden/>
    <w:rsid w:val="00C17D19"/>
    <w:pPr>
      <w:spacing w:after="0"/>
      <w:ind w:left="880"/>
    </w:pPr>
    <w:rPr>
      <w:rFonts w:asciiTheme="minorHAnsi" w:hAnsiTheme="minorHAnsi"/>
      <w:sz w:val="18"/>
      <w:szCs w:val="18"/>
    </w:rPr>
  </w:style>
  <w:style w:type="paragraph" w:styleId="TOC6">
    <w:name w:val="toc 6"/>
    <w:basedOn w:val="Normal"/>
    <w:next w:val="Normal"/>
    <w:autoRedefine/>
    <w:semiHidden/>
    <w:rsid w:val="00C17D19"/>
    <w:pPr>
      <w:spacing w:after="0"/>
      <w:ind w:left="1100"/>
    </w:pPr>
    <w:rPr>
      <w:rFonts w:asciiTheme="minorHAnsi" w:hAnsiTheme="minorHAnsi"/>
      <w:sz w:val="18"/>
      <w:szCs w:val="18"/>
    </w:rPr>
  </w:style>
  <w:style w:type="paragraph" w:styleId="TOC7">
    <w:name w:val="toc 7"/>
    <w:basedOn w:val="Normal"/>
    <w:next w:val="Normal"/>
    <w:autoRedefine/>
    <w:semiHidden/>
    <w:rsid w:val="00C17D19"/>
    <w:pPr>
      <w:spacing w:after="0"/>
      <w:ind w:left="1320"/>
    </w:pPr>
    <w:rPr>
      <w:rFonts w:asciiTheme="minorHAnsi" w:hAnsiTheme="minorHAnsi"/>
      <w:sz w:val="18"/>
      <w:szCs w:val="18"/>
    </w:rPr>
  </w:style>
  <w:style w:type="paragraph" w:styleId="TOC8">
    <w:name w:val="toc 8"/>
    <w:basedOn w:val="Normal"/>
    <w:next w:val="Normal"/>
    <w:autoRedefine/>
    <w:semiHidden/>
    <w:rsid w:val="00C17D19"/>
    <w:pPr>
      <w:spacing w:after="0"/>
      <w:ind w:left="1540"/>
    </w:pPr>
    <w:rPr>
      <w:rFonts w:asciiTheme="minorHAnsi" w:hAnsiTheme="minorHAnsi"/>
      <w:sz w:val="18"/>
      <w:szCs w:val="18"/>
    </w:rPr>
  </w:style>
  <w:style w:type="paragraph" w:styleId="TOC9">
    <w:name w:val="toc 9"/>
    <w:basedOn w:val="Normal"/>
    <w:next w:val="Normal"/>
    <w:autoRedefine/>
    <w:semiHidden/>
    <w:rsid w:val="00C17D19"/>
    <w:pPr>
      <w:spacing w:after="0"/>
      <w:ind w:left="1760"/>
    </w:pPr>
    <w:rPr>
      <w:rFonts w:asciiTheme="minorHAnsi" w:hAnsiTheme="minorHAnsi"/>
      <w:sz w:val="18"/>
      <w:szCs w:val="18"/>
    </w:rPr>
  </w:style>
  <w:style w:type="paragraph" w:customStyle="1" w:styleId="Table-Labels">
    <w:name w:val="Table-Labels"/>
    <w:basedOn w:val="Normal"/>
    <w:next w:val="Normal"/>
    <w:rsid w:val="00664A02"/>
    <w:pPr>
      <w:keepNext/>
      <w:keepLines/>
      <w:spacing w:after="60"/>
      <w:ind w:left="2160" w:hanging="1080"/>
    </w:pPr>
    <w:rPr>
      <w:i/>
    </w:rPr>
  </w:style>
  <w:style w:type="paragraph" w:styleId="DocumentMap">
    <w:name w:val="Document Map"/>
    <w:basedOn w:val="Normal"/>
    <w:link w:val="DocumentMapChar"/>
    <w:semiHidden/>
    <w:rsid w:val="00664A02"/>
    <w:pPr>
      <w:shd w:val="clear" w:color="auto" w:fill="000080"/>
    </w:pPr>
    <w:rPr>
      <w:sz w:val="2"/>
    </w:rPr>
  </w:style>
  <w:style w:type="character" w:customStyle="1" w:styleId="DocumentMapChar">
    <w:name w:val="Document Map Char"/>
    <w:link w:val="DocumentMap"/>
    <w:semiHidden/>
    <w:locked/>
    <w:rsid w:val="00521070"/>
    <w:rPr>
      <w:rFonts w:ascii="Times New Roman" w:hAnsi="Times New Roman" w:cs="Times New Roman"/>
      <w:color w:val="000000"/>
      <w:sz w:val="2"/>
      <w:lang w:val="en-GB" w:eastAsia="zh-CN"/>
    </w:rPr>
  </w:style>
  <w:style w:type="paragraph" w:customStyle="1" w:styleId="Table">
    <w:name w:val="Table"/>
    <w:basedOn w:val="Normal"/>
    <w:rsid w:val="00664A02"/>
    <w:pPr>
      <w:keepLines/>
      <w:spacing w:after="0"/>
      <w:ind w:left="72" w:right="72"/>
    </w:pPr>
    <w:rPr>
      <w:sz w:val="20"/>
    </w:rPr>
  </w:style>
  <w:style w:type="paragraph" w:customStyle="1" w:styleId="Tabel">
    <w:name w:val="Tabel"/>
    <w:basedOn w:val="Normal"/>
    <w:rsid w:val="00664A02"/>
    <w:pPr>
      <w:spacing w:after="120"/>
    </w:pPr>
  </w:style>
  <w:style w:type="paragraph" w:styleId="BlockText">
    <w:name w:val="Block Text"/>
    <w:basedOn w:val="Normal"/>
    <w:rsid w:val="00664A02"/>
    <w:pPr>
      <w:spacing w:before="120" w:after="120"/>
      <w:ind w:left="450" w:right="566"/>
      <w:jc w:val="both"/>
    </w:pPr>
    <w:rPr>
      <w:rFonts w:ascii="Garamond" w:hAnsi="Garamond"/>
      <w:i/>
      <w:color w:val="auto"/>
    </w:rPr>
  </w:style>
  <w:style w:type="paragraph" w:customStyle="1" w:styleId="Document">
    <w:name w:val="Document"/>
    <w:basedOn w:val="Normal"/>
    <w:rsid w:val="00664A02"/>
    <w:pPr>
      <w:spacing w:after="0"/>
      <w:jc w:val="center"/>
    </w:pPr>
    <w:rPr>
      <w:rFonts w:ascii="CG Times" w:hAnsi="CG Times"/>
    </w:rPr>
  </w:style>
  <w:style w:type="paragraph" w:customStyle="1" w:styleId="Bibliogrphy">
    <w:name w:val="Bibliogrphy"/>
    <w:basedOn w:val="Normal"/>
    <w:rsid w:val="00664A02"/>
    <w:pPr>
      <w:spacing w:after="0"/>
      <w:ind w:left="720" w:firstLine="720"/>
    </w:pPr>
    <w:rPr>
      <w:rFonts w:ascii="CG Times" w:hAnsi="CG Times"/>
    </w:rPr>
  </w:style>
  <w:style w:type="paragraph" w:customStyle="1" w:styleId="TechInit">
    <w:name w:val="Tech Init"/>
    <w:basedOn w:val="Normal"/>
    <w:rsid w:val="00664A02"/>
    <w:pPr>
      <w:spacing w:after="0"/>
    </w:pPr>
    <w:rPr>
      <w:rFonts w:ascii="CG Times" w:hAnsi="CG Times"/>
    </w:rPr>
  </w:style>
  <w:style w:type="paragraph" w:customStyle="1" w:styleId="Technical">
    <w:name w:val="Technical"/>
    <w:basedOn w:val="Normal"/>
    <w:rsid w:val="00664A02"/>
    <w:pPr>
      <w:spacing w:after="0"/>
    </w:pPr>
    <w:rPr>
      <w:rFonts w:ascii="CG Times" w:hAnsi="CG Times"/>
    </w:rPr>
  </w:style>
  <w:style w:type="paragraph" w:customStyle="1" w:styleId="Pleading">
    <w:name w:val="Pleading"/>
    <w:basedOn w:val="Normal"/>
    <w:rsid w:val="00664A02"/>
    <w:pPr>
      <w:tabs>
        <w:tab w:val="right" w:pos="288"/>
      </w:tabs>
      <w:spacing w:after="0"/>
    </w:pPr>
    <w:rPr>
      <w:rFonts w:ascii="CG Times" w:hAnsi="CG Times"/>
    </w:rPr>
  </w:style>
  <w:style w:type="paragraph" w:customStyle="1" w:styleId="BulletList">
    <w:name w:val="Bullet List"/>
    <w:basedOn w:val="Normal"/>
    <w:rsid w:val="00664A02"/>
    <w:pPr>
      <w:spacing w:after="0"/>
      <w:ind w:left="720"/>
    </w:pPr>
    <w:rPr>
      <w:rFonts w:ascii="Roman" w:hAnsi="Roman"/>
      <w:color w:val="auto"/>
      <w:lang w:val="it-IT"/>
    </w:rPr>
  </w:style>
  <w:style w:type="character" w:styleId="FollowedHyperlink">
    <w:name w:val="FollowedHyperlink"/>
    <w:rsid w:val="00664A02"/>
    <w:rPr>
      <w:rFonts w:cs="Times New Roman"/>
      <w:color w:val="800080"/>
      <w:u w:val="single"/>
    </w:rPr>
  </w:style>
  <w:style w:type="paragraph" w:styleId="Title">
    <w:name w:val="Title"/>
    <w:basedOn w:val="Normal"/>
    <w:link w:val="TitleChar"/>
    <w:qFormat/>
    <w:rsid w:val="00664A02"/>
    <w:pPr>
      <w:spacing w:line="240" w:lineRule="atLeast"/>
      <w:jc w:val="center"/>
    </w:pPr>
    <w:rPr>
      <w:rFonts w:ascii="Cambria" w:hAnsi="Cambria"/>
      <w:b/>
      <w:kern w:val="28"/>
      <w:sz w:val="32"/>
    </w:rPr>
  </w:style>
  <w:style w:type="character" w:customStyle="1" w:styleId="TitleChar">
    <w:name w:val="Title Char"/>
    <w:link w:val="Title"/>
    <w:locked/>
    <w:rsid w:val="00521070"/>
    <w:rPr>
      <w:rFonts w:ascii="Cambria" w:hAnsi="Cambria" w:cs="Times New Roman"/>
      <w:b/>
      <w:color w:val="000000"/>
      <w:kern w:val="28"/>
      <w:sz w:val="32"/>
      <w:lang w:val="en-GB" w:eastAsia="zh-CN"/>
    </w:rPr>
  </w:style>
  <w:style w:type="paragraph" w:customStyle="1" w:styleId="Outline">
    <w:name w:val="Outline"/>
    <w:basedOn w:val="Normal"/>
    <w:rsid w:val="00664A02"/>
    <w:pPr>
      <w:spacing w:before="240" w:after="0"/>
    </w:pPr>
    <w:rPr>
      <w:rFonts w:eastAsia="SimSun"/>
      <w:color w:val="auto"/>
      <w:kern w:val="28"/>
    </w:rPr>
  </w:style>
  <w:style w:type="paragraph" w:customStyle="1" w:styleId="Body">
    <w:name w:val="Body"/>
    <w:rsid w:val="00664A02"/>
    <w:pPr>
      <w:widowControl w:val="0"/>
    </w:pPr>
    <w:rPr>
      <w:rFonts w:ascii="Times New Roman" w:hAnsi="Times New Roman"/>
      <w:sz w:val="24"/>
      <w:lang w:val="en-GB" w:eastAsia="zh-CN"/>
    </w:rPr>
  </w:style>
  <w:style w:type="character" w:styleId="EndnoteReference">
    <w:name w:val="endnote reference"/>
    <w:semiHidden/>
    <w:rsid w:val="00664A02"/>
    <w:rPr>
      <w:rFonts w:cs="Times New Roman"/>
      <w:vertAlign w:val="superscript"/>
    </w:rPr>
  </w:style>
  <w:style w:type="paragraph" w:customStyle="1" w:styleId="DefaultText">
    <w:name w:val="Default Text"/>
    <w:basedOn w:val="Normal"/>
    <w:rsid w:val="00664A02"/>
    <w:pPr>
      <w:autoSpaceDE w:val="0"/>
      <w:autoSpaceDN w:val="0"/>
      <w:adjustRightInd w:val="0"/>
      <w:spacing w:after="0"/>
    </w:pPr>
    <w:rPr>
      <w:color w:val="auto"/>
    </w:rPr>
  </w:style>
  <w:style w:type="paragraph" w:customStyle="1" w:styleId="MSNormal">
    <w:name w:val="MSNormal"/>
    <w:basedOn w:val="Normal"/>
    <w:rsid w:val="00664A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pPr>
    <w:rPr>
      <w:rFonts w:ascii="Chicago" w:hAnsi="Chicago"/>
      <w:color w:val="auto"/>
    </w:rPr>
  </w:style>
  <w:style w:type="paragraph" w:styleId="PlainText">
    <w:name w:val="Plain Text"/>
    <w:aliases w:val="Char"/>
    <w:basedOn w:val="Normal"/>
    <w:link w:val="PlainTextChar"/>
    <w:rsid w:val="00664A02"/>
    <w:pPr>
      <w:spacing w:after="0"/>
    </w:pPr>
    <w:rPr>
      <w:rFonts w:ascii="Times" w:hAnsi="Times"/>
      <w:color w:val="auto"/>
    </w:rPr>
  </w:style>
  <w:style w:type="character" w:customStyle="1" w:styleId="PlainTextChar">
    <w:name w:val="Plain Text Char"/>
    <w:aliases w:val="Char Char3"/>
    <w:link w:val="PlainText"/>
    <w:locked/>
    <w:rsid w:val="009D2B4C"/>
    <w:rPr>
      <w:rFonts w:cs="Times New Roman"/>
      <w:sz w:val="22"/>
    </w:rPr>
  </w:style>
  <w:style w:type="paragraph" w:customStyle="1" w:styleId="Reference">
    <w:name w:val="Reference"/>
    <w:basedOn w:val="Normal"/>
    <w:rsid w:val="00664A02"/>
    <w:pPr>
      <w:spacing w:after="60"/>
      <w:ind w:left="284"/>
    </w:pPr>
    <w:rPr>
      <w:color w:val="auto"/>
    </w:rPr>
  </w:style>
  <w:style w:type="paragraph" w:customStyle="1" w:styleId="Figures">
    <w:name w:val="Figures"/>
    <w:basedOn w:val="Normal"/>
    <w:rsid w:val="00664A02"/>
    <w:pPr>
      <w:tabs>
        <w:tab w:val="center" w:pos="4680"/>
      </w:tabs>
      <w:suppressAutoHyphens/>
      <w:overflowPunct w:val="0"/>
      <w:autoSpaceDE w:val="0"/>
      <w:autoSpaceDN w:val="0"/>
      <w:adjustRightInd w:val="0"/>
      <w:spacing w:before="240" w:after="120"/>
      <w:jc w:val="both"/>
      <w:textAlignment w:val="baseline"/>
    </w:pPr>
    <w:rPr>
      <w:b/>
      <w:color w:val="auto"/>
    </w:rPr>
  </w:style>
  <w:style w:type="paragraph" w:styleId="BodyTextIndent2">
    <w:name w:val="Body Text Indent 2"/>
    <w:basedOn w:val="Normal"/>
    <w:link w:val="BodyTextIndent2Char"/>
    <w:rsid w:val="00664A02"/>
    <w:pPr>
      <w:widowControl w:val="0"/>
      <w:spacing w:after="0"/>
      <w:ind w:firstLine="720"/>
      <w:jc w:val="both"/>
    </w:pPr>
    <w:rPr>
      <w:sz w:val="20"/>
    </w:rPr>
  </w:style>
  <w:style w:type="character" w:customStyle="1" w:styleId="BodyTextIndent2Char">
    <w:name w:val="Body Text Indent 2 Char"/>
    <w:link w:val="BodyTextIndent2"/>
    <w:locked/>
    <w:rsid w:val="00521070"/>
    <w:rPr>
      <w:rFonts w:ascii="Times New Roman" w:hAnsi="Times New Roman" w:cs="Times New Roman"/>
      <w:color w:val="000000"/>
      <w:sz w:val="20"/>
      <w:lang w:val="en-GB" w:eastAsia="zh-CN"/>
    </w:rPr>
  </w:style>
  <w:style w:type="paragraph" w:styleId="BodyTextIndent3">
    <w:name w:val="Body Text Indent 3"/>
    <w:basedOn w:val="Normal"/>
    <w:link w:val="BodyTextIndent3Char"/>
    <w:rsid w:val="00664A02"/>
    <w:pPr>
      <w:widowControl w:val="0"/>
      <w:spacing w:after="0"/>
      <w:ind w:firstLine="720"/>
      <w:jc w:val="both"/>
    </w:pPr>
    <w:rPr>
      <w:rFonts w:eastAsia="MS Mincho"/>
      <w:color w:val="FF0000"/>
      <w:sz w:val="24"/>
    </w:rPr>
  </w:style>
  <w:style w:type="character" w:customStyle="1" w:styleId="BodyTextIndent3Char">
    <w:name w:val="Body Text Indent 3 Char"/>
    <w:link w:val="BodyTextIndent3"/>
    <w:locked/>
    <w:rsid w:val="00664A02"/>
    <w:rPr>
      <w:rFonts w:ascii="Times New Roman" w:eastAsia="MS Mincho" w:hAnsi="Times New Roman" w:cs="Times New Roman"/>
      <w:snapToGrid/>
      <w:color w:val="FF0000"/>
      <w:sz w:val="24"/>
      <w:lang w:eastAsia="zh-CN"/>
    </w:rPr>
  </w:style>
  <w:style w:type="paragraph" w:styleId="BodyText2">
    <w:name w:val="Body Text 2"/>
    <w:basedOn w:val="Normal"/>
    <w:link w:val="BodyText2Char"/>
    <w:rsid w:val="00664A02"/>
    <w:pPr>
      <w:spacing w:after="0"/>
      <w:jc w:val="center"/>
    </w:pPr>
    <w:rPr>
      <w:b/>
      <w:color w:val="auto"/>
      <w:sz w:val="24"/>
    </w:rPr>
  </w:style>
  <w:style w:type="character" w:customStyle="1" w:styleId="BodyText2Char">
    <w:name w:val="Body Text 2 Char"/>
    <w:link w:val="BodyText2"/>
    <w:locked/>
    <w:rsid w:val="00664A02"/>
    <w:rPr>
      <w:rFonts w:ascii="Times New Roman" w:hAnsi="Times New Roman" w:cs="Times New Roman"/>
      <w:b/>
      <w:sz w:val="24"/>
    </w:rPr>
  </w:style>
  <w:style w:type="paragraph" w:styleId="BodyText3">
    <w:name w:val="Body Text 3"/>
    <w:basedOn w:val="Normal"/>
    <w:link w:val="BodyText3Char"/>
    <w:rsid w:val="00664A02"/>
    <w:pPr>
      <w:spacing w:after="0"/>
      <w:jc w:val="center"/>
    </w:pPr>
    <w:rPr>
      <w:sz w:val="16"/>
    </w:rPr>
  </w:style>
  <w:style w:type="character" w:customStyle="1" w:styleId="BodyText3Char">
    <w:name w:val="Body Text 3 Char"/>
    <w:link w:val="BodyText3"/>
    <w:semiHidden/>
    <w:locked/>
    <w:rsid w:val="00521070"/>
    <w:rPr>
      <w:rFonts w:ascii="Times New Roman" w:hAnsi="Times New Roman" w:cs="Times New Roman"/>
      <w:color w:val="000000"/>
      <w:sz w:val="16"/>
      <w:lang w:val="en-GB" w:eastAsia="zh-CN"/>
    </w:rPr>
  </w:style>
  <w:style w:type="paragraph" w:customStyle="1" w:styleId="DefinitionL">
    <w:name w:val="Definition L"/>
    <w:rsid w:val="00664A0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Pr>
      <w:rFonts w:ascii="Times New Roman" w:hAnsi="Times New Roman"/>
      <w:sz w:val="24"/>
      <w:lang w:val="en-US" w:eastAsia="zh-CN"/>
    </w:rPr>
  </w:style>
  <w:style w:type="paragraph" w:customStyle="1" w:styleId="Tableheading0">
    <w:name w:val="Table heading"/>
    <w:basedOn w:val="Normal"/>
    <w:uiPriority w:val="99"/>
    <w:rsid w:val="00664A02"/>
    <w:pPr>
      <w:keepNext/>
      <w:spacing w:before="120"/>
      <w:ind w:left="1984" w:hanging="907"/>
    </w:pPr>
    <w:rPr>
      <w:i/>
      <w:color w:val="auto"/>
    </w:rPr>
  </w:style>
  <w:style w:type="paragraph" w:customStyle="1" w:styleId="Figure">
    <w:name w:val="Figure"/>
    <w:basedOn w:val="Normal"/>
    <w:rsid w:val="00664A02"/>
    <w:pPr>
      <w:widowControl w:val="0"/>
      <w:spacing w:line="-240" w:lineRule="auto"/>
      <w:ind w:left="1077"/>
    </w:pPr>
    <w:rPr>
      <w:rFonts w:ascii="Arial" w:hAnsi="Arial"/>
      <w:b/>
      <w:color w:val="auto"/>
    </w:rPr>
  </w:style>
  <w:style w:type="paragraph" w:styleId="Index1">
    <w:name w:val="index 1"/>
    <w:basedOn w:val="Normal"/>
    <w:next w:val="Normal"/>
    <w:autoRedefine/>
    <w:semiHidden/>
    <w:rsid w:val="00664A02"/>
    <w:pPr>
      <w:ind w:left="240" w:hanging="240"/>
    </w:pPr>
    <w:rPr>
      <w:color w:val="auto"/>
    </w:rPr>
  </w:style>
  <w:style w:type="paragraph" w:customStyle="1" w:styleId="xl24">
    <w:name w:val="xl24"/>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5">
    <w:name w:val="xl25"/>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b/>
      <w:color w:val="auto"/>
    </w:rPr>
  </w:style>
  <w:style w:type="paragraph" w:customStyle="1" w:styleId="xl26">
    <w:name w:val="xl26"/>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b/>
      <w:color w:val="auto"/>
    </w:rPr>
  </w:style>
  <w:style w:type="paragraph" w:customStyle="1" w:styleId="xl27">
    <w:name w:val="xl27"/>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8">
    <w:name w:val="xl28"/>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9">
    <w:name w:val="xl29"/>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olor w:val="auto"/>
    </w:rPr>
  </w:style>
  <w:style w:type="paragraph" w:customStyle="1" w:styleId="xl30">
    <w:name w:val="xl30"/>
    <w:basedOn w:val="Normal"/>
    <w:rsid w:val="00664A02"/>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olor w:val="auto"/>
    </w:rPr>
  </w:style>
  <w:style w:type="paragraph" w:customStyle="1" w:styleId="xl31">
    <w:name w:val="xl31"/>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Arial Unicode MS" w:hAnsi="Arial"/>
      <w:color w:val="auto"/>
    </w:rPr>
  </w:style>
  <w:style w:type="paragraph" w:customStyle="1" w:styleId="xl32">
    <w:name w:val="xl32"/>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b/>
      <w:color w:val="auto"/>
    </w:rPr>
  </w:style>
  <w:style w:type="paragraph" w:customStyle="1" w:styleId="xl33">
    <w:name w:val="xl33"/>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b/>
      <w:color w:val="auto"/>
    </w:rPr>
  </w:style>
  <w:style w:type="character" w:styleId="Strong">
    <w:name w:val="Strong"/>
    <w:uiPriority w:val="22"/>
    <w:qFormat/>
    <w:rsid w:val="00664A02"/>
    <w:rPr>
      <w:rFonts w:cs="Times New Roman"/>
      <w:b/>
    </w:rPr>
  </w:style>
  <w:style w:type="paragraph" w:styleId="NormalWeb">
    <w:name w:val="Normal (Web)"/>
    <w:basedOn w:val="Normal"/>
    <w:rsid w:val="00664A02"/>
    <w:pPr>
      <w:spacing w:before="100" w:after="100"/>
    </w:pPr>
    <w:rPr>
      <w:color w:val="auto"/>
      <w:lang w:val="en-US"/>
    </w:rPr>
  </w:style>
  <w:style w:type="paragraph" w:customStyle="1" w:styleId="Thesisheading1">
    <w:name w:val="Thesisheading1"/>
    <w:basedOn w:val="BodyTextIndent2"/>
    <w:rsid w:val="00664A02"/>
    <w:pPr>
      <w:widowControl/>
      <w:tabs>
        <w:tab w:val="num" w:pos="720"/>
      </w:tabs>
      <w:spacing w:line="360" w:lineRule="auto"/>
      <w:ind w:left="720" w:hanging="720"/>
    </w:pPr>
    <w:rPr>
      <w:rFonts w:ascii="Arial" w:hAnsi="Arial"/>
      <w:b/>
      <w:caps/>
      <w:sz w:val="32"/>
    </w:rPr>
  </w:style>
  <w:style w:type="paragraph" w:customStyle="1" w:styleId="Thesisheading4">
    <w:name w:val="Thesisheading4"/>
    <w:basedOn w:val="Heading3"/>
    <w:rsid w:val="004345CC"/>
    <w:pPr>
      <w:tabs>
        <w:tab w:val="clear" w:pos="643"/>
        <w:tab w:val="num" w:pos="2880"/>
      </w:tabs>
      <w:spacing w:line="360" w:lineRule="auto"/>
      <w:ind w:left="2880" w:hanging="360"/>
      <w:jc w:val="both"/>
    </w:pPr>
    <w:rPr>
      <w:rFonts w:ascii="Arial" w:hAnsi="Arial"/>
    </w:rPr>
  </w:style>
  <w:style w:type="paragraph" w:customStyle="1" w:styleId="font5">
    <w:name w:val="font5"/>
    <w:basedOn w:val="Normal"/>
    <w:rsid w:val="00664A02"/>
    <w:pPr>
      <w:spacing w:before="100" w:after="100"/>
    </w:pPr>
    <w:rPr>
      <w:rFonts w:ascii="Arial" w:eastAsia="Arial Unicode MS" w:hAnsi="Arial"/>
      <w:color w:val="00FF00"/>
      <w:sz w:val="20"/>
      <w:lang w:val="en-AU"/>
    </w:rPr>
  </w:style>
  <w:style w:type="paragraph" w:customStyle="1" w:styleId="xl34">
    <w:name w:val="xl34"/>
    <w:basedOn w:val="Normal"/>
    <w:rsid w:val="00664A02"/>
    <w:pPr>
      <w:pBdr>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5">
    <w:name w:val="xl35"/>
    <w:basedOn w:val="Normal"/>
    <w:rsid w:val="00664A02"/>
    <w:pPr>
      <w:pBdr>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6">
    <w:name w:val="xl36"/>
    <w:basedOn w:val="Normal"/>
    <w:rsid w:val="00664A02"/>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7">
    <w:name w:val="xl37"/>
    <w:basedOn w:val="Normal"/>
    <w:rsid w:val="00664A02"/>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8">
    <w:name w:val="xl38"/>
    <w:basedOn w:val="Normal"/>
    <w:rsid w:val="00664A02"/>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9">
    <w:name w:val="xl39"/>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jc w:val="both"/>
      <w:textAlignment w:val="top"/>
    </w:pPr>
    <w:rPr>
      <w:rFonts w:ascii="Arial" w:eastAsia="Arial Unicode MS" w:hAnsi="Arial"/>
      <w:color w:val="auto"/>
      <w:lang w:val="en-AU"/>
    </w:rPr>
  </w:style>
  <w:style w:type="paragraph" w:customStyle="1" w:styleId="xl40">
    <w:name w:val="xl40"/>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textAlignment w:val="top"/>
    </w:pPr>
    <w:rPr>
      <w:rFonts w:ascii="Arial" w:eastAsia="Arial Unicode MS" w:hAnsi="Arial"/>
      <w:color w:val="auto"/>
      <w:lang w:val="en-AU"/>
    </w:rPr>
  </w:style>
  <w:style w:type="paragraph" w:customStyle="1" w:styleId="xl41">
    <w:name w:val="xl41"/>
    <w:basedOn w:val="Normal"/>
    <w:rsid w:val="00664A02"/>
    <w:pPr>
      <w:spacing w:before="100" w:after="100"/>
    </w:pPr>
    <w:rPr>
      <w:rFonts w:ascii="Arial" w:eastAsia="Arial Unicode MS" w:hAnsi="Arial"/>
      <w:color w:val="auto"/>
      <w:lang w:val="en-AU"/>
    </w:rPr>
  </w:style>
  <w:style w:type="paragraph" w:customStyle="1" w:styleId="xl42">
    <w:name w:val="xl42"/>
    <w:basedOn w:val="Normal"/>
    <w:rsid w:val="00664A02"/>
    <w:pPr>
      <w:pBdr>
        <w:top w:val="single" w:sz="4" w:space="0" w:color="auto"/>
        <w:left w:val="single" w:sz="4" w:space="0" w:color="000000"/>
        <w:right w:val="single" w:sz="4" w:space="0" w:color="auto"/>
      </w:pBdr>
      <w:spacing w:before="100" w:after="100"/>
      <w:textAlignment w:val="top"/>
    </w:pPr>
    <w:rPr>
      <w:rFonts w:ascii="Arial" w:eastAsia="Arial Unicode MS" w:hAnsi="Arial"/>
      <w:color w:val="auto"/>
      <w:lang w:val="en-AU"/>
    </w:rPr>
  </w:style>
  <w:style w:type="paragraph" w:customStyle="1" w:styleId="xl43">
    <w:name w:val="xl43"/>
    <w:basedOn w:val="Normal"/>
    <w:rsid w:val="00664A02"/>
    <w:pPr>
      <w:spacing w:before="100" w:after="100"/>
      <w:jc w:val="center"/>
    </w:pPr>
    <w:rPr>
      <w:rFonts w:ascii="Arial" w:eastAsia="Arial Unicode MS" w:hAnsi="Arial"/>
      <w:color w:val="auto"/>
      <w:lang w:val="en-AU"/>
    </w:rPr>
  </w:style>
  <w:style w:type="paragraph" w:customStyle="1" w:styleId="xl44">
    <w:name w:val="xl44"/>
    <w:basedOn w:val="Normal"/>
    <w:rsid w:val="00664A02"/>
    <w:pPr>
      <w:spacing w:before="100" w:after="100"/>
      <w:textAlignment w:val="top"/>
    </w:pPr>
    <w:rPr>
      <w:rFonts w:ascii="Arial" w:eastAsia="Arial Unicode MS" w:hAnsi="Arial"/>
      <w:color w:val="auto"/>
      <w:lang w:val="en-AU"/>
    </w:rPr>
  </w:style>
  <w:style w:type="paragraph" w:customStyle="1" w:styleId="xl45">
    <w:name w:val="xl45"/>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6">
    <w:name w:val="xl46"/>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textAlignment w:val="top"/>
    </w:pPr>
    <w:rPr>
      <w:rFonts w:ascii="Arial" w:eastAsia="Arial Unicode MS" w:hAnsi="Arial"/>
      <w:color w:val="auto"/>
      <w:lang w:val="en-AU"/>
    </w:rPr>
  </w:style>
  <w:style w:type="paragraph" w:customStyle="1" w:styleId="xl47">
    <w:name w:val="xl47"/>
    <w:basedOn w:val="Normal"/>
    <w:rsid w:val="00664A02"/>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8">
    <w:name w:val="xl48"/>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9">
    <w:name w:val="xl49"/>
    <w:basedOn w:val="Normal"/>
    <w:rsid w:val="00664A02"/>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0">
    <w:name w:val="xl50"/>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1">
    <w:name w:val="xl51"/>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jc w:val="center"/>
      <w:textAlignment w:val="top"/>
    </w:pPr>
    <w:rPr>
      <w:rFonts w:ascii="Arial" w:eastAsia="Arial Unicode MS" w:hAnsi="Arial"/>
      <w:color w:val="auto"/>
      <w:lang w:val="en-AU"/>
    </w:rPr>
  </w:style>
  <w:style w:type="paragraph" w:customStyle="1" w:styleId="xl52">
    <w:name w:val="xl52"/>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3">
    <w:name w:val="xl53"/>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4">
    <w:name w:val="xl54"/>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5">
    <w:name w:val="xl55"/>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6">
    <w:name w:val="xl56"/>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Default">
    <w:name w:val="Default"/>
    <w:rsid w:val="00664A02"/>
    <w:pPr>
      <w:autoSpaceDE w:val="0"/>
      <w:autoSpaceDN w:val="0"/>
      <w:adjustRightInd w:val="0"/>
    </w:pPr>
    <w:rPr>
      <w:rFonts w:ascii="Times New Roman" w:hAnsi="Times New Roman"/>
      <w:color w:val="000000"/>
      <w:sz w:val="24"/>
      <w:lang w:val="en-US" w:eastAsia="en-US"/>
    </w:rPr>
  </w:style>
  <w:style w:type="paragraph" w:styleId="ListNumber5">
    <w:name w:val="List Number 5"/>
    <w:basedOn w:val="Normal"/>
    <w:rsid w:val="00664A02"/>
    <w:pPr>
      <w:tabs>
        <w:tab w:val="num" w:pos="1800"/>
      </w:tabs>
      <w:spacing w:after="0"/>
      <w:ind w:left="1800" w:hanging="360"/>
    </w:pPr>
    <w:rPr>
      <w:color w:val="auto"/>
      <w:lang w:val="en-US"/>
    </w:rPr>
  </w:style>
  <w:style w:type="paragraph" w:customStyle="1" w:styleId="Sectionheading">
    <w:name w:val="Section heading"/>
    <w:basedOn w:val="Heading2"/>
    <w:rsid w:val="004345CC"/>
    <w:pPr>
      <w:spacing w:before="120"/>
      <w:ind w:left="1080" w:hanging="1080"/>
    </w:pPr>
  </w:style>
  <w:style w:type="paragraph" w:customStyle="1" w:styleId="Sectionsub-heading">
    <w:name w:val="Section sub-heading"/>
    <w:basedOn w:val="Heading3"/>
    <w:rsid w:val="004345CC"/>
    <w:pPr>
      <w:tabs>
        <w:tab w:val="clear" w:pos="643"/>
      </w:tabs>
      <w:spacing w:before="60"/>
      <w:ind w:left="2126" w:hanging="1049"/>
    </w:pPr>
  </w:style>
  <w:style w:type="paragraph" w:customStyle="1" w:styleId="MainTextIndent">
    <w:name w:val="Main Text Indent"/>
    <w:basedOn w:val="MainText"/>
    <w:rsid w:val="00664A02"/>
    <w:pPr>
      <w:tabs>
        <w:tab w:val="left" w:pos="567"/>
      </w:tabs>
      <w:ind w:left="993" w:hanging="993"/>
    </w:pPr>
  </w:style>
  <w:style w:type="paragraph" w:customStyle="1" w:styleId="MainTextDoubleIndent">
    <w:name w:val="Main Text Double Indent"/>
    <w:basedOn w:val="MainTextIndent"/>
    <w:rsid w:val="00664A02"/>
    <w:pPr>
      <w:tabs>
        <w:tab w:val="left" w:pos="993"/>
      </w:tabs>
      <w:ind w:left="1418" w:hanging="1418"/>
    </w:pPr>
  </w:style>
  <w:style w:type="paragraph" w:customStyle="1" w:styleId="HeadingSub">
    <w:name w:val="Heading: Sub"/>
    <w:basedOn w:val="MainText"/>
    <w:rsid w:val="00664A02"/>
    <w:rPr>
      <w:rFonts w:ascii="Futura" w:hAnsi="Futura"/>
    </w:rPr>
  </w:style>
  <w:style w:type="paragraph" w:customStyle="1" w:styleId="MainTextNon-indent">
    <w:name w:val="Main Text Non-indent"/>
    <w:basedOn w:val="MainText"/>
    <w:rsid w:val="00664A02"/>
    <w:pPr>
      <w:ind w:left="0" w:firstLine="0"/>
    </w:pPr>
  </w:style>
  <w:style w:type="paragraph" w:customStyle="1" w:styleId="HeadingSection">
    <w:name w:val="Heading: Section"/>
    <w:basedOn w:val="Normal"/>
    <w:rsid w:val="00664A02"/>
    <w:pPr>
      <w:widowControl w:val="0"/>
      <w:tabs>
        <w:tab w:val="left" w:pos="3969"/>
      </w:tabs>
      <w:spacing w:line="360" w:lineRule="exact"/>
      <w:ind w:left="1701" w:hanging="1701"/>
    </w:pPr>
    <w:rPr>
      <w:rFonts w:ascii="Arial" w:hAnsi="Arial"/>
    </w:rPr>
  </w:style>
  <w:style w:type="paragraph" w:customStyle="1" w:styleId="GCDCB12">
    <w:name w:val="GCD_CB12"/>
    <w:basedOn w:val="Normal"/>
    <w:next w:val="Normal"/>
    <w:rsid w:val="00664A02"/>
    <w:pPr>
      <w:jc w:val="center"/>
    </w:pPr>
    <w:rPr>
      <w:b/>
      <w:color w:val="auto"/>
    </w:rPr>
  </w:style>
  <w:style w:type="paragraph" w:customStyle="1" w:styleId="Closeup">
    <w:name w:val="Closeup"/>
    <w:basedOn w:val="Normal"/>
    <w:rsid w:val="00664A02"/>
    <w:pPr>
      <w:spacing w:after="0"/>
    </w:pPr>
    <w:rPr>
      <w:color w:val="auto"/>
      <w:lang w:eastAsia="ja-JP"/>
    </w:rPr>
  </w:style>
  <w:style w:type="paragraph" w:customStyle="1" w:styleId="ScreenFormat-1">
    <w:name w:val="ScreenFormat-1"/>
    <w:basedOn w:val="Normal"/>
    <w:rsid w:val="00664A02"/>
    <w:pPr>
      <w:spacing w:before="120" w:after="120"/>
    </w:pPr>
    <w:rPr>
      <w:color w:val="auto"/>
      <w:sz w:val="32"/>
      <w:lang w:eastAsia="ja-JP"/>
    </w:rPr>
  </w:style>
  <w:style w:type="paragraph" w:customStyle="1" w:styleId="TableText">
    <w:name w:val="TableText"/>
    <w:basedOn w:val="BodyText"/>
    <w:rsid w:val="00664A02"/>
    <w:pPr>
      <w:keepLines/>
      <w:spacing w:after="0" w:line="240" w:lineRule="auto"/>
    </w:pPr>
    <w:rPr>
      <w:color w:val="auto"/>
      <w:lang w:val="en-US" w:eastAsia="ja-JP"/>
    </w:rPr>
  </w:style>
  <w:style w:type="paragraph" w:customStyle="1" w:styleId="Equation">
    <w:name w:val="Equation"/>
    <w:basedOn w:val="BodyText"/>
    <w:rsid w:val="00664A02"/>
    <w:pPr>
      <w:keepLines/>
      <w:tabs>
        <w:tab w:val="right" w:pos="9639"/>
      </w:tabs>
      <w:spacing w:after="0" w:line="240" w:lineRule="auto"/>
      <w:ind w:left="567"/>
    </w:pPr>
    <w:rPr>
      <w:color w:val="auto"/>
      <w:lang w:val="en-US" w:eastAsia="ja-JP"/>
    </w:rPr>
  </w:style>
  <w:style w:type="paragraph" w:customStyle="1" w:styleId="Note">
    <w:name w:val="Note"/>
    <w:basedOn w:val="BodyText"/>
    <w:rsid w:val="00664A02"/>
    <w:pPr>
      <w:keepLines/>
      <w:pBdr>
        <w:top w:val="single" w:sz="2" w:space="1" w:color="808080"/>
        <w:left w:val="single" w:sz="2" w:space="4" w:color="808080"/>
        <w:bottom w:val="single" w:sz="2" w:space="1" w:color="808080"/>
        <w:right w:val="single" w:sz="2" w:space="4" w:color="808080"/>
      </w:pBdr>
      <w:spacing w:after="0" w:line="240" w:lineRule="auto"/>
    </w:pPr>
    <w:rPr>
      <w:i/>
      <w:color w:val="auto"/>
      <w:lang w:val="en-US" w:eastAsia="ja-JP"/>
    </w:rPr>
  </w:style>
  <w:style w:type="paragraph" w:customStyle="1" w:styleId="AR4Listbullet1">
    <w:name w:val="AR4 List bullet 1"/>
    <w:basedOn w:val="Normal"/>
    <w:rsid w:val="00664A02"/>
    <w:pPr>
      <w:tabs>
        <w:tab w:val="num" w:pos="360"/>
      </w:tabs>
      <w:spacing w:after="0"/>
      <w:ind w:left="360" w:hanging="360"/>
    </w:pPr>
    <w:rPr>
      <w:rFonts w:ascii="Times" w:hAnsi="Times"/>
      <w:color w:val="auto"/>
      <w:lang w:val="en-US" w:eastAsia="ja-JP"/>
    </w:rPr>
  </w:style>
  <w:style w:type="paragraph" w:customStyle="1" w:styleId="OurCaption">
    <w:name w:val="OurCaption"/>
    <w:basedOn w:val="Normal"/>
    <w:rsid w:val="00664A02"/>
    <w:pPr>
      <w:spacing w:after="0"/>
      <w:ind w:right="12"/>
    </w:pPr>
    <w:rPr>
      <w:color w:val="auto"/>
      <w:sz w:val="20"/>
      <w:lang w:eastAsia="ja-JP"/>
    </w:rPr>
  </w:style>
  <w:style w:type="paragraph" w:customStyle="1" w:styleId="Paralevel1">
    <w:name w:val="Para level1"/>
    <w:basedOn w:val="Normal"/>
    <w:autoRedefine/>
    <w:rsid w:val="00664A02"/>
    <w:pPr>
      <w:tabs>
        <w:tab w:val="left" w:pos="2070"/>
      </w:tabs>
      <w:suppressAutoHyphens/>
    </w:pPr>
    <w:rPr>
      <w:color w:val="auto"/>
      <w:sz w:val="20"/>
    </w:rPr>
  </w:style>
  <w:style w:type="paragraph" w:customStyle="1" w:styleId="CH4">
    <w:name w:val="CH4"/>
    <w:basedOn w:val="Normal"/>
    <w:autoRedefine/>
    <w:rsid w:val="00664A02"/>
    <w:pPr>
      <w:keepNext/>
      <w:keepLines/>
      <w:tabs>
        <w:tab w:val="num" w:pos="360"/>
      </w:tabs>
      <w:spacing w:before="120"/>
    </w:pPr>
    <w:rPr>
      <w:b/>
      <w:color w:val="auto"/>
      <w:sz w:val="20"/>
    </w:rPr>
  </w:style>
  <w:style w:type="character" w:customStyle="1" w:styleId="Para1Car">
    <w:name w:val="Para (1) Car"/>
    <w:aliases w:val="Heading 1 Char1 Char Car,Heading 1 Char Char Char Car,Para (1) Char Char Char Car,Para (1) Char1 Char Car,Heading 1 Char1 Car,Heading 1 Char Char Car,Para (1) Char Char Car,Para (1) Char1 Car,Heading 1 Char1 Char Char Car,Heading 1 Char Ca"/>
    <w:rsid w:val="00664A02"/>
    <w:rPr>
      <w:rFonts w:ascii="Arial" w:eastAsia="MS Mincho" w:hAnsi="Arial"/>
      <w:b/>
      <w:kern w:val="32"/>
      <w:sz w:val="32"/>
      <w:lang w:val="en-US" w:eastAsia="ja-JP"/>
    </w:rPr>
  </w:style>
  <w:style w:type="paragraph" w:customStyle="1" w:styleId="Titulo3">
    <w:name w:val="Titulo 3"/>
    <w:basedOn w:val="Normal"/>
    <w:rsid w:val="00664A02"/>
    <w:pPr>
      <w:widowControl w:val="0"/>
      <w:spacing w:after="0"/>
      <w:ind w:left="1185"/>
      <w:jc w:val="both"/>
    </w:pPr>
    <w:rPr>
      <w:rFonts w:eastAsia="MS Mincho"/>
      <w:b/>
      <w:i/>
      <w:color w:val="auto"/>
      <w:kern w:val="2"/>
      <w:lang w:val="en-US" w:eastAsia="ja-JP"/>
    </w:rPr>
  </w:style>
  <w:style w:type="paragraph" w:customStyle="1" w:styleId="Style2">
    <w:name w:val="Style2"/>
    <w:basedOn w:val="Normal"/>
    <w:rsid w:val="00664A02"/>
    <w:pPr>
      <w:spacing w:after="0"/>
    </w:pPr>
    <w:rPr>
      <w:color w:val="auto"/>
      <w:lang w:eastAsia="en-GB"/>
    </w:rPr>
  </w:style>
  <w:style w:type="paragraph" w:customStyle="1" w:styleId="TEXTO">
    <w:name w:val="TEXTO"/>
    <w:rsid w:val="00664A02"/>
    <w:pPr>
      <w:autoSpaceDE w:val="0"/>
      <w:autoSpaceDN w:val="0"/>
      <w:adjustRightInd w:val="0"/>
      <w:jc w:val="both"/>
    </w:pPr>
    <w:rPr>
      <w:rFonts w:ascii="Galliard" w:hAnsi="Galliard"/>
      <w:color w:val="000000"/>
      <w:sz w:val="22"/>
      <w:szCs w:val="22"/>
      <w:lang w:val="en-US" w:eastAsia="en-US"/>
    </w:rPr>
  </w:style>
  <w:style w:type="paragraph" w:customStyle="1" w:styleId="font6">
    <w:name w:val="font6"/>
    <w:basedOn w:val="Normal"/>
    <w:rsid w:val="00664A02"/>
    <w:pPr>
      <w:spacing w:before="100" w:beforeAutospacing="1" w:after="100" w:afterAutospacing="1"/>
    </w:pPr>
    <w:rPr>
      <w:rFonts w:ascii="Arial" w:eastAsia="Arial Unicode MS" w:hAnsi="Arial" w:cs="Arial"/>
      <w:color w:val="auto"/>
      <w:sz w:val="20"/>
      <w:lang w:eastAsia="en-US"/>
    </w:rPr>
  </w:style>
  <w:style w:type="paragraph" w:customStyle="1" w:styleId="font7">
    <w:name w:val="font7"/>
    <w:basedOn w:val="Normal"/>
    <w:rsid w:val="00664A02"/>
    <w:pPr>
      <w:spacing w:before="100" w:beforeAutospacing="1" w:after="100" w:afterAutospacing="1"/>
    </w:pPr>
    <w:rPr>
      <w:rFonts w:ascii="Arial" w:eastAsia="Arial Unicode MS" w:hAnsi="Arial" w:cs="Arial"/>
      <w:color w:val="FF0000"/>
      <w:sz w:val="20"/>
      <w:lang w:eastAsia="en-US"/>
    </w:rPr>
  </w:style>
  <w:style w:type="paragraph" w:customStyle="1" w:styleId="font8">
    <w:name w:val="font8"/>
    <w:basedOn w:val="Normal"/>
    <w:rsid w:val="00664A02"/>
    <w:pPr>
      <w:spacing w:before="100" w:beforeAutospacing="1" w:after="100" w:afterAutospacing="1"/>
    </w:pPr>
    <w:rPr>
      <w:rFonts w:ascii="Arial" w:eastAsia="Arial Unicode MS" w:hAnsi="Arial" w:cs="Arial"/>
      <w:color w:val="0000FF"/>
      <w:sz w:val="20"/>
      <w:lang w:eastAsia="en-US"/>
    </w:rPr>
  </w:style>
  <w:style w:type="paragraph" w:customStyle="1" w:styleId="Normaalweb">
    <w:name w:val="Normaal (web)"/>
    <w:basedOn w:val="Normal"/>
    <w:rsid w:val="00664A02"/>
    <w:pPr>
      <w:spacing w:before="100" w:beforeAutospacing="1" w:after="100" w:afterAutospacing="1"/>
    </w:pPr>
    <w:rPr>
      <w:szCs w:val="24"/>
      <w:lang w:val="fr-FR" w:eastAsia="fr-FR"/>
    </w:rPr>
  </w:style>
  <w:style w:type="character" w:customStyle="1" w:styleId="epaltsans1">
    <w:name w:val="epaltsans1"/>
    <w:rsid w:val="00664A02"/>
    <w:rPr>
      <w:rFonts w:ascii="Arial" w:hAnsi="Arial"/>
      <w:sz w:val="16"/>
    </w:rPr>
  </w:style>
  <w:style w:type="paragraph" w:styleId="List">
    <w:name w:val="List"/>
    <w:basedOn w:val="Normal"/>
    <w:rsid w:val="00664A02"/>
    <w:pPr>
      <w:spacing w:after="0"/>
      <w:ind w:left="360" w:hanging="360"/>
    </w:pPr>
    <w:rPr>
      <w:color w:val="auto"/>
      <w:szCs w:val="24"/>
      <w:lang w:val="en-US" w:eastAsia="en-US"/>
    </w:rPr>
  </w:style>
  <w:style w:type="character" w:customStyle="1" w:styleId="w">
    <w:name w:val="w"/>
    <w:rsid w:val="00664A02"/>
  </w:style>
  <w:style w:type="paragraph" w:customStyle="1" w:styleId="BodyTextLetterBullets">
    <w:name w:val="Body Text + Letter Bullets"/>
    <w:basedOn w:val="BodyText"/>
    <w:rsid w:val="003531E6"/>
    <w:pPr>
      <w:tabs>
        <w:tab w:val="num" w:pos="360"/>
      </w:tabs>
      <w:spacing w:before="120" w:after="0" w:line="288" w:lineRule="auto"/>
    </w:pPr>
    <w:rPr>
      <w:color w:val="auto"/>
      <w:szCs w:val="22"/>
      <w:lang w:val="en-US" w:eastAsia="en-US"/>
    </w:rPr>
  </w:style>
  <w:style w:type="paragraph" w:customStyle="1" w:styleId="BodyTextSmallBullets">
    <w:name w:val="Body Text + Small Bullets"/>
    <w:basedOn w:val="BodyText"/>
    <w:rsid w:val="003531E6"/>
    <w:pPr>
      <w:tabs>
        <w:tab w:val="num" w:pos="360"/>
      </w:tabs>
      <w:spacing w:after="0" w:line="288" w:lineRule="auto"/>
      <w:ind w:left="360" w:hanging="360"/>
    </w:pPr>
    <w:rPr>
      <w:color w:val="auto"/>
      <w:szCs w:val="22"/>
      <w:lang w:val="en-AU" w:eastAsia="en-US"/>
    </w:rPr>
  </w:style>
  <w:style w:type="paragraph" w:customStyle="1" w:styleId="BodyTextbullet">
    <w:name w:val="Body Text + bullet"/>
    <w:basedOn w:val="BodyText"/>
    <w:rsid w:val="003531E6"/>
    <w:pPr>
      <w:tabs>
        <w:tab w:val="num" w:pos="360"/>
      </w:tabs>
      <w:spacing w:after="0" w:line="288" w:lineRule="auto"/>
      <w:ind w:left="360" w:hanging="360"/>
    </w:pPr>
    <w:rPr>
      <w:color w:val="auto"/>
      <w:szCs w:val="22"/>
      <w:lang w:val="en-AU" w:eastAsia="en-US"/>
    </w:rPr>
  </w:style>
  <w:style w:type="paragraph" w:customStyle="1" w:styleId="Head1">
    <w:name w:val="Head 1"/>
    <w:basedOn w:val="Normal"/>
    <w:rsid w:val="003531E6"/>
    <w:pPr>
      <w:tabs>
        <w:tab w:val="left" w:pos="340"/>
        <w:tab w:val="num" w:pos="720"/>
        <w:tab w:val="num" w:pos="1492"/>
        <w:tab w:val="left" w:pos="2775"/>
        <w:tab w:val="left" w:pos="6300"/>
      </w:tabs>
      <w:autoSpaceDE w:val="0"/>
      <w:autoSpaceDN w:val="0"/>
      <w:adjustRightInd w:val="0"/>
      <w:spacing w:after="0"/>
      <w:ind w:left="340" w:hanging="340"/>
    </w:pPr>
    <w:rPr>
      <w:rFonts w:eastAsia="MS Mincho"/>
      <w:b/>
      <w:bCs/>
      <w:color w:val="auto"/>
      <w:szCs w:val="24"/>
      <w:lang w:val="en-US" w:eastAsia="en-US"/>
    </w:rPr>
  </w:style>
  <w:style w:type="paragraph" w:customStyle="1" w:styleId="xl57">
    <w:name w:val="xl57"/>
    <w:basedOn w:val="Normal"/>
    <w:rsid w:val="00664A02"/>
    <w:pP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58">
    <w:name w:val="xl58"/>
    <w:basedOn w:val="Normal"/>
    <w:rsid w:val="00664A02"/>
    <w:pPr>
      <w:pBdr>
        <w:left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59">
    <w:name w:val="xl59"/>
    <w:basedOn w:val="Normal"/>
    <w:rsid w:val="00664A02"/>
    <w:pP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60">
    <w:name w:val="xl60"/>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1">
    <w:name w:val="xl61"/>
    <w:basedOn w:val="Normal"/>
    <w:rsid w:val="00664A02"/>
    <w:pPr>
      <w:pBdr>
        <w:top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62">
    <w:name w:val="xl62"/>
    <w:basedOn w:val="Normal"/>
    <w:rsid w:val="00664A02"/>
    <w:pPr>
      <w:pBdr>
        <w:top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63">
    <w:name w:val="xl63"/>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4">
    <w:name w:val="xl64"/>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5">
    <w:name w:val="xl65"/>
    <w:basedOn w:val="Normal"/>
    <w:rsid w:val="00664A02"/>
    <w:pPr>
      <w:pBdr>
        <w:top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66">
    <w:name w:val="xl66"/>
    <w:basedOn w:val="Normal"/>
    <w:rsid w:val="00664A02"/>
    <w:pPr>
      <w:pBdr>
        <w:top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7">
    <w:name w:val="xl67"/>
    <w:basedOn w:val="Normal"/>
    <w:rsid w:val="00664A02"/>
    <w:pPr>
      <w:pBdr>
        <w:top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8">
    <w:name w:val="xl68"/>
    <w:basedOn w:val="Normal"/>
    <w:rsid w:val="00664A02"/>
    <w:pPr>
      <w:pBdr>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9">
    <w:name w:val="xl69"/>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0">
    <w:name w:val="xl70"/>
    <w:basedOn w:val="Normal"/>
    <w:rsid w:val="00664A02"/>
    <w:pPr>
      <w:pBdr>
        <w:top w:val="single" w:sz="4" w:space="0" w:color="auto"/>
        <w:left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71">
    <w:name w:val="xl71"/>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2">
    <w:name w:val="xl72"/>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3">
    <w:name w:val="xl73"/>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4">
    <w:name w:val="xl74"/>
    <w:basedOn w:val="Normal"/>
    <w:rsid w:val="00664A02"/>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75">
    <w:name w:val="xl75"/>
    <w:basedOn w:val="Normal"/>
    <w:rsid w:val="00664A02"/>
    <w:pPr>
      <w:pBdr>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76">
    <w:name w:val="xl76"/>
    <w:basedOn w:val="Normal"/>
    <w:rsid w:val="00664A02"/>
    <w:pPr>
      <w:pBdr>
        <w:lef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77">
    <w:name w:val="xl77"/>
    <w:basedOn w:val="Normal"/>
    <w:rsid w:val="00664A02"/>
    <w:pPr>
      <w:pBdr>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78">
    <w:name w:val="xl78"/>
    <w:basedOn w:val="Normal"/>
    <w:rsid w:val="00664A02"/>
    <w:pPr>
      <w:pBdr>
        <w:left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79">
    <w:name w:val="xl79"/>
    <w:basedOn w:val="Normal"/>
    <w:rsid w:val="00664A02"/>
    <w:pPr>
      <w:pBdr>
        <w:left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80">
    <w:name w:val="xl80"/>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81">
    <w:name w:val="xl81"/>
    <w:basedOn w:val="Normal"/>
    <w:rsid w:val="00664A02"/>
    <w:pPr>
      <w:pBdr>
        <w:left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82">
    <w:name w:val="xl82"/>
    <w:basedOn w:val="Normal"/>
    <w:rsid w:val="00664A02"/>
    <w:pPr>
      <w:pBdr>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83">
    <w:name w:val="xl83"/>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84">
    <w:name w:val="xl84"/>
    <w:basedOn w:val="Normal"/>
    <w:rsid w:val="00664A02"/>
    <w:pPr>
      <w:pBdr>
        <w:bottom w:val="single" w:sz="4" w:space="0" w:color="auto"/>
        <w:right w:val="single" w:sz="4" w:space="0" w:color="auto"/>
      </w:pBdr>
      <w:shd w:val="clear" w:color="auto" w:fill="FFFFFF"/>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85">
    <w:name w:val="xl85"/>
    <w:basedOn w:val="Normal"/>
    <w:rsid w:val="00664A0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86">
    <w:name w:val="xl86"/>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87">
    <w:name w:val="xl87"/>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88">
    <w:name w:val="xl88"/>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89">
    <w:name w:val="xl89"/>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0">
    <w:name w:val="xl90"/>
    <w:basedOn w:val="Normal"/>
    <w:rsid w:val="00664A02"/>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91">
    <w:name w:val="xl91"/>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2">
    <w:name w:val="xl92"/>
    <w:basedOn w:val="Normal"/>
    <w:rsid w:val="00664A02"/>
    <w:pPr>
      <w:pBdr>
        <w:top w:val="single" w:sz="4" w:space="0" w:color="auto"/>
        <w:left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3">
    <w:name w:val="xl93"/>
    <w:basedOn w:val="Normal"/>
    <w:rsid w:val="00664A0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94">
    <w:name w:val="xl94"/>
    <w:basedOn w:val="Normal"/>
    <w:rsid w:val="00664A02"/>
    <w:pPr>
      <w:pBdr>
        <w:top w:val="single" w:sz="4" w:space="0" w:color="auto"/>
        <w:bottom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95">
    <w:name w:val="xl95"/>
    <w:basedOn w:val="Normal"/>
    <w:rsid w:val="00664A02"/>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6">
    <w:name w:val="xl96"/>
    <w:basedOn w:val="Normal"/>
    <w:rsid w:val="00664A02"/>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97">
    <w:name w:val="xl97"/>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color w:val="auto"/>
      <w:szCs w:val="24"/>
      <w:lang w:val="en-AU" w:eastAsia="en-US"/>
    </w:rPr>
  </w:style>
  <w:style w:type="paragraph" w:customStyle="1" w:styleId="xl98">
    <w:name w:val="xl98"/>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9">
    <w:name w:val="xl99"/>
    <w:basedOn w:val="Normal"/>
    <w:rsid w:val="00664A02"/>
    <w:pPr>
      <w:pBdr>
        <w:top w:val="single" w:sz="4" w:space="0" w:color="auto"/>
        <w:left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100">
    <w:name w:val="xl100"/>
    <w:basedOn w:val="Normal"/>
    <w:rsid w:val="00664A0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Cs w:val="24"/>
      <w:lang w:val="en-AU" w:eastAsia="en-US"/>
    </w:rPr>
  </w:style>
  <w:style w:type="paragraph" w:customStyle="1" w:styleId="xl101">
    <w:name w:val="xl101"/>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02">
    <w:name w:val="xl102"/>
    <w:basedOn w:val="Normal"/>
    <w:rsid w:val="00664A02"/>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3">
    <w:name w:val="xl103"/>
    <w:basedOn w:val="Normal"/>
    <w:rsid w:val="00664A02"/>
    <w:pPr>
      <w:pBdr>
        <w:top w:val="single" w:sz="4" w:space="0" w:color="auto"/>
        <w:lef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4">
    <w:name w:val="xl104"/>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105">
    <w:name w:val="xl105"/>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106">
    <w:name w:val="xl106"/>
    <w:basedOn w:val="Normal"/>
    <w:rsid w:val="00664A02"/>
    <w:pPr>
      <w:pBdr>
        <w:top w:val="single" w:sz="4" w:space="0" w:color="auto"/>
        <w:left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07">
    <w:name w:val="xl107"/>
    <w:basedOn w:val="Normal"/>
    <w:rsid w:val="00664A02"/>
    <w:pPr>
      <w:pBdr>
        <w:top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8">
    <w:name w:val="xl108"/>
    <w:basedOn w:val="Normal"/>
    <w:rsid w:val="00664A02"/>
    <w:pPr>
      <w:pBdr>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9">
    <w:name w:val="xl109"/>
    <w:basedOn w:val="Normal"/>
    <w:rsid w:val="00664A02"/>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110">
    <w:name w:val="xl110"/>
    <w:basedOn w:val="Normal"/>
    <w:rsid w:val="00664A02"/>
    <w:pPr>
      <w:pBdr>
        <w:top w:val="single" w:sz="4" w:space="0" w:color="auto"/>
        <w:bottom w:val="single" w:sz="4" w:space="0" w:color="auto"/>
      </w:pBdr>
      <w:spacing w:before="100" w:beforeAutospacing="1" w:after="100" w:afterAutospacing="1"/>
      <w:jc w:val="center"/>
    </w:pPr>
    <w:rPr>
      <w:rFonts w:ascii="Arial Unicode MS" w:eastAsia="Arial Unicode MS" w:cs="Galliard"/>
      <w:color w:val="auto"/>
      <w:szCs w:val="24"/>
      <w:lang w:val="en-AU" w:eastAsia="en-US"/>
    </w:rPr>
  </w:style>
  <w:style w:type="paragraph" w:customStyle="1" w:styleId="xl111">
    <w:name w:val="xl111"/>
    <w:basedOn w:val="Normal"/>
    <w:rsid w:val="00664A02"/>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szCs w:val="24"/>
      <w:lang w:val="en-AU" w:eastAsia="en-US"/>
    </w:rPr>
  </w:style>
  <w:style w:type="paragraph" w:customStyle="1" w:styleId="xl112">
    <w:name w:val="xl112"/>
    <w:basedOn w:val="Normal"/>
    <w:rsid w:val="00664A0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113">
    <w:name w:val="xl113"/>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14">
    <w:name w:val="xl114"/>
    <w:basedOn w:val="Normal"/>
    <w:rsid w:val="00664A02"/>
    <w:pPr>
      <w:pBdr>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15">
    <w:name w:val="xl115"/>
    <w:basedOn w:val="Normal"/>
    <w:rsid w:val="00664A02"/>
    <w:pPr>
      <w:pBdr>
        <w:lef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6">
    <w:name w:val="xl116"/>
    <w:basedOn w:val="Normal"/>
    <w:rsid w:val="00664A02"/>
    <w:pP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7">
    <w:name w:val="xl117"/>
    <w:basedOn w:val="Normal"/>
    <w:rsid w:val="00664A02"/>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8">
    <w:name w:val="xl118"/>
    <w:basedOn w:val="Normal"/>
    <w:rsid w:val="00664A02"/>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9">
    <w:name w:val="xl119"/>
    <w:basedOn w:val="Normal"/>
    <w:rsid w:val="00664A02"/>
    <w:pP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0">
    <w:name w:val="xl120"/>
    <w:basedOn w:val="Normal"/>
    <w:rsid w:val="00664A02"/>
    <w:pPr>
      <w:pBdr>
        <w:top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1">
    <w:name w:val="xl121"/>
    <w:basedOn w:val="Normal"/>
    <w:rsid w:val="00664A02"/>
    <w:pPr>
      <w:pBdr>
        <w:top w:val="single" w:sz="4" w:space="0" w:color="auto"/>
        <w:lef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2">
    <w:name w:val="xl122"/>
    <w:basedOn w:val="Normal"/>
    <w:rsid w:val="00664A02"/>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3">
    <w:name w:val="xl123"/>
    <w:basedOn w:val="Normal"/>
    <w:rsid w:val="00664A02"/>
    <w:pPr>
      <w:pBdr>
        <w:bottom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4">
    <w:name w:val="xl124"/>
    <w:basedOn w:val="Normal"/>
    <w:rsid w:val="00664A02"/>
    <w:pPr>
      <w:pBdr>
        <w:left w:val="single" w:sz="4" w:space="0" w:color="auto"/>
        <w:bottom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5">
    <w:name w:val="xl125"/>
    <w:basedOn w:val="Normal"/>
    <w:rsid w:val="00664A02"/>
    <w:pPr>
      <w:pBdr>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26">
    <w:name w:val="xl126"/>
    <w:basedOn w:val="Normal"/>
    <w:rsid w:val="00664A02"/>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7">
    <w:name w:val="xl127"/>
    <w:basedOn w:val="Normal"/>
    <w:rsid w:val="00664A02"/>
    <w:pPr>
      <w:pBdr>
        <w:top w:val="single" w:sz="4" w:space="0" w:color="auto"/>
        <w:bottom w:val="single" w:sz="8"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8">
    <w:name w:val="xl128"/>
    <w:basedOn w:val="Normal"/>
    <w:rsid w:val="00664A02"/>
    <w:pPr>
      <w:pBdr>
        <w:top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9">
    <w:name w:val="xl129"/>
    <w:basedOn w:val="Normal"/>
    <w:rsid w:val="00664A02"/>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30">
    <w:name w:val="xl130"/>
    <w:basedOn w:val="Normal"/>
    <w:rsid w:val="00664A02"/>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131">
    <w:name w:val="xl131"/>
    <w:basedOn w:val="Normal"/>
    <w:rsid w:val="00664A02"/>
    <w:pPr>
      <w:pBdr>
        <w:top w:val="single" w:sz="4" w:space="0" w:color="auto"/>
        <w:bottom w:val="single" w:sz="8" w:space="0" w:color="auto"/>
      </w:pBdr>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132">
    <w:name w:val="xl132"/>
    <w:basedOn w:val="Normal"/>
    <w:rsid w:val="00664A02"/>
    <w:pPr>
      <w:pBdr>
        <w:top w:val="single" w:sz="4" w:space="0" w:color="auto"/>
        <w:bottom w:val="single" w:sz="8"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33">
    <w:name w:val="xl133"/>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134">
    <w:name w:val="xl134"/>
    <w:basedOn w:val="Normal"/>
    <w:rsid w:val="00664A0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cs="Galliard"/>
      <w:color w:val="auto"/>
      <w:sz w:val="12"/>
      <w:szCs w:val="12"/>
      <w:lang w:val="en-AU" w:eastAsia="en-US"/>
    </w:rPr>
  </w:style>
  <w:style w:type="paragraph" w:customStyle="1" w:styleId="xl135">
    <w:name w:val="xl135"/>
    <w:basedOn w:val="Normal"/>
    <w:rsid w:val="00664A0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cs="Galliard"/>
      <w:color w:val="auto"/>
      <w:szCs w:val="24"/>
      <w:lang w:val="en-AU" w:eastAsia="en-US"/>
    </w:rPr>
  </w:style>
  <w:style w:type="paragraph" w:customStyle="1" w:styleId="xl136">
    <w:name w:val="xl136"/>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color w:val="auto"/>
      <w:szCs w:val="24"/>
      <w:lang w:val="en-AU" w:eastAsia="en-US"/>
    </w:rPr>
  </w:style>
  <w:style w:type="paragraph" w:customStyle="1" w:styleId="xl137">
    <w:name w:val="xl137"/>
    <w:basedOn w:val="Normal"/>
    <w:rsid w:val="00664A0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Cs w:val="24"/>
      <w:lang w:val="en-AU" w:eastAsia="en-US"/>
    </w:rPr>
  </w:style>
  <w:style w:type="paragraph" w:customStyle="1" w:styleId="xl138">
    <w:name w:val="xl138"/>
    <w:basedOn w:val="Normal"/>
    <w:rsid w:val="00664A02"/>
    <w:pPr>
      <w:pBdr>
        <w:top w:val="single" w:sz="4" w:space="0" w:color="auto"/>
        <w:bottom w:val="single" w:sz="4" w:space="0" w:color="auto"/>
      </w:pBdr>
      <w:spacing w:before="100" w:beforeAutospacing="1" w:after="100" w:afterAutospacing="1"/>
    </w:pPr>
    <w:rPr>
      <w:rFonts w:ascii="Arial" w:hAnsi="Arial" w:cs="Arial"/>
      <w:b/>
      <w:bCs/>
      <w:color w:val="auto"/>
      <w:sz w:val="12"/>
      <w:szCs w:val="12"/>
      <w:lang w:val="en-AU" w:eastAsia="en-US"/>
    </w:rPr>
  </w:style>
  <w:style w:type="paragraph" w:customStyle="1" w:styleId="Anxhead">
    <w:name w:val="Anx head"/>
    <w:basedOn w:val="Normal"/>
    <w:rsid w:val="00664A02"/>
    <w:pPr>
      <w:spacing w:after="0"/>
    </w:pPr>
    <w:rPr>
      <w:b/>
      <w:bCs/>
      <w:color w:val="auto"/>
      <w:sz w:val="28"/>
      <w:szCs w:val="28"/>
      <w:lang w:eastAsia="en-US"/>
    </w:rPr>
  </w:style>
  <w:style w:type="paragraph" w:customStyle="1" w:styleId="Anxtitle">
    <w:name w:val="Anx title"/>
    <w:basedOn w:val="Normal"/>
    <w:rsid w:val="00664A02"/>
    <w:pPr>
      <w:spacing w:after="0"/>
      <w:ind w:left="1247"/>
    </w:pPr>
    <w:rPr>
      <w:b/>
      <w:bCs/>
      <w:color w:val="auto"/>
      <w:sz w:val="28"/>
      <w:szCs w:val="28"/>
      <w:lang w:eastAsia="en-US"/>
    </w:rPr>
  </w:style>
  <w:style w:type="paragraph" w:customStyle="1" w:styleId="Style10ptAfter6pt1">
    <w:name w:val="Style 10 pt After:  6 pt1"/>
    <w:basedOn w:val="Normal"/>
    <w:autoRedefine/>
    <w:rsid w:val="00AB34C2"/>
    <w:pPr>
      <w:spacing w:after="120"/>
      <w:jc w:val="both"/>
    </w:pPr>
    <w:rPr>
      <w:b/>
      <w:color w:val="auto"/>
    </w:rPr>
  </w:style>
  <w:style w:type="paragraph" w:customStyle="1" w:styleId="StyleHeading311ptBold">
    <w:name w:val="Style Heading 3 + 11 pt Bold"/>
    <w:basedOn w:val="Heading3"/>
    <w:rsid w:val="004345CC"/>
    <w:pPr>
      <w:ind w:left="0" w:firstLine="0"/>
    </w:pPr>
    <w:rPr>
      <w:bCs/>
      <w:iCs/>
    </w:rPr>
  </w:style>
  <w:style w:type="paragraph" w:customStyle="1" w:styleId="Subtitle">
    <w:name w:val="Sub title"/>
    <w:basedOn w:val="Heading2"/>
    <w:rsid w:val="004345CC"/>
    <w:pPr>
      <w:spacing w:before="0" w:after="0"/>
      <w:ind w:left="1247"/>
    </w:pPr>
    <w:rPr>
      <w:szCs w:val="24"/>
      <w:lang w:eastAsia="en-US"/>
    </w:rPr>
  </w:style>
  <w:style w:type="character" w:customStyle="1" w:styleId="maintextbldleft1">
    <w:name w:val="maintextbldleft1"/>
    <w:rsid w:val="00664A02"/>
    <w:rPr>
      <w:rFonts w:ascii="Arial" w:hAnsi="Arial"/>
      <w:b/>
      <w:color w:val="000000"/>
      <w:sz w:val="18"/>
      <w:u w:val="none"/>
      <w:effect w:val="none"/>
    </w:rPr>
  </w:style>
  <w:style w:type="character" w:customStyle="1" w:styleId="maintextleft1">
    <w:name w:val="maintextleft1"/>
    <w:rsid w:val="00664A02"/>
    <w:rPr>
      <w:rFonts w:ascii="Arial" w:hAnsi="Arial"/>
      <w:color w:val="000000"/>
      <w:sz w:val="18"/>
      <w:u w:val="none"/>
      <w:effect w:val="none"/>
    </w:rPr>
  </w:style>
  <w:style w:type="paragraph" w:customStyle="1" w:styleId="StyleHeading311ptBold1">
    <w:name w:val="Style Heading 3 + 11 pt Bold1"/>
    <w:basedOn w:val="Heading3"/>
    <w:rsid w:val="004345CC"/>
    <w:rPr>
      <w:rFonts w:ascii="Times New Roman Bold" w:hAnsi="Times New Roman Bold"/>
      <w:bCs/>
      <w:iCs/>
    </w:rPr>
  </w:style>
  <w:style w:type="paragraph" w:customStyle="1" w:styleId="ANNEXES">
    <w:name w:val="ANNEXES"/>
    <w:basedOn w:val="Normal"/>
    <w:rsid w:val="00664A02"/>
    <w:pPr>
      <w:tabs>
        <w:tab w:val="left" w:pos="1080"/>
      </w:tabs>
      <w:spacing w:before="100" w:beforeAutospacing="1" w:after="100" w:afterAutospacing="1"/>
    </w:pPr>
    <w:rPr>
      <w:b/>
      <w:sz w:val="28"/>
    </w:rPr>
  </w:style>
  <w:style w:type="paragraph" w:customStyle="1" w:styleId="Executivesummary">
    <w:name w:val="Executive summary"/>
    <w:basedOn w:val="TOC1"/>
    <w:rsid w:val="00C17D19"/>
    <w:rPr>
      <w:b w:val="0"/>
      <w:sz w:val="28"/>
    </w:rPr>
  </w:style>
  <w:style w:type="paragraph" w:customStyle="1" w:styleId="Execlevel2">
    <w:name w:val="Exec level2"/>
    <w:basedOn w:val="Anxhead"/>
    <w:rsid w:val="00664A02"/>
    <w:rPr>
      <w:sz w:val="24"/>
    </w:rPr>
  </w:style>
  <w:style w:type="character" w:customStyle="1" w:styleId="AnxheadChar">
    <w:name w:val="Anx head Char"/>
    <w:rsid w:val="00664A02"/>
    <w:rPr>
      <w:b/>
      <w:sz w:val="28"/>
      <w:lang w:val="en-GB" w:eastAsia="en-US"/>
    </w:rPr>
  </w:style>
  <w:style w:type="character" w:customStyle="1" w:styleId="Execlevel2Char">
    <w:name w:val="Exec level2 Char"/>
    <w:rsid w:val="00664A02"/>
    <w:rPr>
      <w:b/>
      <w:sz w:val="28"/>
      <w:lang w:val="en-GB" w:eastAsia="en-US"/>
    </w:rPr>
  </w:style>
  <w:style w:type="character" w:customStyle="1" w:styleId="a">
    <w:name w:val="_"/>
    <w:rsid w:val="00664A02"/>
  </w:style>
  <w:style w:type="paragraph" w:styleId="CommentSubject">
    <w:name w:val="annotation subject"/>
    <w:basedOn w:val="CommentText"/>
    <w:next w:val="CommentText"/>
    <w:link w:val="CommentSubjectChar"/>
    <w:semiHidden/>
    <w:rsid w:val="00664A02"/>
    <w:pPr>
      <w:widowControl/>
      <w:spacing w:after="0"/>
    </w:pPr>
    <w:rPr>
      <w:b/>
      <w:lang w:val="en-US"/>
    </w:rPr>
  </w:style>
  <w:style w:type="character" w:customStyle="1" w:styleId="CommentSubjectChar">
    <w:name w:val="Comment Subject Char"/>
    <w:link w:val="CommentSubject"/>
    <w:locked/>
    <w:rsid w:val="00564876"/>
    <w:rPr>
      <w:rFonts w:ascii="Times New Roman" w:hAnsi="Times New Roman" w:cs="Times New Roman"/>
      <w:b/>
      <w:sz w:val="24"/>
      <w:lang w:val="en-US" w:eastAsia="ja-JP"/>
    </w:rPr>
  </w:style>
  <w:style w:type="paragraph" w:customStyle="1" w:styleId="Indentedbullet">
    <w:name w:val="Indented bullet"/>
    <w:basedOn w:val="Indentedbodytext"/>
    <w:rsid w:val="003531E6"/>
    <w:pPr>
      <w:tabs>
        <w:tab w:val="num" w:pos="643"/>
        <w:tab w:val="num" w:pos="1440"/>
      </w:tabs>
      <w:ind w:left="1434" w:hanging="357"/>
    </w:pPr>
  </w:style>
  <w:style w:type="paragraph" w:customStyle="1" w:styleId="Indentedbodytext">
    <w:name w:val="Indented body text"/>
    <w:basedOn w:val="Normal"/>
    <w:autoRedefine/>
    <w:rsid w:val="00664A02"/>
    <w:pPr>
      <w:tabs>
        <w:tab w:val="left" w:pos="1080"/>
      </w:tabs>
      <w:ind w:left="1077"/>
    </w:pPr>
    <w:rPr>
      <w:lang w:eastAsia="en-US"/>
    </w:rPr>
  </w:style>
  <w:style w:type="paragraph" w:customStyle="1" w:styleId="Smallnumberedbullet">
    <w:name w:val="Small numbered bullet"/>
    <w:basedOn w:val="Smallbullet"/>
    <w:rsid w:val="003531E6"/>
    <w:pPr>
      <w:tabs>
        <w:tab w:val="clear" w:pos="360"/>
        <w:tab w:val="clear" w:pos="426"/>
        <w:tab w:val="num" w:pos="720"/>
        <w:tab w:val="num" w:pos="926"/>
      </w:tabs>
      <w:ind w:left="539" w:hanging="539"/>
    </w:pPr>
  </w:style>
  <w:style w:type="paragraph" w:customStyle="1" w:styleId="Smallbullet">
    <w:name w:val="Small bullet"/>
    <w:basedOn w:val="BodyTextSmallBullets"/>
    <w:autoRedefine/>
    <w:rsid w:val="003531E6"/>
    <w:pPr>
      <w:tabs>
        <w:tab w:val="num" w:pos="426"/>
      </w:tabs>
      <w:spacing w:after="240" w:line="240" w:lineRule="auto"/>
      <w:ind w:left="425" w:hanging="425"/>
    </w:pPr>
  </w:style>
  <w:style w:type="paragraph" w:customStyle="1" w:styleId="BodyText1">
    <w:name w:val="Body Text1"/>
    <w:basedOn w:val="Normal"/>
    <w:rsid w:val="00664A02"/>
    <w:rPr>
      <w:lang w:eastAsia="en-US"/>
    </w:rPr>
  </w:style>
  <w:style w:type="paragraph" w:customStyle="1" w:styleId="Heading311ptBold">
    <w:name w:val="Heading 3 + 11 pt Bold"/>
    <w:basedOn w:val="Heading3"/>
    <w:rsid w:val="00BF396C"/>
    <w:pPr>
      <w:tabs>
        <w:tab w:val="clear" w:pos="643"/>
        <w:tab w:val="num" w:pos="1800"/>
        <w:tab w:val="num" w:pos="2160"/>
      </w:tabs>
      <w:ind w:left="0" w:firstLine="0"/>
    </w:pPr>
    <w:rPr>
      <w:rFonts w:ascii="Times New Roman Bold" w:hAnsi="Times New Roman Bold"/>
      <w:b w:val="0"/>
      <w:i/>
      <w:lang w:eastAsia="en-US"/>
    </w:rPr>
  </w:style>
  <w:style w:type="paragraph" w:customStyle="1" w:styleId="Table5">
    <w:name w:val="Table 5"/>
    <w:basedOn w:val="Normal"/>
    <w:rsid w:val="00664A02"/>
    <w:pPr>
      <w:spacing w:after="0" w:line="240" w:lineRule="exact"/>
      <w:ind w:left="567" w:hanging="567"/>
    </w:pPr>
    <w:rPr>
      <w:sz w:val="18"/>
      <w:lang w:eastAsia="ja-JP"/>
    </w:rPr>
  </w:style>
  <w:style w:type="paragraph" w:customStyle="1" w:styleId="ColorfulList-Accent11">
    <w:name w:val="Colorful List - Accent 11"/>
    <w:basedOn w:val="Normal"/>
    <w:rsid w:val="00664A02"/>
    <w:pPr>
      <w:spacing w:after="0"/>
      <w:ind w:left="720"/>
    </w:pPr>
    <w:rPr>
      <w:rFonts w:eastAsia="MS Mincho"/>
      <w:color w:val="auto"/>
      <w:szCs w:val="24"/>
      <w:lang w:val="en-US" w:eastAsia="ja-JP"/>
    </w:rPr>
  </w:style>
  <w:style w:type="character" w:customStyle="1" w:styleId="mw-headline">
    <w:name w:val="mw-headline"/>
    <w:rsid w:val="00664A02"/>
  </w:style>
  <w:style w:type="paragraph" w:customStyle="1" w:styleId="bullet0">
    <w:name w:val="bullet"/>
    <w:basedOn w:val="Normal"/>
    <w:autoRedefine/>
    <w:rsid w:val="00664A02"/>
    <w:pPr>
      <w:spacing w:after="0"/>
      <w:ind w:left="1080"/>
    </w:pPr>
    <w:rPr>
      <w:color w:val="auto"/>
      <w:sz w:val="24"/>
      <w:lang w:eastAsia="en-US"/>
    </w:rPr>
  </w:style>
  <w:style w:type="paragraph" w:styleId="Subtitle0">
    <w:name w:val="Subtitle"/>
    <w:basedOn w:val="Normal"/>
    <w:link w:val="SubtitleChar"/>
    <w:qFormat/>
    <w:rsid w:val="00664A02"/>
    <w:pPr>
      <w:spacing w:after="0"/>
      <w:jc w:val="center"/>
    </w:pPr>
    <w:rPr>
      <w:rFonts w:ascii="Cambria" w:hAnsi="Cambria"/>
      <w:sz w:val="24"/>
    </w:rPr>
  </w:style>
  <w:style w:type="character" w:customStyle="1" w:styleId="SubtitleChar">
    <w:name w:val="Subtitle Char"/>
    <w:link w:val="Subtitle0"/>
    <w:locked/>
    <w:rsid w:val="00521070"/>
    <w:rPr>
      <w:rFonts w:ascii="Cambria" w:hAnsi="Cambria" w:cs="Times New Roman"/>
      <w:color w:val="000000"/>
      <w:sz w:val="24"/>
      <w:lang w:val="en-GB" w:eastAsia="zh-CN"/>
    </w:rPr>
  </w:style>
  <w:style w:type="paragraph" w:customStyle="1" w:styleId="Rvision1">
    <w:name w:val="Révision1"/>
    <w:hidden/>
    <w:semiHidden/>
    <w:rsid w:val="00664A02"/>
    <w:rPr>
      <w:rFonts w:ascii="Times New Roman" w:eastAsia="MS Mincho" w:hAnsi="Times New Roman"/>
      <w:sz w:val="24"/>
      <w:szCs w:val="24"/>
      <w:lang w:val="en-US" w:eastAsia="en-US"/>
    </w:rPr>
  </w:style>
  <w:style w:type="paragraph" w:customStyle="1" w:styleId="StyleHeading3Heading3Char1CharHeading3CharCharCharChar">
    <w:name w:val="Style Heading 3Heading 3 Char1 CharHeading 3 Char Char CharChar ..."/>
    <w:basedOn w:val="Heading3"/>
    <w:rsid w:val="004345CC"/>
    <w:rPr>
      <w:rFonts w:ascii="Times New Roman Bold" w:hAnsi="Times New Roman Bold"/>
      <w:iCs/>
    </w:rPr>
  </w:style>
  <w:style w:type="paragraph" w:customStyle="1" w:styleId="ParaQPS">
    <w:name w:val="Para QPS"/>
    <w:basedOn w:val="Normal"/>
    <w:rsid w:val="00664A02"/>
    <w:pPr>
      <w:spacing w:before="120" w:after="120"/>
      <w:ind w:left="1134"/>
      <w:jc w:val="both"/>
    </w:pPr>
    <w:rPr>
      <w:rFonts w:cs="Calibri"/>
      <w:iCs/>
      <w:color w:val="auto"/>
      <w:szCs w:val="24"/>
      <w:lang w:val="en-US" w:eastAsia="en-US"/>
    </w:rPr>
  </w:style>
  <w:style w:type="paragraph" w:customStyle="1" w:styleId="ParaQPSItalicindent">
    <w:name w:val="Para QPS Italic indent"/>
    <w:basedOn w:val="ParaQPS"/>
    <w:rsid w:val="00664A02"/>
    <w:rPr>
      <w:i/>
      <w:iCs w:val="0"/>
    </w:rPr>
  </w:style>
  <w:style w:type="paragraph" w:customStyle="1" w:styleId="ListParagraph1">
    <w:name w:val="List Paragraph1"/>
    <w:aliases w:val="Bullets"/>
    <w:basedOn w:val="Normal"/>
    <w:uiPriority w:val="34"/>
    <w:qFormat/>
    <w:rsid w:val="003531E6"/>
    <w:pPr>
      <w:tabs>
        <w:tab w:val="num" w:pos="1209"/>
      </w:tabs>
      <w:spacing w:before="60" w:after="60"/>
      <w:ind w:left="720" w:hanging="360"/>
      <w:jc w:val="both"/>
    </w:pPr>
    <w:rPr>
      <w:rFonts w:ascii="Arial" w:eastAsia="SimSun" w:hAnsi="Arial" w:cs="Arial"/>
      <w:color w:val="auto"/>
      <w:szCs w:val="22"/>
      <w:lang w:eastAsia="en-GB"/>
    </w:rPr>
  </w:style>
  <w:style w:type="paragraph" w:customStyle="1" w:styleId="Bibliographie1">
    <w:name w:val="Bibliographie1"/>
    <w:basedOn w:val="Normal"/>
    <w:next w:val="Normal"/>
    <w:rsid w:val="00664A02"/>
    <w:pPr>
      <w:spacing w:before="120" w:after="120"/>
      <w:ind w:left="1134"/>
      <w:jc w:val="both"/>
    </w:pPr>
    <w:rPr>
      <w:rFonts w:ascii="Calibri" w:eastAsia="SimSun" w:hAnsi="Calibri"/>
      <w:color w:val="auto"/>
      <w:szCs w:val="22"/>
    </w:rPr>
  </w:style>
  <w:style w:type="paragraph" w:customStyle="1" w:styleId="Footnote">
    <w:name w:val="Footnote"/>
    <w:basedOn w:val="FootnoteText"/>
    <w:rsid w:val="00664A02"/>
    <w:pPr>
      <w:widowControl/>
      <w:spacing w:after="0"/>
    </w:pPr>
    <w:rPr>
      <w:rFonts w:eastAsia="SimSun"/>
      <w:sz w:val="18"/>
      <w:szCs w:val="22"/>
    </w:rPr>
  </w:style>
  <w:style w:type="paragraph" w:customStyle="1" w:styleId="TableforUNEPreport">
    <w:name w:val="Table for UNEP report"/>
    <w:basedOn w:val="Caption"/>
    <w:rsid w:val="00664A02"/>
    <w:pPr>
      <w:keepNext/>
      <w:spacing w:after="200" w:line="240" w:lineRule="auto"/>
      <w:ind w:left="0"/>
      <w:jc w:val="both"/>
    </w:pPr>
    <w:rPr>
      <w:rFonts w:ascii="Calibri" w:hAnsi="Calibri"/>
      <w:b/>
      <w:bCs/>
      <w:i w:val="0"/>
      <w:color w:val="auto"/>
      <w:szCs w:val="18"/>
      <w:lang w:eastAsia="en-GB"/>
    </w:rPr>
  </w:style>
  <w:style w:type="paragraph" w:customStyle="1" w:styleId="TitleQPSReport">
    <w:name w:val="Title QPS Report"/>
    <w:basedOn w:val="Normal"/>
    <w:rsid w:val="00664A02"/>
    <w:pPr>
      <w:spacing w:before="120" w:after="120"/>
      <w:jc w:val="center"/>
    </w:pPr>
    <w:rPr>
      <w:b/>
      <w:bCs/>
      <w:color w:val="auto"/>
      <w:sz w:val="28"/>
    </w:rPr>
  </w:style>
  <w:style w:type="paragraph" w:customStyle="1" w:styleId="Bulletdash">
    <w:name w:val="Bullet dash"/>
    <w:basedOn w:val="Normal"/>
    <w:rsid w:val="003531E6"/>
    <w:pPr>
      <w:spacing w:before="120" w:after="120"/>
      <w:ind w:left="1854" w:hanging="360"/>
      <w:jc w:val="both"/>
    </w:pPr>
    <w:rPr>
      <w:rFonts w:eastAsia="SimSun"/>
      <w:color w:val="auto"/>
      <w:szCs w:val="22"/>
    </w:rPr>
  </w:style>
  <w:style w:type="paragraph" w:customStyle="1" w:styleId="Paraleft">
    <w:name w:val="Para left"/>
    <w:basedOn w:val="Normal"/>
    <w:rsid w:val="00664A02"/>
    <w:pPr>
      <w:keepNext/>
      <w:spacing w:before="120" w:after="120"/>
      <w:ind w:left="1134"/>
    </w:pPr>
    <w:rPr>
      <w:rFonts w:eastAsia="SimSun"/>
      <w:b/>
      <w:bCs/>
      <w:color w:val="auto"/>
      <w:szCs w:val="22"/>
      <w:lang w:eastAsia="ja-JP"/>
    </w:rPr>
  </w:style>
  <w:style w:type="paragraph" w:customStyle="1" w:styleId="TableandFiguretitles">
    <w:name w:val="Table and Figure titles"/>
    <w:basedOn w:val="Caption"/>
    <w:rsid w:val="00664A02"/>
    <w:pPr>
      <w:keepNext/>
      <w:spacing w:after="200" w:line="240" w:lineRule="auto"/>
      <w:ind w:left="1134"/>
      <w:jc w:val="both"/>
    </w:pPr>
    <w:rPr>
      <w:rFonts w:eastAsia="SimSun"/>
      <w:b/>
      <w:bCs/>
      <w:i w:val="0"/>
      <w:color w:val="auto"/>
      <w:szCs w:val="22"/>
    </w:rPr>
  </w:style>
  <w:style w:type="paragraph" w:styleId="TableofFigures">
    <w:name w:val="table of figures"/>
    <w:basedOn w:val="Normal"/>
    <w:next w:val="Normal"/>
    <w:semiHidden/>
    <w:rsid w:val="00664A02"/>
    <w:pPr>
      <w:spacing w:before="120" w:after="120"/>
      <w:ind w:left="1757" w:right="624" w:hanging="1077"/>
      <w:jc w:val="both"/>
    </w:pPr>
    <w:rPr>
      <w:rFonts w:eastAsia="SimSun"/>
      <w:b/>
      <w:caps/>
      <w:color w:val="auto"/>
      <w:szCs w:val="22"/>
    </w:rPr>
  </w:style>
  <w:style w:type="paragraph" w:customStyle="1" w:styleId="StyleParaQPSItalic">
    <w:name w:val="Style Para QPS + Italic"/>
    <w:basedOn w:val="ParaQPS"/>
    <w:rsid w:val="00664A02"/>
    <w:rPr>
      <w:i/>
    </w:rPr>
  </w:style>
  <w:style w:type="paragraph" w:customStyle="1" w:styleId="StyleLeft017cm">
    <w:name w:val="Style Left:  0.17 cm"/>
    <w:basedOn w:val="Normal"/>
    <w:rsid w:val="00664A02"/>
    <w:pPr>
      <w:spacing w:before="120" w:after="120"/>
      <w:ind w:left="97"/>
      <w:jc w:val="both"/>
    </w:pPr>
    <w:rPr>
      <w:color w:val="auto"/>
    </w:rPr>
  </w:style>
  <w:style w:type="paragraph" w:customStyle="1" w:styleId="StyleParaQPS11ptItalic">
    <w:name w:val="Style Para QPS + 11 pt Italic"/>
    <w:basedOn w:val="ParaQPS"/>
    <w:rsid w:val="00664A02"/>
    <w:rPr>
      <w:i/>
    </w:rPr>
  </w:style>
  <w:style w:type="paragraph" w:customStyle="1" w:styleId="Bulletnumbered">
    <w:name w:val="Bullet numbered"/>
    <w:basedOn w:val="ParaQPS"/>
    <w:rsid w:val="003531E6"/>
    <w:pPr>
      <w:ind w:left="1854" w:hanging="360"/>
    </w:pPr>
  </w:style>
  <w:style w:type="paragraph" w:customStyle="1" w:styleId="Annexheader">
    <w:name w:val="Annex header"/>
    <w:basedOn w:val="Header"/>
    <w:rsid w:val="00664A02"/>
    <w:pPr>
      <w:tabs>
        <w:tab w:val="clear" w:pos="4320"/>
        <w:tab w:val="clear" w:pos="8640"/>
        <w:tab w:val="center" w:pos="4153"/>
        <w:tab w:val="right" w:pos="8306"/>
      </w:tabs>
      <w:spacing w:after="0" w:line="360" w:lineRule="auto"/>
      <w:ind w:firstLine="720"/>
      <w:jc w:val="center"/>
    </w:pPr>
    <w:rPr>
      <w:rFonts w:ascii="Times New Roman Bold" w:hAnsi="Times New Roman Bold"/>
      <w:b/>
      <w:caps/>
      <w:color w:val="auto"/>
      <w:szCs w:val="24"/>
      <w:lang w:val="en-AU" w:eastAsia="en-US"/>
    </w:rPr>
  </w:style>
  <w:style w:type="paragraph" w:customStyle="1" w:styleId="Execlevel3">
    <w:name w:val="Exec level3"/>
    <w:basedOn w:val="Normal"/>
    <w:rsid w:val="00664A02"/>
    <w:pPr>
      <w:tabs>
        <w:tab w:val="left" w:pos="1080"/>
      </w:tabs>
      <w:spacing w:after="0"/>
    </w:pPr>
    <w:rPr>
      <w:b/>
      <w:i/>
    </w:rPr>
  </w:style>
  <w:style w:type="paragraph" w:customStyle="1" w:styleId="0Heading0CharChar1Char">
    <w:name w:val="0 Heading 0 Char Char1 Char"/>
    <w:rsid w:val="00664A02"/>
    <w:rPr>
      <w:rFonts w:ascii="Times New Roman" w:hAnsi="Times New Roman"/>
      <w:color w:val="000000"/>
      <w:sz w:val="24"/>
      <w:lang w:val="en-GB" w:eastAsia="en-US"/>
    </w:rPr>
  </w:style>
  <w:style w:type="character" w:customStyle="1" w:styleId="0Heading0CharChar1CharChar">
    <w:name w:val="0 Heading 0 Char Char1 Char Char"/>
    <w:rsid w:val="00664A02"/>
    <w:rPr>
      <w:color w:val="000000"/>
      <w:sz w:val="24"/>
      <w:lang w:val="en-GB" w:eastAsia="en-US"/>
    </w:rPr>
  </w:style>
  <w:style w:type="paragraph" w:customStyle="1" w:styleId="Alt2-LevelLegal1">
    <w:name w:val="Alt 2-Level Legal1"/>
    <w:basedOn w:val="Normal"/>
    <w:next w:val="Normal"/>
    <w:rsid w:val="00664A02"/>
    <w:pPr>
      <w:numPr>
        <w:numId w:val="1"/>
      </w:numPr>
      <w:jc w:val="center"/>
      <w:outlineLvl w:val="0"/>
    </w:pPr>
    <w:rPr>
      <w:rFonts w:eastAsia="SimSun"/>
      <w:b/>
      <w:color w:val="auto"/>
      <w:szCs w:val="24"/>
    </w:rPr>
  </w:style>
  <w:style w:type="paragraph" w:customStyle="1" w:styleId="Alt2-LevelLegal2">
    <w:name w:val="Alt 2-Level Legal2"/>
    <w:basedOn w:val="Normal"/>
    <w:rsid w:val="00664A02"/>
    <w:pPr>
      <w:numPr>
        <w:ilvl w:val="1"/>
        <w:numId w:val="1"/>
      </w:numPr>
      <w:outlineLvl w:val="1"/>
    </w:pPr>
    <w:rPr>
      <w:rFonts w:eastAsia="SimSun"/>
      <w:b/>
      <w:bCs/>
      <w:szCs w:val="24"/>
    </w:rPr>
  </w:style>
  <w:style w:type="paragraph" w:customStyle="1" w:styleId="Alt2-LevelLegal3">
    <w:name w:val="Alt 2-Level Legal3"/>
    <w:basedOn w:val="Normal"/>
    <w:rsid w:val="00664A02"/>
    <w:pPr>
      <w:numPr>
        <w:ilvl w:val="2"/>
        <w:numId w:val="1"/>
      </w:numPr>
      <w:outlineLvl w:val="2"/>
    </w:pPr>
    <w:rPr>
      <w:rFonts w:eastAsia="SimSun"/>
      <w:b/>
      <w:szCs w:val="24"/>
    </w:rPr>
  </w:style>
  <w:style w:type="paragraph" w:customStyle="1" w:styleId="Alt2-LevelLegal4">
    <w:name w:val="Alt 2-Level Legal4"/>
    <w:basedOn w:val="Normal"/>
    <w:rsid w:val="00664A02"/>
    <w:pPr>
      <w:numPr>
        <w:ilvl w:val="3"/>
        <w:numId w:val="1"/>
      </w:numPr>
      <w:outlineLvl w:val="3"/>
    </w:pPr>
    <w:rPr>
      <w:rFonts w:eastAsia="SimSun"/>
      <w:szCs w:val="24"/>
    </w:rPr>
  </w:style>
  <w:style w:type="paragraph" w:customStyle="1" w:styleId="Alt2-LevelLegal5">
    <w:name w:val="Alt 2-Level Legal5"/>
    <w:basedOn w:val="Normal"/>
    <w:rsid w:val="00664A02"/>
    <w:pPr>
      <w:numPr>
        <w:ilvl w:val="4"/>
        <w:numId w:val="1"/>
      </w:numPr>
      <w:ind w:right="720"/>
      <w:jc w:val="both"/>
      <w:outlineLvl w:val="4"/>
    </w:pPr>
    <w:rPr>
      <w:rFonts w:eastAsia="SimSun"/>
      <w:szCs w:val="24"/>
    </w:rPr>
  </w:style>
  <w:style w:type="paragraph" w:customStyle="1" w:styleId="Alt2-LevelLegal6">
    <w:name w:val="Alt 2-Level Legal6"/>
    <w:basedOn w:val="Normal"/>
    <w:rsid w:val="00664A02"/>
    <w:pPr>
      <w:numPr>
        <w:ilvl w:val="5"/>
        <w:numId w:val="1"/>
      </w:numPr>
      <w:jc w:val="both"/>
      <w:outlineLvl w:val="5"/>
    </w:pPr>
    <w:rPr>
      <w:rFonts w:eastAsia="SimSun"/>
      <w:szCs w:val="24"/>
    </w:rPr>
  </w:style>
  <w:style w:type="paragraph" w:customStyle="1" w:styleId="Alt2-LevelLegal7">
    <w:name w:val="Alt 2-Level Legal7"/>
    <w:basedOn w:val="Normal"/>
    <w:rsid w:val="00664A02"/>
    <w:pPr>
      <w:numPr>
        <w:ilvl w:val="6"/>
        <w:numId w:val="1"/>
      </w:numPr>
      <w:ind w:left="1440"/>
      <w:outlineLvl w:val="6"/>
    </w:pPr>
    <w:rPr>
      <w:rFonts w:eastAsia="SimSun"/>
      <w:szCs w:val="24"/>
    </w:rPr>
  </w:style>
  <w:style w:type="character" w:styleId="Emphasis">
    <w:name w:val="Emphasis"/>
    <w:uiPriority w:val="20"/>
    <w:qFormat/>
    <w:rsid w:val="00664A02"/>
    <w:rPr>
      <w:rFonts w:cs="Times New Roman"/>
      <w:b/>
      <w:i/>
      <w:spacing w:val="10"/>
      <w:shd w:val="clear" w:color="auto" w:fill="auto"/>
    </w:rPr>
  </w:style>
  <w:style w:type="paragraph" w:customStyle="1" w:styleId="Sansinterligne1">
    <w:name w:val="Sans interligne1"/>
    <w:basedOn w:val="Normal"/>
    <w:locked/>
    <w:rsid w:val="00664A02"/>
    <w:pPr>
      <w:spacing w:after="0"/>
    </w:pPr>
    <w:rPr>
      <w:rFonts w:ascii="Arial" w:hAnsi="Arial" w:cs="Futura"/>
      <w:color w:val="auto"/>
      <w:szCs w:val="22"/>
      <w:lang w:eastAsia="en-US"/>
    </w:rPr>
  </w:style>
  <w:style w:type="paragraph" w:customStyle="1" w:styleId="Citation1">
    <w:name w:val="Citation1"/>
    <w:basedOn w:val="Normal"/>
    <w:next w:val="Normal"/>
    <w:link w:val="QuoteChar"/>
    <w:locked/>
    <w:rsid w:val="00664A02"/>
    <w:pPr>
      <w:spacing w:before="200" w:after="0"/>
      <w:ind w:left="360" w:right="360"/>
    </w:pPr>
    <w:rPr>
      <w:i/>
      <w:sz w:val="20"/>
    </w:rPr>
  </w:style>
  <w:style w:type="character" w:customStyle="1" w:styleId="QuoteChar">
    <w:name w:val="Quote Char"/>
    <w:link w:val="Citation1"/>
    <w:locked/>
    <w:rsid w:val="00521070"/>
    <w:rPr>
      <w:rFonts w:ascii="Times New Roman" w:hAnsi="Times New Roman"/>
      <w:i/>
      <w:color w:val="000000"/>
      <w:sz w:val="20"/>
      <w:lang w:val="en-GB" w:eastAsia="zh-CN"/>
    </w:rPr>
  </w:style>
  <w:style w:type="paragraph" w:customStyle="1" w:styleId="Citationintense1">
    <w:name w:val="Citation intense1"/>
    <w:basedOn w:val="Normal"/>
    <w:next w:val="Normal"/>
    <w:link w:val="IntenseQuoteChar"/>
    <w:locked/>
    <w:rsid w:val="00664A02"/>
    <w:pPr>
      <w:pBdr>
        <w:bottom w:val="single" w:sz="4" w:space="1" w:color="auto"/>
      </w:pBdr>
      <w:spacing w:before="200" w:after="280"/>
      <w:ind w:left="1008" w:right="1152"/>
      <w:jc w:val="both"/>
    </w:pPr>
    <w:rPr>
      <w:b/>
      <w:i/>
      <w:color w:val="4F81BD"/>
      <w:sz w:val="20"/>
    </w:rPr>
  </w:style>
  <w:style w:type="character" w:customStyle="1" w:styleId="IntenseQuoteChar">
    <w:name w:val="Intense Quote Char"/>
    <w:link w:val="Citationintense1"/>
    <w:locked/>
    <w:rsid w:val="00521070"/>
    <w:rPr>
      <w:rFonts w:ascii="Times New Roman" w:hAnsi="Times New Roman"/>
      <w:b/>
      <w:i/>
      <w:color w:val="4F81BD"/>
      <w:sz w:val="20"/>
      <w:lang w:val="en-GB" w:eastAsia="zh-CN"/>
    </w:rPr>
  </w:style>
  <w:style w:type="character" w:customStyle="1" w:styleId="Emphaseple1">
    <w:name w:val="Emphase pâle1"/>
    <w:locked/>
    <w:rsid w:val="00664A02"/>
    <w:rPr>
      <w:i/>
    </w:rPr>
  </w:style>
  <w:style w:type="character" w:customStyle="1" w:styleId="Emphaseintense1">
    <w:name w:val="Emphase intense1"/>
    <w:locked/>
    <w:rsid w:val="00664A02"/>
    <w:rPr>
      <w:b/>
    </w:rPr>
  </w:style>
  <w:style w:type="character" w:customStyle="1" w:styleId="Rfrenceple1">
    <w:name w:val="Référence pâle1"/>
    <w:locked/>
    <w:rsid w:val="00664A02"/>
    <w:rPr>
      <w:smallCaps/>
    </w:rPr>
  </w:style>
  <w:style w:type="character" w:customStyle="1" w:styleId="Rfrenceintense1">
    <w:name w:val="Référence intense1"/>
    <w:locked/>
    <w:rsid w:val="00664A02"/>
    <w:rPr>
      <w:smallCaps/>
      <w:spacing w:val="5"/>
      <w:u w:val="single"/>
    </w:rPr>
  </w:style>
  <w:style w:type="character" w:customStyle="1" w:styleId="Titredulivre1">
    <w:name w:val="Titre du livre1"/>
    <w:locked/>
    <w:rsid w:val="00664A02"/>
    <w:rPr>
      <w:i/>
      <w:smallCaps/>
      <w:spacing w:val="5"/>
    </w:rPr>
  </w:style>
  <w:style w:type="paragraph" w:customStyle="1" w:styleId="En-ttedetabledesmatires1">
    <w:name w:val="En-tête de table des matières1"/>
    <w:basedOn w:val="Heading1"/>
    <w:next w:val="Normal"/>
    <w:locked/>
    <w:rsid w:val="00664A02"/>
    <w:pPr>
      <w:keepLines/>
      <w:outlineLvl w:val="9"/>
    </w:pPr>
    <w:rPr>
      <w:rFonts w:ascii="Arial" w:hAnsi="Arial"/>
      <w:bCs/>
      <w:sz w:val="32"/>
      <w:szCs w:val="28"/>
      <w:lang w:eastAsia="en-US"/>
    </w:rPr>
  </w:style>
  <w:style w:type="character" w:customStyle="1" w:styleId="Para1">
    <w:name w:val="Para (1) (文字)"/>
    <w:aliases w:val="Heading 1 Char1 Char (文字),Heading 1 Char Char Char (文字),Para (1) Char Char Char (文字),Para (1) Char1 Char (文字),Heading 1 Char1 (文字),Heading 1 Char Char (文字),Para (1) Char Char (文字),Para (1) Char1 (文字),Heading 1 Char1 Char Char (文字)"/>
    <w:rsid w:val="00664A02"/>
    <w:rPr>
      <w:rFonts w:ascii="Arial" w:eastAsia="MS Mincho" w:hAnsi="Arial"/>
      <w:b/>
      <w:kern w:val="32"/>
      <w:sz w:val="32"/>
      <w:lang w:val="en-US" w:eastAsia="ja-JP"/>
    </w:rPr>
  </w:style>
  <w:style w:type="paragraph" w:customStyle="1" w:styleId="a0">
    <w:name w:val="吹き出し"/>
    <w:basedOn w:val="Normal"/>
    <w:semiHidden/>
    <w:rsid w:val="00664A02"/>
    <w:pPr>
      <w:spacing w:after="0"/>
    </w:pPr>
    <w:rPr>
      <w:rFonts w:ascii="Tahoma" w:eastAsia="MS Mincho" w:hAnsi="Tahoma" w:cs="Futura"/>
      <w:color w:val="auto"/>
      <w:sz w:val="16"/>
      <w:szCs w:val="16"/>
      <w:lang w:val="en-US" w:eastAsia="en-US"/>
    </w:rPr>
  </w:style>
  <w:style w:type="character" w:customStyle="1" w:styleId="SubParaa">
    <w:name w:val="SubPara (a) (文字) (文字)"/>
    <w:rsid w:val="00664A02"/>
    <w:rPr>
      <w:rFonts w:ascii="Arial" w:eastAsia="MS Mincho" w:hAnsi="Arial"/>
      <w:b/>
      <w:i/>
      <w:kern w:val="2"/>
      <w:sz w:val="28"/>
      <w:lang w:val="en-US" w:eastAsia="ja-JP"/>
    </w:rPr>
  </w:style>
  <w:style w:type="character" w:customStyle="1" w:styleId="1">
    <w:name w:val="(文字) (文字)1"/>
    <w:rsid w:val="00664A02"/>
    <w:rPr>
      <w:rFonts w:eastAsia="SimSun"/>
      <w:sz w:val="24"/>
      <w:lang w:val="en-US" w:eastAsia="zh-CN"/>
    </w:rPr>
  </w:style>
  <w:style w:type="paragraph" w:customStyle="1" w:styleId="a1">
    <w:name w:val="コメント内容"/>
    <w:basedOn w:val="CommentText"/>
    <w:next w:val="CommentText"/>
    <w:rsid w:val="00664A02"/>
    <w:pPr>
      <w:widowControl/>
      <w:spacing w:after="0"/>
    </w:pPr>
    <w:rPr>
      <w:rFonts w:eastAsia="MS Mincho"/>
      <w:b/>
      <w:bCs/>
      <w:lang w:val="en-US" w:eastAsia="en-US"/>
    </w:rPr>
  </w:style>
  <w:style w:type="character" w:customStyle="1" w:styleId="a2">
    <w:name w:val="(文字) (文字)"/>
    <w:rsid w:val="00664A02"/>
    <w:rPr>
      <w:rFonts w:eastAsia="SimSun"/>
      <w:b/>
      <w:sz w:val="24"/>
      <w:lang w:val="en-US" w:eastAsia="en-US"/>
    </w:rPr>
  </w:style>
  <w:style w:type="character" w:customStyle="1" w:styleId="CarCar19">
    <w:name w:val="Car Car19"/>
    <w:locked/>
    <w:rsid w:val="00664A02"/>
    <w:rPr>
      <w:rFonts w:eastAsia="MS Mincho"/>
      <w:color w:val="000000"/>
      <w:sz w:val="24"/>
      <w:lang w:val="en-GB" w:eastAsia="zh-CN"/>
    </w:rPr>
  </w:style>
  <w:style w:type="paragraph" w:customStyle="1" w:styleId="Decisionparagraphs">
    <w:name w:val="Decision paragraphs"/>
    <w:basedOn w:val="Normal"/>
    <w:autoRedefine/>
    <w:rsid w:val="00664A02"/>
    <w:pPr>
      <w:spacing w:after="0"/>
    </w:pPr>
    <w:rPr>
      <w:i/>
      <w:color w:val="auto"/>
      <w:lang w:eastAsia="en-US"/>
    </w:rPr>
  </w:style>
  <w:style w:type="paragraph" w:customStyle="1" w:styleId="Style3">
    <w:name w:val="Style3"/>
    <w:basedOn w:val="Heading1"/>
    <w:rsid w:val="004345CC"/>
    <w:pPr>
      <w:tabs>
        <w:tab w:val="left" w:pos="0"/>
        <w:tab w:val="num" w:pos="1492"/>
      </w:tabs>
      <w:spacing w:after="0"/>
    </w:pPr>
    <w:rPr>
      <w:rFonts w:ascii="Times New Roman Bold" w:hAnsi="Times New Roman Bold"/>
      <w:sz w:val="30"/>
      <w:szCs w:val="28"/>
    </w:rPr>
  </w:style>
  <w:style w:type="paragraph" w:customStyle="1" w:styleId="Style4">
    <w:name w:val="Style4"/>
    <w:basedOn w:val="Heading2"/>
    <w:rsid w:val="004345CC"/>
    <w:pPr>
      <w:spacing w:before="0" w:after="0"/>
    </w:pPr>
    <w:rPr>
      <w:rFonts w:ascii="Times New Roman Bold" w:hAnsi="Times New Roman Bold"/>
    </w:rPr>
  </w:style>
  <w:style w:type="paragraph" w:customStyle="1" w:styleId="Style5">
    <w:name w:val="Style5"/>
    <w:basedOn w:val="Heading311ptBold"/>
    <w:autoRedefine/>
    <w:rsid w:val="004345CC"/>
    <w:pPr>
      <w:tabs>
        <w:tab w:val="clear" w:pos="1800"/>
        <w:tab w:val="center" w:pos="1440"/>
      </w:tabs>
      <w:spacing w:before="0" w:after="0"/>
    </w:pPr>
    <w:rPr>
      <w:b/>
    </w:rPr>
  </w:style>
  <w:style w:type="paragraph" w:customStyle="1" w:styleId="Style6">
    <w:name w:val="Style6"/>
    <w:basedOn w:val="Heading311ptBold"/>
    <w:next w:val="Style5"/>
    <w:rsid w:val="004345CC"/>
    <w:pPr>
      <w:tabs>
        <w:tab w:val="clear" w:pos="1800"/>
        <w:tab w:val="center" w:pos="1440"/>
      </w:tabs>
      <w:spacing w:before="0" w:after="0"/>
    </w:pPr>
    <w:rPr>
      <w:b/>
    </w:rPr>
  </w:style>
  <w:style w:type="paragraph" w:customStyle="1" w:styleId="Style7">
    <w:name w:val="Style7"/>
    <w:basedOn w:val="Heading311ptBold"/>
    <w:rsid w:val="004345CC"/>
    <w:pPr>
      <w:tabs>
        <w:tab w:val="clear" w:pos="1800"/>
        <w:tab w:val="center" w:pos="1440"/>
      </w:tabs>
      <w:spacing w:before="0" w:after="0"/>
      <w:ind w:left="720" w:hanging="720"/>
    </w:pPr>
    <w:rPr>
      <w:b/>
    </w:rPr>
  </w:style>
  <w:style w:type="paragraph" w:customStyle="1" w:styleId="StyleHeading2SubParaaHeading2Char1CharSubParaaChar1">
    <w:name w:val="Style Heading 2SubPara (a)Heading 2 Char1 CharSubPara (a) Char1 ..."/>
    <w:basedOn w:val="Heading2"/>
    <w:autoRedefine/>
    <w:rsid w:val="004345CC"/>
    <w:pPr>
      <w:spacing w:before="0" w:after="0"/>
    </w:pPr>
    <w:rPr>
      <w:rFonts w:ascii="Times New Roman Bold" w:hAnsi="Times New Roman Bold"/>
      <w:bCs/>
    </w:rPr>
  </w:style>
  <w:style w:type="paragraph" w:customStyle="1" w:styleId="StyleStyleHeading2SubParaaHeading2Char1CharSubParaaCha">
    <w:name w:val="Style Style Heading 2SubPara (a)Heading 2 Char1 CharSubPara (a) Cha..."/>
    <w:basedOn w:val="StyleHeading2SubParaaHeading2Char1CharSubParaaChar1"/>
    <w:rsid w:val="004345CC"/>
  </w:style>
  <w:style w:type="paragraph" w:customStyle="1" w:styleId="StyleHeading4Left0Firstline0">
    <w:name w:val="Style Heading 4 + Left:  0&quot; First line:  0&quot;"/>
    <w:basedOn w:val="Heading4"/>
    <w:autoRedefine/>
    <w:rsid w:val="004345CC"/>
    <w:pPr>
      <w:numPr>
        <w:ilvl w:val="0"/>
      </w:numPr>
      <w:tabs>
        <w:tab w:val="num" w:pos="643"/>
      </w:tabs>
      <w:spacing w:before="0" w:after="0"/>
      <w:ind w:left="720" w:hanging="720"/>
    </w:pPr>
    <w:rPr>
      <w:rFonts w:ascii="Times New Roman Bold" w:hAnsi="Times New Roman Bold"/>
      <w:bCs/>
    </w:rPr>
  </w:style>
  <w:style w:type="paragraph" w:styleId="ListBullet2">
    <w:name w:val="List Bullet 2"/>
    <w:basedOn w:val="Normal"/>
    <w:rsid w:val="00664A02"/>
    <w:pPr>
      <w:tabs>
        <w:tab w:val="num" w:pos="643"/>
      </w:tabs>
      <w:spacing w:after="0"/>
      <w:ind w:left="643" w:hanging="360"/>
    </w:pPr>
    <w:rPr>
      <w:color w:val="auto"/>
      <w:szCs w:val="24"/>
      <w:lang w:eastAsia="en-GB"/>
    </w:rPr>
  </w:style>
  <w:style w:type="paragraph" w:styleId="ListBullet3">
    <w:name w:val="List Bullet 3"/>
    <w:basedOn w:val="Normal"/>
    <w:rsid w:val="00664A02"/>
    <w:pPr>
      <w:tabs>
        <w:tab w:val="num" w:pos="926"/>
      </w:tabs>
      <w:spacing w:after="0"/>
      <w:ind w:left="926" w:hanging="360"/>
    </w:pPr>
    <w:rPr>
      <w:color w:val="auto"/>
      <w:szCs w:val="24"/>
      <w:lang w:eastAsia="en-GB"/>
    </w:rPr>
  </w:style>
  <w:style w:type="paragraph" w:styleId="ListBullet4">
    <w:name w:val="List Bullet 4"/>
    <w:basedOn w:val="Normal"/>
    <w:rsid w:val="00664A02"/>
    <w:pPr>
      <w:tabs>
        <w:tab w:val="num" w:pos="1209"/>
      </w:tabs>
      <w:spacing w:after="0"/>
      <w:ind w:left="1209" w:hanging="360"/>
    </w:pPr>
    <w:rPr>
      <w:color w:val="auto"/>
      <w:szCs w:val="24"/>
      <w:lang w:eastAsia="en-GB"/>
    </w:rPr>
  </w:style>
  <w:style w:type="paragraph" w:customStyle="1" w:styleId="ECMSHeading1">
    <w:name w:val="ECMS Heading 1"/>
    <w:basedOn w:val="Heading1"/>
    <w:rsid w:val="00664A02"/>
    <w:pPr>
      <w:spacing w:after="1080"/>
    </w:pPr>
    <w:rPr>
      <w:rFonts w:ascii="Garamond" w:hAnsi="Garamond" w:cs="Arial"/>
      <w:bCs/>
      <w:sz w:val="48"/>
      <w:szCs w:val="18"/>
      <w:lang w:eastAsia="en-GB"/>
    </w:rPr>
  </w:style>
  <w:style w:type="paragraph" w:customStyle="1" w:styleId="ECMStableheader">
    <w:name w:val="ECMS table header"/>
    <w:basedOn w:val="Normal"/>
    <w:rsid w:val="00664A02"/>
    <w:pPr>
      <w:spacing w:after="0"/>
      <w:ind w:left="1320" w:hanging="1320"/>
    </w:pPr>
    <w:rPr>
      <w:b/>
      <w:color w:val="auto"/>
      <w:szCs w:val="24"/>
      <w:lang w:eastAsia="en-GB"/>
    </w:rPr>
  </w:style>
  <w:style w:type="paragraph" w:customStyle="1" w:styleId="Paralevel3">
    <w:name w:val="Para level3"/>
    <w:basedOn w:val="Normal"/>
    <w:autoRedefine/>
    <w:rsid w:val="003531E6"/>
    <w:pPr>
      <w:tabs>
        <w:tab w:val="num" w:pos="1492"/>
      </w:tabs>
      <w:suppressAutoHyphens/>
      <w:spacing w:after="120"/>
      <w:ind w:left="1492" w:hanging="360"/>
    </w:pPr>
    <w:rPr>
      <w:color w:val="auto"/>
      <w:sz w:val="20"/>
      <w:lang w:eastAsia="en-US"/>
    </w:rPr>
  </w:style>
  <w:style w:type="character" w:customStyle="1" w:styleId="ANNEXESChar">
    <w:name w:val="ANNEXES Char"/>
    <w:rsid w:val="00664A02"/>
    <w:rPr>
      <w:b/>
      <w:color w:val="000000"/>
      <w:sz w:val="28"/>
      <w:lang w:val="en-GB" w:eastAsia="zh-CN"/>
    </w:rPr>
  </w:style>
  <w:style w:type="paragraph" w:customStyle="1" w:styleId="ExecSumHeading">
    <w:name w:val="Exec Sum Heading"/>
    <w:basedOn w:val="Heading1"/>
    <w:rsid w:val="003531E6"/>
    <w:pPr>
      <w:widowControl w:val="0"/>
      <w:spacing w:before="240"/>
    </w:pPr>
    <w:rPr>
      <w:rFonts w:ascii="Times New Roman Bold" w:eastAsia="MS Mincho" w:hAnsi="Times New Roman Bold" w:cs="Arial"/>
      <w:bCs/>
      <w:kern w:val="32"/>
      <w:sz w:val="30"/>
      <w:szCs w:val="32"/>
      <w:lang w:eastAsia="en-US"/>
    </w:rPr>
  </w:style>
  <w:style w:type="paragraph" w:customStyle="1" w:styleId="BodyTextLeft">
    <w:name w:val="Body Text Left"/>
    <w:basedOn w:val="Normal"/>
    <w:rsid w:val="00664A02"/>
    <w:pPr>
      <w:widowControl w:val="0"/>
    </w:pPr>
    <w:rPr>
      <w:rFonts w:eastAsia="MS Mincho"/>
      <w:color w:val="auto"/>
      <w:kern w:val="2"/>
      <w:sz w:val="24"/>
      <w:lang w:eastAsia="en-US"/>
    </w:rPr>
  </w:style>
  <w:style w:type="paragraph" w:customStyle="1" w:styleId="summarylevel3">
    <w:name w:val="summary level3"/>
    <w:basedOn w:val="Heading3"/>
    <w:next w:val="Normal"/>
    <w:rsid w:val="004345CC"/>
    <w:pPr>
      <w:keepLines w:val="0"/>
      <w:suppressLineNumbers/>
      <w:tabs>
        <w:tab w:val="clear" w:pos="643"/>
      </w:tabs>
      <w:spacing w:before="100" w:after="120"/>
      <w:ind w:left="0" w:firstLine="0"/>
    </w:pPr>
    <w:rPr>
      <w:rFonts w:ascii="Times New Roman Bold" w:hAnsi="Times New Roman Bold"/>
      <w:lang w:eastAsia="en-US"/>
    </w:rPr>
  </w:style>
  <w:style w:type="character" w:customStyle="1" w:styleId="text">
    <w:name w:val="text"/>
    <w:rsid w:val="00664A02"/>
  </w:style>
  <w:style w:type="paragraph" w:customStyle="1" w:styleId="StyleHeading1Para1Heading1Char1CharHeading1CharCharC">
    <w:name w:val="Style Heading 1Para (1)Heading 1 Char1 CharHeading 1 Char Char C..."/>
    <w:basedOn w:val="Heading1"/>
    <w:rsid w:val="003531E6"/>
    <w:pPr>
      <w:spacing w:before="240" w:after="60"/>
    </w:pPr>
    <w:rPr>
      <w:rFonts w:ascii="Times New Roman Bold" w:hAnsi="Times New Roman Bold" w:cs="Arial"/>
      <w:bCs/>
      <w:kern w:val="32"/>
      <w:sz w:val="30"/>
      <w:szCs w:val="32"/>
      <w:lang w:val="en-US" w:eastAsia="en-US"/>
    </w:rPr>
  </w:style>
  <w:style w:type="character" w:customStyle="1" w:styleId="StyleHeading1Para1Heading1Char1CharHeading1CharCharCChar">
    <w:name w:val="Style Heading 1Para (1)Heading 1 Char1 CharHeading 1 Char Char C... Char"/>
    <w:rsid w:val="00664A02"/>
    <w:rPr>
      <w:b/>
      <w:color w:val="000000"/>
      <w:kern w:val="32"/>
      <w:sz w:val="32"/>
      <w:lang w:val="en-US" w:eastAsia="en-US"/>
    </w:rPr>
  </w:style>
  <w:style w:type="paragraph" w:customStyle="1" w:styleId="StyleBodyTextLeftAfter0pt">
    <w:name w:val="Style Body Text Left + After:  0 pt"/>
    <w:basedOn w:val="BodyTextLeft"/>
    <w:rsid w:val="00664A02"/>
  </w:style>
  <w:style w:type="paragraph" w:customStyle="1" w:styleId="StyleBodyTextIndent2Firstline0cm">
    <w:name w:val="Style Body Text Indent 2 + First line:  0 cm"/>
    <w:basedOn w:val="BodyTextIndent2"/>
    <w:rsid w:val="00664A02"/>
    <w:pPr>
      <w:spacing w:after="240"/>
      <w:ind w:firstLine="0"/>
    </w:pPr>
  </w:style>
  <w:style w:type="paragraph" w:customStyle="1" w:styleId="StyleBodyTextIndent2Firstline0cm1">
    <w:name w:val="Style Body Text Indent 2 + First line:  0 cm1"/>
    <w:basedOn w:val="BodyTextIndent2"/>
    <w:rsid w:val="00664A02"/>
    <w:pPr>
      <w:spacing w:after="240"/>
      <w:ind w:firstLine="0"/>
    </w:pPr>
  </w:style>
  <w:style w:type="paragraph" w:customStyle="1" w:styleId="NormalBold">
    <w:name w:val="Normal + Bold"/>
    <w:aliases w:val="Italic,Centered"/>
    <w:basedOn w:val="Execlevel3"/>
    <w:rsid w:val="00664A02"/>
    <w:pPr>
      <w:spacing w:after="240"/>
      <w:jc w:val="center"/>
    </w:pPr>
  </w:style>
  <w:style w:type="paragraph" w:styleId="List5">
    <w:name w:val="List 5"/>
    <w:basedOn w:val="Normal"/>
    <w:rsid w:val="00664A02"/>
    <w:pPr>
      <w:tabs>
        <w:tab w:val="left" w:pos="4680"/>
        <w:tab w:val="right" w:pos="9360"/>
      </w:tabs>
      <w:spacing w:before="220" w:after="0" w:line="220" w:lineRule="exact"/>
      <w:ind w:left="1800" w:hanging="360"/>
      <w:jc w:val="both"/>
    </w:pPr>
    <w:rPr>
      <w:rFonts w:ascii="Arial" w:hAnsi="Arial"/>
      <w:color w:val="auto"/>
      <w:lang w:val="en-US"/>
    </w:rPr>
  </w:style>
  <w:style w:type="paragraph" w:customStyle="1" w:styleId="enclosures">
    <w:name w:val="enclosures"/>
    <w:basedOn w:val="Normal"/>
    <w:next w:val="Normal"/>
    <w:rsid w:val="00664A02"/>
    <w:pPr>
      <w:tabs>
        <w:tab w:val="right" w:pos="340"/>
        <w:tab w:val="left" w:pos="454"/>
        <w:tab w:val="right" w:pos="9360"/>
      </w:tabs>
      <w:spacing w:before="240" w:after="0"/>
    </w:pPr>
    <w:rPr>
      <w:rFonts w:ascii="Helvetica" w:hAnsi="Helvetica"/>
      <w:color w:val="auto"/>
      <w:lang w:val="en-US"/>
    </w:rPr>
  </w:style>
  <w:style w:type="character" w:customStyle="1" w:styleId="CommentTextChar1">
    <w:name w:val="Comment Text Char1"/>
    <w:rsid w:val="00564876"/>
    <w:rPr>
      <w:sz w:val="24"/>
      <w:lang w:val="en-US" w:eastAsia="ja-JP"/>
    </w:rPr>
  </w:style>
  <w:style w:type="character" w:customStyle="1" w:styleId="Heading1Char3">
    <w:name w:val="Heading 1 Char3"/>
    <w:aliases w:val="Para (1) Char2,Heading 1 Char1 Char Char2,Heading 1 Char Char Char Char1,Para (1) Char Char Char Char1,Para (1) Char1 Char Char1,Heading 1 Char1 Char2,Heading 1 Char Char Char2,Para (1) Char Char Char2,Para (1) Char1 Char2"/>
    <w:rsid w:val="00564876"/>
    <w:rPr>
      <w:b/>
      <w:color w:val="000000"/>
      <w:sz w:val="28"/>
      <w:lang w:val="en-GB" w:eastAsia="en-US"/>
    </w:rPr>
  </w:style>
  <w:style w:type="character" w:customStyle="1" w:styleId="Heading3Char1">
    <w:name w:val="Heading 3 Char1"/>
    <w:aliases w:val="Heading 3 Char1 Char Char1,Heading 3 Char Char Char Char1,Char Char Char Char Char1,Char Char1 Char Char1"/>
    <w:rsid w:val="00564876"/>
    <w:rPr>
      <w:b/>
      <w:i/>
      <w:color w:val="000000"/>
      <w:sz w:val="24"/>
      <w:lang w:val="en-GB" w:eastAsia="en-US"/>
    </w:rPr>
  </w:style>
  <w:style w:type="character" w:customStyle="1" w:styleId="Heading4Char1">
    <w:name w:val="Heading 4 Char1"/>
    <w:rsid w:val="00220275"/>
    <w:rPr>
      <w:rFonts w:eastAsia="MS Mincho"/>
      <w:sz w:val="24"/>
    </w:rPr>
  </w:style>
  <w:style w:type="character" w:customStyle="1" w:styleId="Heading311ptBoldChar">
    <w:name w:val="Heading 3 + 11 pt Bold Char"/>
    <w:rsid w:val="002979B2"/>
    <w:rPr>
      <w:color w:val="000000"/>
      <w:lang w:val="en-GB" w:eastAsia="en-US"/>
    </w:rPr>
  </w:style>
  <w:style w:type="paragraph" w:customStyle="1" w:styleId="BodyText11">
    <w:name w:val="Body Text11"/>
    <w:basedOn w:val="Normal"/>
    <w:rsid w:val="00564876"/>
    <w:pPr>
      <w:spacing w:after="0"/>
    </w:pPr>
  </w:style>
  <w:style w:type="character" w:customStyle="1" w:styleId="A20">
    <w:name w:val="A2"/>
    <w:rsid w:val="00564876"/>
    <w:rPr>
      <w:b/>
      <w:color w:val="000000"/>
      <w:sz w:val="12"/>
    </w:rPr>
  </w:style>
  <w:style w:type="character" w:customStyle="1" w:styleId="StyleHeading4Left0Firstline0Char">
    <w:name w:val="Style Heading 4 + Left:  0&quot; First line:  0&quot; Char"/>
    <w:rsid w:val="00564876"/>
    <w:rPr>
      <w:b/>
      <w:i/>
      <w:snapToGrid/>
      <w:color w:val="000000"/>
      <w:sz w:val="24"/>
      <w:lang w:val="en-GB" w:eastAsia="zh-CN"/>
    </w:rPr>
  </w:style>
  <w:style w:type="character" w:customStyle="1" w:styleId="ECMStableheaderChar">
    <w:name w:val="ECMS table header Char"/>
    <w:rsid w:val="00564876"/>
    <w:rPr>
      <w:b/>
      <w:sz w:val="24"/>
      <w:lang w:val="en-GB" w:eastAsia="en-GB"/>
    </w:rPr>
  </w:style>
  <w:style w:type="character" w:customStyle="1" w:styleId="maintext1">
    <w:name w:val="maintext1"/>
    <w:rsid w:val="00564876"/>
    <w:rPr>
      <w:rFonts w:ascii="Verdana" w:hAnsi="Verdana"/>
      <w:sz w:val="20"/>
    </w:rPr>
  </w:style>
  <w:style w:type="character" w:customStyle="1" w:styleId="CharChar4">
    <w:name w:val="Char Char4"/>
    <w:locked/>
    <w:rsid w:val="00564876"/>
    <w:rPr>
      <w:sz w:val="24"/>
      <w:lang w:val="en-US" w:eastAsia="en-AU"/>
    </w:rPr>
  </w:style>
  <w:style w:type="character" w:customStyle="1" w:styleId="apple-style-span">
    <w:name w:val="apple-style-span"/>
    <w:rsid w:val="00564876"/>
  </w:style>
  <w:style w:type="character" w:customStyle="1" w:styleId="CharChar5">
    <w:name w:val="Char Char5"/>
    <w:locked/>
    <w:rsid w:val="00564876"/>
    <w:rPr>
      <w:rFonts w:ascii="Tahoma" w:hAnsi="Tahoma"/>
      <w:sz w:val="16"/>
      <w:lang w:val="en-US" w:eastAsia="en-US"/>
    </w:rPr>
  </w:style>
  <w:style w:type="character" w:customStyle="1" w:styleId="apple-converted-space">
    <w:name w:val="apple-converted-space"/>
    <w:rsid w:val="00564876"/>
  </w:style>
  <w:style w:type="character" w:customStyle="1" w:styleId="txtboldonly">
    <w:name w:val="txtboldonly"/>
    <w:rsid w:val="00564876"/>
  </w:style>
  <w:style w:type="paragraph" w:customStyle="1" w:styleId="Paraindent">
    <w:name w:val="Para indent"/>
    <w:basedOn w:val="Normal"/>
    <w:rsid w:val="00564876"/>
    <w:pPr>
      <w:widowControl w:val="0"/>
      <w:spacing w:after="200" w:line="276" w:lineRule="auto"/>
      <w:ind w:left="425"/>
      <w:jc w:val="both"/>
    </w:pPr>
    <w:rPr>
      <w:rFonts w:ascii="Calibri" w:hAnsi="Calibri"/>
      <w:color w:val="auto"/>
      <w:szCs w:val="22"/>
      <w:lang w:eastAsia="en-US"/>
    </w:rPr>
  </w:style>
  <w:style w:type="paragraph" w:customStyle="1" w:styleId="Tableandfigureheaders">
    <w:name w:val="Table and figure headers"/>
    <w:basedOn w:val="Caption"/>
    <w:rsid w:val="00564876"/>
    <w:pPr>
      <w:keepNext/>
      <w:spacing w:after="200" w:line="240" w:lineRule="auto"/>
      <w:ind w:left="1417" w:hanging="992"/>
      <w:jc w:val="both"/>
    </w:pPr>
    <w:rPr>
      <w:rFonts w:ascii="Calibri" w:hAnsi="Calibri"/>
      <w:b/>
      <w:bCs/>
      <w:i w:val="0"/>
      <w:color w:val="auto"/>
      <w:sz w:val="20"/>
      <w:lang w:eastAsia="en-US"/>
    </w:rPr>
  </w:style>
  <w:style w:type="paragraph" w:customStyle="1" w:styleId="Tableandfigfooter">
    <w:name w:val="Table and fig footer"/>
    <w:basedOn w:val="Paraindent"/>
    <w:rsid w:val="00564876"/>
    <w:pPr>
      <w:spacing w:after="0" w:line="240" w:lineRule="auto"/>
    </w:pPr>
    <w:rPr>
      <w:noProof/>
      <w:sz w:val="18"/>
      <w:lang w:eastAsia="en-GB"/>
    </w:rPr>
  </w:style>
  <w:style w:type="paragraph" w:customStyle="1" w:styleId="paraindentFootnoteQPS">
    <w:name w:val="para indent Footnote QPS"/>
    <w:basedOn w:val="FootnoteText"/>
    <w:rsid w:val="006D1828"/>
    <w:pPr>
      <w:widowControl/>
      <w:spacing w:after="0"/>
      <w:ind w:left="426" w:hanging="284"/>
    </w:pPr>
    <w:rPr>
      <w:rFonts w:ascii="Calibri" w:hAnsi="Calibri"/>
      <w:sz w:val="16"/>
      <w:szCs w:val="18"/>
      <w:lang w:val="en-NZ" w:eastAsia="en-US"/>
    </w:rPr>
  </w:style>
  <w:style w:type="paragraph" w:customStyle="1" w:styleId="Paragraphedeliste1">
    <w:name w:val="Paragraphe de liste1"/>
    <w:basedOn w:val="Normal"/>
    <w:rsid w:val="00FC1EA5"/>
    <w:pPr>
      <w:ind w:left="720"/>
      <w:contextualSpacing/>
    </w:pPr>
  </w:style>
  <w:style w:type="paragraph" w:customStyle="1" w:styleId="yiv587168716msonormal">
    <w:name w:val="yiv587168716msonormal"/>
    <w:basedOn w:val="Normal"/>
    <w:rsid w:val="00E76436"/>
    <w:pPr>
      <w:spacing w:before="100" w:beforeAutospacing="1" w:after="100" w:afterAutospacing="1"/>
    </w:pPr>
    <w:rPr>
      <w:color w:val="auto"/>
      <w:sz w:val="24"/>
      <w:szCs w:val="24"/>
      <w:lang w:val="en-AU" w:eastAsia="en-AU"/>
    </w:rPr>
  </w:style>
  <w:style w:type="paragraph" w:customStyle="1" w:styleId="Paragraphedeliste11">
    <w:name w:val="Paragraphe de liste11"/>
    <w:basedOn w:val="Normal"/>
    <w:rsid w:val="00E76436"/>
    <w:pPr>
      <w:ind w:left="720"/>
      <w:contextualSpacing/>
    </w:pPr>
  </w:style>
  <w:style w:type="character" w:customStyle="1" w:styleId="st1">
    <w:name w:val="st1"/>
    <w:rsid w:val="00540C18"/>
  </w:style>
  <w:style w:type="table" w:styleId="TableGrid">
    <w:name w:val="Table Grid"/>
    <w:basedOn w:val="TableNormal"/>
    <w:uiPriority w:val="59"/>
    <w:locked/>
    <w:rsid w:val="004953FF"/>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8">
    <w:name w:val="Char Char8"/>
    <w:locked/>
    <w:rsid w:val="00983E86"/>
    <w:rPr>
      <w:rFonts w:ascii="Times New Roman" w:hAnsi="Times New Roman"/>
      <w:sz w:val="24"/>
      <w:lang w:eastAsia="ja-JP"/>
    </w:rPr>
  </w:style>
  <w:style w:type="character" w:customStyle="1" w:styleId="CharChar10">
    <w:name w:val="Char Char10"/>
    <w:semiHidden/>
    <w:locked/>
    <w:rsid w:val="008F3812"/>
    <w:rPr>
      <w:rFonts w:ascii="Times New Roman" w:hAnsi="Times New Roman"/>
      <w:color w:val="000000"/>
      <w:sz w:val="20"/>
      <w:lang w:val="en-GB" w:eastAsia="zh-CN"/>
    </w:rPr>
  </w:style>
  <w:style w:type="character" w:styleId="HTMLCite">
    <w:name w:val="HTML Cite"/>
    <w:uiPriority w:val="99"/>
    <w:semiHidden/>
    <w:locked/>
    <w:rsid w:val="00FD0EA4"/>
    <w:rPr>
      <w:rFonts w:cs="Times New Roman"/>
      <w:i/>
      <w:iCs/>
    </w:rPr>
  </w:style>
  <w:style w:type="character" w:customStyle="1" w:styleId="st">
    <w:name w:val="st"/>
    <w:rsid w:val="00227F2E"/>
  </w:style>
  <w:style w:type="paragraph" w:customStyle="1" w:styleId="TitleofManuscript">
    <w:name w:val="Title of Manuscript"/>
    <w:basedOn w:val="Normal"/>
    <w:rsid w:val="00227F2E"/>
    <w:pPr>
      <w:spacing w:after="0"/>
    </w:pPr>
    <w:rPr>
      <w:b/>
      <w:bCs/>
      <w:spacing w:val="-4"/>
      <w:sz w:val="32"/>
      <w:szCs w:val="32"/>
      <w:lang w:val="en-CA" w:eastAsia="en-CA"/>
    </w:rPr>
  </w:style>
  <w:style w:type="character" w:customStyle="1" w:styleId="author2">
    <w:name w:val="author2"/>
    <w:rsid w:val="009E3FBA"/>
    <w:rPr>
      <w:rFonts w:cs="Times New Roman"/>
    </w:rPr>
  </w:style>
  <w:style w:type="character" w:customStyle="1" w:styleId="al-hide">
    <w:name w:val="al-hide"/>
    <w:rsid w:val="009E3FBA"/>
    <w:rPr>
      <w:rFonts w:cs="Times New Roman"/>
    </w:rPr>
  </w:style>
  <w:style w:type="character" w:customStyle="1" w:styleId="al-vis">
    <w:name w:val="al-vis"/>
    <w:rsid w:val="009E3FBA"/>
    <w:rPr>
      <w:rFonts w:cs="Times New Roman"/>
    </w:rPr>
  </w:style>
  <w:style w:type="character" w:customStyle="1" w:styleId="container2">
    <w:name w:val="container2"/>
    <w:rsid w:val="009E3FBA"/>
    <w:rPr>
      <w:rFonts w:cs="Times New Roman"/>
    </w:rPr>
  </w:style>
  <w:style w:type="character" w:customStyle="1" w:styleId="year">
    <w:name w:val="year"/>
    <w:rsid w:val="009E3FBA"/>
    <w:rPr>
      <w:rFonts w:cs="Times New Roman"/>
    </w:rPr>
  </w:style>
  <w:style w:type="paragraph" w:customStyle="1" w:styleId="TOCHeading1">
    <w:name w:val="TOC Heading1"/>
    <w:basedOn w:val="Heading1"/>
    <w:next w:val="Normal"/>
    <w:qFormat/>
    <w:rsid w:val="00EB7F94"/>
    <w:pPr>
      <w:keepLines/>
      <w:spacing w:before="480" w:after="0" w:line="276" w:lineRule="auto"/>
      <w:outlineLvl w:val="9"/>
    </w:pPr>
    <w:rPr>
      <w:rFonts w:ascii="Cambria" w:hAnsi="Cambria"/>
      <w:bCs/>
      <w:color w:val="365F91"/>
      <w:sz w:val="28"/>
      <w:szCs w:val="28"/>
      <w:lang w:val="fr-FR" w:eastAsia="en-US"/>
    </w:rPr>
  </w:style>
  <w:style w:type="character" w:customStyle="1" w:styleId="CharChar21">
    <w:name w:val="Char Char21"/>
    <w:locked/>
    <w:rsid w:val="009D2B4C"/>
    <w:rPr>
      <w:b/>
      <w:color w:val="000000"/>
      <w:sz w:val="28"/>
      <w:lang w:val="en-GB" w:eastAsia="zh-CN"/>
    </w:rPr>
  </w:style>
  <w:style w:type="character" w:customStyle="1" w:styleId="CharChar11">
    <w:name w:val="Char Char11"/>
    <w:rsid w:val="009D2B4C"/>
    <w:rPr>
      <w:rFonts w:ascii="Arial" w:hAnsi="Arial"/>
      <w:lang w:val="en-GB" w:eastAsia="zh-CN"/>
    </w:rPr>
  </w:style>
  <w:style w:type="paragraph" w:customStyle="1" w:styleId="BodyText20">
    <w:name w:val="Body Text2"/>
    <w:basedOn w:val="Normal"/>
    <w:rsid w:val="009D2B4C"/>
    <w:rPr>
      <w:lang w:eastAsia="en-US"/>
    </w:rPr>
  </w:style>
  <w:style w:type="paragraph" w:customStyle="1" w:styleId="ColorfulList-Accent12">
    <w:name w:val="Colorful List - Accent 12"/>
    <w:basedOn w:val="Normal"/>
    <w:rsid w:val="009D2B4C"/>
    <w:pPr>
      <w:spacing w:after="0"/>
    </w:pPr>
    <w:rPr>
      <w:rFonts w:ascii="Cambria" w:hAnsi="Cambria"/>
      <w:color w:val="auto"/>
      <w:sz w:val="24"/>
      <w:lang w:val="en-US"/>
    </w:rPr>
  </w:style>
  <w:style w:type="paragraph" w:customStyle="1" w:styleId="MediumList2-Accent21">
    <w:name w:val="Medium List 2 - Accent 21"/>
    <w:hidden/>
    <w:semiHidden/>
    <w:rsid w:val="009D2B4C"/>
    <w:rPr>
      <w:rFonts w:ascii="Times New Roman" w:eastAsia="MS Mincho" w:hAnsi="Times New Roman"/>
      <w:sz w:val="24"/>
      <w:szCs w:val="24"/>
      <w:lang w:val="en-US" w:eastAsia="en-US"/>
    </w:rPr>
  </w:style>
  <w:style w:type="paragraph" w:customStyle="1" w:styleId="Bibliography1">
    <w:name w:val="Bibliography1"/>
    <w:basedOn w:val="Normal"/>
    <w:next w:val="Normal"/>
    <w:rsid w:val="009D2B4C"/>
    <w:pPr>
      <w:spacing w:before="120" w:after="120"/>
      <w:ind w:left="1134"/>
      <w:jc w:val="both"/>
    </w:pPr>
    <w:rPr>
      <w:rFonts w:ascii="Calibri" w:eastAsia="SimSun" w:hAnsi="Calibri"/>
      <w:color w:val="auto"/>
      <w:szCs w:val="22"/>
    </w:rPr>
  </w:style>
  <w:style w:type="paragraph" w:customStyle="1" w:styleId="NoteLevel21">
    <w:name w:val="Note Level 21"/>
    <w:basedOn w:val="Normal"/>
    <w:locked/>
    <w:rsid w:val="009D2B4C"/>
    <w:pPr>
      <w:spacing w:after="0"/>
    </w:pPr>
    <w:rPr>
      <w:rFonts w:ascii="Arial" w:hAnsi="Arial" w:cs="Galliard"/>
      <w:color w:val="auto"/>
      <w:szCs w:val="22"/>
      <w:lang w:eastAsia="en-US"/>
    </w:rPr>
  </w:style>
  <w:style w:type="paragraph" w:customStyle="1" w:styleId="MediumGrid2-Accent21">
    <w:name w:val="Medium Grid 2 - Accent 21"/>
    <w:basedOn w:val="Normal"/>
    <w:next w:val="Normal"/>
    <w:link w:val="Grillemoyenne2-Accent2Car"/>
    <w:qFormat/>
    <w:locked/>
    <w:rsid w:val="009D2B4C"/>
    <w:pPr>
      <w:spacing w:before="200" w:after="0"/>
      <w:ind w:left="360" w:right="360"/>
    </w:pPr>
    <w:rPr>
      <w:i/>
      <w:iCs/>
      <w:sz w:val="20"/>
    </w:rPr>
  </w:style>
  <w:style w:type="character" w:customStyle="1" w:styleId="Grillemoyenne2-Accent2Car">
    <w:name w:val="Grille moyenne 2 - Accent 2 Car"/>
    <w:link w:val="MediumGrid2-Accent21"/>
    <w:locked/>
    <w:rsid w:val="000D114C"/>
    <w:rPr>
      <w:rFonts w:ascii="Times New Roman" w:hAnsi="Times New Roman" w:cs="Times New Roman"/>
      <w:i/>
      <w:iCs/>
      <w:color w:val="000000"/>
      <w:sz w:val="20"/>
      <w:szCs w:val="20"/>
      <w:lang w:val="en-GB" w:eastAsia="zh-CN"/>
    </w:rPr>
  </w:style>
  <w:style w:type="paragraph" w:customStyle="1" w:styleId="MediumGrid3-Accent21">
    <w:name w:val="Medium Grid 3 - Accent 21"/>
    <w:basedOn w:val="Normal"/>
    <w:next w:val="Normal"/>
    <w:link w:val="Grillemoyenne3-Accent2Car"/>
    <w:qFormat/>
    <w:locked/>
    <w:rsid w:val="009D2B4C"/>
    <w:pPr>
      <w:pBdr>
        <w:bottom w:val="single" w:sz="4" w:space="1" w:color="auto"/>
      </w:pBdr>
      <w:spacing w:before="200" w:after="280"/>
      <w:ind w:left="1008" w:right="1152"/>
      <w:jc w:val="both"/>
    </w:pPr>
    <w:rPr>
      <w:b/>
      <w:bCs/>
      <w:i/>
      <w:iCs/>
      <w:color w:val="4F81BD"/>
      <w:sz w:val="20"/>
    </w:rPr>
  </w:style>
  <w:style w:type="character" w:customStyle="1" w:styleId="Grillemoyenne3-Accent2Car">
    <w:name w:val="Grille moyenne 3 - Accent 2 Car"/>
    <w:link w:val="MediumGrid3-Accent21"/>
    <w:locked/>
    <w:rsid w:val="000D114C"/>
    <w:rPr>
      <w:rFonts w:ascii="Times New Roman" w:hAnsi="Times New Roman" w:cs="Times New Roman"/>
      <w:b/>
      <w:bCs/>
      <w:i/>
      <w:iCs/>
      <w:color w:val="4F81BD"/>
      <w:sz w:val="20"/>
      <w:szCs w:val="20"/>
      <w:lang w:val="en-GB" w:eastAsia="zh-CN"/>
    </w:rPr>
  </w:style>
  <w:style w:type="character" w:customStyle="1" w:styleId="SubtleEmphasis1">
    <w:name w:val="Subtle Emphasis1"/>
    <w:qFormat/>
    <w:locked/>
    <w:rsid w:val="009D2B4C"/>
    <w:rPr>
      <w:rFonts w:cs="Times New Roman"/>
      <w:i/>
    </w:rPr>
  </w:style>
  <w:style w:type="character" w:customStyle="1" w:styleId="IntenseEmphasis1">
    <w:name w:val="Intense Emphasis1"/>
    <w:qFormat/>
    <w:locked/>
    <w:rsid w:val="009D2B4C"/>
    <w:rPr>
      <w:rFonts w:cs="Times New Roman"/>
      <w:b/>
    </w:rPr>
  </w:style>
  <w:style w:type="character" w:customStyle="1" w:styleId="SubtleReference1">
    <w:name w:val="Subtle Reference1"/>
    <w:qFormat/>
    <w:locked/>
    <w:rsid w:val="009D2B4C"/>
    <w:rPr>
      <w:rFonts w:cs="Times New Roman"/>
      <w:smallCaps/>
    </w:rPr>
  </w:style>
  <w:style w:type="character" w:customStyle="1" w:styleId="IntenseReference1">
    <w:name w:val="Intense Reference1"/>
    <w:qFormat/>
    <w:locked/>
    <w:rsid w:val="009D2B4C"/>
    <w:rPr>
      <w:rFonts w:cs="Times New Roman"/>
      <w:smallCaps/>
      <w:spacing w:val="5"/>
      <w:u w:val="single"/>
    </w:rPr>
  </w:style>
  <w:style w:type="character" w:customStyle="1" w:styleId="BookTitle1">
    <w:name w:val="Book Title1"/>
    <w:qFormat/>
    <w:locked/>
    <w:rsid w:val="009D2B4C"/>
    <w:rPr>
      <w:rFonts w:cs="Times New Roman"/>
      <w:i/>
      <w:smallCaps/>
      <w:spacing w:val="5"/>
    </w:rPr>
  </w:style>
  <w:style w:type="character" w:customStyle="1" w:styleId="11">
    <w:name w:val="(文字) (文字)11"/>
    <w:rsid w:val="009D2B4C"/>
    <w:rPr>
      <w:rFonts w:eastAsia="SimSun"/>
      <w:sz w:val="24"/>
      <w:lang w:val="en-US" w:eastAsia="zh-CN"/>
    </w:rPr>
  </w:style>
  <w:style w:type="character" w:customStyle="1" w:styleId="2">
    <w:name w:val="(文字) (文字)2"/>
    <w:rsid w:val="009D2B4C"/>
    <w:rPr>
      <w:rFonts w:eastAsia="SimSun"/>
      <w:b/>
      <w:sz w:val="24"/>
      <w:lang w:val="en-US" w:eastAsia="en-US"/>
    </w:rPr>
  </w:style>
  <w:style w:type="character" w:customStyle="1" w:styleId="CarCar191">
    <w:name w:val="Car Car191"/>
    <w:locked/>
    <w:rsid w:val="009D2B4C"/>
    <w:rPr>
      <w:rFonts w:eastAsia="MS Mincho"/>
      <w:color w:val="000000"/>
      <w:sz w:val="24"/>
      <w:lang w:val="en-GB" w:eastAsia="zh-CN"/>
    </w:rPr>
  </w:style>
  <w:style w:type="paragraph" w:customStyle="1" w:styleId="ColorfulShading-Accent31">
    <w:name w:val="Colorful Shading - Accent 31"/>
    <w:basedOn w:val="Normal"/>
    <w:rsid w:val="009D2B4C"/>
    <w:pPr>
      <w:spacing w:after="0"/>
    </w:pPr>
    <w:rPr>
      <w:rFonts w:ascii="Cambria" w:hAnsi="Cambria"/>
      <w:color w:val="auto"/>
      <w:sz w:val="24"/>
      <w:lang w:val="en-US"/>
    </w:rPr>
  </w:style>
  <w:style w:type="paragraph" w:customStyle="1" w:styleId="intro">
    <w:name w:val="intro"/>
    <w:basedOn w:val="Normal"/>
    <w:rsid w:val="009D2B4C"/>
    <w:pPr>
      <w:spacing w:before="100" w:after="100"/>
    </w:pPr>
    <w:rPr>
      <w:color w:val="auto"/>
      <w:sz w:val="24"/>
      <w:lang w:val="en-US" w:eastAsia="ja-JP"/>
    </w:rPr>
  </w:style>
  <w:style w:type="paragraph" w:customStyle="1" w:styleId="BulletsinTable">
    <w:name w:val="Bullets in Table"/>
    <w:basedOn w:val="ListParagraph1"/>
    <w:rsid w:val="009D2B4C"/>
    <w:pPr>
      <w:tabs>
        <w:tab w:val="clear" w:pos="1209"/>
        <w:tab w:val="num" w:pos="1492"/>
      </w:tabs>
      <w:autoSpaceDE w:val="0"/>
      <w:autoSpaceDN w:val="0"/>
      <w:adjustRightInd w:val="0"/>
      <w:ind w:right="720"/>
      <w:jc w:val="left"/>
    </w:pPr>
    <w:rPr>
      <w:rFonts w:ascii="Times New Roman" w:eastAsia="Times New Roman" w:hAnsi="Times New Roman"/>
      <w:i/>
      <w:color w:val="000000"/>
      <w:sz w:val="20"/>
    </w:rPr>
  </w:style>
  <w:style w:type="paragraph" w:customStyle="1" w:styleId="Annex">
    <w:name w:val="Annex"/>
    <w:basedOn w:val="Caption"/>
    <w:rsid w:val="009D2B4C"/>
    <w:pPr>
      <w:spacing w:before="100" w:after="100" w:line="240" w:lineRule="auto"/>
      <w:ind w:left="426" w:right="720"/>
    </w:pPr>
    <w:rPr>
      <w:b/>
      <w:caps/>
      <w:color w:val="auto"/>
      <w:sz w:val="20"/>
    </w:rPr>
  </w:style>
  <w:style w:type="paragraph" w:customStyle="1" w:styleId="Tableandfigureheadings">
    <w:name w:val="Table and figure headings"/>
    <w:basedOn w:val="TableofFigures"/>
    <w:rsid w:val="009D2B4C"/>
    <w:pPr>
      <w:keepNext/>
      <w:ind w:left="0" w:right="720" w:firstLine="0"/>
      <w:jc w:val="left"/>
    </w:pPr>
    <w:rPr>
      <w:rFonts w:eastAsia="Times New Roman"/>
      <w:i/>
      <w:caps w:val="0"/>
      <w:sz w:val="24"/>
    </w:rPr>
  </w:style>
  <w:style w:type="paragraph" w:customStyle="1" w:styleId="Bulletsnumbered">
    <w:name w:val="Bullets numbered"/>
    <w:basedOn w:val="Paraindent"/>
    <w:rsid w:val="009D2B4C"/>
    <w:pPr>
      <w:tabs>
        <w:tab w:val="num" w:pos="360"/>
      </w:tabs>
      <w:spacing w:before="120" w:after="120" w:line="240" w:lineRule="auto"/>
      <w:ind w:left="1560" w:right="720" w:hanging="360"/>
    </w:pPr>
    <w:rPr>
      <w:rFonts w:ascii="Times New Roman" w:hAnsi="Times New Roman"/>
      <w:i/>
      <w:color w:val="000000"/>
      <w:sz w:val="20"/>
      <w:szCs w:val="20"/>
      <w:lang w:eastAsia="zh-CN"/>
    </w:rPr>
  </w:style>
  <w:style w:type="paragraph" w:customStyle="1" w:styleId="Style">
    <w:name w:val="Style"/>
    <w:rsid w:val="009D2B4C"/>
    <w:pPr>
      <w:widowControl w:val="0"/>
      <w:tabs>
        <w:tab w:val="num" w:pos="1209"/>
      </w:tabs>
      <w:autoSpaceDE w:val="0"/>
      <w:autoSpaceDN w:val="0"/>
      <w:adjustRightInd w:val="0"/>
    </w:pPr>
    <w:rPr>
      <w:rFonts w:ascii="Arial" w:hAnsi="Arial"/>
      <w:sz w:val="24"/>
      <w:lang w:val="en-GB" w:eastAsia="ko-KR"/>
    </w:rPr>
  </w:style>
  <w:style w:type="paragraph" w:customStyle="1" w:styleId="Chapternumber">
    <w:name w:val="Chapter number"/>
    <w:basedOn w:val="Normal"/>
    <w:rsid w:val="009D2B4C"/>
    <w:pPr>
      <w:widowControl w:val="0"/>
      <w:suppressAutoHyphens/>
      <w:autoSpaceDE w:val="0"/>
      <w:autoSpaceDN w:val="0"/>
      <w:adjustRightInd w:val="0"/>
      <w:spacing w:before="100" w:after="567" w:line="640" w:lineRule="atLeast"/>
      <w:ind w:right="720"/>
      <w:textAlignment w:val="center"/>
    </w:pPr>
    <w:rPr>
      <w:rFonts w:ascii="FrutigerLTStd-Light" w:hAnsi="FrutigerLTStd-Light"/>
      <w:i/>
      <w:sz w:val="60"/>
    </w:rPr>
  </w:style>
  <w:style w:type="paragraph" w:customStyle="1" w:styleId="Tabletext0">
    <w:name w:val="Table text"/>
    <w:basedOn w:val="Normal"/>
    <w:rsid w:val="009D2B4C"/>
    <w:pPr>
      <w:widowControl w:val="0"/>
      <w:suppressAutoHyphens/>
      <w:autoSpaceDE w:val="0"/>
      <w:autoSpaceDN w:val="0"/>
      <w:adjustRightInd w:val="0"/>
      <w:spacing w:before="100" w:after="113" w:line="288" w:lineRule="auto"/>
      <w:ind w:right="720"/>
      <w:textAlignment w:val="center"/>
    </w:pPr>
    <w:rPr>
      <w:rFonts w:ascii="FrutigerLTStd-Light" w:hAnsi="FrutigerLTStd-Light"/>
      <w:i/>
      <w:sz w:val="24"/>
    </w:rPr>
  </w:style>
  <w:style w:type="paragraph" w:customStyle="1" w:styleId="Bodycopynoindent">
    <w:name w:val="Body copy (no indent)"/>
    <w:basedOn w:val="Normal"/>
    <w:rsid w:val="009D2B4C"/>
    <w:pPr>
      <w:widowControl w:val="0"/>
      <w:suppressAutoHyphens/>
      <w:autoSpaceDE w:val="0"/>
      <w:autoSpaceDN w:val="0"/>
      <w:adjustRightInd w:val="0"/>
      <w:spacing w:before="100" w:after="280" w:line="320" w:lineRule="atLeast"/>
      <w:ind w:right="720"/>
      <w:textAlignment w:val="center"/>
    </w:pPr>
    <w:rPr>
      <w:rFonts w:ascii="FrutigerLTStd-Light" w:hAnsi="FrutigerLTStd-Light"/>
      <w:i/>
      <w:sz w:val="24"/>
    </w:rPr>
  </w:style>
  <w:style w:type="paragraph" w:customStyle="1" w:styleId="Bullettext">
    <w:name w:val="Bullet text"/>
    <w:basedOn w:val="Normal"/>
    <w:next w:val="Normal"/>
    <w:rsid w:val="009D2B4C"/>
    <w:pPr>
      <w:widowControl w:val="0"/>
      <w:tabs>
        <w:tab w:val="num" w:pos="851"/>
      </w:tabs>
      <w:suppressAutoHyphens/>
      <w:autoSpaceDE w:val="0"/>
      <w:autoSpaceDN w:val="0"/>
      <w:adjustRightInd w:val="0"/>
      <w:spacing w:before="100" w:after="113" w:line="320" w:lineRule="atLeast"/>
      <w:ind w:left="851" w:right="720" w:hanging="284"/>
      <w:textAlignment w:val="center"/>
    </w:pPr>
    <w:rPr>
      <w:rFonts w:ascii="FrutigerLTStd-Light" w:hAnsi="FrutigerLTStd-Light"/>
      <w:i/>
      <w:sz w:val="24"/>
    </w:rPr>
  </w:style>
  <w:style w:type="paragraph" w:customStyle="1" w:styleId="Bullettextlastline">
    <w:name w:val="Bullet text last line"/>
    <w:basedOn w:val="Normal"/>
    <w:rsid w:val="009D2B4C"/>
    <w:pPr>
      <w:widowControl w:val="0"/>
      <w:tabs>
        <w:tab w:val="num" w:pos="851"/>
      </w:tabs>
      <w:suppressAutoHyphens/>
      <w:autoSpaceDE w:val="0"/>
      <w:autoSpaceDN w:val="0"/>
      <w:adjustRightInd w:val="0"/>
      <w:spacing w:before="100" w:after="280" w:line="320" w:lineRule="atLeast"/>
      <w:ind w:left="851" w:right="720" w:hanging="284"/>
      <w:textAlignment w:val="center"/>
    </w:pPr>
    <w:rPr>
      <w:rFonts w:ascii="FrutigerLTStd-Light" w:hAnsi="FrutigerLTStd-Light"/>
      <w:i/>
      <w:sz w:val="24"/>
    </w:rPr>
  </w:style>
  <w:style w:type="paragraph" w:customStyle="1" w:styleId="Section2numbered">
    <w:name w:val="Section 2 numbered"/>
    <w:rsid w:val="009D2B4C"/>
    <w:pPr>
      <w:tabs>
        <w:tab w:val="num" w:pos="1492"/>
      </w:tabs>
      <w:spacing w:after="227"/>
      <w:ind w:left="1492" w:hanging="360"/>
    </w:pPr>
    <w:rPr>
      <w:rFonts w:ascii="FrutigerLTStd-Light" w:hAnsi="FrutigerLTStd-Light"/>
      <w:color w:val="000000"/>
      <w:sz w:val="24"/>
      <w:lang w:val="en-GB" w:eastAsia="ko-KR"/>
    </w:rPr>
  </w:style>
  <w:style w:type="character" w:customStyle="1" w:styleId="Boldtext">
    <w:name w:val="Bold text"/>
    <w:rsid w:val="009D2B4C"/>
    <w:rPr>
      <w:rFonts w:ascii="FrutigerLTStd-Bold" w:hAnsi="FrutigerLTStd-Bold"/>
      <w:b/>
    </w:rPr>
  </w:style>
  <w:style w:type="paragraph" w:customStyle="1" w:styleId="Section3numbered">
    <w:name w:val="Section 3 numbered"/>
    <w:rsid w:val="009D2B4C"/>
    <w:pPr>
      <w:tabs>
        <w:tab w:val="num" w:pos="360"/>
        <w:tab w:val="num" w:pos="680"/>
      </w:tabs>
      <w:spacing w:after="227"/>
      <w:ind w:left="680" w:hanging="680"/>
    </w:pPr>
    <w:rPr>
      <w:rFonts w:ascii="FrutigerLTStd-Light" w:hAnsi="FrutigerLTStd-Light"/>
      <w:color w:val="000000"/>
      <w:sz w:val="24"/>
      <w:lang w:val="en-GB" w:eastAsia="ko-KR"/>
    </w:rPr>
  </w:style>
  <w:style w:type="paragraph" w:customStyle="1" w:styleId="Section6numbered">
    <w:name w:val="Section 6 numbered"/>
    <w:rsid w:val="009D2B4C"/>
    <w:pPr>
      <w:tabs>
        <w:tab w:val="num" w:pos="926"/>
      </w:tabs>
      <w:spacing w:after="227"/>
      <w:ind w:left="926" w:hanging="360"/>
    </w:pPr>
    <w:rPr>
      <w:rFonts w:ascii="FrutigerLTStd-Light" w:hAnsi="FrutigerLTStd-Light"/>
      <w:color w:val="000000"/>
      <w:sz w:val="24"/>
      <w:lang w:val="en-GB" w:eastAsia="ko-KR"/>
    </w:rPr>
  </w:style>
  <w:style w:type="paragraph" w:customStyle="1" w:styleId="BasicParagraph">
    <w:name w:val="[Basic Paragraph]"/>
    <w:basedOn w:val="Normal"/>
    <w:rsid w:val="009D2B4C"/>
    <w:pPr>
      <w:widowControl w:val="0"/>
      <w:tabs>
        <w:tab w:val="num" w:pos="360"/>
      </w:tabs>
      <w:autoSpaceDE w:val="0"/>
      <w:autoSpaceDN w:val="0"/>
      <w:adjustRightInd w:val="0"/>
      <w:spacing w:before="100" w:after="0" w:line="288" w:lineRule="auto"/>
      <w:ind w:right="720"/>
      <w:textAlignment w:val="center"/>
    </w:pPr>
    <w:rPr>
      <w:rFonts w:ascii="Times-Roman" w:hAnsi="Times-Roman"/>
      <w:i/>
      <w:sz w:val="24"/>
      <w:lang w:val="en-US"/>
    </w:rPr>
  </w:style>
  <w:style w:type="character" w:customStyle="1" w:styleId="t1">
    <w:name w:val="t1"/>
    <w:rsid w:val="009D2B4C"/>
    <w:rPr>
      <w:rFonts w:cs="Times New Roman"/>
    </w:rPr>
  </w:style>
  <w:style w:type="paragraph" w:customStyle="1" w:styleId="Bulletstechnologytable">
    <w:name w:val="Bullets technology table"/>
    <w:basedOn w:val="BulletsinTable"/>
    <w:rsid w:val="009D2B4C"/>
    <w:pPr>
      <w:ind w:left="175" w:hanging="142"/>
    </w:pPr>
  </w:style>
  <w:style w:type="paragraph" w:customStyle="1" w:styleId="Recommendationsnumbered">
    <w:name w:val="Recommendations numbered"/>
    <w:basedOn w:val="Bulletsnumbered"/>
    <w:rsid w:val="009D2B4C"/>
    <w:pPr>
      <w:ind w:left="1134" w:hanging="425"/>
    </w:pPr>
  </w:style>
  <w:style w:type="paragraph" w:customStyle="1" w:styleId="wbtbullet1">
    <w:name w:val="wbtbullet1"/>
    <w:basedOn w:val="Normal"/>
    <w:rsid w:val="009D2B4C"/>
    <w:pPr>
      <w:spacing w:before="100" w:after="0"/>
      <w:ind w:right="720"/>
      <w:jc w:val="both"/>
    </w:pPr>
    <w:rPr>
      <w:rFonts w:ascii="Verdana" w:hAnsi="Verdana"/>
      <w:i/>
      <w:color w:val="auto"/>
      <w:sz w:val="16"/>
    </w:rPr>
  </w:style>
  <w:style w:type="paragraph" w:customStyle="1" w:styleId="Box">
    <w:name w:val="Box"/>
    <w:basedOn w:val="BodyText"/>
    <w:rsid w:val="009D2B4C"/>
    <w:pPr>
      <w:pBdr>
        <w:top w:val="single" w:sz="4" w:space="1" w:color="auto"/>
        <w:left w:val="single" w:sz="4" w:space="4" w:color="auto"/>
        <w:bottom w:val="single" w:sz="4" w:space="1" w:color="auto"/>
        <w:right w:val="single" w:sz="4" w:space="4" w:color="auto"/>
      </w:pBdr>
      <w:tabs>
        <w:tab w:val="num" w:pos="360"/>
      </w:tabs>
      <w:spacing w:before="100" w:after="0" w:line="240" w:lineRule="auto"/>
      <w:ind w:left="360" w:right="720" w:hanging="360"/>
    </w:pPr>
    <w:rPr>
      <w:rFonts w:ascii="Calibri" w:hAnsi="Calibri"/>
      <w:i/>
      <w:color w:val="auto"/>
      <w:spacing w:val="-2"/>
      <w:sz w:val="18"/>
      <w:lang w:val="en-US"/>
    </w:rPr>
  </w:style>
  <w:style w:type="character" w:customStyle="1" w:styleId="content1">
    <w:name w:val="content1"/>
    <w:rsid w:val="009D2B4C"/>
    <w:rPr>
      <w:rFonts w:ascii="Trebuchet MS" w:hAnsi="Trebuchet MS"/>
      <w:color w:val="292929"/>
      <w:sz w:val="18"/>
    </w:rPr>
  </w:style>
  <w:style w:type="character" w:customStyle="1" w:styleId="smbody1">
    <w:name w:val="smbody1"/>
    <w:rsid w:val="009D2B4C"/>
    <w:rPr>
      <w:rFonts w:ascii="Verdana" w:hAnsi="Verdana"/>
      <w:color w:val="333333"/>
      <w:sz w:val="15"/>
    </w:rPr>
  </w:style>
  <w:style w:type="paragraph" w:customStyle="1" w:styleId="Text0">
    <w:name w:val="Text"/>
    <w:basedOn w:val="Normal"/>
    <w:rsid w:val="009D2B4C"/>
    <w:pPr>
      <w:spacing w:before="100" w:after="0"/>
      <w:ind w:right="720"/>
      <w:jc w:val="both"/>
    </w:pPr>
    <w:rPr>
      <w:rFonts w:ascii="Arial" w:hAnsi="Arial"/>
      <w:i/>
      <w:color w:val="auto"/>
      <w:sz w:val="18"/>
      <w:lang w:val="en-US"/>
    </w:rPr>
  </w:style>
  <w:style w:type="paragraph" w:customStyle="1" w:styleId="SimonUberschrift">
    <w:name w:val="Simon Uberschrift"/>
    <w:basedOn w:val="Heading3"/>
    <w:next w:val="Heading1"/>
    <w:rsid w:val="009D2B4C"/>
    <w:pPr>
      <w:keepLines w:val="0"/>
      <w:widowControl w:val="0"/>
      <w:tabs>
        <w:tab w:val="clear" w:pos="643"/>
        <w:tab w:val="num" w:pos="360"/>
        <w:tab w:val="num" w:pos="1800"/>
      </w:tabs>
      <w:autoSpaceDE w:val="0"/>
      <w:autoSpaceDN w:val="0"/>
      <w:adjustRightInd w:val="0"/>
      <w:spacing w:before="240" w:after="60"/>
      <w:ind w:left="1440" w:right="29" w:firstLine="0"/>
    </w:pPr>
    <w:rPr>
      <w:b w:val="0"/>
      <w:i/>
      <w:color w:val="000000"/>
      <w:szCs w:val="24"/>
      <w:lang w:val="en-GB"/>
    </w:rPr>
  </w:style>
  <w:style w:type="paragraph" w:customStyle="1" w:styleId="xl22">
    <w:name w:val="xl22"/>
    <w:basedOn w:val="Normal"/>
    <w:rsid w:val="009D2B4C"/>
    <w:pPr>
      <w:pBdr>
        <w:top w:val="single" w:sz="4" w:space="0" w:color="auto"/>
        <w:left w:val="single" w:sz="4" w:space="0" w:color="auto"/>
        <w:bottom w:val="single" w:sz="4" w:space="0" w:color="auto"/>
        <w:right w:val="single" w:sz="4" w:space="0" w:color="auto"/>
      </w:pBdr>
      <w:spacing w:before="100" w:after="100"/>
      <w:ind w:right="720"/>
      <w:jc w:val="both"/>
      <w:textAlignment w:val="top"/>
    </w:pPr>
    <w:rPr>
      <w:rFonts w:ascii="Arial" w:eastAsia="Arial Unicode MS" w:hAnsi="Arial"/>
      <w:i/>
      <w:color w:val="auto"/>
      <w:sz w:val="18"/>
      <w:lang w:val="en-US"/>
    </w:rPr>
  </w:style>
  <w:style w:type="paragraph" w:customStyle="1" w:styleId="xl23">
    <w:name w:val="xl23"/>
    <w:basedOn w:val="Normal"/>
    <w:rsid w:val="009D2B4C"/>
    <w:pPr>
      <w:pBdr>
        <w:top w:val="single" w:sz="4" w:space="0" w:color="auto"/>
        <w:left w:val="single" w:sz="4" w:space="0" w:color="auto"/>
        <w:bottom w:val="single" w:sz="4" w:space="0" w:color="auto"/>
        <w:right w:val="single" w:sz="4" w:space="0" w:color="auto"/>
      </w:pBdr>
      <w:spacing w:before="100" w:after="100"/>
      <w:ind w:right="720"/>
      <w:jc w:val="both"/>
      <w:textAlignment w:val="top"/>
    </w:pPr>
    <w:rPr>
      <w:rFonts w:ascii="Arial" w:eastAsia="Arial Unicode MS" w:hAnsi="Arial"/>
      <w:i/>
      <w:color w:val="auto"/>
      <w:sz w:val="18"/>
      <w:lang w:val="en-US"/>
    </w:rPr>
  </w:style>
  <w:style w:type="paragraph" w:customStyle="1" w:styleId="TablesinAnnexlandscape">
    <w:name w:val="Tables in Annex landscape"/>
    <w:basedOn w:val="Table"/>
    <w:rsid w:val="009D2B4C"/>
    <w:pPr>
      <w:keepLines w:val="0"/>
      <w:spacing w:before="120" w:after="120"/>
      <w:ind w:left="709" w:right="720"/>
    </w:pPr>
    <w:rPr>
      <w:b/>
      <w:i/>
    </w:rPr>
  </w:style>
  <w:style w:type="paragraph" w:customStyle="1" w:styleId="Tablefootnote">
    <w:name w:val="Table footnote"/>
    <w:basedOn w:val="Normal"/>
    <w:rsid w:val="009D2B4C"/>
    <w:pPr>
      <w:tabs>
        <w:tab w:val="left" w:pos="3000"/>
      </w:tabs>
      <w:spacing w:before="100" w:after="0"/>
      <w:ind w:left="709" w:right="720"/>
    </w:pPr>
    <w:rPr>
      <w:i/>
      <w:color w:val="auto"/>
      <w:sz w:val="18"/>
    </w:rPr>
  </w:style>
  <w:style w:type="paragraph" w:customStyle="1" w:styleId="TableinfrontwithmeandKJ">
    <w:name w:val="Table in front with me and KJ"/>
    <w:basedOn w:val="Normal"/>
    <w:rsid w:val="009D2B4C"/>
    <w:pPr>
      <w:spacing w:before="60" w:after="60"/>
      <w:ind w:right="720"/>
    </w:pPr>
    <w:rPr>
      <w:i/>
      <w:color w:val="auto"/>
      <w:sz w:val="18"/>
    </w:rPr>
  </w:style>
  <w:style w:type="paragraph" w:customStyle="1" w:styleId="ParaindentItalicsubheader">
    <w:name w:val="Para indent Italic subheader"/>
    <w:basedOn w:val="Paraindent"/>
    <w:rsid w:val="009D2B4C"/>
    <w:pPr>
      <w:spacing w:before="120" w:after="120" w:line="240" w:lineRule="auto"/>
      <w:ind w:left="709" w:right="720"/>
    </w:pPr>
    <w:rPr>
      <w:rFonts w:ascii="Times New Roman" w:hAnsi="Times New Roman"/>
      <w:color w:val="000000"/>
      <w:sz w:val="20"/>
      <w:szCs w:val="20"/>
      <w:lang w:eastAsia="zh-CN"/>
    </w:rPr>
  </w:style>
  <w:style w:type="paragraph" w:customStyle="1" w:styleId="Paratextintable">
    <w:name w:val="Para text in table"/>
    <w:basedOn w:val="Normal"/>
    <w:rsid w:val="009D2B4C"/>
    <w:pPr>
      <w:spacing w:before="120" w:after="120"/>
      <w:ind w:right="720"/>
    </w:pPr>
    <w:rPr>
      <w:color w:val="auto"/>
      <w:sz w:val="18"/>
      <w:lang w:val="en-US"/>
    </w:rPr>
  </w:style>
  <w:style w:type="paragraph" w:customStyle="1" w:styleId="Bulletsnumberedintable">
    <w:name w:val="Bullets numbered in table"/>
    <w:basedOn w:val="ListParagraph1"/>
    <w:rsid w:val="009D2B4C"/>
    <w:pPr>
      <w:tabs>
        <w:tab w:val="clear" w:pos="1209"/>
        <w:tab w:val="num" w:pos="643"/>
      </w:tabs>
      <w:spacing w:before="100" w:after="0"/>
      <w:ind w:left="643" w:right="720"/>
      <w:jc w:val="left"/>
    </w:pPr>
    <w:rPr>
      <w:rFonts w:ascii="Times New Roman" w:eastAsia="Times New Roman" w:hAnsi="Times New Roman"/>
      <w:i/>
      <w:sz w:val="18"/>
      <w:lang w:val="en-US"/>
    </w:rPr>
  </w:style>
  <w:style w:type="paragraph" w:customStyle="1" w:styleId="Paranumbered">
    <w:name w:val="Para numbered"/>
    <w:basedOn w:val="ListParagraph1"/>
    <w:rsid w:val="009D2B4C"/>
    <w:pPr>
      <w:tabs>
        <w:tab w:val="clear" w:pos="1209"/>
        <w:tab w:val="num" w:pos="926"/>
      </w:tabs>
      <w:spacing w:before="120" w:after="120"/>
      <w:ind w:left="709" w:right="720" w:hanging="709"/>
      <w:jc w:val="left"/>
    </w:pPr>
    <w:rPr>
      <w:rFonts w:ascii="Times New Roman" w:eastAsia="Times New Roman" w:hAnsi="Times New Roman"/>
      <w:i/>
      <w:sz w:val="18"/>
      <w:lang w:val="en-US"/>
    </w:rPr>
  </w:style>
  <w:style w:type="paragraph" w:customStyle="1" w:styleId="Bulletsubindent">
    <w:name w:val="Bullet sub indent"/>
    <w:basedOn w:val="ListParagraph1"/>
    <w:rsid w:val="009D2B4C"/>
    <w:pPr>
      <w:tabs>
        <w:tab w:val="clear" w:pos="1209"/>
      </w:tabs>
      <w:autoSpaceDE w:val="0"/>
      <w:autoSpaceDN w:val="0"/>
      <w:adjustRightInd w:val="0"/>
      <w:ind w:left="1985" w:right="720"/>
      <w:jc w:val="left"/>
    </w:pPr>
    <w:rPr>
      <w:rFonts w:ascii="Times New Roman" w:eastAsia="Times New Roman" w:hAnsi="Times New Roman"/>
      <w:i/>
      <w:color w:val="000000"/>
    </w:rPr>
  </w:style>
  <w:style w:type="paragraph" w:customStyle="1" w:styleId="TableandFigureVol1">
    <w:name w:val="Table and Figure Vol 1"/>
    <w:basedOn w:val="Caption"/>
    <w:rsid w:val="009D2B4C"/>
    <w:pPr>
      <w:keepNext/>
      <w:spacing w:before="100" w:after="120" w:line="240" w:lineRule="auto"/>
      <w:ind w:left="709" w:right="720"/>
      <w:jc w:val="both"/>
    </w:pPr>
    <w:rPr>
      <w:rFonts w:ascii="Calibri" w:hAnsi="Calibri"/>
      <w:b/>
      <w:color w:val="auto"/>
      <w:sz w:val="20"/>
    </w:rPr>
  </w:style>
  <w:style w:type="paragraph" w:customStyle="1" w:styleId="GEFChar">
    <w:name w:val="GEF Char"/>
    <w:basedOn w:val="Normal"/>
    <w:rsid w:val="009D2B4C"/>
    <w:pPr>
      <w:tabs>
        <w:tab w:val="num" w:pos="643"/>
      </w:tabs>
      <w:spacing w:before="180" w:after="0" w:line="250" w:lineRule="exact"/>
      <w:ind w:right="720"/>
      <w:jc w:val="both"/>
    </w:pPr>
    <w:rPr>
      <w:i/>
      <w:color w:val="auto"/>
      <w:sz w:val="20"/>
    </w:rPr>
  </w:style>
  <w:style w:type="character" w:customStyle="1" w:styleId="ft">
    <w:name w:val="ft"/>
    <w:rsid w:val="009D2B4C"/>
  </w:style>
  <w:style w:type="character" w:customStyle="1" w:styleId="googqs-tidbit-0">
    <w:name w:val="goog_qs-tidbit-0"/>
    <w:rsid w:val="009D2B4C"/>
    <w:rPr>
      <w:rFonts w:cs="Times New Roman"/>
    </w:rPr>
  </w:style>
  <w:style w:type="character" w:customStyle="1" w:styleId="style81">
    <w:name w:val="style81"/>
    <w:rsid w:val="009D2B4C"/>
    <w:rPr>
      <w:rFonts w:ascii="Verdana" w:hAnsi="Verdana"/>
      <w:color w:val="008000"/>
      <w:sz w:val="27"/>
    </w:rPr>
  </w:style>
  <w:style w:type="character" w:customStyle="1" w:styleId="A6">
    <w:name w:val="A6"/>
    <w:rsid w:val="009D2B4C"/>
    <w:rPr>
      <w:color w:val="000000"/>
      <w:sz w:val="20"/>
    </w:rPr>
  </w:style>
  <w:style w:type="character" w:customStyle="1" w:styleId="googqs-tidbit1">
    <w:name w:val="goog_qs-tidbit1"/>
    <w:rsid w:val="009D2B4C"/>
    <w:rPr>
      <w:vanish/>
    </w:rPr>
  </w:style>
  <w:style w:type="paragraph" w:customStyle="1" w:styleId="bodytext0">
    <w:name w:val="bodytext"/>
    <w:basedOn w:val="Normal"/>
    <w:rsid w:val="009D2B4C"/>
    <w:pPr>
      <w:spacing w:before="100" w:after="100"/>
      <w:ind w:right="720"/>
    </w:pPr>
    <w:rPr>
      <w:i/>
      <w:color w:val="auto"/>
      <w:sz w:val="24"/>
    </w:rPr>
  </w:style>
  <w:style w:type="paragraph" w:customStyle="1" w:styleId="MeetingInfo">
    <w:name w:val="MeetingInfo"/>
    <w:basedOn w:val="Normal"/>
    <w:rsid w:val="009D2B4C"/>
    <w:pPr>
      <w:pBdr>
        <w:top w:val="single" w:sz="12" w:space="6" w:color="auto"/>
        <w:left w:val="single" w:sz="12" w:space="6" w:color="auto"/>
        <w:bottom w:val="single" w:sz="12" w:space="6" w:color="auto"/>
        <w:right w:val="single" w:sz="12" w:space="6" w:color="auto"/>
      </w:pBdr>
      <w:spacing w:before="120" w:after="120"/>
      <w:ind w:right="720"/>
      <w:jc w:val="center"/>
    </w:pPr>
    <w:rPr>
      <w:b/>
      <w:i/>
      <w:noProof/>
      <w:color w:val="auto"/>
      <w:sz w:val="28"/>
    </w:rPr>
  </w:style>
  <w:style w:type="paragraph" w:customStyle="1" w:styleId="BlankLine">
    <w:name w:val="BlankLine"/>
    <w:basedOn w:val="Normal"/>
    <w:next w:val="Normal"/>
    <w:rsid w:val="009D2B4C"/>
    <w:pPr>
      <w:tabs>
        <w:tab w:val="num" w:pos="360"/>
      </w:tabs>
      <w:spacing w:before="100" w:after="0"/>
      <w:ind w:left="360" w:right="720" w:hanging="360"/>
    </w:pPr>
    <w:rPr>
      <w:i/>
      <w:noProof/>
      <w:color w:val="auto"/>
      <w:sz w:val="18"/>
    </w:rPr>
  </w:style>
  <w:style w:type="character" w:customStyle="1" w:styleId="Bold">
    <w:name w:val="Bold"/>
    <w:rsid w:val="009D2B4C"/>
    <w:rPr>
      <w:b/>
    </w:rPr>
  </w:style>
  <w:style w:type="character" w:customStyle="1" w:styleId="BoldItalic">
    <w:name w:val="Bold Italic"/>
    <w:rsid w:val="009D2B4C"/>
    <w:rPr>
      <w:b/>
      <w:i/>
    </w:rPr>
  </w:style>
  <w:style w:type="character" w:customStyle="1" w:styleId="BoldItalicUnderline">
    <w:name w:val="Bold Italic Underline"/>
    <w:rsid w:val="009D2B4C"/>
    <w:rPr>
      <w:b/>
      <w:i/>
      <w:u w:val="single"/>
    </w:rPr>
  </w:style>
  <w:style w:type="character" w:customStyle="1" w:styleId="BoldUnderline">
    <w:name w:val="Bold Underline"/>
    <w:rsid w:val="009D2B4C"/>
    <w:rPr>
      <w:b/>
      <w:u w:val="single"/>
    </w:rPr>
  </w:style>
  <w:style w:type="paragraph" w:customStyle="1" w:styleId="BoxText">
    <w:name w:val="Box Text"/>
    <w:basedOn w:val="BoxNewPara"/>
    <w:rsid w:val="009D2B4C"/>
    <w:pPr>
      <w:tabs>
        <w:tab w:val="clear" w:pos="425"/>
        <w:tab w:val="left" w:pos="426"/>
      </w:tabs>
    </w:pPr>
  </w:style>
  <w:style w:type="paragraph" w:customStyle="1" w:styleId="BoxNewPara">
    <w:name w:val="Box NewPara"/>
    <w:basedOn w:val="Normal"/>
    <w:next w:val="Normal"/>
    <w:rsid w:val="009D2B4C"/>
    <w:pPr>
      <w:pBdr>
        <w:left w:val="single" w:sz="6" w:space="1" w:color="auto"/>
        <w:right w:val="single" w:sz="6" w:space="1" w:color="auto"/>
      </w:pBdr>
      <w:shd w:val="pct10" w:color="auto" w:fill="auto"/>
      <w:tabs>
        <w:tab w:val="num" w:pos="360"/>
        <w:tab w:val="left" w:pos="425"/>
      </w:tabs>
      <w:spacing w:before="100" w:after="0"/>
      <w:ind w:left="360" w:right="720" w:hanging="360"/>
      <w:jc w:val="both"/>
    </w:pPr>
    <w:rPr>
      <w:i/>
      <w:noProof/>
      <w:color w:val="auto"/>
      <w:sz w:val="20"/>
    </w:rPr>
  </w:style>
  <w:style w:type="paragraph" w:customStyle="1" w:styleId="FigureCaption">
    <w:name w:val="Figure Caption"/>
    <w:basedOn w:val="Normal"/>
    <w:rsid w:val="009D2B4C"/>
    <w:pPr>
      <w:spacing w:before="120" w:after="0"/>
      <w:ind w:right="720"/>
    </w:pPr>
    <w:rPr>
      <w:noProof/>
      <w:color w:val="auto"/>
      <w:sz w:val="18"/>
    </w:rPr>
  </w:style>
  <w:style w:type="paragraph" w:customStyle="1" w:styleId="BoxNote">
    <w:name w:val="Box Note"/>
    <w:basedOn w:val="Normal"/>
    <w:next w:val="Normal"/>
    <w:rsid w:val="009D2B4C"/>
    <w:pPr>
      <w:pBdr>
        <w:left w:val="single" w:sz="6" w:space="1" w:color="auto"/>
        <w:right w:val="single" w:sz="6" w:space="1" w:color="auto"/>
      </w:pBdr>
      <w:shd w:val="pct10" w:color="auto" w:fill="auto"/>
      <w:suppressAutoHyphens/>
      <w:spacing w:before="100" w:after="0"/>
      <w:ind w:right="720"/>
      <w:jc w:val="both"/>
    </w:pPr>
    <w:rPr>
      <w:noProof/>
      <w:color w:val="auto"/>
      <w:sz w:val="20"/>
    </w:rPr>
  </w:style>
  <w:style w:type="paragraph" w:customStyle="1" w:styleId="NewPara">
    <w:name w:val="NewPara"/>
    <w:basedOn w:val="Normal"/>
    <w:next w:val="Normal"/>
    <w:rsid w:val="009D2B4C"/>
    <w:pPr>
      <w:tabs>
        <w:tab w:val="left" w:pos="709"/>
        <w:tab w:val="num" w:pos="1209"/>
      </w:tabs>
      <w:spacing w:before="160" w:after="20"/>
      <w:ind w:right="720"/>
    </w:pPr>
    <w:rPr>
      <w:i/>
      <w:noProof/>
      <w:color w:val="auto"/>
      <w:sz w:val="18"/>
    </w:rPr>
  </w:style>
  <w:style w:type="paragraph" w:customStyle="1" w:styleId="BoxParaTitle">
    <w:name w:val="Box ParaTitle"/>
    <w:basedOn w:val="BoxNote"/>
    <w:rsid w:val="009D2B4C"/>
    <w:rPr>
      <w:b/>
      <w:i/>
    </w:rPr>
  </w:style>
  <w:style w:type="paragraph" w:customStyle="1" w:styleId="BoxRandList1">
    <w:name w:val="Box RandList 1"/>
    <w:basedOn w:val="Normal"/>
    <w:rsid w:val="009D2B4C"/>
    <w:pPr>
      <w:pBdr>
        <w:left w:val="single" w:sz="6" w:space="10" w:color="auto"/>
        <w:right w:val="single" w:sz="6" w:space="10" w:color="auto"/>
      </w:pBdr>
      <w:shd w:val="pct10" w:color="auto" w:fill="auto"/>
      <w:tabs>
        <w:tab w:val="left" w:pos="437"/>
        <w:tab w:val="num" w:pos="1492"/>
      </w:tabs>
      <w:spacing w:before="100" w:after="0" w:line="360" w:lineRule="auto"/>
      <w:ind w:left="437" w:right="181" w:hanging="256"/>
      <w:jc w:val="both"/>
    </w:pPr>
    <w:rPr>
      <w:i/>
      <w:noProof/>
      <w:color w:val="auto"/>
      <w:sz w:val="20"/>
    </w:rPr>
  </w:style>
  <w:style w:type="paragraph" w:customStyle="1" w:styleId="RandListLev1">
    <w:name w:val="Rand List Lev1"/>
    <w:basedOn w:val="Normal"/>
    <w:rsid w:val="009D2B4C"/>
    <w:pPr>
      <w:tabs>
        <w:tab w:val="left" w:pos="754"/>
        <w:tab w:val="num" w:pos="1209"/>
      </w:tabs>
      <w:spacing w:before="100" w:after="0"/>
      <w:ind w:left="754" w:right="720" w:hanging="357"/>
    </w:pPr>
    <w:rPr>
      <w:i/>
      <w:noProof/>
      <w:color w:val="auto"/>
      <w:sz w:val="18"/>
    </w:rPr>
  </w:style>
  <w:style w:type="paragraph" w:customStyle="1" w:styleId="BoxRandList2">
    <w:name w:val="Box RandList 2"/>
    <w:basedOn w:val="BoxRandList1"/>
    <w:rsid w:val="009D2B4C"/>
    <w:pPr>
      <w:pBdr>
        <w:left w:val="single" w:sz="6" w:space="20" w:color="auto"/>
        <w:right w:val="single" w:sz="6" w:space="20" w:color="auto"/>
      </w:pBdr>
      <w:tabs>
        <w:tab w:val="left" w:pos="635"/>
      </w:tabs>
      <w:ind w:left="635" w:right="380" w:hanging="255"/>
    </w:pPr>
  </w:style>
  <w:style w:type="paragraph" w:customStyle="1" w:styleId="BoxRandList3">
    <w:name w:val="Box RandList 3"/>
    <w:basedOn w:val="BoxRandList2"/>
    <w:rsid w:val="009D2B4C"/>
    <w:pPr>
      <w:pBdr>
        <w:left w:val="single" w:sz="6" w:space="29" w:color="auto"/>
        <w:right w:val="single" w:sz="6" w:space="30" w:color="auto"/>
      </w:pBdr>
      <w:tabs>
        <w:tab w:val="left" w:pos="816"/>
      </w:tabs>
      <w:ind w:left="816" w:right="584"/>
    </w:pPr>
  </w:style>
  <w:style w:type="paragraph" w:customStyle="1" w:styleId="BoxSeqList1">
    <w:name w:val="Box SeqList 1"/>
    <w:basedOn w:val="Normal"/>
    <w:rsid w:val="009D2B4C"/>
    <w:pPr>
      <w:pBdr>
        <w:left w:val="single" w:sz="6" w:space="8" w:color="auto"/>
        <w:right w:val="single" w:sz="6" w:space="10" w:color="auto"/>
      </w:pBdr>
      <w:shd w:val="pct10" w:color="auto" w:fill="auto"/>
      <w:tabs>
        <w:tab w:val="num" w:pos="567"/>
        <w:tab w:val="num" w:pos="1440"/>
      </w:tabs>
      <w:spacing w:before="100" w:after="0" w:line="360" w:lineRule="auto"/>
      <w:ind w:left="567" w:right="181" w:hanging="425"/>
      <w:jc w:val="both"/>
    </w:pPr>
    <w:rPr>
      <w:i/>
      <w:noProof/>
      <w:color w:val="auto"/>
      <w:sz w:val="20"/>
    </w:rPr>
  </w:style>
  <w:style w:type="paragraph" w:customStyle="1" w:styleId="BoxSeqList3">
    <w:name w:val="Box SeqList 3"/>
    <w:basedOn w:val="BoxSeqList2"/>
    <w:rsid w:val="009D2B4C"/>
    <w:pPr>
      <w:pBdr>
        <w:left w:val="single" w:sz="6" w:space="30" w:color="auto"/>
        <w:right w:val="single" w:sz="6" w:space="30" w:color="auto"/>
      </w:pBdr>
      <w:tabs>
        <w:tab w:val="clear" w:pos="360"/>
        <w:tab w:val="num" w:pos="926"/>
        <w:tab w:val="num" w:pos="1009"/>
      </w:tabs>
      <w:ind w:left="1009" w:right="584" w:hanging="425"/>
    </w:pPr>
  </w:style>
  <w:style w:type="paragraph" w:customStyle="1" w:styleId="BoxSeqList2">
    <w:name w:val="Box SeqList 2"/>
    <w:basedOn w:val="BoxSeqList1"/>
    <w:rsid w:val="009D2B4C"/>
    <w:pPr>
      <w:pBdr>
        <w:left w:val="single" w:sz="6" w:space="20" w:color="auto"/>
      </w:pBdr>
      <w:tabs>
        <w:tab w:val="clear" w:pos="567"/>
        <w:tab w:val="num" w:pos="360"/>
      </w:tabs>
      <w:ind w:left="360" w:hanging="360"/>
    </w:pPr>
  </w:style>
  <w:style w:type="paragraph" w:customStyle="1" w:styleId="TableTitle">
    <w:name w:val="Table Title"/>
    <w:basedOn w:val="Normal"/>
    <w:rsid w:val="009D2B4C"/>
    <w:pPr>
      <w:keepNext/>
      <w:spacing w:before="120" w:after="0"/>
      <w:ind w:right="720"/>
    </w:pPr>
    <w:rPr>
      <w:b/>
      <w:i/>
      <w:noProof/>
      <w:color w:val="auto"/>
      <w:sz w:val="18"/>
    </w:rPr>
  </w:style>
  <w:style w:type="paragraph" w:customStyle="1" w:styleId="TableEntry">
    <w:name w:val="TableEntry"/>
    <w:basedOn w:val="Normal"/>
    <w:rsid w:val="009D2B4C"/>
    <w:pPr>
      <w:tabs>
        <w:tab w:val="num" w:pos="1209"/>
      </w:tabs>
      <w:spacing w:before="80" w:after="0"/>
      <w:ind w:right="720"/>
    </w:pPr>
    <w:rPr>
      <w:i/>
      <w:noProof/>
      <w:color w:val="auto"/>
      <w:sz w:val="18"/>
    </w:rPr>
  </w:style>
  <w:style w:type="paragraph" w:customStyle="1" w:styleId="BoxTitle">
    <w:name w:val="Box Title"/>
    <w:basedOn w:val="Normal"/>
    <w:next w:val="BoxText"/>
    <w:rsid w:val="009D2B4C"/>
    <w:pPr>
      <w:pBdr>
        <w:top w:val="single" w:sz="6" w:space="7" w:color="auto"/>
        <w:left w:val="single" w:sz="6" w:space="7" w:color="auto"/>
        <w:right w:val="single" w:sz="6" w:space="7" w:color="auto"/>
      </w:pBdr>
      <w:shd w:val="pct10" w:color="auto" w:fill="auto"/>
      <w:tabs>
        <w:tab w:val="num" w:pos="1209"/>
      </w:tabs>
      <w:spacing w:before="120" w:after="0" w:line="360" w:lineRule="auto"/>
      <w:ind w:left="119" w:right="119"/>
      <w:jc w:val="center"/>
    </w:pPr>
    <w:rPr>
      <w:b/>
      <w:noProof/>
      <w:color w:val="auto"/>
      <w:sz w:val="20"/>
    </w:rPr>
  </w:style>
  <w:style w:type="character" w:customStyle="1" w:styleId="Chart">
    <w:name w:val="Chart"/>
    <w:rsid w:val="009D2B4C"/>
    <w:rPr>
      <w:rFonts w:cs="Times New Roman"/>
    </w:rPr>
  </w:style>
  <w:style w:type="paragraph" w:customStyle="1" w:styleId="RandListLev2">
    <w:name w:val="Rand List Lev2"/>
    <w:basedOn w:val="RandListLev1"/>
    <w:rsid w:val="009D2B4C"/>
    <w:pPr>
      <w:tabs>
        <w:tab w:val="clear" w:pos="754"/>
        <w:tab w:val="left" w:pos="1134"/>
      </w:tabs>
      <w:ind w:left="1134"/>
    </w:pPr>
  </w:style>
  <w:style w:type="paragraph" w:customStyle="1" w:styleId="RandListLev3">
    <w:name w:val="Rand List Lev3"/>
    <w:basedOn w:val="RandListLev2"/>
    <w:rsid w:val="009D2B4C"/>
    <w:pPr>
      <w:tabs>
        <w:tab w:val="clear" w:pos="1134"/>
        <w:tab w:val="left" w:pos="1559"/>
      </w:tabs>
      <w:ind w:left="1559"/>
    </w:pPr>
  </w:style>
  <w:style w:type="paragraph" w:customStyle="1" w:styleId="RandListLev4">
    <w:name w:val="Rand List Lev4"/>
    <w:basedOn w:val="RandListLev3"/>
    <w:rsid w:val="009D2B4C"/>
    <w:pPr>
      <w:tabs>
        <w:tab w:val="clear" w:pos="1559"/>
        <w:tab w:val="left" w:pos="1984"/>
      </w:tabs>
      <w:ind w:left="1984"/>
    </w:pPr>
  </w:style>
  <w:style w:type="paragraph" w:customStyle="1" w:styleId="DefListHeader">
    <w:name w:val="Def List Header"/>
    <w:basedOn w:val="Normal"/>
    <w:next w:val="Normal"/>
    <w:rsid w:val="009D2B4C"/>
    <w:pPr>
      <w:keepNext/>
      <w:tabs>
        <w:tab w:val="left" w:pos="2835"/>
      </w:tabs>
      <w:spacing w:before="120" w:after="0"/>
      <w:ind w:right="720"/>
    </w:pPr>
    <w:rPr>
      <w:b/>
      <w:i/>
      <w:caps/>
      <w:noProof/>
      <w:color w:val="auto"/>
      <w:sz w:val="28"/>
    </w:rPr>
  </w:style>
  <w:style w:type="paragraph" w:customStyle="1" w:styleId="DefinitionList">
    <w:name w:val="Definition List"/>
    <w:basedOn w:val="Normal"/>
    <w:next w:val="Normal"/>
    <w:rsid w:val="009D2B4C"/>
    <w:pPr>
      <w:tabs>
        <w:tab w:val="left" w:pos="2835"/>
      </w:tabs>
      <w:spacing w:before="120" w:after="0"/>
      <w:ind w:left="2835" w:right="720" w:hanging="2835"/>
    </w:pPr>
    <w:rPr>
      <w:i/>
      <w:noProof/>
      <w:color w:val="auto"/>
      <w:sz w:val="18"/>
    </w:rPr>
  </w:style>
  <w:style w:type="paragraph" w:customStyle="1" w:styleId="DocTitle">
    <w:name w:val="DocTitle"/>
    <w:basedOn w:val="Normal"/>
    <w:next w:val="MeetingInfo"/>
    <w:rsid w:val="009D2B4C"/>
    <w:pPr>
      <w:spacing w:before="120" w:after="480"/>
      <w:ind w:right="720"/>
      <w:jc w:val="center"/>
    </w:pPr>
    <w:rPr>
      <w:i/>
      <w:smallCaps/>
      <w:noProof/>
      <w:color w:val="808080"/>
      <w:sz w:val="56"/>
    </w:rPr>
  </w:style>
  <w:style w:type="paragraph" w:customStyle="1" w:styleId="EndBox">
    <w:name w:val="EndBox"/>
    <w:basedOn w:val="Normal"/>
    <w:next w:val="Normal"/>
    <w:rsid w:val="009D2B4C"/>
    <w:pPr>
      <w:pBdr>
        <w:left w:val="single" w:sz="6" w:space="1" w:color="auto"/>
        <w:bottom w:val="single" w:sz="6" w:space="1" w:color="auto"/>
        <w:right w:val="single" w:sz="6" w:space="1" w:color="auto"/>
      </w:pBdr>
      <w:shd w:val="pct10" w:color="auto" w:fill="auto"/>
      <w:spacing w:before="100" w:after="0"/>
      <w:ind w:right="720"/>
    </w:pPr>
    <w:rPr>
      <w:i/>
      <w:noProof/>
      <w:color w:val="auto"/>
      <w:sz w:val="18"/>
    </w:rPr>
  </w:style>
  <w:style w:type="paragraph" w:customStyle="1" w:styleId="FigInfo-P">
    <w:name w:val="FigInfo-P"/>
    <w:basedOn w:val="Normal"/>
    <w:rsid w:val="009D2B4C"/>
    <w:pPr>
      <w:spacing w:before="120" w:after="0"/>
      <w:ind w:right="720"/>
    </w:pPr>
    <w:rPr>
      <w:i/>
      <w:noProof/>
      <w:color w:val="auto"/>
      <w:sz w:val="18"/>
    </w:rPr>
  </w:style>
  <w:style w:type="paragraph" w:customStyle="1" w:styleId="FigureTitle">
    <w:name w:val="Figure Title"/>
    <w:basedOn w:val="Normal"/>
    <w:rsid w:val="009D2B4C"/>
    <w:pPr>
      <w:keepNext/>
      <w:spacing w:before="120" w:after="0"/>
      <w:ind w:right="720"/>
    </w:pPr>
    <w:rPr>
      <w:b/>
      <w:noProof/>
      <w:color w:val="auto"/>
      <w:sz w:val="18"/>
    </w:rPr>
  </w:style>
  <w:style w:type="character" w:customStyle="1" w:styleId="Graph">
    <w:name w:val="Graph"/>
    <w:rsid w:val="009D2B4C"/>
    <w:rPr>
      <w:rFonts w:cs="Times New Roman"/>
    </w:rPr>
  </w:style>
  <w:style w:type="character" w:customStyle="1" w:styleId="Image">
    <w:name w:val="Image"/>
    <w:rsid w:val="009D2B4C"/>
    <w:rPr>
      <w:rFonts w:cs="Times New Roman"/>
    </w:rPr>
  </w:style>
  <w:style w:type="character" w:customStyle="1" w:styleId="ItalicUnderline">
    <w:name w:val="Italic Underline"/>
    <w:rsid w:val="009D2B4C"/>
    <w:rPr>
      <w:i/>
      <w:u w:val="single"/>
    </w:rPr>
  </w:style>
  <w:style w:type="paragraph" w:customStyle="1" w:styleId="ListHeader">
    <w:name w:val="List Header"/>
    <w:basedOn w:val="Normal"/>
    <w:rsid w:val="009D2B4C"/>
    <w:pPr>
      <w:keepNext/>
      <w:spacing w:before="120" w:after="0"/>
      <w:ind w:right="720"/>
    </w:pPr>
    <w:rPr>
      <w:i/>
      <w:noProof/>
      <w:color w:val="auto"/>
      <w:sz w:val="18"/>
    </w:rPr>
  </w:style>
  <w:style w:type="paragraph" w:customStyle="1" w:styleId="MeetInfo">
    <w:name w:val="MeetInfo"/>
    <w:basedOn w:val="Normal"/>
    <w:next w:val="Normal"/>
    <w:rsid w:val="009D2B4C"/>
    <w:pPr>
      <w:tabs>
        <w:tab w:val="left" w:pos="426"/>
      </w:tabs>
      <w:spacing w:before="60" w:after="0"/>
      <w:ind w:right="720"/>
    </w:pPr>
    <w:rPr>
      <w:i/>
      <w:noProof/>
      <w:color w:val="auto"/>
      <w:sz w:val="18"/>
    </w:rPr>
  </w:style>
  <w:style w:type="paragraph" w:customStyle="1" w:styleId="SpacePara">
    <w:name w:val="SpacePara"/>
    <w:basedOn w:val="Normal"/>
    <w:next w:val="DocTitle"/>
    <w:rsid w:val="009D2B4C"/>
    <w:pPr>
      <w:spacing w:before="100" w:after="0" w:line="480" w:lineRule="auto"/>
      <w:ind w:right="720"/>
    </w:pPr>
    <w:rPr>
      <w:i/>
      <w:noProof/>
      <w:color w:val="auto"/>
      <w:sz w:val="18"/>
    </w:rPr>
  </w:style>
  <w:style w:type="character" w:customStyle="1" w:styleId="NroPara">
    <w:name w:val="NroPara"/>
    <w:rsid w:val="009D2B4C"/>
    <w:rPr>
      <w:rFonts w:cs="Times New Roman"/>
    </w:rPr>
  </w:style>
  <w:style w:type="character" w:customStyle="1" w:styleId="NumBox">
    <w:name w:val="NumBox"/>
    <w:rsid w:val="009D2B4C"/>
    <w:rPr>
      <w:rFonts w:cs="Times New Roman"/>
    </w:rPr>
  </w:style>
  <w:style w:type="character" w:customStyle="1" w:styleId="NumFigure">
    <w:name w:val="NumFigure"/>
    <w:rsid w:val="009D2B4C"/>
    <w:rPr>
      <w:rFonts w:cs="Times New Roman"/>
    </w:rPr>
  </w:style>
  <w:style w:type="character" w:customStyle="1" w:styleId="NumTable">
    <w:name w:val="NumTable"/>
    <w:rsid w:val="009D2B4C"/>
    <w:rPr>
      <w:rFonts w:cs="Times New Roman"/>
    </w:rPr>
  </w:style>
  <w:style w:type="paragraph" w:customStyle="1" w:styleId="PgBrk">
    <w:name w:val="PgBrk"/>
    <w:basedOn w:val="Normal"/>
    <w:next w:val="Heading1"/>
    <w:rsid w:val="009D2B4C"/>
    <w:pPr>
      <w:pageBreakBefore/>
      <w:spacing w:before="120" w:after="0" w:line="14" w:lineRule="exact"/>
      <w:ind w:right="720"/>
    </w:pPr>
    <w:rPr>
      <w:i/>
      <w:noProof/>
      <w:color w:val="auto"/>
      <w:sz w:val="18"/>
    </w:rPr>
  </w:style>
  <w:style w:type="paragraph" w:customStyle="1" w:styleId="StartBack">
    <w:name w:val="StartBack"/>
    <w:basedOn w:val="SpacePara"/>
    <w:next w:val="Normal"/>
    <w:rsid w:val="009D2B4C"/>
  </w:style>
  <w:style w:type="paragraph" w:customStyle="1" w:styleId="StartBody">
    <w:name w:val="StartBody"/>
    <w:basedOn w:val="SpacePara"/>
    <w:next w:val="Normal"/>
    <w:rsid w:val="009D2B4C"/>
  </w:style>
  <w:style w:type="paragraph" w:customStyle="1" w:styleId="TBL-COLMNhd">
    <w:name w:val="TBL-COLMNhd"/>
    <w:basedOn w:val="Normal"/>
    <w:rsid w:val="009D2B4C"/>
    <w:pPr>
      <w:tabs>
        <w:tab w:val="left" w:pos="-720"/>
      </w:tabs>
      <w:suppressAutoHyphens/>
      <w:spacing w:before="60" w:after="20"/>
      <w:ind w:right="720"/>
      <w:jc w:val="center"/>
    </w:pPr>
    <w:rPr>
      <w:b/>
      <w:i/>
      <w:noProof/>
      <w:color w:val="auto"/>
      <w:sz w:val="18"/>
    </w:rPr>
  </w:style>
  <w:style w:type="character" w:customStyle="1" w:styleId="Term">
    <w:name w:val="Term"/>
    <w:rsid w:val="009D2B4C"/>
    <w:rPr>
      <w:b/>
    </w:rPr>
  </w:style>
  <w:style w:type="character" w:customStyle="1" w:styleId="TermHeading">
    <w:name w:val="Term Heading"/>
    <w:rsid w:val="009D2B4C"/>
    <w:rPr>
      <w:b/>
    </w:rPr>
  </w:style>
  <w:style w:type="paragraph" w:customStyle="1" w:styleId="TOCRef">
    <w:name w:val="TOCRef"/>
    <w:basedOn w:val="Normal"/>
    <w:next w:val="TOC1"/>
    <w:rsid w:val="009D2B4C"/>
    <w:pPr>
      <w:spacing w:before="120" w:after="0" w:line="200" w:lineRule="exact"/>
      <w:ind w:right="720"/>
      <w:jc w:val="right"/>
    </w:pPr>
    <w:rPr>
      <w:i/>
      <w:noProof/>
      <w:color w:val="auto"/>
      <w:sz w:val="18"/>
    </w:rPr>
  </w:style>
  <w:style w:type="paragraph" w:customStyle="1" w:styleId="TOCTitle">
    <w:name w:val="TOCTitle"/>
    <w:basedOn w:val="Normal"/>
    <w:next w:val="TOCRef"/>
    <w:rsid w:val="009D2B4C"/>
    <w:pPr>
      <w:pBdr>
        <w:top w:val="single" w:sz="6" w:space="5" w:color="auto"/>
        <w:bottom w:val="single" w:sz="6" w:space="5" w:color="auto"/>
      </w:pBdr>
      <w:spacing w:before="600" w:after="600" w:line="360" w:lineRule="auto"/>
      <w:ind w:left="-170" w:right="-170"/>
      <w:jc w:val="center"/>
    </w:pPr>
    <w:rPr>
      <w:b/>
      <w:i/>
      <w:noProof/>
      <w:color w:val="auto"/>
      <w:sz w:val="28"/>
    </w:rPr>
  </w:style>
  <w:style w:type="character" w:customStyle="1" w:styleId="Underline">
    <w:name w:val="Underline"/>
    <w:rsid w:val="009D2B4C"/>
    <w:rPr>
      <w:u w:val="single"/>
    </w:rPr>
  </w:style>
  <w:style w:type="character" w:customStyle="1" w:styleId="XReference">
    <w:name w:val="XReference"/>
    <w:rsid w:val="009D2B4C"/>
    <w:rPr>
      <w:color w:val="0000FF"/>
    </w:rPr>
  </w:style>
  <w:style w:type="paragraph" w:customStyle="1" w:styleId="Format1">
    <w:name w:val="Format1"/>
    <w:basedOn w:val="Normal"/>
    <w:rsid w:val="009D2B4C"/>
    <w:pPr>
      <w:spacing w:before="60" w:after="0"/>
      <w:ind w:right="720"/>
    </w:pPr>
    <w:rPr>
      <w:rFonts w:ascii="Courier New" w:hAnsi="Courier New"/>
      <w:i/>
      <w:noProof/>
      <w:color w:val="auto"/>
      <w:sz w:val="18"/>
    </w:rPr>
  </w:style>
  <w:style w:type="paragraph" w:customStyle="1" w:styleId="Format2">
    <w:name w:val="Format2"/>
    <w:basedOn w:val="Normal"/>
    <w:rsid w:val="009D2B4C"/>
    <w:pPr>
      <w:spacing w:before="60" w:after="0"/>
      <w:ind w:right="720"/>
    </w:pPr>
    <w:rPr>
      <w:rFonts w:ascii="Courier New" w:hAnsi="Courier New"/>
      <w:i/>
      <w:noProof/>
      <w:color w:val="auto"/>
      <w:sz w:val="16"/>
    </w:rPr>
  </w:style>
  <w:style w:type="paragraph" w:customStyle="1" w:styleId="RightJust">
    <w:name w:val="RightJust"/>
    <w:basedOn w:val="Normal"/>
    <w:rsid w:val="009D2B4C"/>
    <w:pPr>
      <w:spacing w:before="120" w:after="0"/>
      <w:ind w:right="720"/>
      <w:jc w:val="right"/>
    </w:pPr>
    <w:rPr>
      <w:i/>
      <w:noProof/>
      <w:color w:val="auto"/>
      <w:sz w:val="18"/>
    </w:rPr>
  </w:style>
  <w:style w:type="paragraph" w:customStyle="1" w:styleId="BlockQuote">
    <w:name w:val="BlockQuote"/>
    <w:basedOn w:val="Normal"/>
    <w:rsid w:val="009D2B4C"/>
    <w:pPr>
      <w:spacing w:before="60" w:after="0"/>
      <w:ind w:left="284" w:right="284"/>
    </w:pPr>
    <w:rPr>
      <w:noProof/>
      <w:color w:val="auto"/>
      <w:sz w:val="18"/>
    </w:rPr>
  </w:style>
  <w:style w:type="paragraph" w:customStyle="1" w:styleId="BoxBlankLine">
    <w:name w:val="Box BlankLine"/>
    <w:basedOn w:val="BlankLine"/>
    <w:next w:val="Normal"/>
    <w:rsid w:val="009D2B4C"/>
    <w:pPr>
      <w:pBdr>
        <w:left w:val="single" w:sz="6" w:space="1" w:color="auto"/>
        <w:right w:val="single" w:sz="6" w:space="1" w:color="auto"/>
      </w:pBdr>
      <w:shd w:val="pct10" w:color="auto" w:fill="auto"/>
      <w:jc w:val="both"/>
    </w:pPr>
    <w:rPr>
      <w:sz w:val="20"/>
    </w:rPr>
  </w:style>
  <w:style w:type="paragraph" w:customStyle="1" w:styleId="BoxFigCaption">
    <w:name w:val="Box FigCaption"/>
    <w:basedOn w:val="Normal"/>
    <w:rsid w:val="009D2B4C"/>
    <w:pPr>
      <w:shd w:val="pct10" w:color="auto" w:fill="auto"/>
      <w:spacing w:before="100" w:after="0"/>
      <w:ind w:right="720"/>
      <w:jc w:val="both"/>
    </w:pPr>
    <w:rPr>
      <w:noProof/>
      <w:color w:val="auto"/>
      <w:sz w:val="20"/>
    </w:rPr>
  </w:style>
  <w:style w:type="paragraph" w:customStyle="1" w:styleId="BoxTableTitle">
    <w:name w:val="Box Table Title"/>
    <w:basedOn w:val="Normal"/>
    <w:rsid w:val="009D2B4C"/>
    <w:pPr>
      <w:keepNext/>
      <w:pBdr>
        <w:left w:val="single" w:sz="6" w:space="1" w:color="auto"/>
        <w:right w:val="single" w:sz="6" w:space="1" w:color="auto"/>
      </w:pBdr>
      <w:shd w:val="pct10" w:color="auto" w:fill="auto"/>
      <w:spacing w:before="120" w:after="0"/>
      <w:ind w:right="720"/>
      <w:jc w:val="both"/>
    </w:pPr>
    <w:rPr>
      <w:b/>
      <w:i/>
      <w:noProof/>
      <w:color w:val="auto"/>
      <w:sz w:val="20"/>
    </w:rPr>
  </w:style>
  <w:style w:type="paragraph" w:customStyle="1" w:styleId="BoxTblEntry">
    <w:name w:val="Box TblEntry"/>
    <w:basedOn w:val="Normal"/>
    <w:rsid w:val="009D2B4C"/>
    <w:pPr>
      <w:shd w:val="pct10" w:color="auto" w:fill="auto"/>
      <w:spacing w:before="120" w:after="0"/>
      <w:ind w:right="720"/>
      <w:jc w:val="both"/>
    </w:pPr>
    <w:rPr>
      <w:i/>
      <w:noProof/>
      <w:color w:val="auto"/>
      <w:sz w:val="20"/>
    </w:rPr>
  </w:style>
  <w:style w:type="character" w:customStyle="1" w:styleId="BoxFigInfo-C">
    <w:name w:val="BoxFigInfo-C"/>
    <w:rsid w:val="009D2B4C"/>
    <w:rPr>
      <w:rFonts w:cs="Times New Roman"/>
    </w:rPr>
  </w:style>
  <w:style w:type="paragraph" w:customStyle="1" w:styleId="BoxFigInfo-P">
    <w:name w:val="BoxFigInfo-P"/>
    <w:basedOn w:val="BoxText"/>
    <w:rsid w:val="009D2B4C"/>
  </w:style>
  <w:style w:type="paragraph" w:customStyle="1" w:styleId="BoxFigTitle">
    <w:name w:val="BoxFigTitle"/>
    <w:basedOn w:val="BoxFigCaption"/>
    <w:rsid w:val="009D2B4C"/>
    <w:pPr>
      <w:keepNext/>
    </w:pPr>
    <w:rPr>
      <w:b/>
      <w:i/>
    </w:rPr>
  </w:style>
  <w:style w:type="paragraph" w:customStyle="1" w:styleId="BoxTblColHd">
    <w:name w:val="BoxTblColHd"/>
    <w:basedOn w:val="BoxTblEntry"/>
    <w:rsid w:val="009D2B4C"/>
    <w:rPr>
      <w:b/>
    </w:rPr>
  </w:style>
  <w:style w:type="paragraph" w:customStyle="1" w:styleId="DashListLev1">
    <w:name w:val="Dash List Lev1"/>
    <w:basedOn w:val="Normal"/>
    <w:rsid w:val="009D2B4C"/>
    <w:pPr>
      <w:tabs>
        <w:tab w:val="num" w:pos="360"/>
        <w:tab w:val="num" w:pos="720"/>
      </w:tabs>
      <w:spacing w:before="100" w:after="0"/>
      <w:ind w:left="360" w:right="720" w:hanging="360"/>
    </w:pPr>
    <w:rPr>
      <w:i/>
      <w:noProof/>
      <w:color w:val="auto"/>
      <w:sz w:val="18"/>
    </w:rPr>
  </w:style>
  <w:style w:type="paragraph" w:customStyle="1" w:styleId="DashListLev2">
    <w:name w:val="Dash List Lev2"/>
    <w:basedOn w:val="DashListLev1"/>
    <w:rsid w:val="009D2B4C"/>
    <w:pPr>
      <w:tabs>
        <w:tab w:val="clear" w:pos="360"/>
        <w:tab w:val="num" w:pos="2892"/>
      </w:tabs>
      <w:ind w:left="981" w:hanging="357"/>
    </w:pPr>
  </w:style>
  <w:style w:type="paragraph" w:customStyle="1" w:styleId="DashListLev3">
    <w:name w:val="Dash List Lev3"/>
    <w:basedOn w:val="DashListLev2"/>
    <w:rsid w:val="009D2B4C"/>
    <w:pPr>
      <w:tabs>
        <w:tab w:val="clear" w:pos="720"/>
        <w:tab w:val="num" w:pos="926"/>
      </w:tabs>
      <w:ind w:left="1208"/>
    </w:pPr>
  </w:style>
  <w:style w:type="paragraph" w:customStyle="1" w:styleId="DashListLev4">
    <w:name w:val="Dash List Lev4"/>
    <w:basedOn w:val="DashListLev3"/>
    <w:rsid w:val="009D2B4C"/>
    <w:pPr>
      <w:tabs>
        <w:tab w:val="clear" w:pos="926"/>
        <w:tab w:val="num" w:pos="1080"/>
      </w:tabs>
      <w:ind w:left="1434"/>
    </w:pPr>
  </w:style>
  <w:style w:type="paragraph" w:styleId="EndnoteText">
    <w:name w:val="endnote text"/>
    <w:basedOn w:val="Normal"/>
    <w:link w:val="EndnoteTextChar"/>
    <w:semiHidden/>
    <w:locked/>
    <w:rsid w:val="009D2B4C"/>
    <w:pPr>
      <w:tabs>
        <w:tab w:val="num" w:pos="780"/>
      </w:tabs>
      <w:spacing w:before="120" w:after="0"/>
      <w:ind w:right="720"/>
    </w:pPr>
    <w:rPr>
      <w:i/>
      <w:noProof/>
      <w:color w:val="auto"/>
      <w:sz w:val="20"/>
    </w:rPr>
  </w:style>
  <w:style w:type="character" w:customStyle="1" w:styleId="EndnoteTextChar">
    <w:name w:val="Endnote Text Char"/>
    <w:link w:val="EndnoteText"/>
    <w:semiHidden/>
    <w:locked/>
    <w:rsid w:val="009D2B4C"/>
    <w:rPr>
      <w:rFonts w:ascii="Times New Roman" w:hAnsi="Times New Roman" w:cs="Times New Roman"/>
      <w:i/>
      <w:noProof/>
      <w:sz w:val="20"/>
      <w:szCs w:val="20"/>
      <w:lang w:val="en-GB" w:eastAsia="zh-CN"/>
    </w:rPr>
  </w:style>
  <w:style w:type="character" w:customStyle="1" w:styleId="FigInfo-C">
    <w:name w:val="FigInfo-C"/>
    <w:rsid w:val="009D2B4C"/>
    <w:rPr>
      <w:rFonts w:cs="Times New Roman"/>
    </w:rPr>
  </w:style>
  <w:style w:type="paragraph" w:customStyle="1" w:styleId="ParaNote">
    <w:name w:val="Para Note"/>
    <w:basedOn w:val="Note"/>
    <w:rsid w:val="009D2B4C"/>
    <w:pPr>
      <w:keepLines w:val="0"/>
      <w:pBdr>
        <w:top w:val="single" w:sz="6" w:space="3" w:color="auto" w:shadow="1"/>
        <w:left w:val="single" w:sz="6" w:space="3" w:color="auto" w:shadow="1"/>
        <w:bottom w:val="single" w:sz="6" w:space="3" w:color="auto" w:shadow="1"/>
        <w:right w:val="single" w:sz="6" w:space="3" w:color="auto" w:shadow="1"/>
      </w:pBdr>
      <w:shd w:val="pct20" w:color="auto" w:fill="auto"/>
      <w:suppressAutoHyphens/>
      <w:spacing w:before="120"/>
      <w:ind w:right="720"/>
    </w:pPr>
    <w:rPr>
      <w:b/>
      <w:noProof/>
      <w:sz w:val="18"/>
    </w:rPr>
  </w:style>
  <w:style w:type="character" w:customStyle="1" w:styleId="Picture">
    <w:name w:val="Picture"/>
    <w:rsid w:val="009D2B4C"/>
    <w:rPr>
      <w:rFonts w:cs="Times New Roman"/>
    </w:rPr>
  </w:style>
  <w:style w:type="paragraph" w:customStyle="1" w:styleId="PlainList1">
    <w:name w:val="PlainList 1"/>
    <w:basedOn w:val="Normal"/>
    <w:rsid w:val="009D2B4C"/>
    <w:pPr>
      <w:spacing w:before="100" w:after="0"/>
      <w:ind w:right="720"/>
    </w:pPr>
    <w:rPr>
      <w:i/>
      <w:noProof/>
      <w:color w:val="auto"/>
      <w:sz w:val="18"/>
    </w:rPr>
  </w:style>
  <w:style w:type="paragraph" w:customStyle="1" w:styleId="PlainList2">
    <w:name w:val="PlainList 2"/>
    <w:basedOn w:val="PlainList1"/>
    <w:rsid w:val="009D2B4C"/>
    <w:pPr>
      <w:ind w:left="567"/>
    </w:pPr>
  </w:style>
  <w:style w:type="paragraph" w:customStyle="1" w:styleId="PlainList3">
    <w:name w:val="PlainList 3"/>
    <w:basedOn w:val="PlainList2"/>
    <w:rsid w:val="009D2B4C"/>
    <w:pPr>
      <w:ind w:left="1134"/>
    </w:pPr>
  </w:style>
  <w:style w:type="paragraph" w:customStyle="1" w:styleId="PlainList4">
    <w:name w:val="PlainList 4"/>
    <w:basedOn w:val="PlainList3"/>
    <w:rsid w:val="009D2B4C"/>
    <w:pPr>
      <w:ind w:left="1701"/>
    </w:pPr>
  </w:style>
  <w:style w:type="character" w:customStyle="1" w:styleId="Quote1">
    <w:name w:val="Quote1"/>
    <w:rsid w:val="009D2B4C"/>
    <w:rPr>
      <w:rFonts w:ascii="Times New Roman" w:hAnsi="Times New Roman"/>
      <w:i/>
      <w:sz w:val="20"/>
    </w:rPr>
  </w:style>
  <w:style w:type="character" w:customStyle="1" w:styleId="NroSeq">
    <w:name w:val="NroSeq"/>
    <w:rsid w:val="009D2B4C"/>
    <w:rPr>
      <w:color w:val="0000FF"/>
    </w:rPr>
  </w:style>
  <w:style w:type="character" w:customStyle="1" w:styleId="NroTOC">
    <w:name w:val="NroTOC"/>
    <w:rsid w:val="009D2B4C"/>
    <w:rPr>
      <w:color w:val="auto"/>
      <w:sz w:val="22"/>
      <w:u w:val="none"/>
      <w:vertAlign w:val="baseline"/>
    </w:rPr>
  </w:style>
  <w:style w:type="paragraph" w:customStyle="1" w:styleId="PrelimNote">
    <w:name w:val="PrelimNote"/>
    <w:basedOn w:val="Normal"/>
    <w:next w:val="Normal"/>
    <w:rsid w:val="009D2B4C"/>
    <w:pPr>
      <w:spacing w:before="120" w:after="0"/>
      <w:ind w:left="709" w:right="709"/>
    </w:pPr>
    <w:rPr>
      <w:i/>
      <w:noProof/>
      <w:color w:val="auto"/>
      <w:sz w:val="18"/>
    </w:rPr>
  </w:style>
  <w:style w:type="paragraph" w:customStyle="1" w:styleId="CentredJust">
    <w:name w:val="CentredJust"/>
    <w:basedOn w:val="Normal"/>
    <w:rsid w:val="009D2B4C"/>
    <w:pPr>
      <w:spacing w:before="120" w:after="0"/>
      <w:ind w:right="720"/>
      <w:jc w:val="center"/>
    </w:pPr>
    <w:rPr>
      <w:i/>
      <w:noProof/>
      <w:color w:val="auto"/>
      <w:sz w:val="18"/>
    </w:rPr>
  </w:style>
  <w:style w:type="character" w:customStyle="1" w:styleId="Subscript">
    <w:name w:val="Subscript"/>
    <w:rsid w:val="009D2B4C"/>
    <w:rPr>
      <w:vertAlign w:val="subscript"/>
      <w:lang w:val="en-GB"/>
    </w:rPr>
  </w:style>
  <w:style w:type="character" w:customStyle="1" w:styleId="Superscript">
    <w:name w:val="Superscript"/>
    <w:rsid w:val="009D2B4C"/>
    <w:rPr>
      <w:vertAlign w:val="superscript"/>
      <w:lang w:val="en-GB"/>
    </w:rPr>
  </w:style>
  <w:style w:type="paragraph" w:customStyle="1" w:styleId="ListDel">
    <w:name w:val="ListDel"/>
    <w:basedOn w:val="Normal"/>
    <w:next w:val="Country"/>
    <w:rsid w:val="009D2B4C"/>
    <w:pPr>
      <w:spacing w:before="120" w:after="0"/>
      <w:ind w:right="720"/>
      <w:jc w:val="center"/>
    </w:pPr>
    <w:rPr>
      <w:b/>
      <w:i/>
      <w:noProof/>
      <w:color w:val="auto"/>
      <w:sz w:val="18"/>
    </w:rPr>
  </w:style>
  <w:style w:type="paragraph" w:customStyle="1" w:styleId="Country">
    <w:name w:val="Country"/>
    <w:basedOn w:val="Normal"/>
    <w:next w:val="Role"/>
    <w:rsid w:val="009D2B4C"/>
    <w:pPr>
      <w:keepNext/>
      <w:spacing w:before="120" w:after="0"/>
      <w:ind w:right="720"/>
    </w:pPr>
    <w:rPr>
      <w:b/>
      <w:i/>
      <w:caps/>
      <w:noProof/>
      <w:color w:val="auto"/>
      <w:sz w:val="18"/>
    </w:rPr>
  </w:style>
  <w:style w:type="paragraph" w:customStyle="1" w:styleId="Role">
    <w:name w:val="Role"/>
    <w:basedOn w:val="Normal"/>
    <w:next w:val="Name"/>
    <w:rsid w:val="009D2B4C"/>
    <w:pPr>
      <w:keepNext/>
      <w:spacing w:before="120" w:after="0"/>
      <w:ind w:right="720"/>
    </w:pPr>
    <w:rPr>
      <w:i/>
      <w:noProof/>
      <w:color w:val="auto"/>
      <w:sz w:val="18"/>
    </w:rPr>
  </w:style>
  <w:style w:type="paragraph" w:customStyle="1" w:styleId="Name">
    <w:name w:val="Name"/>
    <w:basedOn w:val="Normal"/>
    <w:rsid w:val="009D2B4C"/>
    <w:pPr>
      <w:keepLines/>
      <w:spacing w:before="120" w:after="0"/>
      <w:ind w:left="284" w:right="720"/>
    </w:pPr>
    <w:rPr>
      <w:i/>
      <w:noProof/>
      <w:color w:val="auto"/>
      <w:sz w:val="18"/>
    </w:rPr>
  </w:style>
  <w:style w:type="paragraph" w:customStyle="1" w:styleId="ColumnBreak">
    <w:name w:val="ColumnBreak"/>
    <w:basedOn w:val="Normal"/>
    <w:next w:val="Normal"/>
    <w:rsid w:val="009D2B4C"/>
    <w:pPr>
      <w:spacing w:before="100" w:after="0" w:line="10" w:lineRule="exact"/>
      <w:ind w:right="720"/>
    </w:pPr>
    <w:rPr>
      <w:rFonts w:ascii="Courier New" w:hAnsi="Courier New"/>
      <w:i/>
      <w:noProof/>
      <w:color w:val="auto"/>
      <w:sz w:val="18"/>
    </w:rPr>
  </w:style>
  <w:style w:type="paragraph" w:customStyle="1" w:styleId="ContBrk">
    <w:name w:val="ContBrk"/>
    <w:basedOn w:val="Normal"/>
    <w:next w:val="Normal"/>
    <w:rsid w:val="009D2B4C"/>
    <w:pPr>
      <w:spacing w:before="120" w:after="0" w:line="360" w:lineRule="auto"/>
      <w:ind w:right="720"/>
    </w:pPr>
    <w:rPr>
      <w:rFonts w:ascii="Courier New" w:hAnsi="Courier New"/>
      <w:i/>
      <w:noProof/>
      <w:color w:val="auto"/>
      <w:sz w:val="18"/>
    </w:rPr>
  </w:style>
  <w:style w:type="paragraph" w:customStyle="1" w:styleId="SectionBreak">
    <w:name w:val="SectionBreak"/>
    <w:basedOn w:val="Normal"/>
    <w:next w:val="Heading1"/>
    <w:rsid w:val="009D2B4C"/>
    <w:pPr>
      <w:spacing w:before="100" w:after="0" w:line="10" w:lineRule="exact"/>
      <w:ind w:right="720"/>
    </w:pPr>
    <w:rPr>
      <w:rFonts w:ascii="Courier New" w:hAnsi="Courier New"/>
      <w:i/>
      <w:noProof/>
      <w:color w:val="auto"/>
      <w:sz w:val="18"/>
    </w:rPr>
  </w:style>
  <w:style w:type="paragraph" w:customStyle="1" w:styleId="HeadingAnnex">
    <w:name w:val="Heading Annex"/>
    <w:basedOn w:val="Normal"/>
    <w:next w:val="Normal"/>
    <w:rsid w:val="009D2B4C"/>
    <w:pPr>
      <w:keepNext/>
      <w:pBdr>
        <w:top w:val="single" w:sz="6" w:space="1" w:color="auto"/>
        <w:bottom w:val="single" w:sz="6" w:space="1" w:color="auto"/>
      </w:pBdr>
      <w:spacing w:before="240" w:after="0"/>
      <w:ind w:left="709" w:right="720" w:hanging="709"/>
      <w:jc w:val="center"/>
    </w:pPr>
    <w:rPr>
      <w:rFonts w:ascii="Times New Roman Bold" w:hAnsi="Times New Roman Bold"/>
      <w:b/>
      <w:i/>
      <w:caps/>
      <w:noProof/>
      <w:color w:val="auto"/>
      <w:sz w:val="24"/>
    </w:rPr>
  </w:style>
  <w:style w:type="paragraph" w:customStyle="1" w:styleId="SeqListLev1">
    <w:name w:val="Seq List Lev1"/>
    <w:basedOn w:val="Normal"/>
    <w:rsid w:val="009D2B4C"/>
    <w:pPr>
      <w:tabs>
        <w:tab w:val="num" w:pos="360"/>
      </w:tabs>
      <w:spacing w:before="100" w:after="0"/>
      <w:ind w:left="360" w:right="720" w:hanging="360"/>
    </w:pPr>
    <w:rPr>
      <w:i/>
      <w:noProof/>
      <w:color w:val="auto"/>
      <w:sz w:val="18"/>
    </w:rPr>
  </w:style>
  <w:style w:type="paragraph" w:customStyle="1" w:styleId="SeqListLev2">
    <w:name w:val="Seq List Lev2"/>
    <w:basedOn w:val="SeqListLev1"/>
    <w:rsid w:val="009D2B4C"/>
    <w:pPr>
      <w:numPr>
        <w:ilvl w:val="2"/>
      </w:numPr>
      <w:tabs>
        <w:tab w:val="num" w:pos="360"/>
      </w:tabs>
      <w:ind w:left="360" w:hanging="360"/>
    </w:pPr>
  </w:style>
  <w:style w:type="paragraph" w:customStyle="1" w:styleId="SeqListLev3">
    <w:name w:val="Seq List Lev3"/>
    <w:basedOn w:val="SeqListLev2"/>
    <w:rsid w:val="009D2B4C"/>
    <w:pPr>
      <w:numPr>
        <w:ilvl w:val="3"/>
      </w:numPr>
      <w:tabs>
        <w:tab w:val="num" w:pos="360"/>
      </w:tabs>
      <w:ind w:left="360" w:hanging="360"/>
    </w:pPr>
  </w:style>
  <w:style w:type="paragraph" w:customStyle="1" w:styleId="SeqListLev4">
    <w:name w:val="Seq List Lev4"/>
    <w:basedOn w:val="SeqListLev3"/>
    <w:rsid w:val="009D2B4C"/>
    <w:pPr>
      <w:numPr>
        <w:ilvl w:val="0"/>
      </w:numPr>
      <w:tabs>
        <w:tab w:val="num" w:pos="360"/>
        <w:tab w:val="num" w:pos="567"/>
        <w:tab w:val="num" w:pos="1209"/>
        <w:tab w:val="num" w:pos="2126"/>
      </w:tabs>
      <w:ind w:left="2126" w:hanging="425"/>
    </w:pPr>
  </w:style>
  <w:style w:type="paragraph" w:customStyle="1" w:styleId="CarCar">
    <w:name w:val="Car Car"/>
    <w:basedOn w:val="Normal"/>
    <w:rsid w:val="009D2B4C"/>
    <w:pPr>
      <w:tabs>
        <w:tab w:val="num" w:pos="805"/>
        <w:tab w:val="num" w:pos="1209"/>
      </w:tabs>
      <w:spacing w:before="100" w:after="160" w:line="240" w:lineRule="exact"/>
      <w:ind w:right="720"/>
    </w:pPr>
    <w:rPr>
      <w:rFonts w:ascii="Tahoma" w:eastAsia="MS Mincho" w:hAnsi="Tahoma"/>
      <w:i/>
      <w:color w:val="auto"/>
      <w:sz w:val="20"/>
      <w:lang w:val="en-US"/>
    </w:rPr>
  </w:style>
  <w:style w:type="paragraph" w:customStyle="1" w:styleId="CharChar">
    <w:name w:val="(文字) (文字) Char (文字) (文字) Char"/>
    <w:basedOn w:val="Normal"/>
    <w:rsid w:val="009D2B4C"/>
    <w:pPr>
      <w:tabs>
        <w:tab w:val="num" w:pos="1209"/>
      </w:tabs>
      <w:spacing w:before="100" w:after="160" w:line="240" w:lineRule="exact"/>
      <w:ind w:right="720"/>
    </w:pPr>
    <w:rPr>
      <w:rFonts w:ascii="Tahoma" w:eastAsia="MS Mincho" w:hAnsi="Tahoma"/>
      <w:i/>
      <w:color w:val="auto"/>
      <w:sz w:val="20"/>
      <w:lang w:val="en-US"/>
    </w:rPr>
  </w:style>
  <w:style w:type="paragraph" w:customStyle="1" w:styleId="IPPBullet2">
    <w:name w:val="IPP Bullet2"/>
    <w:basedOn w:val="IPPNormal"/>
    <w:next w:val="IPPBullet1"/>
    <w:rsid w:val="009D2B4C"/>
    <w:pPr>
      <w:tabs>
        <w:tab w:val="clear" w:pos="1440"/>
        <w:tab w:val="left" w:pos="567"/>
        <w:tab w:val="num" w:pos="643"/>
      </w:tabs>
      <w:spacing w:after="60"/>
      <w:ind w:left="720" w:hanging="360"/>
    </w:pPr>
  </w:style>
  <w:style w:type="paragraph" w:customStyle="1" w:styleId="IPPNormal">
    <w:name w:val="IPP Normal"/>
    <w:basedOn w:val="Normal"/>
    <w:rsid w:val="009D2B4C"/>
    <w:pPr>
      <w:tabs>
        <w:tab w:val="num" w:pos="1440"/>
      </w:tabs>
      <w:spacing w:before="100" w:after="180"/>
      <w:ind w:right="720"/>
      <w:jc w:val="both"/>
    </w:pPr>
    <w:rPr>
      <w:i/>
      <w:color w:val="auto"/>
      <w:sz w:val="18"/>
    </w:rPr>
  </w:style>
  <w:style w:type="paragraph" w:customStyle="1" w:styleId="IPPBullet1">
    <w:name w:val="IPP Bullet1"/>
    <w:basedOn w:val="Normal"/>
    <w:rsid w:val="009D2B4C"/>
    <w:pPr>
      <w:tabs>
        <w:tab w:val="num" w:pos="926"/>
      </w:tabs>
      <w:spacing w:before="100" w:after="60"/>
      <w:ind w:left="926" w:right="720" w:hanging="360"/>
      <w:jc w:val="both"/>
    </w:pPr>
    <w:rPr>
      <w:i/>
      <w:color w:val="auto"/>
      <w:sz w:val="18"/>
    </w:rPr>
  </w:style>
  <w:style w:type="paragraph" w:customStyle="1" w:styleId="IPPTitle16ptIndent">
    <w:name w:val="IPP Title16pt Indent"/>
    <w:basedOn w:val="Normal"/>
    <w:rsid w:val="009D2B4C"/>
    <w:pPr>
      <w:spacing w:before="100" w:after="720"/>
      <w:ind w:left="1701" w:right="1701"/>
      <w:jc w:val="center"/>
    </w:pPr>
    <w:rPr>
      <w:rFonts w:ascii="Arial" w:hAnsi="Arial"/>
      <w:b/>
      <w:i/>
      <w:color w:val="auto"/>
      <w:sz w:val="32"/>
    </w:rPr>
  </w:style>
  <w:style w:type="paragraph" w:customStyle="1" w:styleId="IPPHeadSection">
    <w:name w:val="IPP HeadSection"/>
    <w:basedOn w:val="Normal"/>
    <w:next w:val="Normal"/>
    <w:rsid w:val="009D2B4C"/>
    <w:pPr>
      <w:keepNext/>
      <w:tabs>
        <w:tab w:val="left" w:pos="851"/>
      </w:tabs>
      <w:spacing w:before="360" w:after="120"/>
      <w:ind w:left="851" w:right="720" w:hanging="851"/>
      <w:jc w:val="both"/>
      <w:outlineLvl w:val="0"/>
    </w:pPr>
    <w:rPr>
      <w:b/>
      <w:i/>
      <w:caps/>
      <w:color w:val="auto"/>
      <w:sz w:val="24"/>
    </w:rPr>
  </w:style>
  <w:style w:type="paragraph" w:customStyle="1" w:styleId="IPPHeading1">
    <w:name w:val="IPP Heading1"/>
    <w:basedOn w:val="IPPNormal"/>
    <w:next w:val="IPPNormal"/>
    <w:rsid w:val="009D2B4C"/>
    <w:pPr>
      <w:keepNext/>
      <w:tabs>
        <w:tab w:val="left" w:pos="567"/>
      </w:tabs>
      <w:spacing w:before="240" w:after="120"/>
      <w:ind w:left="567" w:hanging="567"/>
      <w:jc w:val="left"/>
      <w:outlineLvl w:val="1"/>
    </w:pPr>
    <w:rPr>
      <w:b/>
      <w:sz w:val="24"/>
    </w:rPr>
  </w:style>
  <w:style w:type="paragraph" w:customStyle="1" w:styleId="IPPSubhead">
    <w:name w:val="IPP Subhead"/>
    <w:basedOn w:val="Normal"/>
    <w:rsid w:val="009D2B4C"/>
    <w:pPr>
      <w:keepNext/>
      <w:spacing w:before="100" w:after="0"/>
      <w:ind w:left="567" w:right="720" w:hanging="567"/>
    </w:pPr>
    <w:rPr>
      <w:b/>
      <w:i/>
      <w:color w:val="auto"/>
      <w:sz w:val="18"/>
    </w:rPr>
  </w:style>
  <w:style w:type="paragraph" w:customStyle="1" w:styleId="IPPBullet1Last">
    <w:name w:val="IPP Bullet1Last"/>
    <w:basedOn w:val="IPPNormal"/>
    <w:next w:val="IPPBullet1"/>
    <w:rsid w:val="009D2B4C"/>
    <w:pPr>
      <w:tabs>
        <w:tab w:val="clear" w:pos="1440"/>
        <w:tab w:val="num" w:pos="360"/>
        <w:tab w:val="num" w:pos="1492"/>
      </w:tabs>
      <w:ind w:left="360" w:hanging="360"/>
    </w:pPr>
    <w:rPr>
      <w:lang w:val="en-US"/>
    </w:rPr>
  </w:style>
  <w:style w:type="paragraph" w:customStyle="1" w:styleId="IPPTitle16pt">
    <w:name w:val="IPP Title16pt"/>
    <w:basedOn w:val="Normal"/>
    <w:rsid w:val="009D2B4C"/>
    <w:pPr>
      <w:spacing w:before="100" w:after="720"/>
      <w:ind w:left="1701" w:right="1701"/>
      <w:jc w:val="center"/>
    </w:pPr>
    <w:rPr>
      <w:rFonts w:ascii="Arial" w:hAnsi="Arial"/>
      <w:b/>
      <w:i/>
      <w:color w:val="auto"/>
      <w:sz w:val="32"/>
    </w:rPr>
  </w:style>
  <w:style w:type="paragraph" w:customStyle="1" w:styleId="IPPTitle18pt">
    <w:name w:val="IPP Title18pt"/>
    <w:basedOn w:val="Normal"/>
    <w:rsid w:val="009D2B4C"/>
    <w:pPr>
      <w:spacing w:before="100" w:after="360"/>
      <w:ind w:right="720"/>
      <w:jc w:val="center"/>
    </w:pPr>
    <w:rPr>
      <w:rFonts w:ascii="Arial" w:hAnsi="Arial"/>
      <w:b/>
      <w:i/>
      <w:color w:val="auto"/>
      <w:sz w:val="36"/>
    </w:rPr>
  </w:style>
  <w:style w:type="paragraph" w:customStyle="1" w:styleId="IPPAnnexHead">
    <w:name w:val="IPP AnnexHead"/>
    <w:basedOn w:val="IPPNormal"/>
    <w:next w:val="IPPNormal"/>
    <w:rsid w:val="009D2B4C"/>
    <w:pPr>
      <w:keepNext/>
      <w:tabs>
        <w:tab w:val="clear" w:pos="1440"/>
        <w:tab w:val="left" w:pos="567"/>
        <w:tab w:val="num" w:pos="720"/>
      </w:tabs>
      <w:spacing w:before="120"/>
      <w:jc w:val="left"/>
      <w:outlineLvl w:val="1"/>
    </w:pPr>
    <w:rPr>
      <w:b/>
      <w:sz w:val="24"/>
    </w:rPr>
  </w:style>
  <w:style w:type="paragraph" w:customStyle="1" w:styleId="IPPNormalCloseSpace">
    <w:name w:val="IPP NormalCloseSpace"/>
    <w:basedOn w:val="Normal"/>
    <w:rsid w:val="009D2B4C"/>
    <w:pPr>
      <w:keepNext/>
      <w:tabs>
        <w:tab w:val="num" w:pos="1270"/>
      </w:tabs>
      <w:spacing w:before="100" w:after="60"/>
      <w:ind w:right="720"/>
      <w:jc w:val="both"/>
    </w:pPr>
    <w:rPr>
      <w:i/>
      <w:color w:val="auto"/>
      <w:sz w:val="18"/>
    </w:rPr>
  </w:style>
  <w:style w:type="paragraph" w:customStyle="1" w:styleId="IPPHeading2">
    <w:name w:val="IPP Heading2"/>
    <w:basedOn w:val="IPPNormal"/>
    <w:next w:val="IPPNormal"/>
    <w:rsid w:val="009D2B4C"/>
    <w:pPr>
      <w:keepNext/>
      <w:tabs>
        <w:tab w:val="left" w:pos="567"/>
      </w:tabs>
      <w:spacing w:before="120" w:after="120"/>
      <w:ind w:left="567" w:hanging="567"/>
      <w:jc w:val="left"/>
      <w:outlineLvl w:val="2"/>
    </w:pPr>
    <w:rPr>
      <w:b/>
      <w:sz w:val="24"/>
    </w:rPr>
  </w:style>
  <w:style w:type="paragraph" w:customStyle="1" w:styleId="IPPReferences">
    <w:name w:val="IPP References"/>
    <w:basedOn w:val="IPPNormal"/>
    <w:rsid w:val="009D2B4C"/>
    <w:pPr>
      <w:spacing w:after="60"/>
      <w:ind w:left="567" w:hanging="567"/>
    </w:pPr>
  </w:style>
  <w:style w:type="paragraph" w:customStyle="1" w:styleId="IPPArial">
    <w:name w:val="IPP Arial"/>
    <w:basedOn w:val="IPPNormal"/>
    <w:rsid w:val="009D2B4C"/>
    <w:pPr>
      <w:spacing w:after="0"/>
    </w:pPr>
    <w:rPr>
      <w:rFonts w:ascii="Arial" w:hAnsi="Arial"/>
    </w:rPr>
  </w:style>
  <w:style w:type="paragraph" w:customStyle="1" w:styleId="IPPArialTable">
    <w:name w:val="IPP Arial Table"/>
    <w:basedOn w:val="IPPArial"/>
    <w:rsid w:val="009D2B4C"/>
    <w:pPr>
      <w:spacing w:before="60" w:after="60"/>
      <w:jc w:val="left"/>
    </w:pPr>
  </w:style>
  <w:style w:type="paragraph" w:customStyle="1" w:styleId="IPPSubheadSpace">
    <w:name w:val="IPP Subhead Space"/>
    <w:basedOn w:val="IPPSubhead"/>
    <w:rsid w:val="009D2B4C"/>
    <w:pPr>
      <w:tabs>
        <w:tab w:val="left" w:pos="567"/>
      </w:tabs>
      <w:spacing w:before="60" w:after="60"/>
    </w:pPr>
  </w:style>
  <w:style w:type="paragraph" w:customStyle="1" w:styleId="IPPNumberedList">
    <w:name w:val="IPP NumberedList"/>
    <w:basedOn w:val="IPPBullet1"/>
    <w:rsid w:val="009D2B4C"/>
    <w:pPr>
      <w:tabs>
        <w:tab w:val="clear" w:pos="926"/>
      </w:tabs>
      <w:ind w:left="720"/>
    </w:pPr>
  </w:style>
  <w:style w:type="paragraph" w:customStyle="1" w:styleId="IPPNumberedListLast">
    <w:name w:val="IPP NumberedListLast"/>
    <w:basedOn w:val="IPPNumberedList"/>
    <w:rsid w:val="009D2B4C"/>
    <w:pPr>
      <w:spacing w:after="180"/>
    </w:pPr>
  </w:style>
  <w:style w:type="paragraph" w:customStyle="1" w:styleId="IPPHdg1Num">
    <w:name w:val="IPP Hdg1Num"/>
    <w:basedOn w:val="IPPNormal"/>
    <w:next w:val="IPPNormal"/>
    <w:rsid w:val="009D2B4C"/>
    <w:pPr>
      <w:keepNext/>
      <w:tabs>
        <w:tab w:val="num" w:pos="0"/>
        <w:tab w:val="left" w:pos="567"/>
      </w:tabs>
      <w:spacing w:before="240" w:after="120"/>
      <w:ind w:hanging="482"/>
      <w:outlineLvl w:val="1"/>
    </w:pPr>
    <w:rPr>
      <w:b/>
      <w:sz w:val="24"/>
    </w:rPr>
  </w:style>
  <w:style w:type="paragraph" w:customStyle="1" w:styleId="IPPNumberedList0">
    <w:name w:val="IPPNumberedList"/>
    <w:basedOn w:val="IPPBullet1"/>
    <w:rsid w:val="009D2B4C"/>
    <w:pPr>
      <w:tabs>
        <w:tab w:val="clear" w:pos="926"/>
        <w:tab w:val="num" w:pos="720"/>
      </w:tabs>
      <w:ind w:left="720"/>
    </w:pPr>
  </w:style>
  <w:style w:type="paragraph" w:customStyle="1" w:styleId="IPPLetterList">
    <w:name w:val="IPP LetterList"/>
    <w:basedOn w:val="IPPBullet2"/>
    <w:rsid w:val="009D2B4C"/>
    <w:pPr>
      <w:tabs>
        <w:tab w:val="clear" w:pos="643"/>
        <w:tab w:val="num" w:pos="360"/>
      </w:tabs>
      <w:ind w:left="360"/>
      <w:jc w:val="left"/>
    </w:pPr>
  </w:style>
  <w:style w:type="paragraph" w:customStyle="1" w:styleId="IPPSubheadSpace3">
    <w:name w:val="IPP Subhead Space3"/>
    <w:basedOn w:val="IPPSubhead"/>
    <w:rsid w:val="009D2B4C"/>
    <w:pPr>
      <w:spacing w:before="60" w:after="60"/>
    </w:pPr>
  </w:style>
  <w:style w:type="paragraph" w:customStyle="1" w:styleId="font1">
    <w:name w:val="font1"/>
    <w:basedOn w:val="Normal"/>
    <w:rsid w:val="009D2B4C"/>
    <w:pPr>
      <w:spacing w:before="100" w:after="100"/>
      <w:ind w:right="720"/>
    </w:pPr>
    <w:rPr>
      <w:rFonts w:ascii="Arial" w:hAnsi="Arial"/>
      <w:i/>
      <w:color w:val="auto"/>
      <w:sz w:val="20"/>
      <w:lang w:val="en-US"/>
    </w:rPr>
  </w:style>
  <w:style w:type="paragraph" w:customStyle="1" w:styleId="Contents">
    <w:name w:val="Contents"/>
    <w:rsid w:val="009D2B4C"/>
    <w:pPr>
      <w:tabs>
        <w:tab w:val="left" w:pos="-1440"/>
        <w:tab w:val="left" w:pos="-720"/>
        <w:tab w:val="left" w:pos="0"/>
        <w:tab w:val="left" w:pos="835"/>
        <w:tab w:val="left" w:pos="1392"/>
      </w:tabs>
      <w:suppressAutoHyphens/>
      <w:jc w:val="both"/>
    </w:pPr>
    <w:rPr>
      <w:rFonts w:ascii="Courier" w:hAnsi="Courier"/>
      <w:spacing w:val="-3"/>
      <w:sz w:val="24"/>
      <w:lang w:val="en-GB" w:eastAsia="ko-KR"/>
    </w:rPr>
  </w:style>
  <w:style w:type="paragraph" w:customStyle="1" w:styleId="IPPQuote">
    <w:name w:val="IPP Quote"/>
    <w:basedOn w:val="IPPNormal"/>
    <w:rsid w:val="009D2B4C"/>
    <w:pPr>
      <w:ind w:left="851" w:right="851"/>
    </w:pPr>
    <w:rPr>
      <w:sz w:val="19"/>
    </w:rPr>
  </w:style>
  <w:style w:type="character" w:customStyle="1" w:styleId="NewParaChar">
    <w:name w:val="NewPara Char"/>
    <w:rsid w:val="009D2B4C"/>
    <w:rPr>
      <w:rFonts w:ascii="Times New Roman" w:hAnsi="Times New Roman"/>
      <w:noProof/>
      <w:sz w:val="20"/>
    </w:rPr>
  </w:style>
  <w:style w:type="paragraph" w:customStyle="1" w:styleId="IPPHeading1Appendix">
    <w:name w:val="IPP Heading1 Appendix"/>
    <w:basedOn w:val="IPPHeading1"/>
    <w:rsid w:val="009D2B4C"/>
    <w:pPr>
      <w:ind w:left="720" w:hanging="360"/>
      <w:outlineLvl w:val="9"/>
    </w:pPr>
  </w:style>
  <w:style w:type="paragraph" w:customStyle="1" w:styleId="IPPHeadSectionAppendix">
    <w:name w:val="IPP HeadSection Appendix"/>
    <w:basedOn w:val="IPPHeadSection"/>
    <w:rsid w:val="009D2B4C"/>
    <w:pPr>
      <w:ind w:left="720" w:hanging="360"/>
      <w:outlineLvl w:val="9"/>
    </w:pPr>
  </w:style>
  <w:style w:type="paragraph" w:customStyle="1" w:styleId="IPPHeading2Appendix">
    <w:name w:val="IPP Heading2 Appendix"/>
    <w:basedOn w:val="IPPHeading2"/>
    <w:rsid w:val="009D2B4C"/>
    <w:pPr>
      <w:tabs>
        <w:tab w:val="left" w:pos="851"/>
        <w:tab w:val="left" w:pos="1134"/>
      </w:tabs>
      <w:ind w:left="720" w:hanging="360"/>
      <w:outlineLvl w:val="9"/>
    </w:pPr>
  </w:style>
  <w:style w:type="paragraph" w:customStyle="1" w:styleId="IPPAnnexHeadAppendix">
    <w:name w:val="IPP AnnexHead Appendix"/>
    <w:basedOn w:val="IPPAnnexHead"/>
    <w:rsid w:val="009D2B4C"/>
    <w:pPr>
      <w:tabs>
        <w:tab w:val="clear" w:pos="567"/>
        <w:tab w:val="clear" w:pos="720"/>
        <w:tab w:val="num" w:pos="360"/>
        <w:tab w:val="num" w:pos="1440"/>
      </w:tabs>
      <w:ind w:left="1440" w:hanging="360"/>
      <w:outlineLvl w:val="9"/>
    </w:pPr>
  </w:style>
  <w:style w:type="paragraph" w:customStyle="1" w:styleId="IPPIndent">
    <w:name w:val="IPP Indent"/>
    <w:basedOn w:val="Normal"/>
    <w:rsid w:val="009D2B4C"/>
    <w:pPr>
      <w:tabs>
        <w:tab w:val="left" w:pos="2835"/>
      </w:tabs>
      <w:spacing w:before="100" w:after="180"/>
      <w:ind w:left="567" w:right="720"/>
      <w:jc w:val="both"/>
    </w:pPr>
    <w:rPr>
      <w:i/>
      <w:color w:val="auto"/>
      <w:sz w:val="18"/>
    </w:rPr>
  </w:style>
  <w:style w:type="paragraph" w:customStyle="1" w:styleId="FooterLandscape">
    <w:name w:val="FooterLandscape"/>
    <w:basedOn w:val="Footer"/>
    <w:rsid w:val="009D2B4C"/>
    <w:pPr>
      <w:tabs>
        <w:tab w:val="clear" w:pos="4320"/>
        <w:tab w:val="clear" w:pos="8640"/>
        <w:tab w:val="right" w:pos="13892"/>
      </w:tabs>
      <w:spacing w:before="100" w:after="0"/>
      <w:ind w:right="720"/>
    </w:pPr>
    <w:rPr>
      <w:rFonts w:ascii="Arial" w:eastAsia="Times New Roman" w:hAnsi="Arial"/>
      <w:i/>
      <w:sz w:val="18"/>
    </w:rPr>
  </w:style>
  <w:style w:type="paragraph" w:customStyle="1" w:styleId="IPPNumberClose">
    <w:name w:val="IPP NumberClose"/>
    <w:basedOn w:val="IPPNumber"/>
    <w:rsid w:val="009D2B4C"/>
    <w:pPr>
      <w:keepNext/>
      <w:spacing w:after="60"/>
    </w:pPr>
  </w:style>
  <w:style w:type="paragraph" w:customStyle="1" w:styleId="IPPNumber">
    <w:name w:val="IPP Number"/>
    <w:basedOn w:val="IPPNormal"/>
    <w:rsid w:val="009D2B4C"/>
    <w:pPr>
      <w:tabs>
        <w:tab w:val="clear" w:pos="1440"/>
        <w:tab w:val="num" w:pos="720"/>
        <w:tab w:val="num" w:pos="1492"/>
      </w:tabs>
      <w:ind w:left="1492" w:hanging="360"/>
    </w:pPr>
  </w:style>
  <w:style w:type="paragraph" w:customStyle="1" w:styleId="IPPNumberedListLast0">
    <w:name w:val="IPPNumberedListLast"/>
    <w:basedOn w:val="IPPNumberedList0"/>
    <w:rsid w:val="009D2B4C"/>
    <w:pPr>
      <w:tabs>
        <w:tab w:val="clear" w:pos="720"/>
        <w:tab w:val="num" w:pos="680"/>
      </w:tabs>
      <w:spacing w:after="180"/>
      <w:ind w:left="680" w:hanging="680"/>
    </w:pPr>
  </w:style>
  <w:style w:type="paragraph" w:customStyle="1" w:styleId="Comments">
    <w:name w:val="Comments"/>
    <w:basedOn w:val="Normal"/>
    <w:rsid w:val="009D2B4C"/>
    <w:pPr>
      <w:spacing w:before="100" w:after="0"/>
      <w:ind w:left="284" w:right="720" w:hanging="284"/>
      <w:jc w:val="both"/>
    </w:pPr>
    <w:rPr>
      <w:i/>
      <w:color w:val="auto"/>
      <w:sz w:val="18"/>
    </w:rPr>
  </w:style>
  <w:style w:type="paragraph" w:customStyle="1" w:styleId="Indent1">
    <w:name w:val="Indent 1"/>
    <w:basedOn w:val="Normal"/>
    <w:rsid w:val="009D2B4C"/>
    <w:pPr>
      <w:spacing w:before="100" w:after="60"/>
      <w:ind w:left="567" w:right="720"/>
    </w:pPr>
    <w:rPr>
      <w:rFonts w:ascii="Georgia" w:hAnsi="Georgia"/>
      <w:i/>
      <w:color w:val="auto"/>
      <w:sz w:val="18"/>
      <w:lang w:val="en-AU"/>
    </w:rPr>
  </w:style>
  <w:style w:type="paragraph" w:customStyle="1" w:styleId="Subhead">
    <w:name w:val="Subhead"/>
    <w:basedOn w:val="Normal"/>
    <w:rsid w:val="009D2B4C"/>
    <w:pPr>
      <w:keepNext/>
      <w:spacing w:before="120" w:after="60"/>
      <w:ind w:right="720"/>
    </w:pPr>
    <w:rPr>
      <w:rFonts w:ascii="Georgia" w:hAnsi="Georgia"/>
      <w:b/>
      <w:i/>
      <w:color w:val="auto"/>
      <w:sz w:val="19"/>
      <w:lang w:val="en-AU"/>
    </w:rPr>
  </w:style>
  <w:style w:type="paragraph" w:customStyle="1" w:styleId="IPPNumberSubhead">
    <w:name w:val="IPP NumberSubhead"/>
    <w:basedOn w:val="IPPNumber"/>
    <w:rsid w:val="009D2B4C"/>
    <w:pPr>
      <w:keepNext/>
      <w:tabs>
        <w:tab w:val="clear" w:pos="720"/>
        <w:tab w:val="clear" w:pos="1492"/>
        <w:tab w:val="num" w:pos="567"/>
        <w:tab w:val="num" w:pos="780"/>
      </w:tabs>
      <w:spacing w:after="60"/>
      <w:ind w:left="780" w:firstLine="0"/>
    </w:pPr>
    <w:rPr>
      <w:b/>
    </w:rPr>
  </w:style>
  <w:style w:type="paragraph" w:customStyle="1" w:styleId="IPPSubheadNumber">
    <w:name w:val="IPP SubheadNumber"/>
    <w:basedOn w:val="IPPSubhead"/>
    <w:rsid w:val="009D2B4C"/>
    <w:pPr>
      <w:tabs>
        <w:tab w:val="num" w:pos="643"/>
        <w:tab w:val="num" w:pos="720"/>
      </w:tabs>
      <w:ind w:left="720" w:hanging="360"/>
    </w:pPr>
  </w:style>
  <w:style w:type="paragraph" w:customStyle="1" w:styleId="IPPLetterListIndent">
    <w:name w:val="IPP LetterList Indent"/>
    <w:basedOn w:val="IPPLetterList"/>
    <w:rsid w:val="009D2B4C"/>
    <w:pPr>
      <w:tabs>
        <w:tab w:val="clear" w:pos="360"/>
        <w:tab w:val="clear" w:pos="567"/>
        <w:tab w:val="num" w:pos="720"/>
        <w:tab w:val="num" w:pos="926"/>
      </w:tabs>
      <w:ind w:left="720"/>
    </w:pPr>
  </w:style>
  <w:style w:type="paragraph" w:customStyle="1" w:styleId="IPPSubheadSpaceAfter">
    <w:name w:val="IPP Subhead SpaceAfter"/>
    <w:basedOn w:val="IPPSubhead"/>
    <w:rsid w:val="009D2B4C"/>
    <w:pPr>
      <w:spacing w:after="60"/>
    </w:pPr>
  </w:style>
  <w:style w:type="paragraph" w:customStyle="1" w:styleId="IPPArialFootnote">
    <w:name w:val="IPP Arial Footnote"/>
    <w:basedOn w:val="IPPArialTable"/>
    <w:rsid w:val="009D2B4C"/>
    <w:pPr>
      <w:tabs>
        <w:tab w:val="left" w:pos="567"/>
      </w:tabs>
      <w:ind w:left="567" w:hanging="567"/>
    </w:pPr>
    <w:rPr>
      <w:sz w:val="16"/>
    </w:rPr>
  </w:style>
  <w:style w:type="paragraph" w:customStyle="1" w:styleId="IPPContentsHead">
    <w:name w:val="IPP ContentsHead"/>
    <w:basedOn w:val="IPPSubhead"/>
    <w:next w:val="IPPNormal"/>
    <w:rsid w:val="009D2B4C"/>
    <w:pPr>
      <w:spacing w:after="240"/>
    </w:pPr>
    <w:rPr>
      <w:sz w:val="24"/>
    </w:rPr>
  </w:style>
  <w:style w:type="paragraph" w:customStyle="1" w:styleId="IPPNumberedListArial">
    <w:name w:val="IPP NumberedListArial"/>
    <w:basedOn w:val="IPPNumberedList"/>
    <w:rsid w:val="009D2B4C"/>
    <w:pPr>
      <w:tabs>
        <w:tab w:val="num" w:pos="567"/>
      </w:tabs>
      <w:ind w:left="567" w:hanging="567"/>
    </w:pPr>
    <w:rPr>
      <w:rFonts w:ascii="Arial" w:hAnsi="Arial"/>
    </w:rPr>
  </w:style>
  <w:style w:type="paragraph" w:customStyle="1" w:styleId="IPPIndentClose">
    <w:name w:val="IPP Indent Close"/>
    <w:basedOn w:val="IPPNormal"/>
    <w:rsid w:val="009D2B4C"/>
    <w:pPr>
      <w:tabs>
        <w:tab w:val="clear" w:pos="1440"/>
        <w:tab w:val="left" w:pos="2835"/>
      </w:tabs>
      <w:spacing w:after="60"/>
      <w:ind w:left="567"/>
    </w:pPr>
  </w:style>
  <w:style w:type="paragraph" w:customStyle="1" w:styleId="IPPHdg2Num">
    <w:name w:val="IPP Hdg2Num"/>
    <w:basedOn w:val="IPPNormal"/>
    <w:next w:val="IPPNormal"/>
    <w:rsid w:val="009D2B4C"/>
    <w:pPr>
      <w:keepNext/>
      <w:tabs>
        <w:tab w:val="left" w:pos="567"/>
        <w:tab w:val="num" w:pos="680"/>
      </w:tabs>
      <w:spacing w:before="120" w:after="120"/>
      <w:ind w:left="680" w:hanging="680"/>
      <w:outlineLvl w:val="2"/>
    </w:pPr>
    <w:rPr>
      <w:b/>
      <w:sz w:val="24"/>
    </w:rPr>
  </w:style>
  <w:style w:type="character" w:customStyle="1" w:styleId="FollowedHyperlink1">
    <w:name w:val="FollowedHyperlink1"/>
    <w:rsid w:val="009D2B4C"/>
    <w:rPr>
      <w:color w:val="800080"/>
      <w:u w:val="single"/>
    </w:rPr>
  </w:style>
  <w:style w:type="character" w:customStyle="1" w:styleId="txt">
    <w:name w:val="txt"/>
    <w:rsid w:val="009D2B4C"/>
    <w:rPr>
      <w:rFonts w:cs="Times New Roman"/>
    </w:rPr>
  </w:style>
  <w:style w:type="character" w:customStyle="1" w:styleId="highlight">
    <w:name w:val="highlight"/>
    <w:rsid w:val="009D2B4C"/>
  </w:style>
  <w:style w:type="paragraph" w:styleId="HTMLPreformatted">
    <w:name w:val="HTML Preformatted"/>
    <w:basedOn w:val="Normal"/>
    <w:link w:val="HTMLPreformattedChar"/>
    <w:locked/>
    <w:rsid w:val="009D2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olor w:val="auto"/>
      <w:sz w:val="20"/>
    </w:rPr>
  </w:style>
  <w:style w:type="character" w:customStyle="1" w:styleId="HTMLPreformattedChar">
    <w:name w:val="HTML Preformatted Char"/>
    <w:link w:val="HTMLPreformatted"/>
    <w:locked/>
    <w:rsid w:val="009D2B4C"/>
    <w:rPr>
      <w:rFonts w:ascii="Courier New" w:hAnsi="Courier New" w:cs="Times New Roman"/>
    </w:rPr>
  </w:style>
  <w:style w:type="paragraph" w:styleId="BodyTextFirstIndent2">
    <w:name w:val="Body Text First Indent 2"/>
    <w:basedOn w:val="BodyTextIndent"/>
    <w:link w:val="BodyTextFirstIndent2Char"/>
    <w:semiHidden/>
    <w:locked/>
    <w:rsid w:val="009D2B4C"/>
    <w:pPr>
      <w:spacing w:after="120" w:line="240" w:lineRule="auto"/>
      <w:ind w:left="283" w:firstLine="210"/>
    </w:pPr>
  </w:style>
  <w:style w:type="character" w:customStyle="1" w:styleId="BodyTextFirstIndent2Char">
    <w:name w:val="Body Text First Indent 2 Char"/>
    <w:link w:val="BodyTextFirstIndent2"/>
    <w:semiHidden/>
    <w:locked/>
    <w:rsid w:val="000D114C"/>
    <w:rPr>
      <w:rFonts w:ascii="Times New Roman" w:hAnsi="Times New Roman" w:cs="Times New Roman"/>
      <w:color w:val="000000"/>
      <w:sz w:val="20"/>
      <w:szCs w:val="20"/>
      <w:lang w:val="en-GB" w:eastAsia="zh-CN"/>
    </w:rPr>
  </w:style>
  <w:style w:type="character" w:customStyle="1" w:styleId="pagination">
    <w:name w:val="pagination"/>
    <w:rsid w:val="009D2B4C"/>
    <w:rPr>
      <w:rFonts w:cs="Times New Roman"/>
    </w:rPr>
  </w:style>
  <w:style w:type="character" w:customStyle="1" w:styleId="CarCar5">
    <w:name w:val="Car Car5"/>
    <w:rsid w:val="009D2B4C"/>
    <w:rPr>
      <w:sz w:val="24"/>
      <w:u w:val="single"/>
      <w:lang w:val="en-US" w:eastAsia="ja-JP"/>
    </w:rPr>
  </w:style>
  <w:style w:type="character" w:customStyle="1" w:styleId="CarCar4">
    <w:name w:val="Car Car4"/>
    <w:rsid w:val="009D2B4C"/>
    <w:rPr>
      <w:rFonts w:eastAsia="MS Mincho"/>
      <w:b/>
      <w:kern w:val="32"/>
      <w:sz w:val="24"/>
      <w:lang w:val="en-US" w:eastAsia="ja-JP"/>
    </w:rPr>
  </w:style>
  <w:style w:type="character" w:customStyle="1" w:styleId="CarCar3">
    <w:name w:val="Car Car3"/>
    <w:locked/>
    <w:rsid w:val="009D2B4C"/>
    <w:rPr>
      <w:rFonts w:eastAsia="MS Mincho"/>
      <w:b/>
      <w:i/>
      <w:kern w:val="32"/>
      <w:sz w:val="26"/>
      <w:lang w:val="it-IT" w:eastAsia="ja-JP"/>
    </w:rPr>
  </w:style>
  <w:style w:type="paragraph" w:customStyle="1" w:styleId="CM7">
    <w:name w:val="CM7"/>
    <w:basedOn w:val="Normal"/>
    <w:next w:val="Normal"/>
    <w:rsid w:val="009D2B4C"/>
    <w:pPr>
      <w:autoSpaceDE w:val="0"/>
      <w:autoSpaceDN w:val="0"/>
      <w:adjustRightInd w:val="0"/>
      <w:spacing w:after="0" w:line="198" w:lineRule="atLeast"/>
    </w:pPr>
    <w:rPr>
      <w:rFonts w:ascii="OJFKL G+ Melior" w:hAnsi="OJFKL G+ Melior"/>
      <w:i/>
      <w:color w:val="auto"/>
      <w:sz w:val="18"/>
      <w:lang w:val="fr-FR"/>
    </w:rPr>
  </w:style>
  <w:style w:type="paragraph" w:customStyle="1" w:styleId="mainheader">
    <w:name w:val="mainheader"/>
    <w:basedOn w:val="Normal"/>
    <w:rsid w:val="009D2B4C"/>
    <w:pPr>
      <w:spacing w:before="100" w:after="100"/>
    </w:pPr>
    <w:rPr>
      <w:rFonts w:eastAsia="MS Mincho"/>
      <w:i/>
      <w:color w:val="auto"/>
      <w:sz w:val="18"/>
      <w:lang w:val="fr-FR" w:eastAsia="ja-JP"/>
    </w:rPr>
  </w:style>
  <w:style w:type="character" w:customStyle="1" w:styleId="surname">
    <w:name w:val="surname"/>
    <w:rsid w:val="009D2B4C"/>
    <w:rPr>
      <w:rFonts w:cs="Times New Roman"/>
    </w:rPr>
  </w:style>
  <w:style w:type="character" w:customStyle="1" w:styleId="CarCar6">
    <w:name w:val="Car Car6"/>
    <w:locked/>
    <w:rsid w:val="009D2B4C"/>
    <w:rPr>
      <w:rFonts w:eastAsia="MS Mincho"/>
      <w:sz w:val="24"/>
      <w:lang w:val="fr-FR" w:eastAsia="ja-JP"/>
    </w:rPr>
  </w:style>
  <w:style w:type="character" w:customStyle="1" w:styleId="name0">
    <w:name w:val="name"/>
    <w:rsid w:val="009D2B4C"/>
    <w:rPr>
      <w:rFonts w:cs="Times New Roman"/>
    </w:rPr>
  </w:style>
  <w:style w:type="character" w:customStyle="1" w:styleId="forenames">
    <w:name w:val="forenames"/>
    <w:rsid w:val="009D2B4C"/>
    <w:rPr>
      <w:rFonts w:cs="Times New Roman"/>
    </w:rPr>
  </w:style>
  <w:style w:type="character" w:customStyle="1" w:styleId="txtsmall">
    <w:name w:val="txtsmall"/>
    <w:rsid w:val="009D2B4C"/>
    <w:rPr>
      <w:rFonts w:cs="Times New Roman"/>
    </w:rPr>
  </w:style>
  <w:style w:type="character" w:customStyle="1" w:styleId="mw-formatted-date">
    <w:name w:val="mw-formatted-date"/>
    <w:rsid w:val="009D2B4C"/>
    <w:rPr>
      <w:rFonts w:cs="Times New Roman"/>
    </w:rPr>
  </w:style>
  <w:style w:type="paragraph" w:customStyle="1" w:styleId="MediumGrid1-Accent22">
    <w:name w:val="Medium Grid 1 - Accent 22"/>
    <w:basedOn w:val="Normal"/>
    <w:rsid w:val="009D2B4C"/>
    <w:pPr>
      <w:spacing w:after="200" w:line="276" w:lineRule="auto"/>
      <w:ind w:left="720"/>
    </w:pPr>
    <w:rPr>
      <w:rFonts w:ascii="Calibri" w:hAnsi="Calibri"/>
      <w:i/>
      <w:color w:val="auto"/>
    </w:rPr>
  </w:style>
  <w:style w:type="character" w:customStyle="1" w:styleId="fm-citation-ids-label1">
    <w:name w:val="fm-citation-ids-label1"/>
    <w:rsid w:val="009D2B4C"/>
    <w:rPr>
      <w:color w:val="333333"/>
    </w:rPr>
  </w:style>
  <w:style w:type="character" w:customStyle="1" w:styleId="citation-abbreviation2">
    <w:name w:val="citation-abbreviation2"/>
    <w:rsid w:val="009D2B4C"/>
    <w:rPr>
      <w:rFonts w:cs="Times New Roman"/>
    </w:rPr>
  </w:style>
  <w:style w:type="character" w:customStyle="1" w:styleId="citation-publication-date">
    <w:name w:val="citation-publication-date"/>
    <w:rsid w:val="009D2B4C"/>
    <w:rPr>
      <w:rFonts w:cs="Times New Roman"/>
    </w:rPr>
  </w:style>
  <w:style w:type="character" w:customStyle="1" w:styleId="citation-volume">
    <w:name w:val="citation-volume"/>
    <w:rsid w:val="009D2B4C"/>
    <w:rPr>
      <w:rFonts w:cs="Times New Roman"/>
    </w:rPr>
  </w:style>
  <w:style w:type="character" w:customStyle="1" w:styleId="citation-issue">
    <w:name w:val="citation-issue"/>
    <w:rsid w:val="009D2B4C"/>
    <w:rPr>
      <w:rFonts w:cs="Times New Roman"/>
    </w:rPr>
  </w:style>
  <w:style w:type="character" w:customStyle="1" w:styleId="citation-flpages">
    <w:name w:val="citation-flpages"/>
    <w:rsid w:val="009D2B4C"/>
    <w:rPr>
      <w:rFonts w:cs="Times New Roman"/>
    </w:rPr>
  </w:style>
  <w:style w:type="paragraph" w:customStyle="1" w:styleId="citation">
    <w:name w:val="citation"/>
    <w:basedOn w:val="Normal"/>
    <w:rsid w:val="009D2B4C"/>
    <w:pPr>
      <w:spacing w:before="100" w:after="100"/>
    </w:pPr>
    <w:rPr>
      <w:i/>
      <w:color w:val="auto"/>
      <w:sz w:val="18"/>
    </w:rPr>
  </w:style>
  <w:style w:type="paragraph" w:customStyle="1" w:styleId="authlist">
    <w:name w:val="auth_list"/>
    <w:basedOn w:val="Normal"/>
    <w:rsid w:val="009D2B4C"/>
    <w:pPr>
      <w:spacing w:before="100" w:after="100"/>
    </w:pPr>
    <w:rPr>
      <w:i/>
      <w:color w:val="auto"/>
      <w:sz w:val="18"/>
    </w:rPr>
  </w:style>
  <w:style w:type="paragraph" w:customStyle="1" w:styleId="MDthesisHeading2">
    <w:name w:val="MD thesis Heading 2"/>
    <w:basedOn w:val="Heading2"/>
    <w:next w:val="Normal"/>
    <w:autoRedefine/>
    <w:rsid w:val="009D2B4C"/>
    <w:pPr>
      <w:widowControl w:val="0"/>
      <w:tabs>
        <w:tab w:val="clear" w:pos="720"/>
        <w:tab w:val="left" w:pos="709"/>
      </w:tabs>
      <w:autoSpaceDE w:val="0"/>
      <w:autoSpaceDN w:val="0"/>
      <w:adjustRightInd w:val="0"/>
      <w:spacing w:before="120" w:after="60" w:line="360" w:lineRule="auto"/>
      <w:ind w:left="709" w:right="29" w:firstLine="720"/>
      <w:jc w:val="both"/>
    </w:pPr>
    <w:rPr>
      <w:b w:val="0"/>
      <w:i/>
      <w:szCs w:val="24"/>
      <w:lang w:val="en-GB"/>
    </w:rPr>
  </w:style>
  <w:style w:type="paragraph" w:customStyle="1" w:styleId="title1">
    <w:name w:val="title1"/>
    <w:basedOn w:val="Normal"/>
    <w:rsid w:val="009D2B4C"/>
    <w:pPr>
      <w:spacing w:after="0"/>
    </w:pPr>
    <w:rPr>
      <w:i/>
      <w:color w:val="auto"/>
      <w:sz w:val="29"/>
    </w:rPr>
  </w:style>
  <w:style w:type="paragraph" w:customStyle="1" w:styleId="rprtbody1">
    <w:name w:val="rprtbody1"/>
    <w:basedOn w:val="Normal"/>
    <w:rsid w:val="009D2B4C"/>
    <w:pPr>
      <w:spacing w:before="34" w:after="34"/>
    </w:pPr>
    <w:rPr>
      <w:i/>
      <w:color w:val="auto"/>
      <w:sz w:val="28"/>
    </w:rPr>
  </w:style>
  <w:style w:type="paragraph" w:customStyle="1" w:styleId="aux1">
    <w:name w:val="aux1"/>
    <w:basedOn w:val="Normal"/>
    <w:rsid w:val="009D2B4C"/>
    <w:pPr>
      <w:spacing w:after="0" w:line="320" w:lineRule="atLeast"/>
    </w:pPr>
    <w:rPr>
      <w:i/>
      <w:color w:val="auto"/>
      <w:sz w:val="18"/>
    </w:rPr>
  </w:style>
  <w:style w:type="character" w:customStyle="1" w:styleId="src1">
    <w:name w:val="src1"/>
    <w:rsid w:val="009D2B4C"/>
  </w:style>
  <w:style w:type="character" w:customStyle="1" w:styleId="jrnl">
    <w:name w:val="jrnl"/>
    <w:rsid w:val="009D2B4C"/>
    <w:rPr>
      <w:rFonts w:cs="Times New Roman"/>
    </w:rPr>
  </w:style>
  <w:style w:type="character" w:customStyle="1" w:styleId="prevauthlinks1">
    <w:name w:val="prevauthlinks1"/>
    <w:rsid w:val="009D2B4C"/>
    <w:rPr>
      <w:color w:val="C0C0C0"/>
      <w:u w:val="single"/>
    </w:rPr>
  </w:style>
  <w:style w:type="character" w:customStyle="1" w:styleId="nbapihighlight">
    <w:name w:val="nbapihighlight"/>
    <w:rsid w:val="009D2B4C"/>
    <w:rPr>
      <w:rFonts w:cs="Times New Roman"/>
    </w:rPr>
  </w:style>
  <w:style w:type="character" w:customStyle="1" w:styleId="bf">
    <w:name w:val="bf"/>
    <w:rsid w:val="009D2B4C"/>
    <w:rPr>
      <w:rFonts w:cs="Times New Roman"/>
    </w:rPr>
  </w:style>
  <w:style w:type="character" w:customStyle="1" w:styleId="it">
    <w:name w:val="it"/>
    <w:rsid w:val="009D2B4C"/>
    <w:rPr>
      <w:rFonts w:cs="Times New Roman"/>
    </w:rPr>
  </w:style>
  <w:style w:type="paragraph" w:customStyle="1" w:styleId="ptdocpara">
    <w:name w:val="ptdocpara"/>
    <w:basedOn w:val="Normal"/>
    <w:rsid w:val="009D2B4C"/>
    <w:pPr>
      <w:spacing w:before="100" w:after="100"/>
    </w:pPr>
    <w:rPr>
      <w:i/>
      <w:color w:val="auto"/>
      <w:sz w:val="18"/>
    </w:rPr>
  </w:style>
  <w:style w:type="character" w:customStyle="1" w:styleId="ptdocpublication">
    <w:name w:val="ptdocpublication"/>
    <w:rsid w:val="009D2B4C"/>
    <w:rPr>
      <w:rFonts w:cs="Times New Roman"/>
    </w:rPr>
  </w:style>
  <w:style w:type="character" w:customStyle="1" w:styleId="ptdocissuevolume">
    <w:name w:val="ptdocissuevolume"/>
    <w:rsid w:val="009D2B4C"/>
    <w:rPr>
      <w:rFonts w:cs="Times New Roman"/>
    </w:rPr>
  </w:style>
  <w:style w:type="character" w:customStyle="1" w:styleId="ptdocissuedate">
    <w:name w:val="ptdocissuedate"/>
    <w:rsid w:val="009D2B4C"/>
    <w:rPr>
      <w:rFonts w:cs="Times New Roman"/>
    </w:rPr>
  </w:style>
  <w:style w:type="character" w:customStyle="1" w:styleId="ptdocissuepage">
    <w:name w:val="ptdocissuepage"/>
    <w:rsid w:val="009D2B4C"/>
    <w:rPr>
      <w:rFonts w:cs="Times New Roman"/>
    </w:rPr>
  </w:style>
  <w:style w:type="paragraph" w:customStyle="1" w:styleId="Referencetext121">
    <w:name w:val="סגנון Reference text + ‏12 נק מודגש1"/>
    <w:basedOn w:val="Normal"/>
    <w:autoRedefine/>
    <w:rsid w:val="009D2B4C"/>
    <w:pPr>
      <w:spacing w:after="0" w:line="480" w:lineRule="auto"/>
      <w:jc w:val="both"/>
    </w:pPr>
    <w:rPr>
      <w:i/>
      <w:color w:val="auto"/>
      <w:sz w:val="18"/>
    </w:rPr>
  </w:style>
  <w:style w:type="paragraph" w:customStyle="1" w:styleId="10">
    <w:name w:val="סגנון כותרת 1 +"/>
    <w:basedOn w:val="Heading1"/>
    <w:rsid w:val="009D2B4C"/>
    <w:pPr>
      <w:spacing w:before="240" w:after="60"/>
    </w:pPr>
    <w:rPr>
      <w:rFonts w:ascii="Arial" w:hAnsi="Arial"/>
      <w:i/>
      <w:kern w:val="32"/>
      <w:sz w:val="32"/>
      <w:lang w:val="en-GB"/>
    </w:rPr>
  </w:style>
  <w:style w:type="paragraph" w:customStyle="1" w:styleId="14">
    <w:name w:val="אותיות גדולות 14"/>
    <w:basedOn w:val="10"/>
    <w:rsid w:val="009D2B4C"/>
    <w:rPr>
      <w:b w:val="0"/>
    </w:rPr>
  </w:style>
  <w:style w:type="paragraph" w:customStyle="1" w:styleId="a3">
    <w:name w:val="טקסט מרכזי"/>
    <w:basedOn w:val="Normal"/>
    <w:rsid w:val="009D2B4C"/>
    <w:pPr>
      <w:spacing w:after="0" w:line="480" w:lineRule="auto"/>
      <w:jc w:val="both"/>
    </w:pPr>
    <w:rPr>
      <w:rFonts w:ascii="Arial" w:hAnsi="Arial"/>
      <w:i/>
      <w:color w:val="auto"/>
      <w:sz w:val="18"/>
    </w:rPr>
  </w:style>
  <w:style w:type="character" w:customStyle="1" w:styleId="search1">
    <w:name w:val="search1"/>
    <w:rsid w:val="009D2B4C"/>
    <w:rPr>
      <w:color w:val="228622"/>
    </w:rPr>
  </w:style>
  <w:style w:type="character" w:customStyle="1" w:styleId="style221">
    <w:name w:val="style221"/>
    <w:rsid w:val="009D2B4C"/>
    <w:rPr>
      <w:color w:val="006633"/>
    </w:rPr>
  </w:style>
  <w:style w:type="character" w:customStyle="1" w:styleId="medium-normal1">
    <w:name w:val="medium-normal1"/>
    <w:rsid w:val="009D2B4C"/>
    <w:rPr>
      <w:rFonts w:ascii="Arial" w:hAnsi="Arial"/>
      <w:sz w:val="20"/>
    </w:rPr>
  </w:style>
  <w:style w:type="character" w:styleId="HTMLVariable">
    <w:name w:val="HTML Variable"/>
    <w:locked/>
    <w:rsid w:val="009D2B4C"/>
    <w:rPr>
      <w:rFonts w:ascii="Verdana" w:hAnsi="Verdana" w:cs="Times New Roman"/>
      <w:color w:val="000000"/>
      <w:sz w:val="20"/>
    </w:rPr>
  </w:style>
  <w:style w:type="paragraph" w:customStyle="1" w:styleId="last">
    <w:name w:val="last"/>
    <w:basedOn w:val="Normal"/>
    <w:rsid w:val="009D2B4C"/>
    <w:pPr>
      <w:spacing w:before="100" w:after="100"/>
    </w:pPr>
    <w:rPr>
      <w:i/>
      <w:color w:val="auto"/>
      <w:sz w:val="18"/>
    </w:rPr>
  </w:style>
  <w:style w:type="paragraph" w:customStyle="1" w:styleId="firstlast">
    <w:name w:val="first last"/>
    <w:basedOn w:val="Normal"/>
    <w:rsid w:val="009D2B4C"/>
    <w:pPr>
      <w:spacing w:before="100" w:after="100"/>
    </w:pPr>
    <w:rPr>
      <w:i/>
      <w:color w:val="auto"/>
      <w:sz w:val="18"/>
    </w:rPr>
  </w:style>
  <w:style w:type="character" w:customStyle="1" w:styleId="databold1">
    <w:name w:val="data_bold1"/>
    <w:rsid w:val="009D2B4C"/>
    <w:rPr>
      <w:b/>
    </w:rPr>
  </w:style>
  <w:style w:type="paragraph" w:customStyle="1" w:styleId="normaltext">
    <w:name w:val="normaltext"/>
    <w:basedOn w:val="Normal"/>
    <w:rsid w:val="009D2B4C"/>
    <w:pPr>
      <w:spacing w:before="120" w:after="60"/>
    </w:pPr>
    <w:rPr>
      <w:rFonts w:ascii="Arial" w:hAnsi="Arial"/>
      <w:i/>
      <w:sz w:val="20"/>
    </w:rPr>
  </w:style>
  <w:style w:type="paragraph" w:customStyle="1" w:styleId="heading10">
    <w:name w:val="heading1"/>
    <w:basedOn w:val="Normal"/>
    <w:next w:val="Normal"/>
    <w:rsid w:val="009D2B4C"/>
    <w:pPr>
      <w:keepNext/>
      <w:keepLines/>
      <w:tabs>
        <w:tab w:val="left" w:pos="454"/>
      </w:tabs>
      <w:suppressAutoHyphens/>
      <w:overflowPunct w:val="0"/>
      <w:autoSpaceDE w:val="0"/>
      <w:autoSpaceDN w:val="0"/>
      <w:adjustRightInd w:val="0"/>
      <w:spacing w:before="600" w:after="320" w:line="240" w:lineRule="atLeast"/>
      <w:textAlignment w:val="baseline"/>
    </w:pPr>
    <w:rPr>
      <w:rFonts w:ascii="Times" w:hAnsi="Times"/>
      <w:b/>
      <w:i/>
      <w:color w:val="auto"/>
      <w:sz w:val="18"/>
    </w:rPr>
  </w:style>
  <w:style w:type="character" w:customStyle="1" w:styleId="heading1Carattere">
    <w:name w:val="heading1 Carattere"/>
    <w:rsid w:val="009D2B4C"/>
    <w:rPr>
      <w:rFonts w:ascii="Times" w:hAnsi="Times"/>
      <w:b/>
      <w:sz w:val="24"/>
      <w:lang w:val="en-US" w:eastAsia="de-DE"/>
    </w:rPr>
  </w:style>
  <w:style w:type="paragraph" w:customStyle="1" w:styleId="literaturelist">
    <w:name w:val="literature list"/>
    <w:basedOn w:val="Normal"/>
    <w:rsid w:val="009D2B4C"/>
    <w:pPr>
      <w:tabs>
        <w:tab w:val="num" w:pos="360"/>
        <w:tab w:val="num" w:pos="720"/>
        <w:tab w:val="left" w:pos="5760"/>
      </w:tabs>
      <w:spacing w:after="0" w:line="480" w:lineRule="auto"/>
      <w:ind w:left="360" w:right="170" w:hanging="360"/>
      <w:jc w:val="both"/>
      <w:outlineLvl w:val="0"/>
    </w:pPr>
    <w:rPr>
      <w:i/>
      <w:noProof/>
      <w:color w:val="auto"/>
      <w:sz w:val="18"/>
    </w:rPr>
  </w:style>
  <w:style w:type="character" w:customStyle="1" w:styleId="body1">
    <w:name w:val="body1"/>
    <w:rsid w:val="009D2B4C"/>
    <w:rPr>
      <w:rFonts w:ascii="Verdana" w:hAnsi="Verdana"/>
      <w:sz w:val="20"/>
    </w:rPr>
  </w:style>
  <w:style w:type="character" w:customStyle="1" w:styleId="bodybold1">
    <w:name w:val="bodybold1"/>
    <w:rsid w:val="009D2B4C"/>
    <w:rPr>
      <w:rFonts w:ascii="Verdana" w:hAnsi="Verdana"/>
      <w:b/>
      <w:sz w:val="20"/>
    </w:rPr>
  </w:style>
  <w:style w:type="paragraph" w:customStyle="1" w:styleId="CM1">
    <w:name w:val="CM1"/>
    <w:basedOn w:val="Default"/>
    <w:next w:val="Default"/>
    <w:rsid w:val="009D2B4C"/>
    <w:pPr>
      <w:widowControl w:val="0"/>
    </w:pPr>
    <w:rPr>
      <w:color w:val="auto"/>
    </w:rPr>
  </w:style>
  <w:style w:type="paragraph" w:customStyle="1" w:styleId="CM2">
    <w:name w:val="CM2"/>
    <w:basedOn w:val="Default"/>
    <w:next w:val="Default"/>
    <w:rsid w:val="009D2B4C"/>
    <w:pPr>
      <w:widowControl w:val="0"/>
      <w:spacing w:line="553" w:lineRule="atLeast"/>
    </w:pPr>
    <w:rPr>
      <w:color w:val="auto"/>
    </w:rPr>
  </w:style>
  <w:style w:type="paragraph" w:customStyle="1" w:styleId="CM27">
    <w:name w:val="CM27"/>
    <w:basedOn w:val="Default"/>
    <w:next w:val="Default"/>
    <w:rsid w:val="009D2B4C"/>
    <w:pPr>
      <w:widowControl w:val="0"/>
      <w:spacing w:after="78"/>
    </w:pPr>
    <w:rPr>
      <w:color w:val="auto"/>
    </w:rPr>
  </w:style>
  <w:style w:type="paragraph" w:customStyle="1" w:styleId="CM3">
    <w:name w:val="CM3"/>
    <w:basedOn w:val="Default"/>
    <w:next w:val="Default"/>
    <w:rsid w:val="009D2B4C"/>
    <w:pPr>
      <w:widowControl w:val="0"/>
      <w:tabs>
        <w:tab w:val="num" w:pos="680"/>
        <w:tab w:val="num" w:pos="1492"/>
      </w:tabs>
      <w:spacing w:line="551" w:lineRule="atLeast"/>
    </w:pPr>
    <w:rPr>
      <w:color w:val="auto"/>
    </w:rPr>
  </w:style>
  <w:style w:type="paragraph" w:customStyle="1" w:styleId="CM28">
    <w:name w:val="CM28"/>
    <w:basedOn w:val="Default"/>
    <w:next w:val="Default"/>
    <w:rsid w:val="009D2B4C"/>
    <w:pPr>
      <w:widowControl w:val="0"/>
      <w:spacing w:after="412"/>
    </w:pPr>
    <w:rPr>
      <w:color w:val="auto"/>
    </w:rPr>
  </w:style>
  <w:style w:type="paragraph" w:customStyle="1" w:styleId="CM30">
    <w:name w:val="CM30"/>
    <w:basedOn w:val="Default"/>
    <w:next w:val="Default"/>
    <w:rsid w:val="009D2B4C"/>
    <w:pPr>
      <w:widowControl w:val="0"/>
      <w:spacing w:after="75"/>
    </w:pPr>
    <w:rPr>
      <w:color w:val="auto"/>
    </w:rPr>
  </w:style>
  <w:style w:type="paragraph" w:customStyle="1" w:styleId="CM10">
    <w:name w:val="CM10"/>
    <w:basedOn w:val="Default"/>
    <w:next w:val="Default"/>
    <w:rsid w:val="009D2B4C"/>
    <w:pPr>
      <w:widowControl w:val="0"/>
      <w:spacing w:line="556" w:lineRule="atLeast"/>
    </w:pPr>
    <w:rPr>
      <w:color w:val="auto"/>
    </w:rPr>
  </w:style>
  <w:style w:type="paragraph" w:customStyle="1" w:styleId="CM32">
    <w:name w:val="CM32"/>
    <w:basedOn w:val="Default"/>
    <w:next w:val="Default"/>
    <w:rsid w:val="009D2B4C"/>
    <w:pPr>
      <w:widowControl w:val="0"/>
      <w:spacing w:after="725"/>
    </w:pPr>
    <w:rPr>
      <w:color w:val="auto"/>
    </w:rPr>
  </w:style>
  <w:style w:type="paragraph" w:customStyle="1" w:styleId="CM33">
    <w:name w:val="CM33"/>
    <w:basedOn w:val="Default"/>
    <w:next w:val="Default"/>
    <w:rsid w:val="009D2B4C"/>
    <w:pPr>
      <w:widowControl w:val="0"/>
      <w:spacing w:after="538"/>
    </w:pPr>
    <w:rPr>
      <w:color w:val="auto"/>
    </w:rPr>
  </w:style>
  <w:style w:type="paragraph" w:customStyle="1" w:styleId="CM16">
    <w:name w:val="CM16"/>
    <w:basedOn w:val="Default"/>
    <w:next w:val="Default"/>
    <w:rsid w:val="009D2B4C"/>
    <w:pPr>
      <w:widowControl w:val="0"/>
      <w:spacing w:line="553" w:lineRule="atLeast"/>
    </w:pPr>
    <w:rPr>
      <w:color w:val="auto"/>
    </w:rPr>
  </w:style>
  <w:style w:type="paragraph" w:customStyle="1" w:styleId="CM19">
    <w:name w:val="CM19"/>
    <w:basedOn w:val="Default"/>
    <w:next w:val="Default"/>
    <w:rsid w:val="009D2B4C"/>
    <w:pPr>
      <w:widowControl w:val="0"/>
      <w:spacing w:line="268" w:lineRule="atLeast"/>
    </w:pPr>
    <w:rPr>
      <w:color w:val="auto"/>
    </w:rPr>
  </w:style>
  <w:style w:type="character" w:customStyle="1" w:styleId="ZchnZchn16">
    <w:name w:val="Zchn Zchn16"/>
    <w:rsid w:val="009D2B4C"/>
    <w:rPr>
      <w:rFonts w:ascii="Arial" w:hAnsi="Arial"/>
      <w:b/>
      <w:kern w:val="32"/>
      <w:sz w:val="32"/>
      <w:lang w:val="en-US" w:eastAsia="en-US"/>
    </w:rPr>
  </w:style>
  <w:style w:type="character" w:customStyle="1" w:styleId="ZchnZchn1">
    <w:name w:val="Zchn Zchn1"/>
    <w:rsid w:val="009D2B4C"/>
    <w:rPr>
      <w:rFonts w:ascii="Cambria" w:hAnsi="Cambria"/>
      <w:b/>
      <w:kern w:val="28"/>
      <w:sz w:val="32"/>
      <w:lang w:val="ca-ES" w:eastAsia="en-US"/>
    </w:rPr>
  </w:style>
  <w:style w:type="paragraph" w:customStyle="1" w:styleId="MediumShading1-Accent11">
    <w:name w:val="Medium Shading 1 - Accent 11"/>
    <w:qFormat/>
    <w:rsid w:val="009D2B4C"/>
    <w:rPr>
      <w:rFonts w:ascii="Times New Roman" w:hAnsi="Times New Roman"/>
      <w:sz w:val="24"/>
      <w:lang w:val="en-US" w:eastAsia="ko-KR"/>
    </w:rPr>
  </w:style>
  <w:style w:type="character" w:customStyle="1" w:styleId="ZchnZchn">
    <w:name w:val="Zchn Zchn"/>
    <w:rsid w:val="009D2B4C"/>
    <w:rPr>
      <w:rFonts w:ascii="Calibri" w:hAnsi="Calibri"/>
      <w:lang w:val="ca-ES" w:eastAsia="en-US"/>
    </w:rPr>
  </w:style>
  <w:style w:type="paragraph" w:customStyle="1" w:styleId="references0">
    <w:name w:val="references"/>
    <w:basedOn w:val="Normal"/>
    <w:rsid w:val="009D2B4C"/>
    <w:pPr>
      <w:spacing w:before="60" w:after="60"/>
      <w:ind w:left="1134" w:hanging="1134"/>
      <w:jc w:val="both"/>
    </w:pPr>
    <w:rPr>
      <w:rFonts w:ascii="Garamond" w:hAnsi="Garamond"/>
      <w:i/>
      <w:color w:val="auto"/>
      <w:sz w:val="20"/>
    </w:rPr>
  </w:style>
  <w:style w:type="paragraph" w:customStyle="1" w:styleId="refs">
    <w:name w:val="refs"/>
    <w:basedOn w:val="Normal"/>
    <w:rsid w:val="009D2B4C"/>
    <w:pPr>
      <w:spacing w:before="100" w:after="100"/>
    </w:pPr>
    <w:rPr>
      <w:i/>
      <w:color w:val="auto"/>
      <w:sz w:val="18"/>
    </w:rPr>
  </w:style>
  <w:style w:type="character" w:customStyle="1" w:styleId="ital">
    <w:name w:val="ital"/>
    <w:rsid w:val="009D2B4C"/>
    <w:rPr>
      <w:rFonts w:cs="Times New Roman"/>
    </w:rPr>
  </w:style>
  <w:style w:type="paragraph" w:customStyle="1" w:styleId="Literaturverzeichnis">
    <w:name w:val="Literaturverzeichnis"/>
    <w:basedOn w:val="Normal"/>
    <w:next w:val="Normal"/>
    <w:rsid w:val="009D2B4C"/>
    <w:pPr>
      <w:spacing w:after="200" w:line="276" w:lineRule="auto"/>
    </w:pPr>
    <w:rPr>
      <w:rFonts w:ascii="Calibri" w:hAnsi="Calibri"/>
      <w:i/>
      <w:color w:val="auto"/>
      <w:lang w:val="de-DE"/>
    </w:rPr>
  </w:style>
  <w:style w:type="character" w:customStyle="1" w:styleId="databold">
    <w:name w:val="data_bold"/>
    <w:rsid w:val="009D2B4C"/>
    <w:rPr>
      <w:rFonts w:cs="Times New Roman"/>
    </w:rPr>
  </w:style>
  <w:style w:type="character" w:customStyle="1" w:styleId="cmpparsedlocationcmpparsedstyle">
    <w:name w:val="cmp_parsed_location cmp_parsed_style"/>
    <w:rsid w:val="009D2B4C"/>
    <w:rPr>
      <w:rFonts w:cs="Times New Roman"/>
    </w:rPr>
  </w:style>
  <w:style w:type="paragraph" w:customStyle="1" w:styleId="MediumGrid1-Accent21">
    <w:name w:val="Medium Grid 1 - Accent 21"/>
    <w:basedOn w:val="Normal"/>
    <w:rsid w:val="009D2B4C"/>
    <w:pPr>
      <w:spacing w:after="200" w:line="276" w:lineRule="auto"/>
      <w:ind w:left="720"/>
    </w:pPr>
    <w:rPr>
      <w:rFonts w:ascii="Calibri" w:hAnsi="Calibri"/>
      <w:b/>
      <w:i/>
      <w:color w:val="auto"/>
    </w:rPr>
  </w:style>
  <w:style w:type="paragraph" w:customStyle="1" w:styleId="ReferencesNIPIndia">
    <w:name w:val="References NIP India"/>
    <w:basedOn w:val="Normal"/>
    <w:rsid w:val="009D2B4C"/>
    <w:pPr>
      <w:spacing w:before="20" w:after="20"/>
      <w:ind w:left="709" w:right="720" w:hanging="709"/>
    </w:pPr>
    <w:rPr>
      <w:b/>
      <w:i/>
      <w:color w:val="auto"/>
      <w:sz w:val="18"/>
      <w:lang w:val="en-CA"/>
    </w:rPr>
  </w:style>
  <w:style w:type="paragraph" w:customStyle="1" w:styleId="Textedebulles1">
    <w:name w:val="Texte de bulles1"/>
    <w:basedOn w:val="Normal"/>
    <w:semiHidden/>
    <w:rsid w:val="009D2B4C"/>
    <w:pPr>
      <w:spacing w:before="100" w:after="0"/>
      <w:ind w:right="720"/>
      <w:jc w:val="both"/>
    </w:pPr>
    <w:rPr>
      <w:rFonts w:ascii="Tahoma" w:hAnsi="Tahoma"/>
      <w:color w:val="auto"/>
      <w:sz w:val="16"/>
    </w:rPr>
  </w:style>
  <w:style w:type="character" w:customStyle="1" w:styleId="CarCar2">
    <w:name w:val="Car Car2"/>
    <w:semiHidden/>
    <w:locked/>
    <w:rsid w:val="009D2B4C"/>
    <w:rPr>
      <w:lang w:val="en-US" w:eastAsia="ja-JP"/>
    </w:rPr>
  </w:style>
  <w:style w:type="character" w:customStyle="1" w:styleId="CarCar1">
    <w:name w:val="Car Car1"/>
    <w:semiHidden/>
    <w:locked/>
    <w:rsid w:val="009D2B4C"/>
    <w:rPr>
      <w:lang w:val="en-US" w:eastAsia="ja-JP"/>
    </w:rPr>
  </w:style>
  <w:style w:type="character" w:customStyle="1" w:styleId="CharChar41">
    <w:name w:val="Char Char41"/>
    <w:semiHidden/>
    <w:rsid w:val="009D2B4C"/>
    <w:rPr>
      <w:sz w:val="22"/>
    </w:rPr>
  </w:style>
  <w:style w:type="character" w:customStyle="1" w:styleId="ZchnZchn15">
    <w:name w:val="Zchn Zchn15"/>
    <w:semiHidden/>
    <w:rsid w:val="009D2B4C"/>
    <w:rPr>
      <w:rFonts w:ascii="Arial" w:hAnsi="Arial"/>
      <w:b/>
      <w:i/>
      <w:sz w:val="28"/>
      <w:lang w:val="en-US" w:eastAsia="en-US"/>
    </w:rPr>
  </w:style>
  <w:style w:type="character" w:customStyle="1" w:styleId="ZchnZchn14">
    <w:name w:val="Zchn Zchn14"/>
    <w:semiHidden/>
    <w:rsid w:val="009D2B4C"/>
    <w:rPr>
      <w:rFonts w:ascii="Arial" w:hAnsi="Arial"/>
      <w:b/>
      <w:sz w:val="26"/>
      <w:lang w:val="en-US" w:eastAsia="en-US"/>
    </w:rPr>
  </w:style>
  <w:style w:type="character" w:customStyle="1" w:styleId="ZchnZchn13">
    <w:name w:val="Zchn Zchn13"/>
    <w:semiHidden/>
    <w:rsid w:val="009D2B4C"/>
    <w:rPr>
      <w:rFonts w:ascii="Arial" w:hAnsi="Arial"/>
      <w:b/>
      <w:sz w:val="24"/>
      <w:lang w:val="de-DE" w:eastAsia="de-DE"/>
    </w:rPr>
  </w:style>
  <w:style w:type="character" w:customStyle="1" w:styleId="ZchnZchn12">
    <w:name w:val="Zchn Zchn12"/>
    <w:semiHidden/>
    <w:rsid w:val="009D2B4C"/>
    <w:rPr>
      <w:rFonts w:ascii="Arial" w:hAnsi="Arial"/>
      <w:b/>
      <w:sz w:val="24"/>
      <w:lang w:val="de-DE" w:eastAsia="de-DE"/>
    </w:rPr>
  </w:style>
  <w:style w:type="character" w:customStyle="1" w:styleId="ZchnZchn11">
    <w:name w:val="Zchn Zchn11"/>
    <w:semiHidden/>
    <w:rsid w:val="009D2B4C"/>
    <w:rPr>
      <w:rFonts w:ascii="Arial" w:hAnsi="Arial"/>
      <w:b/>
      <w:lang w:val="de-DE" w:eastAsia="de-DE"/>
    </w:rPr>
  </w:style>
  <w:style w:type="character" w:customStyle="1" w:styleId="ZchnZchn10">
    <w:name w:val="Zchn Zchn10"/>
    <w:semiHidden/>
    <w:rsid w:val="009D2B4C"/>
    <w:rPr>
      <w:rFonts w:ascii="Arial" w:hAnsi="Arial"/>
      <w:b/>
      <w:sz w:val="28"/>
      <w:lang w:val="de-DE" w:eastAsia="de-DE"/>
    </w:rPr>
  </w:style>
  <w:style w:type="character" w:customStyle="1" w:styleId="ZchnZchn9">
    <w:name w:val="Zchn Zchn9"/>
    <w:semiHidden/>
    <w:rsid w:val="009D2B4C"/>
    <w:rPr>
      <w:rFonts w:ascii="Arial" w:hAnsi="Arial"/>
      <w:b/>
      <w:lang w:val="de-DE" w:eastAsia="de-DE"/>
    </w:rPr>
  </w:style>
  <w:style w:type="character" w:customStyle="1" w:styleId="ZchnZchn8">
    <w:name w:val="Zchn Zchn8"/>
    <w:semiHidden/>
    <w:rsid w:val="009D2B4C"/>
    <w:rPr>
      <w:rFonts w:ascii="Arial" w:hAnsi="Arial"/>
      <w:sz w:val="24"/>
      <w:lang w:val="de-DE" w:eastAsia="de-DE"/>
    </w:rPr>
  </w:style>
  <w:style w:type="character" w:customStyle="1" w:styleId="CharCharZchn">
    <w:name w:val="Char Char Zchn"/>
    <w:aliases w:val="Body Text Char Char Char Char Char Zchn,Body Text Char Char Char Char Zchn Zchn"/>
    <w:semiHidden/>
    <w:locked/>
    <w:rsid w:val="009D2B4C"/>
    <w:rPr>
      <w:rFonts w:eastAsia="MS Mincho"/>
      <w:color w:val="000000"/>
      <w:sz w:val="24"/>
      <w:lang w:val="en-GB" w:eastAsia="zh-CN"/>
    </w:rPr>
  </w:style>
  <w:style w:type="character" w:customStyle="1" w:styleId="ZchnZchn4">
    <w:name w:val="Zchn Zchn4"/>
    <w:semiHidden/>
    <w:rsid w:val="009D2B4C"/>
    <w:rPr>
      <w:sz w:val="24"/>
      <w:lang w:val="en-US" w:eastAsia="en-US"/>
    </w:rPr>
  </w:style>
  <w:style w:type="character" w:customStyle="1" w:styleId="ZchnZchn7">
    <w:name w:val="Zchn Zchn7"/>
    <w:semiHidden/>
    <w:rsid w:val="009D2B4C"/>
    <w:rPr>
      <w:sz w:val="24"/>
      <w:lang w:val="en-US" w:eastAsia="en-US"/>
    </w:rPr>
  </w:style>
  <w:style w:type="character" w:customStyle="1" w:styleId="ZchnZchn6">
    <w:name w:val="Zchn Zchn6"/>
    <w:semiHidden/>
    <w:rsid w:val="009D2B4C"/>
    <w:rPr>
      <w:rFonts w:ascii="Courier New" w:hAnsi="Courier New"/>
      <w:lang w:val="de-DE" w:eastAsia="de-DE"/>
    </w:rPr>
  </w:style>
  <w:style w:type="character" w:customStyle="1" w:styleId="ZchnZchn5">
    <w:name w:val="Zchn Zchn5"/>
    <w:semiHidden/>
    <w:rsid w:val="009D2B4C"/>
    <w:rPr>
      <w:rFonts w:ascii="Arial" w:hAnsi="Arial"/>
      <w:sz w:val="24"/>
      <w:lang w:val="de-DE" w:eastAsia="de-DE"/>
    </w:rPr>
  </w:style>
  <w:style w:type="character" w:customStyle="1" w:styleId="ZchnZchn3">
    <w:name w:val="Zchn Zchn3"/>
    <w:semiHidden/>
    <w:rsid w:val="009D2B4C"/>
    <w:rPr>
      <w:rFonts w:ascii="Arial" w:hAnsi="Arial"/>
      <w:sz w:val="24"/>
      <w:lang w:val="de-DE" w:eastAsia="de-DE"/>
    </w:rPr>
  </w:style>
  <w:style w:type="paragraph" w:customStyle="1" w:styleId="12">
    <w:name w:val="コメント内容1"/>
    <w:basedOn w:val="CommentText"/>
    <w:next w:val="CommentText"/>
    <w:semiHidden/>
    <w:rsid w:val="009D2B4C"/>
    <w:pPr>
      <w:spacing w:after="0"/>
    </w:pPr>
    <w:rPr>
      <w:rFonts w:ascii="Century" w:eastAsia="MS Mincho" w:hAnsi="Century"/>
      <w:b/>
      <w:bCs/>
      <w:kern w:val="2"/>
      <w:szCs w:val="24"/>
      <w:lang w:val="en-US"/>
    </w:rPr>
  </w:style>
  <w:style w:type="paragraph" w:customStyle="1" w:styleId="13">
    <w:name w:val="吹き出し1"/>
    <w:basedOn w:val="Normal"/>
    <w:semiHidden/>
    <w:rsid w:val="009D2B4C"/>
    <w:pPr>
      <w:widowControl w:val="0"/>
      <w:spacing w:after="0"/>
      <w:jc w:val="both"/>
    </w:pPr>
    <w:rPr>
      <w:rFonts w:ascii="Arial" w:eastAsia="MS Gothic" w:hAnsi="Arial"/>
      <w:color w:val="auto"/>
      <w:kern w:val="2"/>
      <w:sz w:val="18"/>
      <w:szCs w:val="18"/>
      <w:lang w:val="en-US" w:eastAsia="ja-JP"/>
    </w:rPr>
  </w:style>
  <w:style w:type="paragraph" w:customStyle="1" w:styleId="a4">
    <w:name w:val="批注框文本"/>
    <w:basedOn w:val="Normal"/>
    <w:semiHidden/>
    <w:rsid w:val="009D2B4C"/>
    <w:pPr>
      <w:widowControl w:val="0"/>
      <w:spacing w:after="0"/>
      <w:jc w:val="both"/>
    </w:pPr>
    <w:rPr>
      <w:rFonts w:eastAsia="MS Mincho"/>
      <w:color w:val="auto"/>
      <w:kern w:val="2"/>
      <w:sz w:val="18"/>
      <w:szCs w:val="18"/>
      <w:lang w:val="en-US" w:eastAsia="ja-JP"/>
    </w:rPr>
  </w:style>
  <w:style w:type="paragraph" w:customStyle="1" w:styleId="a5">
    <w:name w:val="批注主题"/>
    <w:basedOn w:val="CommentText"/>
    <w:next w:val="CommentText"/>
    <w:semiHidden/>
    <w:rsid w:val="009D2B4C"/>
    <w:pPr>
      <w:spacing w:after="0"/>
    </w:pPr>
    <w:rPr>
      <w:rFonts w:ascii="Century" w:eastAsia="MS Mincho" w:hAnsi="Century"/>
      <w:b/>
      <w:bCs/>
      <w:kern w:val="2"/>
      <w:szCs w:val="24"/>
      <w:lang w:val="en-US"/>
    </w:rPr>
  </w:style>
  <w:style w:type="paragraph" w:customStyle="1" w:styleId="Textodeglobo1">
    <w:name w:val="Texto de globo1"/>
    <w:basedOn w:val="Normal"/>
    <w:semiHidden/>
    <w:rsid w:val="009D2B4C"/>
    <w:pPr>
      <w:widowControl w:val="0"/>
      <w:spacing w:after="0"/>
      <w:jc w:val="both"/>
    </w:pPr>
    <w:rPr>
      <w:rFonts w:ascii="Tahoma" w:eastAsia="MS Mincho" w:hAnsi="Tahoma" w:cs="Calibri"/>
      <w:color w:val="auto"/>
      <w:kern w:val="2"/>
      <w:sz w:val="16"/>
      <w:szCs w:val="16"/>
      <w:lang w:val="en-US" w:eastAsia="ja-JP"/>
    </w:rPr>
  </w:style>
  <w:style w:type="paragraph" w:customStyle="1" w:styleId="a7">
    <w:name w:val="スタイル"/>
    <w:rsid w:val="009D2B4C"/>
    <w:pPr>
      <w:widowControl w:val="0"/>
      <w:autoSpaceDE w:val="0"/>
      <w:autoSpaceDN w:val="0"/>
      <w:adjustRightInd w:val="0"/>
    </w:pPr>
    <w:rPr>
      <w:rFonts w:ascii="Times New Roman" w:eastAsia="MS Mincho" w:hAnsi="Times New Roman"/>
      <w:sz w:val="24"/>
      <w:szCs w:val="24"/>
      <w:lang w:val="en-US" w:eastAsia="ja-JP"/>
    </w:rPr>
  </w:style>
  <w:style w:type="paragraph" w:customStyle="1" w:styleId="listparagraphcxspmiddle">
    <w:name w:val="listparagraphcxspmiddle"/>
    <w:basedOn w:val="Normal"/>
    <w:rsid w:val="009D2B4C"/>
    <w:pPr>
      <w:spacing w:before="100" w:after="100"/>
    </w:pPr>
    <w:rPr>
      <w:color w:val="auto"/>
      <w:lang w:val="en-US"/>
    </w:rPr>
  </w:style>
  <w:style w:type="paragraph" w:customStyle="1" w:styleId="StyleBodyText1After6pt">
    <w:name w:val="Style Body Text1 + After:  6 pt"/>
    <w:basedOn w:val="BodyText1"/>
    <w:rsid w:val="009D2B4C"/>
    <w:rPr>
      <w:lang w:eastAsia="zh-CN"/>
    </w:rPr>
  </w:style>
  <w:style w:type="character" w:customStyle="1" w:styleId="A00">
    <w:name w:val="A0"/>
    <w:rsid w:val="009D2B4C"/>
    <w:rPr>
      <w:color w:val="000000"/>
      <w:sz w:val="22"/>
    </w:rPr>
  </w:style>
  <w:style w:type="character" w:customStyle="1" w:styleId="srch-url21">
    <w:name w:val="srch-url21"/>
    <w:rsid w:val="009D2B4C"/>
    <w:rPr>
      <w:color w:val="5E4606"/>
      <w:u w:val="single"/>
    </w:rPr>
  </w:style>
  <w:style w:type="character" w:customStyle="1" w:styleId="Titre2Car">
    <w:name w:val="Titre 2 Car"/>
    <w:aliases w:val="SubPara (a) Car,Heading 2 Char1 Char Car,SubPara (a) Char1 Char Car,Heading 2 Char3 Char Char Car,Heading 2 Char Char2 Char Char Car,Heading 2 Char1 Char Char1 Char Char Car,SubPara (a) Char Char Char1 Char Char Car,Heading 2 C.. Car"/>
    <w:locked/>
    <w:rsid w:val="009D2B4C"/>
    <w:rPr>
      <w:rFonts w:ascii="Cambria" w:hAnsi="Cambria"/>
      <w:b/>
      <w:i/>
      <w:sz w:val="28"/>
      <w:lang w:val="en-AU" w:eastAsia="en-AU"/>
    </w:rPr>
  </w:style>
  <w:style w:type="character" w:customStyle="1" w:styleId="Titre3Car">
    <w:name w:val="Titre 3 Car"/>
    <w:aliases w:val="Heading 3 Char1 Char Car,Heading 3 Char Char Char Car,Char Char Char Char Car,Char Char1 Char Car,Sec Car"/>
    <w:locked/>
    <w:rsid w:val="009D2B4C"/>
    <w:rPr>
      <w:b/>
      <w:i/>
      <w:color w:val="000000"/>
      <w:sz w:val="24"/>
      <w:lang w:val="en-GB" w:eastAsia="en-US"/>
    </w:rPr>
  </w:style>
  <w:style w:type="character" w:customStyle="1" w:styleId="Titre4Car">
    <w:name w:val="Titre 4 Car"/>
    <w:aliases w:val="MainPara Car"/>
    <w:locked/>
    <w:rsid w:val="009D2B4C"/>
    <w:rPr>
      <w:i/>
      <w:sz w:val="28"/>
      <w:lang w:val="en-AU" w:eastAsia="en-AU"/>
    </w:rPr>
  </w:style>
  <w:style w:type="character" w:customStyle="1" w:styleId="Titre5Car">
    <w:name w:val="Titre 5 Car"/>
    <w:aliases w:val="Subpara 2 Car"/>
    <w:semiHidden/>
    <w:locked/>
    <w:rsid w:val="009D2B4C"/>
    <w:rPr>
      <w:rFonts w:ascii="Calibri" w:hAnsi="Calibri"/>
      <w:b/>
      <w:i/>
      <w:sz w:val="26"/>
      <w:lang w:val="en-AU" w:eastAsia="en-AU"/>
    </w:rPr>
  </w:style>
  <w:style w:type="character" w:customStyle="1" w:styleId="Titre6Car">
    <w:name w:val="Titre 6 Car"/>
    <w:semiHidden/>
    <w:locked/>
    <w:rsid w:val="009D2B4C"/>
    <w:rPr>
      <w:rFonts w:ascii="Calibri" w:hAnsi="Calibri"/>
      <w:b/>
      <w:lang w:val="en-AU" w:eastAsia="en-AU"/>
    </w:rPr>
  </w:style>
  <w:style w:type="character" w:customStyle="1" w:styleId="Titre7Car">
    <w:name w:val="Titre 7 Car"/>
    <w:aliases w:val="Subpara 4 Car"/>
    <w:semiHidden/>
    <w:locked/>
    <w:rsid w:val="009D2B4C"/>
    <w:rPr>
      <w:rFonts w:ascii="Calibri" w:hAnsi="Calibri"/>
      <w:sz w:val="24"/>
      <w:lang w:val="en-AU" w:eastAsia="en-AU"/>
    </w:rPr>
  </w:style>
  <w:style w:type="character" w:customStyle="1" w:styleId="Titre8Car">
    <w:name w:val="Titre 8 Car"/>
    <w:aliases w:val="Subpara 5 Car"/>
    <w:semiHidden/>
    <w:locked/>
    <w:rsid w:val="009D2B4C"/>
    <w:rPr>
      <w:rFonts w:ascii="Calibri" w:hAnsi="Calibri"/>
      <w:i/>
      <w:sz w:val="24"/>
      <w:lang w:val="en-AU" w:eastAsia="en-AU"/>
    </w:rPr>
  </w:style>
  <w:style w:type="character" w:customStyle="1" w:styleId="Titre9Car">
    <w:name w:val="Titre 9 Car"/>
    <w:aliases w:val="Subpara 6 Car"/>
    <w:semiHidden/>
    <w:locked/>
    <w:rsid w:val="009D2B4C"/>
    <w:rPr>
      <w:rFonts w:ascii="Cambria" w:hAnsi="Cambria"/>
      <w:lang w:val="en-AU" w:eastAsia="en-AU"/>
    </w:rPr>
  </w:style>
  <w:style w:type="character" w:customStyle="1" w:styleId="TextedebullesCar">
    <w:name w:val="Texte de bulles Car"/>
    <w:semiHidden/>
    <w:locked/>
    <w:rsid w:val="009D2B4C"/>
    <w:rPr>
      <w:sz w:val="2"/>
      <w:lang w:val="en-AU" w:eastAsia="en-AU"/>
    </w:rPr>
  </w:style>
  <w:style w:type="character" w:customStyle="1" w:styleId="CorpsdetexteCar">
    <w:name w:val="Corps de texte Car"/>
    <w:aliases w:val="Char Char Car,Body Text Char Char Char Char Char Car,Body Text Char Char Char Char Car"/>
    <w:locked/>
    <w:rsid w:val="009D2B4C"/>
    <w:rPr>
      <w:sz w:val="24"/>
      <w:lang w:val="en-AU" w:eastAsia="en-AU"/>
    </w:rPr>
  </w:style>
  <w:style w:type="paragraph" w:customStyle="1" w:styleId="PrformatHTML1">
    <w:name w:val="Préformaté HTML1"/>
    <w:basedOn w:val="Normal"/>
    <w:rsid w:val="009D2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olor w:val="auto"/>
      <w:sz w:val="20"/>
      <w:lang w:val="en-US"/>
    </w:rPr>
  </w:style>
  <w:style w:type="character" w:customStyle="1" w:styleId="PrformatHTMLCar">
    <w:name w:val="Préformaté HTML Car"/>
    <w:semiHidden/>
    <w:locked/>
    <w:rsid w:val="009D2B4C"/>
    <w:rPr>
      <w:rFonts w:ascii="Courier New" w:hAnsi="Courier New"/>
      <w:sz w:val="20"/>
      <w:lang w:val="en-AU" w:eastAsia="en-AU"/>
    </w:rPr>
  </w:style>
  <w:style w:type="character" w:customStyle="1" w:styleId="RetraitcorpsdetexteCar">
    <w:name w:val="Retrait corps de texte Car"/>
    <w:semiHidden/>
    <w:locked/>
    <w:rsid w:val="009D2B4C"/>
    <w:rPr>
      <w:sz w:val="24"/>
      <w:lang w:val="en-AU" w:eastAsia="en-AU"/>
    </w:rPr>
  </w:style>
  <w:style w:type="character" w:customStyle="1" w:styleId="Retraitcorpset1religCar">
    <w:name w:val="Retrait corps et 1re lig. Car"/>
    <w:semiHidden/>
    <w:locked/>
    <w:rsid w:val="009D2B4C"/>
    <w:rPr>
      <w:rFonts w:cs="Times New Roman"/>
      <w:sz w:val="24"/>
      <w:szCs w:val="24"/>
      <w:lang w:val="en-AU" w:eastAsia="en-AU"/>
    </w:rPr>
  </w:style>
  <w:style w:type="character" w:customStyle="1" w:styleId="CommentaireCar">
    <w:name w:val="Commentaire Car"/>
    <w:locked/>
    <w:rsid w:val="009D2B4C"/>
    <w:rPr>
      <w:rFonts w:eastAsia="Times New Roman"/>
      <w:lang w:val="en-AU" w:eastAsia="en-AU"/>
    </w:rPr>
  </w:style>
  <w:style w:type="paragraph" w:customStyle="1" w:styleId="Objetducommentaire1">
    <w:name w:val="Objet du commentaire1"/>
    <w:basedOn w:val="CommentText"/>
    <w:next w:val="CommentText"/>
    <w:semiHidden/>
    <w:rsid w:val="009D2B4C"/>
    <w:pPr>
      <w:widowControl/>
      <w:spacing w:after="0"/>
    </w:pPr>
    <w:rPr>
      <w:b/>
      <w:sz w:val="20"/>
      <w:lang w:eastAsia="zh-CN"/>
    </w:rPr>
  </w:style>
  <w:style w:type="character" w:customStyle="1" w:styleId="ObjetducommentaireCar">
    <w:name w:val="Objet du commentaire Car"/>
    <w:locked/>
    <w:rsid w:val="009D2B4C"/>
    <w:rPr>
      <w:rFonts w:eastAsia="Times New Roman"/>
      <w:b/>
      <w:lang w:val="en-AU" w:eastAsia="en-AU"/>
    </w:rPr>
  </w:style>
  <w:style w:type="paragraph" w:customStyle="1" w:styleId="En-ttedetabledesmatires2">
    <w:name w:val="En-tête de table des matières2"/>
    <w:basedOn w:val="Heading1"/>
    <w:next w:val="Normal"/>
    <w:rsid w:val="009D2B4C"/>
    <w:pPr>
      <w:keepLines/>
      <w:spacing w:before="480" w:after="0" w:line="276" w:lineRule="auto"/>
      <w:ind w:left="0" w:firstLine="0"/>
      <w:outlineLvl w:val="9"/>
    </w:pPr>
    <w:rPr>
      <w:rFonts w:ascii="Cambria" w:eastAsia="MS Mincho" w:hAnsi="Cambria"/>
      <w:color w:val="808080"/>
      <w:sz w:val="28"/>
      <w:lang w:val="fr-FR"/>
    </w:rPr>
  </w:style>
  <w:style w:type="paragraph" w:customStyle="1" w:styleId="Paragraphedeliste2">
    <w:name w:val="Paragraphe de liste2"/>
    <w:basedOn w:val="Normal"/>
    <w:rsid w:val="009D2B4C"/>
    <w:pPr>
      <w:spacing w:after="0"/>
    </w:pPr>
    <w:rPr>
      <w:rFonts w:eastAsia="MS Mincho"/>
      <w:color w:val="auto"/>
      <w:sz w:val="24"/>
      <w:lang w:val="en-AU"/>
    </w:rPr>
  </w:style>
  <w:style w:type="character" w:customStyle="1" w:styleId="bold0">
    <w:name w:val="bold"/>
    <w:rsid w:val="009D2B4C"/>
  </w:style>
  <w:style w:type="paragraph" w:customStyle="1" w:styleId="first">
    <w:name w:val="first"/>
    <w:basedOn w:val="Normal"/>
    <w:rsid w:val="009D2B4C"/>
    <w:pPr>
      <w:spacing w:before="100" w:after="100"/>
    </w:pPr>
    <w:rPr>
      <w:rFonts w:eastAsia="MS Mincho"/>
      <w:color w:val="auto"/>
      <w:sz w:val="24"/>
      <w:lang w:val="fr-FR"/>
    </w:rPr>
  </w:style>
  <w:style w:type="character" w:customStyle="1" w:styleId="En-tteCar">
    <w:name w:val="En-tête Car"/>
    <w:locked/>
    <w:rsid w:val="009D2B4C"/>
    <w:rPr>
      <w:sz w:val="24"/>
      <w:lang w:val="en-AU" w:eastAsia="en-AU"/>
    </w:rPr>
  </w:style>
  <w:style w:type="character" w:customStyle="1" w:styleId="PieddepageCar">
    <w:name w:val="Pied de page Car"/>
    <w:locked/>
    <w:rsid w:val="009D2B4C"/>
    <w:rPr>
      <w:sz w:val="24"/>
      <w:lang w:val="en-AU" w:eastAsia="en-AU"/>
    </w:rPr>
  </w:style>
  <w:style w:type="character" w:customStyle="1" w:styleId="TitreCar">
    <w:name w:val="Titre Car"/>
    <w:locked/>
    <w:rsid w:val="009D2B4C"/>
    <w:rPr>
      <w:rFonts w:ascii="Cambria" w:hAnsi="Cambria"/>
      <w:b/>
      <w:kern w:val="28"/>
      <w:sz w:val="32"/>
      <w:lang w:val="en-AU" w:eastAsia="en-AU"/>
    </w:rPr>
  </w:style>
  <w:style w:type="paragraph" w:customStyle="1" w:styleId="Sansinterligne2">
    <w:name w:val="Sans interligne2"/>
    <w:rsid w:val="009D2B4C"/>
    <w:rPr>
      <w:rFonts w:ascii="Times New Roman" w:eastAsia="MS Mincho" w:hAnsi="Times New Roman"/>
      <w:noProof/>
      <w:sz w:val="24"/>
      <w:lang w:val="nl-NL" w:eastAsia="nl-NL"/>
    </w:rPr>
  </w:style>
  <w:style w:type="character" w:customStyle="1" w:styleId="ExplorateurdedocumentsCar">
    <w:name w:val="Explorateur de documents Car"/>
    <w:semiHidden/>
    <w:locked/>
    <w:rsid w:val="009D2B4C"/>
    <w:rPr>
      <w:rFonts w:ascii="Tahoma" w:hAnsi="Tahoma"/>
      <w:sz w:val="16"/>
      <w:lang w:val="en-AU" w:eastAsia="en-AU"/>
    </w:rPr>
  </w:style>
  <w:style w:type="character" w:customStyle="1" w:styleId="hit">
    <w:name w:val="hit"/>
    <w:uiPriority w:val="99"/>
    <w:rsid w:val="009D2B4C"/>
  </w:style>
  <w:style w:type="character" w:customStyle="1" w:styleId="NotedebasdepageCar">
    <w:name w:val="Note de bas de page Car"/>
    <w:locked/>
    <w:rsid w:val="009D2B4C"/>
    <w:rPr>
      <w:sz w:val="24"/>
      <w:lang w:val="en-AU" w:eastAsia="en-AU"/>
    </w:rPr>
  </w:style>
  <w:style w:type="paragraph" w:customStyle="1" w:styleId="Rvision2">
    <w:name w:val="Révision2"/>
    <w:hidden/>
    <w:semiHidden/>
    <w:rsid w:val="009D2B4C"/>
    <w:rPr>
      <w:rFonts w:ascii="Times New Roman" w:eastAsia="MS Mincho" w:hAnsi="Times New Roman"/>
      <w:sz w:val="24"/>
      <w:lang w:val="en-AU" w:eastAsia="nl-NL"/>
    </w:rPr>
  </w:style>
  <w:style w:type="paragraph" w:customStyle="1" w:styleId="Ref">
    <w:name w:val="Ref"/>
    <w:basedOn w:val="Footnote"/>
    <w:rsid w:val="009D2B4C"/>
    <w:pPr>
      <w:autoSpaceDE w:val="0"/>
      <w:autoSpaceDN w:val="0"/>
      <w:adjustRightInd w:val="0"/>
    </w:pPr>
    <w:rPr>
      <w:rFonts w:ascii="Calibri" w:eastAsia="MS Mincho" w:hAnsi="Calibri"/>
      <w:color w:val="auto"/>
    </w:rPr>
  </w:style>
  <w:style w:type="character" w:customStyle="1" w:styleId="SansinterligneCar">
    <w:name w:val="Sans interligne Car"/>
    <w:rsid w:val="009D2B4C"/>
    <w:rPr>
      <w:sz w:val="24"/>
    </w:rPr>
  </w:style>
  <w:style w:type="paragraph" w:customStyle="1" w:styleId="Hea">
    <w:name w:val="Hea"/>
    <w:rsid w:val="009D2B4C"/>
    <w:pPr>
      <w:autoSpaceDE w:val="0"/>
      <w:autoSpaceDN w:val="0"/>
    </w:pPr>
    <w:rPr>
      <w:rFonts w:ascii="Times New Roman" w:hAnsi="Times New Roman"/>
      <w:sz w:val="24"/>
      <w:lang w:val="en-US" w:eastAsia="nl-NL"/>
    </w:rPr>
  </w:style>
  <w:style w:type="paragraph" w:customStyle="1" w:styleId="PageImage">
    <w:name w:val="PageImage"/>
    <w:rsid w:val="009D2B4C"/>
    <w:pPr>
      <w:autoSpaceDE w:val="0"/>
      <w:autoSpaceDN w:val="0"/>
      <w:spacing w:before="240"/>
      <w:jc w:val="center"/>
    </w:pPr>
    <w:rPr>
      <w:rFonts w:ascii="Times New Roman" w:hAnsi="Times New Roman"/>
      <w:lang w:val="en-AU" w:eastAsia="nl-NL"/>
    </w:rPr>
  </w:style>
  <w:style w:type="paragraph" w:customStyle="1" w:styleId="Italicindent">
    <w:name w:val="Italic indent"/>
    <w:rsid w:val="009D2B4C"/>
    <w:pPr>
      <w:autoSpaceDE w:val="0"/>
      <w:autoSpaceDN w:val="0"/>
      <w:spacing w:after="200" w:line="276" w:lineRule="auto"/>
      <w:ind w:left="1701" w:right="662"/>
    </w:pPr>
    <w:rPr>
      <w:rFonts w:ascii="Calibri" w:hAnsi="Calibri"/>
      <w:i/>
      <w:color w:val="000000"/>
      <w:lang w:val="en-GB" w:eastAsia="nl-NL"/>
    </w:rPr>
  </w:style>
  <w:style w:type="paragraph" w:customStyle="1" w:styleId="a8">
    <w:name w:val="("/>
    <w:rsid w:val="009D2B4C"/>
    <w:pPr>
      <w:autoSpaceDE w:val="0"/>
      <w:autoSpaceDN w:val="0"/>
      <w:spacing w:after="160" w:line="240" w:lineRule="exact"/>
    </w:pPr>
    <w:rPr>
      <w:rFonts w:ascii="Times New Roman" w:hAnsi="Times New Roman"/>
      <w:lang w:val="en-US" w:eastAsia="nl-NL"/>
    </w:rPr>
  </w:style>
  <w:style w:type="character" w:customStyle="1" w:styleId="style61">
    <w:name w:val="style61"/>
    <w:rsid w:val="009D2B4C"/>
    <w:rPr>
      <w:rFonts w:ascii="Verdana" w:hAnsi="Verdana"/>
      <w:b/>
      <w:color w:val="808080"/>
      <w:sz w:val="24"/>
    </w:rPr>
  </w:style>
  <w:style w:type="paragraph" w:customStyle="1" w:styleId="yiv606811850msolistparagraph">
    <w:name w:val="yiv606811850msolistparagraph"/>
    <w:basedOn w:val="Normal"/>
    <w:rsid w:val="00113508"/>
    <w:pPr>
      <w:spacing w:before="100" w:beforeAutospacing="1" w:after="100" w:afterAutospacing="1"/>
    </w:pPr>
    <w:rPr>
      <w:rFonts w:eastAsia="MS Mincho"/>
      <w:color w:val="auto"/>
      <w:sz w:val="24"/>
      <w:szCs w:val="24"/>
      <w:lang w:val="en-AU" w:eastAsia="ja-JP"/>
    </w:rPr>
  </w:style>
  <w:style w:type="paragraph" w:customStyle="1" w:styleId="yiv606811850msonormal">
    <w:name w:val="yiv606811850msonormal"/>
    <w:basedOn w:val="Normal"/>
    <w:rsid w:val="006E0911"/>
    <w:pPr>
      <w:spacing w:before="100" w:beforeAutospacing="1" w:after="100" w:afterAutospacing="1"/>
    </w:pPr>
    <w:rPr>
      <w:rFonts w:eastAsia="MS Mincho"/>
      <w:color w:val="auto"/>
      <w:sz w:val="24"/>
      <w:szCs w:val="24"/>
      <w:lang w:val="en-AU" w:eastAsia="ja-JP"/>
    </w:rPr>
  </w:style>
  <w:style w:type="paragraph" w:customStyle="1" w:styleId="yiv1274957915msonormal">
    <w:name w:val="yiv1274957915msonormal"/>
    <w:basedOn w:val="Normal"/>
    <w:rsid w:val="00855BBF"/>
    <w:pPr>
      <w:spacing w:before="100" w:beforeAutospacing="1" w:after="100" w:afterAutospacing="1"/>
    </w:pPr>
    <w:rPr>
      <w:rFonts w:eastAsia="Calibri"/>
      <w:color w:val="auto"/>
      <w:sz w:val="24"/>
      <w:szCs w:val="24"/>
      <w:lang w:val="en-AU" w:eastAsia="en-AU"/>
    </w:rPr>
  </w:style>
  <w:style w:type="paragraph" w:customStyle="1" w:styleId="yiv1384451333msonormal">
    <w:name w:val="yiv1384451333msonormal"/>
    <w:basedOn w:val="Normal"/>
    <w:rsid w:val="00855BBF"/>
    <w:pPr>
      <w:spacing w:before="100" w:beforeAutospacing="1" w:after="100" w:afterAutospacing="1"/>
    </w:pPr>
    <w:rPr>
      <w:rFonts w:eastAsia="Calibri"/>
      <w:color w:val="auto"/>
      <w:sz w:val="24"/>
      <w:szCs w:val="24"/>
      <w:lang w:val="en-AU" w:eastAsia="en-AU"/>
    </w:rPr>
  </w:style>
  <w:style w:type="paragraph" w:customStyle="1" w:styleId="yiv1235825782msonormal">
    <w:name w:val="yiv1235825782msonormal"/>
    <w:basedOn w:val="Normal"/>
    <w:rsid w:val="00855BBF"/>
    <w:pPr>
      <w:spacing w:before="100" w:beforeAutospacing="1" w:after="100" w:afterAutospacing="1"/>
    </w:pPr>
    <w:rPr>
      <w:color w:val="auto"/>
      <w:sz w:val="24"/>
      <w:szCs w:val="24"/>
      <w:lang w:val="en-AU" w:eastAsia="en-AU"/>
    </w:rPr>
  </w:style>
  <w:style w:type="paragraph" w:customStyle="1" w:styleId="yiv6426528587msonormal">
    <w:name w:val="yiv6426528587msonormal"/>
    <w:basedOn w:val="Normal"/>
    <w:rsid w:val="00066BB2"/>
    <w:pPr>
      <w:spacing w:before="100" w:beforeAutospacing="1" w:after="100" w:afterAutospacing="1"/>
    </w:pPr>
    <w:rPr>
      <w:color w:val="auto"/>
      <w:sz w:val="24"/>
      <w:szCs w:val="24"/>
      <w:lang w:val="en-AU" w:eastAsia="en-AU"/>
    </w:rPr>
  </w:style>
  <w:style w:type="paragraph" w:customStyle="1" w:styleId="yiv5496574013msonormal">
    <w:name w:val="yiv5496574013msonormal"/>
    <w:basedOn w:val="Normal"/>
    <w:rsid w:val="002F58B2"/>
    <w:pPr>
      <w:spacing w:before="100" w:beforeAutospacing="1" w:after="100" w:afterAutospacing="1"/>
    </w:pPr>
    <w:rPr>
      <w:color w:val="auto"/>
      <w:sz w:val="24"/>
      <w:szCs w:val="24"/>
      <w:lang w:val="en-AU" w:eastAsia="en-AU"/>
    </w:rPr>
  </w:style>
  <w:style w:type="paragraph" w:customStyle="1" w:styleId="MediumGrid1-Accent23">
    <w:name w:val="Medium Grid 1 - Accent 23"/>
    <w:basedOn w:val="Normal"/>
    <w:qFormat/>
    <w:rsid w:val="002B749B"/>
    <w:pPr>
      <w:spacing w:after="0"/>
      <w:ind w:left="720"/>
      <w:contextualSpacing/>
    </w:pPr>
    <w:rPr>
      <w:rFonts w:ascii="Calibri" w:hAnsi="Calibri" w:cs="Calibri"/>
      <w:color w:val="auto"/>
      <w:sz w:val="24"/>
      <w:szCs w:val="24"/>
      <w:lang w:val="en-US" w:eastAsia="en-US"/>
    </w:rPr>
  </w:style>
  <w:style w:type="paragraph" w:customStyle="1" w:styleId="ColorfulList-Accent13">
    <w:name w:val="Colorful List - Accent 13"/>
    <w:basedOn w:val="Normal"/>
    <w:qFormat/>
    <w:rsid w:val="00735650"/>
    <w:pPr>
      <w:spacing w:after="0"/>
      <w:ind w:left="720"/>
      <w:contextualSpacing/>
      <w:jc w:val="both"/>
    </w:pPr>
    <w:rPr>
      <w:rFonts w:eastAsia="Calibri"/>
      <w:color w:val="auto"/>
      <w:sz w:val="24"/>
      <w:szCs w:val="24"/>
      <w:lang w:val="en-ZA" w:eastAsia="en-US"/>
    </w:rPr>
  </w:style>
  <w:style w:type="paragraph" w:customStyle="1" w:styleId="ColorfulShading-Accent11">
    <w:name w:val="Colorful Shading - Accent 11"/>
    <w:hidden/>
    <w:uiPriority w:val="99"/>
    <w:semiHidden/>
    <w:rsid w:val="00693C78"/>
    <w:rPr>
      <w:rFonts w:ascii="Times New Roman" w:hAnsi="Times New Roman"/>
      <w:color w:val="000000"/>
      <w:sz w:val="22"/>
      <w:lang w:val="en-GB" w:eastAsia="zh-CN"/>
    </w:rPr>
  </w:style>
  <w:style w:type="paragraph" w:styleId="Revision">
    <w:name w:val="Revision"/>
    <w:hidden/>
    <w:uiPriority w:val="62"/>
    <w:rsid w:val="00DA55AC"/>
    <w:rPr>
      <w:rFonts w:ascii="Times New Roman" w:hAnsi="Times New Roman"/>
      <w:color w:val="000000"/>
      <w:sz w:val="22"/>
      <w:lang w:val="en-GB" w:eastAsia="zh-CN"/>
    </w:rPr>
  </w:style>
  <w:style w:type="paragraph" w:styleId="NoSpacing">
    <w:name w:val="No Spacing"/>
    <w:uiPriority w:val="1"/>
    <w:qFormat/>
    <w:locked/>
    <w:rsid w:val="009A0F08"/>
    <w:rPr>
      <w:rFonts w:ascii="Calibri" w:eastAsia="Calibri" w:hAnsi="Calibri"/>
      <w:sz w:val="22"/>
      <w:szCs w:val="22"/>
      <w:lang w:val="en-ZA" w:eastAsia="en-US"/>
    </w:rPr>
  </w:style>
  <w:style w:type="paragraph" w:styleId="ListParagraph">
    <w:name w:val="List Paragraph"/>
    <w:basedOn w:val="Normal"/>
    <w:link w:val="ListParagraphChar"/>
    <w:uiPriority w:val="34"/>
    <w:qFormat/>
    <w:rsid w:val="009A0F08"/>
    <w:pPr>
      <w:ind w:left="720"/>
      <w:contextualSpacing/>
    </w:pPr>
  </w:style>
  <w:style w:type="character" w:customStyle="1" w:styleId="publication-meta-journal">
    <w:name w:val="publication-meta-journal"/>
    <w:basedOn w:val="DefaultParagraphFont"/>
    <w:rsid w:val="00C17D19"/>
  </w:style>
  <w:style w:type="character" w:customStyle="1" w:styleId="publication-meta-date">
    <w:name w:val="publication-meta-date"/>
    <w:basedOn w:val="DefaultParagraphFont"/>
    <w:rsid w:val="00C17D19"/>
  </w:style>
  <w:style w:type="character" w:customStyle="1" w:styleId="yiv0733860632">
    <w:name w:val="yiv0733860632"/>
    <w:basedOn w:val="DefaultParagraphFont"/>
    <w:rsid w:val="004C3B46"/>
  </w:style>
  <w:style w:type="paragraph" w:customStyle="1" w:styleId="yiv0733860632msonormal">
    <w:name w:val="yiv0733860632msonormal"/>
    <w:basedOn w:val="Normal"/>
    <w:rsid w:val="0055770C"/>
    <w:pPr>
      <w:spacing w:before="100" w:beforeAutospacing="1" w:after="100" w:afterAutospacing="1"/>
    </w:pPr>
    <w:rPr>
      <w:color w:val="auto"/>
      <w:sz w:val="24"/>
      <w:szCs w:val="24"/>
      <w:lang w:val="en-AU" w:eastAsia="en-AU"/>
    </w:rPr>
  </w:style>
  <w:style w:type="character" w:customStyle="1" w:styleId="ListParagraphChar">
    <w:name w:val="List Paragraph Char"/>
    <w:link w:val="ListParagraph"/>
    <w:uiPriority w:val="34"/>
    <w:locked/>
    <w:rsid w:val="00CB7681"/>
    <w:rPr>
      <w:rFonts w:ascii="Times New Roman" w:hAnsi="Times New Roman"/>
      <w:color w:val="000000"/>
      <w:sz w:val="22"/>
      <w:lang w:val="en-GB" w:eastAsia="zh-CN"/>
    </w:rPr>
  </w:style>
  <w:style w:type="paragraph" w:styleId="TOCHeading">
    <w:name w:val="TOC Heading"/>
    <w:basedOn w:val="Heading1"/>
    <w:next w:val="Normal"/>
    <w:uiPriority w:val="39"/>
    <w:semiHidden/>
    <w:unhideWhenUsed/>
    <w:qFormat/>
    <w:rsid w:val="005C7FC1"/>
    <w:pPr>
      <w:keepLine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single" w:sz="6" w:space="0" w:color="A2A2A2"/>
                <w:left w:val="single" w:sz="6" w:space="0" w:color="A2A2A2"/>
                <w:bottom w:val="single" w:sz="6" w:space="0" w:color="A2A2A2"/>
                <w:right w:val="single" w:sz="6" w:space="0" w:color="A2A2A2"/>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single" w:sz="6" w:space="0" w:color="A4A4A4"/>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6" w:space="0" w:color="A2A2A2"/>
                <w:left w:val="single" w:sz="6" w:space="0" w:color="A2A2A2"/>
                <w:bottom w:val="single" w:sz="6" w:space="0" w:color="A2A2A2"/>
                <w:right w:val="single" w:sz="6" w:space="0" w:color="A2A2A2"/>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100"/>
          <w:marBottom w:val="10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100"/>
          <w:marBottom w:val="10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74872">
      <w:bodyDiv w:val="1"/>
      <w:marLeft w:val="0"/>
      <w:marRight w:val="0"/>
      <w:marTop w:val="0"/>
      <w:marBottom w:val="0"/>
      <w:divBdr>
        <w:top w:val="none" w:sz="0" w:space="0" w:color="auto"/>
        <w:left w:val="none" w:sz="0" w:space="0" w:color="auto"/>
        <w:bottom w:val="none" w:sz="0" w:space="0" w:color="auto"/>
        <w:right w:val="none" w:sz="0" w:space="0" w:color="auto"/>
      </w:divBdr>
    </w:div>
    <w:div w:id="228423927">
      <w:bodyDiv w:val="1"/>
      <w:marLeft w:val="0"/>
      <w:marRight w:val="0"/>
      <w:marTop w:val="0"/>
      <w:marBottom w:val="0"/>
      <w:divBdr>
        <w:top w:val="none" w:sz="0" w:space="0" w:color="auto"/>
        <w:left w:val="none" w:sz="0" w:space="0" w:color="auto"/>
        <w:bottom w:val="none" w:sz="0" w:space="0" w:color="auto"/>
        <w:right w:val="none" w:sz="0" w:space="0" w:color="auto"/>
      </w:divBdr>
      <w:divsChild>
        <w:div w:id="849560032">
          <w:marLeft w:val="0"/>
          <w:marRight w:val="0"/>
          <w:marTop w:val="0"/>
          <w:marBottom w:val="0"/>
          <w:divBdr>
            <w:top w:val="none" w:sz="0" w:space="0" w:color="auto"/>
            <w:left w:val="none" w:sz="0" w:space="0" w:color="auto"/>
            <w:bottom w:val="none" w:sz="0" w:space="0" w:color="auto"/>
            <w:right w:val="none" w:sz="0" w:space="0" w:color="auto"/>
          </w:divBdr>
        </w:div>
        <w:div w:id="1409418761">
          <w:marLeft w:val="0"/>
          <w:marRight w:val="0"/>
          <w:marTop w:val="0"/>
          <w:marBottom w:val="0"/>
          <w:divBdr>
            <w:top w:val="none" w:sz="0" w:space="0" w:color="auto"/>
            <w:left w:val="none" w:sz="0" w:space="0" w:color="auto"/>
            <w:bottom w:val="none" w:sz="0" w:space="0" w:color="auto"/>
            <w:right w:val="none" w:sz="0" w:space="0" w:color="auto"/>
          </w:divBdr>
        </w:div>
        <w:div w:id="2020354442">
          <w:marLeft w:val="0"/>
          <w:marRight w:val="0"/>
          <w:marTop w:val="0"/>
          <w:marBottom w:val="0"/>
          <w:divBdr>
            <w:top w:val="none" w:sz="0" w:space="0" w:color="auto"/>
            <w:left w:val="none" w:sz="0" w:space="0" w:color="auto"/>
            <w:bottom w:val="none" w:sz="0" w:space="0" w:color="auto"/>
            <w:right w:val="none" w:sz="0" w:space="0" w:color="auto"/>
          </w:divBdr>
        </w:div>
      </w:divsChild>
    </w:div>
    <w:div w:id="268897079">
      <w:bodyDiv w:val="1"/>
      <w:marLeft w:val="180"/>
      <w:marRight w:val="0"/>
      <w:marTop w:val="120"/>
      <w:marBottom w:val="0"/>
      <w:divBdr>
        <w:top w:val="none" w:sz="0" w:space="0" w:color="auto"/>
        <w:left w:val="none" w:sz="0" w:space="0" w:color="auto"/>
        <w:bottom w:val="none" w:sz="0" w:space="0" w:color="auto"/>
        <w:right w:val="none" w:sz="0" w:space="0" w:color="auto"/>
      </w:divBdr>
      <w:divsChild>
        <w:div w:id="1516505439">
          <w:marLeft w:val="0"/>
          <w:marRight w:val="0"/>
          <w:marTop w:val="0"/>
          <w:marBottom w:val="0"/>
          <w:divBdr>
            <w:top w:val="none" w:sz="0" w:space="0" w:color="auto"/>
            <w:left w:val="none" w:sz="0" w:space="0" w:color="auto"/>
            <w:bottom w:val="none" w:sz="0" w:space="0" w:color="auto"/>
            <w:right w:val="none" w:sz="0" w:space="0" w:color="auto"/>
          </w:divBdr>
          <w:divsChild>
            <w:div w:id="1738670593">
              <w:marLeft w:val="0"/>
              <w:marRight w:val="0"/>
              <w:marTop w:val="0"/>
              <w:marBottom w:val="0"/>
              <w:divBdr>
                <w:top w:val="none" w:sz="0" w:space="0" w:color="auto"/>
                <w:left w:val="none" w:sz="0" w:space="0" w:color="auto"/>
                <w:bottom w:val="none" w:sz="0" w:space="0" w:color="auto"/>
                <w:right w:val="none" w:sz="0" w:space="0" w:color="auto"/>
              </w:divBdr>
              <w:divsChild>
                <w:div w:id="1353023443">
                  <w:marLeft w:val="0"/>
                  <w:marRight w:val="0"/>
                  <w:marTop w:val="0"/>
                  <w:marBottom w:val="0"/>
                  <w:divBdr>
                    <w:top w:val="none" w:sz="0" w:space="0" w:color="auto"/>
                    <w:left w:val="none" w:sz="0" w:space="0" w:color="auto"/>
                    <w:bottom w:val="none" w:sz="0" w:space="0" w:color="auto"/>
                    <w:right w:val="none" w:sz="0" w:space="0" w:color="auto"/>
                  </w:divBdr>
                  <w:divsChild>
                    <w:div w:id="1162043351">
                      <w:marLeft w:val="0"/>
                      <w:marRight w:val="0"/>
                      <w:marTop w:val="0"/>
                      <w:marBottom w:val="0"/>
                      <w:divBdr>
                        <w:top w:val="none" w:sz="0" w:space="0" w:color="auto"/>
                        <w:left w:val="none" w:sz="0" w:space="0" w:color="auto"/>
                        <w:bottom w:val="none" w:sz="0" w:space="0" w:color="auto"/>
                        <w:right w:val="none" w:sz="0" w:space="0" w:color="auto"/>
                      </w:divBdr>
                      <w:divsChild>
                        <w:div w:id="19408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837187">
      <w:bodyDiv w:val="1"/>
      <w:marLeft w:val="0"/>
      <w:marRight w:val="0"/>
      <w:marTop w:val="0"/>
      <w:marBottom w:val="0"/>
      <w:divBdr>
        <w:top w:val="none" w:sz="0" w:space="0" w:color="auto"/>
        <w:left w:val="none" w:sz="0" w:space="0" w:color="auto"/>
        <w:bottom w:val="none" w:sz="0" w:space="0" w:color="auto"/>
        <w:right w:val="none" w:sz="0" w:space="0" w:color="auto"/>
      </w:divBdr>
      <w:divsChild>
        <w:div w:id="457334962">
          <w:marLeft w:val="0"/>
          <w:marRight w:val="0"/>
          <w:marTop w:val="0"/>
          <w:marBottom w:val="0"/>
          <w:divBdr>
            <w:top w:val="none" w:sz="0" w:space="0" w:color="auto"/>
            <w:left w:val="none" w:sz="0" w:space="0" w:color="auto"/>
            <w:bottom w:val="none" w:sz="0" w:space="0" w:color="auto"/>
            <w:right w:val="none" w:sz="0" w:space="0" w:color="auto"/>
          </w:divBdr>
          <w:divsChild>
            <w:div w:id="766190085">
              <w:marLeft w:val="0"/>
              <w:marRight w:val="0"/>
              <w:marTop w:val="0"/>
              <w:marBottom w:val="0"/>
              <w:divBdr>
                <w:top w:val="none" w:sz="0" w:space="0" w:color="auto"/>
                <w:left w:val="none" w:sz="0" w:space="0" w:color="auto"/>
                <w:bottom w:val="none" w:sz="0" w:space="0" w:color="auto"/>
                <w:right w:val="none" w:sz="0" w:space="0" w:color="auto"/>
              </w:divBdr>
              <w:divsChild>
                <w:div w:id="1992054434">
                  <w:marLeft w:val="0"/>
                  <w:marRight w:val="0"/>
                  <w:marTop w:val="0"/>
                  <w:marBottom w:val="0"/>
                  <w:divBdr>
                    <w:top w:val="none" w:sz="0" w:space="0" w:color="auto"/>
                    <w:left w:val="none" w:sz="0" w:space="0" w:color="auto"/>
                    <w:bottom w:val="none" w:sz="0" w:space="0" w:color="auto"/>
                    <w:right w:val="none" w:sz="0" w:space="0" w:color="auto"/>
                  </w:divBdr>
                  <w:divsChild>
                    <w:div w:id="419521336">
                      <w:marLeft w:val="0"/>
                      <w:marRight w:val="0"/>
                      <w:marTop w:val="0"/>
                      <w:marBottom w:val="0"/>
                      <w:divBdr>
                        <w:top w:val="none" w:sz="0" w:space="0" w:color="auto"/>
                        <w:left w:val="none" w:sz="0" w:space="0" w:color="auto"/>
                        <w:bottom w:val="none" w:sz="0" w:space="0" w:color="auto"/>
                        <w:right w:val="none" w:sz="0" w:space="0" w:color="auto"/>
                      </w:divBdr>
                      <w:divsChild>
                        <w:div w:id="1307588662">
                          <w:marLeft w:val="0"/>
                          <w:marRight w:val="0"/>
                          <w:marTop w:val="0"/>
                          <w:marBottom w:val="0"/>
                          <w:divBdr>
                            <w:top w:val="none" w:sz="0" w:space="0" w:color="auto"/>
                            <w:left w:val="none" w:sz="0" w:space="0" w:color="auto"/>
                            <w:bottom w:val="none" w:sz="0" w:space="0" w:color="auto"/>
                            <w:right w:val="none" w:sz="0" w:space="0" w:color="auto"/>
                          </w:divBdr>
                          <w:divsChild>
                            <w:div w:id="866986936">
                              <w:marLeft w:val="0"/>
                              <w:marRight w:val="0"/>
                              <w:marTop w:val="0"/>
                              <w:marBottom w:val="0"/>
                              <w:divBdr>
                                <w:top w:val="none" w:sz="0" w:space="0" w:color="auto"/>
                                <w:left w:val="none" w:sz="0" w:space="0" w:color="auto"/>
                                <w:bottom w:val="none" w:sz="0" w:space="0" w:color="auto"/>
                                <w:right w:val="none" w:sz="0" w:space="0" w:color="auto"/>
                              </w:divBdr>
                              <w:divsChild>
                                <w:div w:id="712849984">
                                  <w:marLeft w:val="0"/>
                                  <w:marRight w:val="0"/>
                                  <w:marTop w:val="0"/>
                                  <w:marBottom w:val="0"/>
                                  <w:divBdr>
                                    <w:top w:val="none" w:sz="0" w:space="0" w:color="auto"/>
                                    <w:left w:val="none" w:sz="0" w:space="0" w:color="auto"/>
                                    <w:bottom w:val="none" w:sz="0" w:space="0" w:color="auto"/>
                                    <w:right w:val="none" w:sz="0" w:space="0" w:color="auto"/>
                                  </w:divBdr>
                                  <w:divsChild>
                                    <w:div w:id="1790591532">
                                      <w:marLeft w:val="0"/>
                                      <w:marRight w:val="0"/>
                                      <w:marTop w:val="0"/>
                                      <w:marBottom w:val="0"/>
                                      <w:divBdr>
                                        <w:top w:val="none" w:sz="0" w:space="0" w:color="auto"/>
                                        <w:left w:val="none" w:sz="0" w:space="0" w:color="auto"/>
                                        <w:bottom w:val="none" w:sz="0" w:space="0" w:color="auto"/>
                                        <w:right w:val="none" w:sz="0" w:space="0" w:color="auto"/>
                                      </w:divBdr>
                                      <w:divsChild>
                                        <w:div w:id="1585989907">
                                          <w:marLeft w:val="0"/>
                                          <w:marRight w:val="0"/>
                                          <w:marTop w:val="0"/>
                                          <w:marBottom w:val="0"/>
                                          <w:divBdr>
                                            <w:top w:val="none" w:sz="0" w:space="0" w:color="auto"/>
                                            <w:left w:val="none" w:sz="0" w:space="0" w:color="auto"/>
                                            <w:bottom w:val="none" w:sz="0" w:space="0" w:color="auto"/>
                                            <w:right w:val="none" w:sz="0" w:space="0" w:color="auto"/>
                                          </w:divBdr>
                                          <w:divsChild>
                                            <w:div w:id="14705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7529312">
      <w:bodyDiv w:val="1"/>
      <w:marLeft w:val="0"/>
      <w:marRight w:val="0"/>
      <w:marTop w:val="0"/>
      <w:marBottom w:val="0"/>
      <w:divBdr>
        <w:top w:val="none" w:sz="0" w:space="0" w:color="auto"/>
        <w:left w:val="none" w:sz="0" w:space="0" w:color="auto"/>
        <w:bottom w:val="none" w:sz="0" w:space="0" w:color="auto"/>
        <w:right w:val="none" w:sz="0" w:space="0" w:color="auto"/>
      </w:divBdr>
      <w:divsChild>
        <w:div w:id="594288059">
          <w:marLeft w:val="0"/>
          <w:marRight w:val="0"/>
          <w:marTop w:val="0"/>
          <w:marBottom w:val="0"/>
          <w:divBdr>
            <w:top w:val="none" w:sz="0" w:space="0" w:color="auto"/>
            <w:left w:val="none" w:sz="0" w:space="0" w:color="auto"/>
            <w:bottom w:val="none" w:sz="0" w:space="0" w:color="auto"/>
            <w:right w:val="none" w:sz="0" w:space="0" w:color="auto"/>
          </w:divBdr>
          <w:divsChild>
            <w:div w:id="1040472024">
              <w:marLeft w:val="0"/>
              <w:marRight w:val="0"/>
              <w:marTop w:val="0"/>
              <w:marBottom w:val="0"/>
              <w:divBdr>
                <w:top w:val="none" w:sz="0" w:space="0" w:color="auto"/>
                <w:left w:val="none" w:sz="0" w:space="0" w:color="auto"/>
                <w:bottom w:val="none" w:sz="0" w:space="0" w:color="auto"/>
                <w:right w:val="none" w:sz="0" w:space="0" w:color="auto"/>
              </w:divBdr>
              <w:divsChild>
                <w:div w:id="1450123655">
                  <w:marLeft w:val="0"/>
                  <w:marRight w:val="0"/>
                  <w:marTop w:val="0"/>
                  <w:marBottom w:val="0"/>
                  <w:divBdr>
                    <w:top w:val="none" w:sz="0" w:space="0" w:color="auto"/>
                    <w:left w:val="none" w:sz="0" w:space="0" w:color="auto"/>
                    <w:bottom w:val="none" w:sz="0" w:space="0" w:color="auto"/>
                    <w:right w:val="none" w:sz="0" w:space="0" w:color="auto"/>
                  </w:divBdr>
                  <w:divsChild>
                    <w:div w:id="638610128">
                      <w:marLeft w:val="0"/>
                      <w:marRight w:val="0"/>
                      <w:marTop w:val="0"/>
                      <w:marBottom w:val="0"/>
                      <w:divBdr>
                        <w:top w:val="none" w:sz="0" w:space="0" w:color="auto"/>
                        <w:left w:val="none" w:sz="0" w:space="0" w:color="auto"/>
                        <w:bottom w:val="none" w:sz="0" w:space="0" w:color="auto"/>
                        <w:right w:val="none" w:sz="0" w:space="0" w:color="auto"/>
                      </w:divBdr>
                      <w:divsChild>
                        <w:div w:id="997267468">
                          <w:marLeft w:val="0"/>
                          <w:marRight w:val="0"/>
                          <w:marTop w:val="0"/>
                          <w:marBottom w:val="0"/>
                          <w:divBdr>
                            <w:top w:val="none" w:sz="0" w:space="0" w:color="auto"/>
                            <w:left w:val="none" w:sz="0" w:space="0" w:color="auto"/>
                            <w:bottom w:val="none" w:sz="0" w:space="0" w:color="auto"/>
                            <w:right w:val="none" w:sz="0" w:space="0" w:color="auto"/>
                          </w:divBdr>
                          <w:divsChild>
                            <w:div w:id="328144112">
                              <w:marLeft w:val="0"/>
                              <w:marRight w:val="0"/>
                              <w:marTop w:val="0"/>
                              <w:marBottom w:val="0"/>
                              <w:divBdr>
                                <w:top w:val="none" w:sz="0" w:space="0" w:color="auto"/>
                                <w:left w:val="none" w:sz="0" w:space="0" w:color="auto"/>
                                <w:bottom w:val="none" w:sz="0" w:space="0" w:color="auto"/>
                                <w:right w:val="none" w:sz="0" w:space="0" w:color="auto"/>
                              </w:divBdr>
                              <w:divsChild>
                                <w:div w:id="1583946474">
                                  <w:marLeft w:val="0"/>
                                  <w:marRight w:val="0"/>
                                  <w:marTop w:val="0"/>
                                  <w:marBottom w:val="0"/>
                                  <w:divBdr>
                                    <w:top w:val="none" w:sz="0" w:space="0" w:color="auto"/>
                                    <w:left w:val="none" w:sz="0" w:space="0" w:color="auto"/>
                                    <w:bottom w:val="none" w:sz="0" w:space="0" w:color="auto"/>
                                    <w:right w:val="none" w:sz="0" w:space="0" w:color="auto"/>
                                  </w:divBdr>
                                  <w:divsChild>
                                    <w:div w:id="1616522332">
                                      <w:marLeft w:val="0"/>
                                      <w:marRight w:val="0"/>
                                      <w:marTop w:val="0"/>
                                      <w:marBottom w:val="0"/>
                                      <w:divBdr>
                                        <w:top w:val="none" w:sz="0" w:space="0" w:color="auto"/>
                                        <w:left w:val="none" w:sz="0" w:space="0" w:color="auto"/>
                                        <w:bottom w:val="none" w:sz="0" w:space="0" w:color="auto"/>
                                        <w:right w:val="none" w:sz="0" w:space="0" w:color="auto"/>
                                      </w:divBdr>
                                      <w:divsChild>
                                        <w:div w:id="945699830">
                                          <w:marLeft w:val="0"/>
                                          <w:marRight w:val="0"/>
                                          <w:marTop w:val="0"/>
                                          <w:marBottom w:val="0"/>
                                          <w:divBdr>
                                            <w:top w:val="none" w:sz="0" w:space="0" w:color="auto"/>
                                            <w:left w:val="none" w:sz="0" w:space="0" w:color="auto"/>
                                            <w:bottom w:val="none" w:sz="0" w:space="0" w:color="auto"/>
                                            <w:right w:val="none" w:sz="0" w:space="0" w:color="auto"/>
                                          </w:divBdr>
                                          <w:divsChild>
                                            <w:div w:id="145117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6679268">
      <w:bodyDiv w:val="1"/>
      <w:marLeft w:val="0"/>
      <w:marRight w:val="0"/>
      <w:marTop w:val="0"/>
      <w:marBottom w:val="0"/>
      <w:divBdr>
        <w:top w:val="none" w:sz="0" w:space="0" w:color="auto"/>
        <w:left w:val="none" w:sz="0" w:space="0" w:color="auto"/>
        <w:bottom w:val="none" w:sz="0" w:space="0" w:color="auto"/>
        <w:right w:val="none" w:sz="0" w:space="0" w:color="auto"/>
      </w:divBdr>
      <w:divsChild>
        <w:div w:id="267929219">
          <w:marLeft w:val="0"/>
          <w:marRight w:val="0"/>
          <w:marTop w:val="0"/>
          <w:marBottom w:val="0"/>
          <w:divBdr>
            <w:top w:val="none" w:sz="0" w:space="0" w:color="auto"/>
            <w:left w:val="none" w:sz="0" w:space="0" w:color="auto"/>
            <w:bottom w:val="none" w:sz="0" w:space="0" w:color="auto"/>
            <w:right w:val="none" w:sz="0" w:space="0" w:color="auto"/>
          </w:divBdr>
        </w:div>
        <w:div w:id="1453866783">
          <w:marLeft w:val="0"/>
          <w:marRight w:val="0"/>
          <w:marTop w:val="0"/>
          <w:marBottom w:val="0"/>
          <w:divBdr>
            <w:top w:val="none" w:sz="0" w:space="0" w:color="auto"/>
            <w:left w:val="none" w:sz="0" w:space="0" w:color="auto"/>
            <w:bottom w:val="none" w:sz="0" w:space="0" w:color="auto"/>
            <w:right w:val="none" w:sz="0" w:space="0" w:color="auto"/>
          </w:divBdr>
        </w:div>
      </w:divsChild>
    </w:div>
    <w:div w:id="1301769859">
      <w:bodyDiv w:val="1"/>
      <w:marLeft w:val="0"/>
      <w:marRight w:val="0"/>
      <w:marTop w:val="0"/>
      <w:marBottom w:val="0"/>
      <w:divBdr>
        <w:top w:val="none" w:sz="0" w:space="0" w:color="auto"/>
        <w:left w:val="none" w:sz="0" w:space="0" w:color="auto"/>
        <w:bottom w:val="none" w:sz="0" w:space="0" w:color="auto"/>
        <w:right w:val="none" w:sz="0" w:space="0" w:color="auto"/>
      </w:divBdr>
      <w:divsChild>
        <w:div w:id="1248227024">
          <w:marLeft w:val="0"/>
          <w:marRight w:val="0"/>
          <w:marTop w:val="0"/>
          <w:marBottom w:val="0"/>
          <w:divBdr>
            <w:top w:val="none" w:sz="0" w:space="0" w:color="auto"/>
            <w:left w:val="none" w:sz="0" w:space="0" w:color="auto"/>
            <w:bottom w:val="none" w:sz="0" w:space="0" w:color="auto"/>
            <w:right w:val="none" w:sz="0" w:space="0" w:color="auto"/>
          </w:divBdr>
          <w:divsChild>
            <w:div w:id="1376850347">
              <w:marLeft w:val="0"/>
              <w:marRight w:val="0"/>
              <w:marTop w:val="0"/>
              <w:marBottom w:val="0"/>
              <w:divBdr>
                <w:top w:val="none" w:sz="0" w:space="0" w:color="auto"/>
                <w:left w:val="none" w:sz="0" w:space="0" w:color="auto"/>
                <w:bottom w:val="none" w:sz="0" w:space="0" w:color="auto"/>
                <w:right w:val="none" w:sz="0" w:space="0" w:color="auto"/>
              </w:divBdr>
              <w:divsChild>
                <w:div w:id="1836022755">
                  <w:marLeft w:val="0"/>
                  <w:marRight w:val="0"/>
                  <w:marTop w:val="0"/>
                  <w:marBottom w:val="0"/>
                  <w:divBdr>
                    <w:top w:val="none" w:sz="0" w:space="0" w:color="auto"/>
                    <w:left w:val="none" w:sz="0" w:space="0" w:color="auto"/>
                    <w:bottom w:val="none" w:sz="0" w:space="0" w:color="auto"/>
                    <w:right w:val="none" w:sz="0" w:space="0" w:color="auto"/>
                  </w:divBdr>
                  <w:divsChild>
                    <w:div w:id="1175802218">
                      <w:marLeft w:val="0"/>
                      <w:marRight w:val="0"/>
                      <w:marTop w:val="0"/>
                      <w:marBottom w:val="0"/>
                      <w:divBdr>
                        <w:top w:val="none" w:sz="0" w:space="0" w:color="auto"/>
                        <w:left w:val="none" w:sz="0" w:space="0" w:color="auto"/>
                        <w:bottom w:val="none" w:sz="0" w:space="0" w:color="auto"/>
                        <w:right w:val="none" w:sz="0" w:space="0" w:color="auto"/>
                      </w:divBdr>
                      <w:divsChild>
                        <w:div w:id="594018509">
                          <w:marLeft w:val="0"/>
                          <w:marRight w:val="0"/>
                          <w:marTop w:val="0"/>
                          <w:marBottom w:val="0"/>
                          <w:divBdr>
                            <w:top w:val="none" w:sz="0" w:space="0" w:color="auto"/>
                            <w:left w:val="none" w:sz="0" w:space="0" w:color="auto"/>
                            <w:bottom w:val="none" w:sz="0" w:space="0" w:color="auto"/>
                            <w:right w:val="none" w:sz="0" w:space="0" w:color="auto"/>
                          </w:divBdr>
                          <w:divsChild>
                            <w:div w:id="584924118">
                              <w:marLeft w:val="0"/>
                              <w:marRight w:val="0"/>
                              <w:marTop w:val="0"/>
                              <w:marBottom w:val="0"/>
                              <w:divBdr>
                                <w:top w:val="none" w:sz="0" w:space="0" w:color="auto"/>
                                <w:left w:val="none" w:sz="0" w:space="0" w:color="auto"/>
                                <w:bottom w:val="none" w:sz="0" w:space="0" w:color="auto"/>
                                <w:right w:val="none" w:sz="0" w:space="0" w:color="auto"/>
                              </w:divBdr>
                              <w:divsChild>
                                <w:div w:id="269974811">
                                  <w:marLeft w:val="0"/>
                                  <w:marRight w:val="0"/>
                                  <w:marTop w:val="0"/>
                                  <w:marBottom w:val="0"/>
                                  <w:divBdr>
                                    <w:top w:val="none" w:sz="0" w:space="0" w:color="auto"/>
                                    <w:left w:val="none" w:sz="0" w:space="0" w:color="auto"/>
                                    <w:bottom w:val="none" w:sz="0" w:space="0" w:color="auto"/>
                                    <w:right w:val="none" w:sz="0" w:space="0" w:color="auto"/>
                                  </w:divBdr>
                                  <w:divsChild>
                                    <w:div w:id="889610724">
                                      <w:marLeft w:val="0"/>
                                      <w:marRight w:val="0"/>
                                      <w:marTop w:val="0"/>
                                      <w:marBottom w:val="0"/>
                                      <w:divBdr>
                                        <w:top w:val="none" w:sz="0" w:space="0" w:color="auto"/>
                                        <w:left w:val="none" w:sz="0" w:space="0" w:color="auto"/>
                                        <w:bottom w:val="none" w:sz="0" w:space="0" w:color="auto"/>
                                        <w:right w:val="none" w:sz="0" w:space="0" w:color="auto"/>
                                      </w:divBdr>
                                      <w:divsChild>
                                        <w:div w:id="1592929685">
                                          <w:marLeft w:val="0"/>
                                          <w:marRight w:val="0"/>
                                          <w:marTop w:val="0"/>
                                          <w:marBottom w:val="0"/>
                                          <w:divBdr>
                                            <w:top w:val="none" w:sz="0" w:space="0" w:color="auto"/>
                                            <w:left w:val="none" w:sz="0" w:space="0" w:color="auto"/>
                                            <w:bottom w:val="none" w:sz="0" w:space="0" w:color="auto"/>
                                            <w:right w:val="none" w:sz="0" w:space="0" w:color="auto"/>
                                          </w:divBdr>
                                          <w:divsChild>
                                            <w:div w:id="370419237">
                                              <w:marLeft w:val="0"/>
                                              <w:marRight w:val="0"/>
                                              <w:marTop w:val="0"/>
                                              <w:marBottom w:val="0"/>
                                              <w:divBdr>
                                                <w:top w:val="none" w:sz="0" w:space="0" w:color="auto"/>
                                                <w:left w:val="none" w:sz="0" w:space="0" w:color="auto"/>
                                                <w:bottom w:val="none" w:sz="0" w:space="0" w:color="auto"/>
                                                <w:right w:val="none" w:sz="0" w:space="0" w:color="auto"/>
                                              </w:divBdr>
                                              <w:divsChild>
                                                <w:div w:id="1092362670">
                                                  <w:marLeft w:val="0"/>
                                                  <w:marRight w:val="0"/>
                                                  <w:marTop w:val="0"/>
                                                  <w:marBottom w:val="0"/>
                                                  <w:divBdr>
                                                    <w:top w:val="none" w:sz="0" w:space="0" w:color="auto"/>
                                                    <w:left w:val="none" w:sz="0" w:space="0" w:color="auto"/>
                                                    <w:bottom w:val="none" w:sz="0" w:space="0" w:color="auto"/>
                                                    <w:right w:val="none" w:sz="0" w:space="0" w:color="auto"/>
                                                  </w:divBdr>
                                                  <w:divsChild>
                                                    <w:div w:id="1450323199">
                                                      <w:marLeft w:val="0"/>
                                                      <w:marRight w:val="0"/>
                                                      <w:marTop w:val="0"/>
                                                      <w:marBottom w:val="0"/>
                                                      <w:divBdr>
                                                        <w:top w:val="none" w:sz="0" w:space="0" w:color="auto"/>
                                                        <w:left w:val="none" w:sz="0" w:space="0" w:color="auto"/>
                                                        <w:bottom w:val="none" w:sz="0" w:space="0" w:color="auto"/>
                                                        <w:right w:val="none" w:sz="0" w:space="0" w:color="auto"/>
                                                      </w:divBdr>
                                                      <w:divsChild>
                                                        <w:div w:id="13658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5116274">
      <w:bodyDiv w:val="1"/>
      <w:marLeft w:val="0"/>
      <w:marRight w:val="0"/>
      <w:marTop w:val="0"/>
      <w:marBottom w:val="0"/>
      <w:divBdr>
        <w:top w:val="none" w:sz="0" w:space="0" w:color="auto"/>
        <w:left w:val="none" w:sz="0" w:space="0" w:color="auto"/>
        <w:bottom w:val="none" w:sz="0" w:space="0" w:color="auto"/>
        <w:right w:val="none" w:sz="0" w:space="0" w:color="auto"/>
      </w:divBdr>
      <w:divsChild>
        <w:div w:id="816191623">
          <w:marLeft w:val="0"/>
          <w:marRight w:val="0"/>
          <w:marTop w:val="0"/>
          <w:marBottom w:val="0"/>
          <w:divBdr>
            <w:top w:val="none" w:sz="0" w:space="0" w:color="auto"/>
            <w:left w:val="none" w:sz="0" w:space="0" w:color="auto"/>
            <w:bottom w:val="none" w:sz="0" w:space="0" w:color="auto"/>
            <w:right w:val="none" w:sz="0" w:space="0" w:color="auto"/>
          </w:divBdr>
          <w:divsChild>
            <w:div w:id="613247024">
              <w:marLeft w:val="0"/>
              <w:marRight w:val="0"/>
              <w:marTop w:val="0"/>
              <w:marBottom w:val="0"/>
              <w:divBdr>
                <w:top w:val="none" w:sz="0" w:space="0" w:color="auto"/>
                <w:left w:val="none" w:sz="0" w:space="0" w:color="auto"/>
                <w:bottom w:val="none" w:sz="0" w:space="0" w:color="auto"/>
                <w:right w:val="none" w:sz="0" w:space="0" w:color="auto"/>
              </w:divBdr>
              <w:divsChild>
                <w:div w:id="1171799198">
                  <w:marLeft w:val="0"/>
                  <w:marRight w:val="0"/>
                  <w:marTop w:val="0"/>
                  <w:marBottom w:val="0"/>
                  <w:divBdr>
                    <w:top w:val="none" w:sz="0" w:space="0" w:color="auto"/>
                    <w:left w:val="none" w:sz="0" w:space="0" w:color="auto"/>
                    <w:bottom w:val="none" w:sz="0" w:space="0" w:color="auto"/>
                    <w:right w:val="none" w:sz="0" w:space="0" w:color="auto"/>
                  </w:divBdr>
                  <w:divsChild>
                    <w:div w:id="1525627449">
                      <w:marLeft w:val="0"/>
                      <w:marRight w:val="0"/>
                      <w:marTop w:val="0"/>
                      <w:marBottom w:val="0"/>
                      <w:divBdr>
                        <w:top w:val="none" w:sz="0" w:space="0" w:color="auto"/>
                        <w:left w:val="none" w:sz="0" w:space="0" w:color="auto"/>
                        <w:bottom w:val="none" w:sz="0" w:space="0" w:color="auto"/>
                        <w:right w:val="none" w:sz="0" w:space="0" w:color="auto"/>
                      </w:divBdr>
                      <w:divsChild>
                        <w:div w:id="791678442">
                          <w:marLeft w:val="0"/>
                          <w:marRight w:val="0"/>
                          <w:marTop w:val="0"/>
                          <w:marBottom w:val="0"/>
                          <w:divBdr>
                            <w:top w:val="none" w:sz="0" w:space="0" w:color="auto"/>
                            <w:left w:val="none" w:sz="0" w:space="0" w:color="auto"/>
                            <w:bottom w:val="none" w:sz="0" w:space="0" w:color="auto"/>
                            <w:right w:val="none" w:sz="0" w:space="0" w:color="auto"/>
                          </w:divBdr>
                          <w:divsChild>
                            <w:div w:id="1094865737">
                              <w:marLeft w:val="0"/>
                              <w:marRight w:val="0"/>
                              <w:marTop w:val="0"/>
                              <w:marBottom w:val="0"/>
                              <w:divBdr>
                                <w:top w:val="none" w:sz="0" w:space="0" w:color="auto"/>
                                <w:left w:val="none" w:sz="0" w:space="0" w:color="auto"/>
                                <w:bottom w:val="none" w:sz="0" w:space="0" w:color="auto"/>
                                <w:right w:val="none" w:sz="0" w:space="0" w:color="auto"/>
                              </w:divBdr>
                              <w:divsChild>
                                <w:div w:id="813179101">
                                  <w:marLeft w:val="0"/>
                                  <w:marRight w:val="0"/>
                                  <w:marTop w:val="0"/>
                                  <w:marBottom w:val="0"/>
                                  <w:divBdr>
                                    <w:top w:val="none" w:sz="0" w:space="0" w:color="auto"/>
                                    <w:left w:val="none" w:sz="0" w:space="0" w:color="auto"/>
                                    <w:bottom w:val="none" w:sz="0" w:space="0" w:color="auto"/>
                                    <w:right w:val="none" w:sz="0" w:space="0" w:color="auto"/>
                                  </w:divBdr>
                                  <w:divsChild>
                                    <w:div w:id="593324070">
                                      <w:marLeft w:val="0"/>
                                      <w:marRight w:val="0"/>
                                      <w:marTop w:val="0"/>
                                      <w:marBottom w:val="0"/>
                                      <w:divBdr>
                                        <w:top w:val="none" w:sz="0" w:space="0" w:color="auto"/>
                                        <w:left w:val="none" w:sz="0" w:space="0" w:color="auto"/>
                                        <w:bottom w:val="none" w:sz="0" w:space="0" w:color="auto"/>
                                        <w:right w:val="none" w:sz="0" w:space="0" w:color="auto"/>
                                      </w:divBdr>
                                      <w:divsChild>
                                        <w:div w:id="332609057">
                                          <w:marLeft w:val="0"/>
                                          <w:marRight w:val="0"/>
                                          <w:marTop w:val="0"/>
                                          <w:marBottom w:val="0"/>
                                          <w:divBdr>
                                            <w:top w:val="none" w:sz="0" w:space="0" w:color="auto"/>
                                            <w:left w:val="none" w:sz="0" w:space="0" w:color="auto"/>
                                            <w:bottom w:val="none" w:sz="0" w:space="0" w:color="auto"/>
                                            <w:right w:val="none" w:sz="0" w:space="0" w:color="auto"/>
                                          </w:divBdr>
                                          <w:divsChild>
                                            <w:div w:id="90965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547515">
      <w:bodyDiv w:val="1"/>
      <w:marLeft w:val="0"/>
      <w:marRight w:val="0"/>
      <w:marTop w:val="0"/>
      <w:marBottom w:val="0"/>
      <w:divBdr>
        <w:top w:val="none" w:sz="0" w:space="0" w:color="auto"/>
        <w:left w:val="none" w:sz="0" w:space="0" w:color="auto"/>
        <w:bottom w:val="none" w:sz="0" w:space="0" w:color="auto"/>
        <w:right w:val="none" w:sz="0" w:space="0" w:color="auto"/>
      </w:divBdr>
      <w:divsChild>
        <w:div w:id="841968404">
          <w:marLeft w:val="0"/>
          <w:marRight w:val="0"/>
          <w:marTop w:val="0"/>
          <w:marBottom w:val="0"/>
          <w:divBdr>
            <w:top w:val="none" w:sz="0" w:space="0" w:color="auto"/>
            <w:left w:val="none" w:sz="0" w:space="0" w:color="auto"/>
            <w:bottom w:val="none" w:sz="0" w:space="0" w:color="auto"/>
            <w:right w:val="none" w:sz="0" w:space="0" w:color="auto"/>
          </w:divBdr>
          <w:divsChild>
            <w:div w:id="1145463733">
              <w:marLeft w:val="0"/>
              <w:marRight w:val="0"/>
              <w:marTop w:val="0"/>
              <w:marBottom w:val="0"/>
              <w:divBdr>
                <w:top w:val="none" w:sz="0" w:space="0" w:color="auto"/>
                <w:left w:val="none" w:sz="0" w:space="0" w:color="auto"/>
                <w:bottom w:val="none" w:sz="0" w:space="0" w:color="auto"/>
                <w:right w:val="none" w:sz="0" w:space="0" w:color="auto"/>
              </w:divBdr>
              <w:divsChild>
                <w:div w:id="1035741235">
                  <w:marLeft w:val="0"/>
                  <w:marRight w:val="0"/>
                  <w:marTop w:val="0"/>
                  <w:marBottom w:val="0"/>
                  <w:divBdr>
                    <w:top w:val="none" w:sz="0" w:space="0" w:color="auto"/>
                    <w:left w:val="none" w:sz="0" w:space="0" w:color="auto"/>
                    <w:bottom w:val="none" w:sz="0" w:space="0" w:color="auto"/>
                    <w:right w:val="none" w:sz="0" w:space="0" w:color="auto"/>
                  </w:divBdr>
                  <w:divsChild>
                    <w:div w:id="298194126">
                      <w:marLeft w:val="0"/>
                      <w:marRight w:val="0"/>
                      <w:marTop w:val="0"/>
                      <w:marBottom w:val="0"/>
                      <w:divBdr>
                        <w:top w:val="none" w:sz="0" w:space="0" w:color="auto"/>
                        <w:left w:val="none" w:sz="0" w:space="0" w:color="auto"/>
                        <w:bottom w:val="none" w:sz="0" w:space="0" w:color="auto"/>
                        <w:right w:val="none" w:sz="0" w:space="0" w:color="auto"/>
                      </w:divBdr>
                      <w:divsChild>
                        <w:div w:id="1026366219">
                          <w:marLeft w:val="0"/>
                          <w:marRight w:val="0"/>
                          <w:marTop w:val="0"/>
                          <w:marBottom w:val="0"/>
                          <w:divBdr>
                            <w:top w:val="none" w:sz="0" w:space="0" w:color="auto"/>
                            <w:left w:val="none" w:sz="0" w:space="0" w:color="auto"/>
                            <w:bottom w:val="none" w:sz="0" w:space="0" w:color="auto"/>
                            <w:right w:val="none" w:sz="0" w:space="0" w:color="auto"/>
                          </w:divBdr>
                          <w:divsChild>
                            <w:div w:id="1833836387">
                              <w:marLeft w:val="0"/>
                              <w:marRight w:val="0"/>
                              <w:marTop w:val="0"/>
                              <w:marBottom w:val="0"/>
                              <w:divBdr>
                                <w:top w:val="none" w:sz="0" w:space="0" w:color="auto"/>
                                <w:left w:val="none" w:sz="0" w:space="0" w:color="auto"/>
                                <w:bottom w:val="none" w:sz="0" w:space="0" w:color="auto"/>
                                <w:right w:val="none" w:sz="0" w:space="0" w:color="auto"/>
                              </w:divBdr>
                              <w:divsChild>
                                <w:div w:id="1743671381">
                                  <w:marLeft w:val="0"/>
                                  <w:marRight w:val="0"/>
                                  <w:marTop w:val="0"/>
                                  <w:marBottom w:val="0"/>
                                  <w:divBdr>
                                    <w:top w:val="none" w:sz="0" w:space="0" w:color="auto"/>
                                    <w:left w:val="none" w:sz="0" w:space="0" w:color="auto"/>
                                    <w:bottom w:val="none" w:sz="0" w:space="0" w:color="auto"/>
                                    <w:right w:val="none" w:sz="0" w:space="0" w:color="auto"/>
                                  </w:divBdr>
                                  <w:divsChild>
                                    <w:div w:id="1797793304">
                                      <w:marLeft w:val="0"/>
                                      <w:marRight w:val="0"/>
                                      <w:marTop w:val="0"/>
                                      <w:marBottom w:val="0"/>
                                      <w:divBdr>
                                        <w:top w:val="none" w:sz="0" w:space="0" w:color="auto"/>
                                        <w:left w:val="none" w:sz="0" w:space="0" w:color="auto"/>
                                        <w:bottom w:val="none" w:sz="0" w:space="0" w:color="auto"/>
                                        <w:right w:val="none" w:sz="0" w:space="0" w:color="auto"/>
                                      </w:divBdr>
                                      <w:divsChild>
                                        <w:div w:id="1138911415">
                                          <w:marLeft w:val="0"/>
                                          <w:marRight w:val="0"/>
                                          <w:marTop w:val="0"/>
                                          <w:marBottom w:val="0"/>
                                          <w:divBdr>
                                            <w:top w:val="none" w:sz="0" w:space="0" w:color="auto"/>
                                            <w:left w:val="none" w:sz="0" w:space="0" w:color="auto"/>
                                            <w:bottom w:val="none" w:sz="0" w:space="0" w:color="auto"/>
                                            <w:right w:val="none" w:sz="0" w:space="0" w:color="auto"/>
                                          </w:divBdr>
                                          <w:divsChild>
                                            <w:div w:id="1215386815">
                                              <w:marLeft w:val="0"/>
                                              <w:marRight w:val="0"/>
                                              <w:marTop w:val="0"/>
                                              <w:marBottom w:val="0"/>
                                              <w:divBdr>
                                                <w:top w:val="none" w:sz="0" w:space="0" w:color="auto"/>
                                                <w:left w:val="none" w:sz="0" w:space="0" w:color="auto"/>
                                                <w:bottom w:val="none" w:sz="0" w:space="0" w:color="auto"/>
                                                <w:right w:val="none" w:sz="0" w:space="0" w:color="auto"/>
                                              </w:divBdr>
                                              <w:divsChild>
                                                <w:div w:id="1932539666">
                                                  <w:marLeft w:val="0"/>
                                                  <w:marRight w:val="0"/>
                                                  <w:marTop w:val="0"/>
                                                  <w:marBottom w:val="0"/>
                                                  <w:divBdr>
                                                    <w:top w:val="none" w:sz="0" w:space="0" w:color="auto"/>
                                                    <w:left w:val="none" w:sz="0" w:space="0" w:color="auto"/>
                                                    <w:bottom w:val="none" w:sz="0" w:space="0" w:color="auto"/>
                                                    <w:right w:val="none" w:sz="0" w:space="0" w:color="auto"/>
                                                  </w:divBdr>
                                                  <w:divsChild>
                                                    <w:div w:id="1660227428">
                                                      <w:marLeft w:val="0"/>
                                                      <w:marRight w:val="0"/>
                                                      <w:marTop w:val="0"/>
                                                      <w:marBottom w:val="0"/>
                                                      <w:divBdr>
                                                        <w:top w:val="none" w:sz="0" w:space="0" w:color="auto"/>
                                                        <w:left w:val="none" w:sz="0" w:space="0" w:color="auto"/>
                                                        <w:bottom w:val="none" w:sz="0" w:space="0" w:color="auto"/>
                                                        <w:right w:val="none" w:sz="0" w:space="0" w:color="auto"/>
                                                      </w:divBdr>
                                                      <w:divsChild>
                                                        <w:div w:id="215044461">
                                                          <w:marLeft w:val="0"/>
                                                          <w:marRight w:val="0"/>
                                                          <w:marTop w:val="0"/>
                                                          <w:marBottom w:val="0"/>
                                                          <w:divBdr>
                                                            <w:top w:val="none" w:sz="0" w:space="0" w:color="auto"/>
                                                            <w:left w:val="none" w:sz="0" w:space="0" w:color="auto"/>
                                                            <w:bottom w:val="none" w:sz="0" w:space="0" w:color="auto"/>
                                                            <w:right w:val="none" w:sz="0" w:space="0" w:color="auto"/>
                                                          </w:divBdr>
                                                          <w:divsChild>
                                                            <w:div w:id="83966210">
                                                              <w:marLeft w:val="0"/>
                                                              <w:marRight w:val="0"/>
                                                              <w:marTop w:val="0"/>
                                                              <w:marBottom w:val="0"/>
                                                              <w:divBdr>
                                                                <w:top w:val="none" w:sz="0" w:space="0" w:color="auto"/>
                                                                <w:left w:val="none" w:sz="0" w:space="0" w:color="auto"/>
                                                                <w:bottom w:val="none" w:sz="0" w:space="0" w:color="auto"/>
                                                                <w:right w:val="none" w:sz="0" w:space="0" w:color="auto"/>
                                                              </w:divBdr>
                                                            </w:div>
                                                            <w:div w:id="39616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5.xml"/><Relationship Id="rId21" Type="http://schemas.openxmlformats.org/officeDocument/2006/relationships/hyperlink" Target="http://ozone.unep.org/Exemption_Information/Decisions/Decision_XVII-9(5).shtml" TargetMode="External"/><Relationship Id="rId34" Type="http://schemas.openxmlformats.org/officeDocument/2006/relationships/footer" Target="footer8.xml"/><Relationship Id="rId42" Type="http://schemas.openxmlformats.org/officeDocument/2006/relationships/header" Target="header6.xml"/><Relationship Id="rId47" Type="http://schemas.openxmlformats.org/officeDocument/2006/relationships/header" Target="header9.xml"/><Relationship Id="rId50" Type="http://schemas.openxmlformats.org/officeDocument/2006/relationships/footer" Target="footer16.xml"/><Relationship Id="rId55" Type="http://schemas.openxmlformats.org/officeDocument/2006/relationships/hyperlink" Target="http://cesantabarbara.ucanr.edu/files/75478.pdf"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chart" Target="charts/chart8.xml"/><Relationship Id="rId11" Type="http://schemas.openxmlformats.org/officeDocument/2006/relationships/footer" Target="footer2.xml"/><Relationship Id="rId24" Type="http://schemas.openxmlformats.org/officeDocument/2006/relationships/chart" Target="charts/chart3.xml"/><Relationship Id="rId32" Type="http://schemas.openxmlformats.org/officeDocument/2006/relationships/chart" Target="charts/chart11.xml"/><Relationship Id="rId37" Type="http://schemas.openxmlformats.org/officeDocument/2006/relationships/footer" Target="footer10.xml"/><Relationship Id="rId40" Type="http://schemas.openxmlformats.org/officeDocument/2006/relationships/footer" Target="footer12.xml"/><Relationship Id="rId45" Type="http://schemas.openxmlformats.org/officeDocument/2006/relationships/footer" Target="footer14.xml"/><Relationship Id="rId53" Type="http://schemas.openxmlformats.org/officeDocument/2006/relationships/hyperlink" Target="http://www.ispm15.com/IPPC%20ISPM15%20draft%20Apr%202013.pdf" TargetMode="External"/><Relationship Id="rId58" Type="http://schemas.openxmlformats.org/officeDocument/2006/relationships/footer" Target="footer18.xml"/><Relationship Id="rId66" Type="http://schemas.openxmlformats.org/officeDocument/2006/relationships/customXml" Target="../customXml/item3.xml"/><Relationship Id="rId5" Type="http://schemas.openxmlformats.org/officeDocument/2006/relationships/webSettings" Target="webSettings.xml"/><Relationship Id="rId61" Type="http://schemas.openxmlformats.org/officeDocument/2006/relationships/header" Target="header16.xml"/><Relationship Id="rId19" Type="http://schemas.openxmlformats.org/officeDocument/2006/relationships/hyperlink" Target="http://ozone.unep.org/Exemption_Information/Decisions/Decision_XVII-9(5).shtml" TargetMode="External"/><Relationship Id="rId14" Type="http://schemas.openxmlformats.org/officeDocument/2006/relationships/footer" Target="footer5.xml"/><Relationship Id="rId22" Type="http://schemas.openxmlformats.org/officeDocument/2006/relationships/chart" Target="charts/chart1.xml"/><Relationship Id="rId27" Type="http://schemas.openxmlformats.org/officeDocument/2006/relationships/chart" Target="charts/chart6.xml"/><Relationship Id="rId30" Type="http://schemas.openxmlformats.org/officeDocument/2006/relationships/chart" Target="charts/chart9.xml"/><Relationship Id="rId35" Type="http://schemas.openxmlformats.org/officeDocument/2006/relationships/footer" Target="footer9.xml"/><Relationship Id="rId43" Type="http://schemas.openxmlformats.org/officeDocument/2006/relationships/header" Target="header7.xml"/><Relationship Id="rId48" Type="http://schemas.openxmlformats.org/officeDocument/2006/relationships/header" Target="header10.xml"/><Relationship Id="rId56" Type="http://schemas.openxmlformats.org/officeDocument/2006/relationships/header" Target="header13.xml"/><Relationship Id="rId64"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footer" Target="footer17.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chart" Target="charts/chart4.xml"/><Relationship Id="rId33" Type="http://schemas.openxmlformats.org/officeDocument/2006/relationships/header" Target="header3.xml"/><Relationship Id="rId38" Type="http://schemas.openxmlformats.org/officeDocument/2006/relationships/footer" Target="footer11.xml"/><Relationship Id="rId46" Type="http://schemas.openxmlformats.org/officeDocument/2006/relationships/footer" Target="footer15.xml"/><Relationship Id="rId59" Type="http://schemas.openxmlformats.org/officeDocument/2006/relationships/footer" Target="footer19.xml"/><Relationship Id="rId67" Type="http://schemas.openxmlformats.org/officeDocument/2006/relationships/customXml" Target="../customXml/item4.xml"/><Relationship Id="rId20" Type="http://schemas.openxmlformats.org/officeDocument/2006/relationships/hyperlink" Target="http://ozone.unep.org/Exemption_Information/Decisions/Decision_XVI-2(4).shtml" TargetMode="External"/><Relationship Id="rId41" Type="http://schemas.openxmlformats.org/officeDocument/2006/relationships/footer" Target="footer13.xml"/><Relationship Id="rId54" Type="http://schemas.openxmlformats.org/officeDocument/2006/relationships/hyperlink" Target="http://ec.europa.eu/clima/events/docs/0039/conference_proceedings_en.pdf" TargetMode="External"/><Relationship Id="rId62"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chart" Target="charts/chart2.xml"/><Relationship Id="rId28" Type="http://schemas.openxmlformats.org/officeDocument/2006/relationships/chart" Target="charts/chart7.xml"/><Relationship Id="rId36" Type="http://schemas.openxmlformats.org/officeDocument/2006/relationships/header" Target="header4.xml"/><Relationship Id="rId49" Type="http://schemas.openxmlformats.org/officeDocument/2006/relationships/header" Target="header11.xml"/><Relationship Id="rId57" Type="http://schemas.openxmlformats.org/officeDocument/2006/relationships/header" Target="header14.xml"/><Relationship Id="rId10" Type="http://schemas.openxmlformats.org/officeDocument/2006/relationships/footer" Target="footer1.xml"/><Relationship Id="rId31" Type="http://schemas.openxmlformats.org/officeDocument/2006/relationships/chart" Target="charts/chart10.xml"/><Relationship Id="rId44" Type="http://schemas.openxmlformats.org/officeDocument/2006/relationships/header" Target="header8.xml"/><Relationship Id="rId52" Type="http://schemas.openxmlformats.org/officeDocument/2006/relationships/header" Target="header12.xml"/><Relationship Id="rId60" Type="http://schemas.openxmlformats.org/officeDocument/2006/relationships/header" Target="header15.xml"/><Relationship Id="rId65"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ozone.unep.org/Exemption_Information/Decisions/Decision_XVI-2(4).shtml" TargetMode="External"/><Relationship Id="rId39"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Teap%20Styl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Divers\MBTOC\Trends%20A5+non%20A5\Trend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Documents%20and%20Settings\Proprietaire\Mes%20documents\Divers\MBTOC\Trends\Trends%20A5+non%20A5.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ata\Ian%20Porter%20MBTOC\CUN%20Totals%20Trends%20and%20Baseline%20Data\2016\CUN%20Trends%20201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Proprietaire\Mes%20documents\Divers\MBTOC\Trends\Trends%20A5+non%20A5%2020017-201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Proprietaire\Mes%20documents\Divers\MBTOC\Trends\Trends%20A5+non%20A5%2020017-201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ivers\MBTOC\Trends%20A5+non%20A5\Trend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Divers\MBTOC\Trends%20A5+non%20A5\Trend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Divers\MBTOC\CUN%202015\Trend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ata\Ian%20Porter%20MBTOC\CUN%20Totals%20Trends%20and%20Baseline%20Data\2015\Trends%202015.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Data\Ian%20Porter%20MBTOC\CUN%20Totals%20Trends%20and%20Baseline%20Data\2015\Trends%202015.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ata\Ian%20Porter%20MBTOC\CUN%20Totals%20Trends%20and%20Baseline%20Data\2016\CUN%20Trends%20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Australia Strawberry runners</a:t>
            </a:r>
          </a:p>
        </c:rich>
      </c:tx>
      <c:overlay val="0"/>
    </c:title>
    <c:autoTitleDeleted val="0"/>
    <c:plotArea>
      <c:layout/>
      <c:lineChart>
        <c:grouping val="standard"/>
        <c:varyColors val="0"/>
        <c:ser>
          <c:idx val="0"/>
          <c:order val="0"/>
          <c:tx>
            <c:strRef>
              <c:f>Feuil1!$A$38</c:f>
              <c:strCache>
                <c:ptCount val="1"/>
                <c:pt idx="0">
                  <c:v>CUN</c:v>
                </c:pt>
              </c:strCache>
            </c:strRef>
          </c:tx>
          <c:cat>
            <c:numRef>
              <c:f>Feuil1!$B$37:$O$37</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cat>
          <c:val>
            <c:numRef>
              <c:f>Feuil1!$B$38:$O$38</c:f>
              <c:numCache>
                <c:formatCode>General</c:formatCode>
                <c:ptCount val="14"/>
                <c:pt idx="0">
                  <c:v>35.75</c:v>
                </c:pt>
                <c:pt idx="1">
                  <c:v>37.5</c:v>
                </c:pt>
                <c:pt idx="2">
                  <c:v>35.75</c:v>
                </c:pt>
                <c:pt idx="3">
                  <c:v>35.75</c:v>
                </c:pt>
                <c:pt idx="4">
                  <c:v>29.79</c:v>
                </c:pt>
                <c:pt idx="5">
                  <c:v>29.79</c:v>
                </c:pt>
                <c:pt idx="6">
                  <c:v>29.79</c:v>
                </c:pt>
                <c:pt idx="7">
                  <c:v>29.79</c:v>
                </c:pt>
                <c:pt idx="8">
                  <c:v>29.759999999999991</c:v>
                </c:pt>
                <c:pt idx="9">
                  <c:v>29.759999999999991</c:v>
                </c:pt>
                <c:pt idx="10">
                  <c:v>29.759999999999991</c:v>
                </c:pt>
                <c:pt idx="11">
                  <c:v>29.759999999999991</c:v>
                </c:pt>
                <c:pt idx="12">
                  <c:v>29.759999999999991</c:v>
                </c:pt>
                <c:pt idx="13">
                  <c:v>29.759999999999991</c:v>
                </c:pt>
              </c:numCache>
            </c:numRef>
          </c:val>
          <c:smooth val="0"/>
        </c:ser>
        <c:ser>
          <c:idx val="1"/>
          <c:order val="1"/>
          <c:tx>
            <c:strRef>
              <c:f>Feuil1!$A$39</c:f>
              <c:strCache>
                <c:ptCount val="1"/>
                <c:pt idx="0">
                  <c:v>CUE for</c:v>
                </c:pt>
              </c:strCache>
            </c:strRef>
          </c:tx>
          <c:cat>
            <c:numRef>
              <c:f>Feuil1!$B$37:$O$37</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cat>
          <c:val>
            <c:numRef>
              <c:f>Feuil1!$B$39:$O$39</c:f>
              <c:numCache>
                <c:formatCode>General</c:formatCode>
                <c:ptCount val="14"/>
                <c:pt idx="0">
                  <c:v>35.75</c:v>
                </c:pt>
                <c:pt idx="1">
                  <c:v>37.5</c:v>
                </c:pt>
                <c:pt idx="2">
                  <c:v>35.75</c:v>
                </c:pt>
                <c:pt idx="3">
                  <c:v>35.75</c:v>
                </c:pt>
                <c:pt idx="4">
                  <c:v>29.79</c:v>
                </c:pt>
                <c:pt idx="5">
                  <c:v>29.79</c:v>
                </c:pt>
                <c:pt idx="6">
                  <c:v>29.79</c:v>
                </c:pt>
                <c:pt idx="7">
                  <c:v>29.759999999999991</c:v>
                </c:pt>
                <c:pt idx="8">
                  <c:v>29.759999999999991</c:v>
                </c:pt>
                <c:pt idx="9">
                  <c:v>29.759999999999991</c:v>
                </c:pt>
                <c:pt idx="10">
                  <c:v>29.759999999999991</c:v>
                </c:pt>
                <c:pt idx="11">
                  <c:v>29.759999999999991</c:v>
                </c:pt>
                <c:pt idx="12">
                  <c:v>29.759999999999991</c:v>
                </c:pt>
              </c:numCache>
            </c:numRef>
          </c:val>
          <c:smooth val="0"/>
        </c:ser>
        <c:dLbls>
          <c:showLegendKey val="0"/>
          <c:showVal val="0"/>
          <c:showCatName val="0"/>
          <c:showSerName val="0"/>
          <c:showPercent val="0"/>
          <c:showBubbleSize val="0"/>
        </c:dLbls>
        <c:marker val="1"/>
        <c:smooth val="0"/>
        <c:axId val="488538616"/>
        <c:axId val="488539008"/>
      </c:lineChart>
      <c:catAx>
        <c:axId val="488538616"/>
        <c:scaling>
          <c:orientation val="minMax"/>
        </c:scaling>
        <c:delete val="0"/>
        <c:axPos val="b"/>
        <c:numFmt formatCode="General" sourceLinked="1"/>
        <c:majorTickMark val="none"/>
        <c:minorTickMark val="none"/>
        <c:tickLblPos val="nextTo"/>
        <c:crossAx val="488539008"/>
        <c:crosses val="autoZero"/>
        <c:auto val="1"/>
        <c:lblAlgn val="ctr"/>
        <c:lblOffset val="100"/>
        <c:noMultiLvlLbl val="0"/>
      </c:catAx>
      <c:valAx>
        <c:axId val="488539008"/>
        <c:scaling>
          <c:orientation val="minMax"/>
        </c:scaling>
        <c:delete val="0"/>
        <c:axPos val="l"/>
        <c:majorGridlines/>
        <c:title>
          <c:tx>
            <c:rich>
              <a:bodyPr/>
              <a:lstStyle/>
              <a:p>
                <a:pPr>
                  <a:defRPr/>
                </a:pPr>
                <a:r>
                  <a:rPr lang="en-US"/>
                  <a:t>Methyl Bromide (Tonnes)</a:t>
                </a:r>
              </a:p>
            </c:rich>
          </c:tx>
          <c:overlay val="0"/>
        </c:title>
        <c:numFmt formatCode="General" sourceLinked="1"/>
        <c:majorTickMark val="none"/>
        <c:minorTickMark val="none"/>
        <c:tickLblPos val="nextTo"/>
        <c:crossAx val="488538616"/>
        <c:crosses val="autoZero"/>
        <c:crossBetween val="between"/>
      </c:valAx>
      <c:dTable>
        <c:showHorzBorder val="1"/>
        <c:showVertBorder val="1"/>
        <c:showOutline val="1"/>
        <c:showKeys val="1"/>
        <c:txPr>
          <a:bodyPr/>
          <a:lstStyle/>
          <a:p>
            <a:pPr rtl="0">
              <a:defRPr sz="700"/>
            </a:pPr>
            <a:endParaRPr lang="en-US"/>
          </a:p>
        </c:txPr>
      </c:dTable>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South Africa: Houses</a:t>
            </a:r>
          </a:p>
        </c:rich>
      </c:tx>
      <c:layout>
        <c:manualLayout>
          <c:xMode val="edge"/>
          <c:yMode val="edge"/>
          <c:x val="0.27994358914091"/>
          <c:y val="2.7777904573522499E-2"/>
        </c:manualLayout>
      </c:layout>
      <c:overlay val="0"/>
    </c:title>
    <c:autoTitleDeleted val="0"/>
    <c:plotArea>
      <c:layout/>
      <c:lineChart>
        <c:grouping val="standard"/>
        <c:varyColors val="0"/>
        <c:ser>
          <c:idx val="0"/>
          <c:order val="0"/>
          <c:tx>
            <c:strRef>
              <c:f>Feuil1!$A$243</c:f>
              <c:strCache>
                <c:ptCount val="1"/>
                <c:pt idx="0">
                  <c:v>CUN</c:v>
                </c:pt>
              </c:strCache>
            </c:strRef>
          </c:tx>
          <c:cat>
            <c:numRef>
              <c:f>Feuil1!$B$242:$D$242</c:f>
              <c:numCache>
                <c:formatCode>General</c:formatCode>
                <c:ptCount val="3"/>
                <c:pt idx="0">
                  <c:v>2016</c:v>
                </c:pt>
                <c:pt idx="1">
                  <c:v>2017</c:v>
                </c:pt>
              </c:numCache>
            </c:numRef>
          </c:cat>
          <c:val>
            <c:numRef>
              <c:f>Feuil1!$B$243:$D$243</c:f>
              <c:numCache>
                <c:formatCode>General</c:formatCode>
                <c:ptCount val="3"/>
                <c:pt idx="0">
                  <c:v>68.599999999999994</c:v>
                </c:pt>
                <c:pt idx="1">
                  <c:v>70</c:v>
                </c:pt>
              </c:numCache>
            </c:numRef>
          </c:val>
          <c:smooth val="0"/>
        </c:ser>
        <c:ser>
          <c:idx val="1"/>
          <c:order val="1"/>
          <c:tx>
            <c:strRef>
              <c:f>Feuil1!$A$244</c:f>
              <c:strCache>
                <c:ptCount val="1"/>
                <c:pt idx="0">
                  <c:v>CUE for</c:v>
                </c:pt>
              </c:strCache>
            </c:strRef>
          </c:tx>
          <c:cat>
            <c:numRef>
              <c:f>Feuil1!$B$242:$D$242</c:f>
              <c:numCache>
                <c:formatCode>General</c:formatCode>
                <c:ptCount val="3"/>
                <c:pt idx="0">
                  <c:v>2016</c:v>
                </c:pt>
                <c:pt idx="1">
                  <c:v>2017</c:v>
                </c:pt>
              </c:numCache>
            </c:numRef>
          </c:cat>
          <c:val>
            <c:numRef>
              <c:f>Feuil1!$B$244:$D$244</c:f>
              <c:numCache>
                <c:formatCode>General</c:formatCode>
                <c:ptCount val="3"/>
                <c:pt idx="0">
                  <c:v>68.599999999999994</c:v>
                </c:pt>
              </c:numCache>
            </c:numRef>
          </c:val>
          <c:smooth val="0"/>
        </c:ser>
        <c:dLbls>
          <c:showLegendKey val="0"/>
          <c:showVal val="0"/>
          <c:showCatName val="0"/>
          <c:showSerName val="0"/>
          <c:showPercent val="0"/>
          <c:showBubbleSize val="0"/>
        </c:dLbls>
        <c:marker val="1"/>
        <c:smooth val="0"/>
        <c:axId val="555584768"/>
        <c:axId val="555583200"/>
      </c:lineChart>
      <c:catAx>
        <c:axId val="555584768"/>
        <c:scaling>
          <c:orientation val="minMax"/>
        </c:scaling>
        <c:delete val="0"/>
        <c:axPos val="b"/>
        <c:numFmt formatCode="General" sourceLinked="1"/>
        <c:majorTickMark val="none"/>
        <c:minorTickMark val="none"/>
        <c:tickLblPos val="nextTo"/>
        <c:crossAx val="555583200"/>
        <c:crosses val="autoZero"/>
        <c:auto val="1"/>
        <c:lblAlgn val="ctr"/>
        <c:lblOffset val="100"/>
        <c:noMultiLvlLbl val="0"/>
      </c:catAx>
      <c:valAx>
        <c:axId val="555583200"/>
        <c:scaling>
          <c:orientation val="minMax"/>
          <c:max val="80"/>
          <c:min val="0"/>
        </c:scaling>
        <c:delete val="0"/>
        <c:axPos val="l"/>
        <c:majorGridlines/>
        <c:title>
          <c:tx>
            <c:rich>
              <a:bodyPr/>
              <a:lstStyle/>
              <a:p>
                <a:pPr>
                  <a:defRPr/>
                </a:pPr>
                <a:r>
                  <a:rPr lang="en-US"/>
                  <a:t>Methyl Bromide (Tonnes)</a:t>
                </a:r>
              </a:p>
            </c:rich>
          </c:tx>
          <c:layout>
            <c:manualLayout>
              <c:xMode val="edge"/>
              <c:yMode val="edge"/>
              <c:x val="9.4527363184079796E-2"/>
              <c:y val="5.8470589727008797E-2"/>
            </c:manualLayout>
          </c:layout>
          <c:overlay val="0"/>
        </c:title>
        <c:numFmt formatCode="General" sourceLinked="1"/>
        <c:majorTickMark val="none"/>
        <c:minorTickMark val="none"/>
        <c:tickLblPos val="nextTo"/>
        <c:crossAx val="555584768"/>
        <c:crosses val="autoZero"/>
        <c:crossBetween val="between"/>
      </c:valAx>
      <c:dTable>
        <c:showHorzBorder val="1"/>
        <c:showVertBorder val="1"/>
        <c:showOutline val="1"/>
        <c:showKeys val="1"/>
        <c:txPr>
          <a:bodyPr/>
          <a:lstStyle/>
          <a:p>
            <a:pPr rtl="0">
              <a:defRPr sz="800"/>
            </a:pPr>
            <a:endParaRPr lang="en-US"/>
          </a:p>
        </c:txPr>
      </c:dTable>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9634087697079797"/>
          <c:y val="0.203108058301223"/>
          <c:w val="0.63372905309913197"/>
          <c:h val="0.55399475065616799"/>
        </c:manualLayout>
      </c:layout>
      <c:lineChart>
        <c:grouping val="standard"/>
        <c:varyColors val="0"/>
        <c:ser>
          <c:idx val="0"/>
          <c:order val="0"/>
          <c:tx>
            <c:strRef>
              <c:f>Feuil1!$A$213</c:f>
              <c:strCache>
                <c:ptCount val="1"/>
                <c:pt idx="0">
                  <c:v>CUN</c:v>
                </c:pt>
              </c:strCache>
            </c:strRef>
          </c:tx>
          <c:cat>
            <c:numRef>
              <c:f>Feuil1!$B$212:$D$212</c:f>
              <c:numCache>
                <c:formatCode>General</c:formatCode>
                <c:ptCount val="3"/>
                <c:pt idx="0">
                  <c:v>2016</c:v>
                </c:pt>
                <c:pt idx="1">
                  <c:v>2017</c:v>
                </c:pt>
              </c:numCache>
            </c:numRef>
          </c:cat>
          <c:val>
            <c:numRef>
              <c:f>Feuil1!$B$213:$D$213</c:f>
              <c:numCache>
                <c:formatCode>General</c:formatCode>
                <c:ptCount val="3"/>
                <c:pt idx="0">
                  <c:v>13</c:v>
                </c:pt>
                <c:pt idx="1">
                  <c:v>13</c:v>
                </c:pt>
              </c:numCache>
            </c:numRef>
          </c:val>
          <c:smooth val="0"/>
        </c:ser>
        <c:ser>
          <c:idx val="1"/>
          <c:order val="1"/>
          <c:tx>
            <c:strRef>
              <c:f>Feuil1!$A$214</c:f>
              <c:strCache>
                <c:ptCount val="1"/>
                <c:pt idx="0">
                  <c:v>CUE for</c:v>
                </c:pt>
              </c:strCache>
            </c:strRef>
          </c:tx>
          <c:cat>
            <c:numRef>
              <c:f>Feuil1!$B$212:$D$212</c:f>
              <c:numCache>
                <c:formatCode>General</c:formatCode>
                <c:ptCount val="3"/>
                <c:pt idx="0">
                  <c:v>2016</c:v>
                </c:pt>
                <c:pt idx="1">
                  <c:v>2017</c:v>
                </c:pt>
              </c:numCache>
            </c:numRef>
          </c:cat>
          <c:val>
            <c:numRef>
              <c:f>Feuil1!$B$214:$D$214</c:f>
              <c:numCache>
                <c:formatCode>General</c:formatCode>
                <c:ptCount val="3"/>
                <c:pt idx="0">
                  <c:v>5.4619999999999997</c:v>
                </c:pt>
              </c:numCache>
            </c:numRef>
          </c:val>
          <c:smooth val="0"/>
        </c:ser>
        <c:dLbls>
          <c:showLegendKey val="0"/>
          <c:showVal val="0"/>
          <c:showCatName val="0"/>
          <c:showSerName val="0"/>
          <c:showPercent val="0"/>
          <c:showBubbleSize val="0"/>
        </c:dLbls>
        <c:marker val="1"/>
        <c:smooth val="0"/>
        <c:axId val="564198984"/>
        <c:axId val="564200552"/>
      </c:lineChart>
      <c:catAx>
        <c:axId val="564198984"/>
        <c:scaling>
          <c:orientation val="minMax"/>
        </c:scaling>
        <c:delete val="0"/>
        <c:axPos val="b"/>
        <c:numFmt formatCode="General" sourceLinked="1"/>
        <c:majorTickMark val="out"/>
        <c:minorTickMark val="none"/>
        <c:tickLblPos val="nextTo"/>
        <c:crossAx val="564200552"/>
        <c:crosses val="autoZero"/>
        <c:auto val="1"/>
        <c:lblAlgn val="ctr"/>
        <c:lblOffset val="100"/>
        <c:noMultiLvlLbl val="0"/>
      </c:catAx>
      <c:valAx>
        <c:axId val="564200552"/>
        <c:scaling>
          <c:orientation val="minMax"/>
        </c:scaling>
        <c:delete val="0"/>
        <c:axPos val="l"/>
        <c:majorGridlines/>
        <c:numFmt formatCode="General" sourceLinked="1"/>
        <c:majorTickMark val="out"/>
        <c:minorTickMark val="none"/>
        <c:tickLblPos val="nextTo"/>
        <c:crossAx val="564198984"/>
        <c:crosses val="autoZero"/>
        <c:crossBetween val="between"/>
      </c:valAx>
      <c:dTable>
        <c:showHorzBorder val="1"/>
        <c:showVertBorder val="1"/>
        <c:showOutline val="1"/>
        <c:showKeys val="1"/>
        <c:txPr>
          <a:bodyPr/>
          <a:lstStyle/>
          <a:p>
            <a:pPr rtl="0">
              <a:defRPr sz="800"/>
            </a:pPr>
            <a:endParaRPr lang="en-US"/>
          </a:p>
        </c:txPr>
      </c:dTable>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fr-FR" sz="1200"/>
              <a:t>Canada Strawberry runners (PEI)*</a:t>
            </a:r>
          </a:p>
        </c:rich>
      </c:tx>
      <c:layout>
        <c:manualLayout>
          <c:xMode val="edge"/>
          <c:yMode val="edge"/>
          <c:x val="0.23986485114775"/>
          <c:y val="2.7434842249657101E-2"/>
        </c:manualLayout>
      </c:layout>
      <c:overlay val="0"/>
    </c:title>
    <c:autoTitleDeleted val="0"/>
    <c:plotArea>
      <c:layout>
        <c:manualLayout>
          <c:layoutTarget val="inner"/>
          <c:xMode val="edge"/>
          <c:yMode val="edge"/>
          <c:x val="0.16477370129108801"/>
          <c:y val="0.16872866604109699"/>
          <c:w val="0.81112912951996696"/>
          <c:h val="0.59993270072010196"/>
        </c:manualLayout>
      </c:layout>
      <c:lineChart>
        <c:grouping val="standard"/>
        <c:varyColors val="0"/>
        <c:ser>
          <c:idx val="0"/>
          <c:order val="0"/>
          <c:tx>
            <c:strRef>
              <c:f>Feuil1!$A$6</c:f>
              <c:strCache>
                <c:ptCount val="1"/>
                <c:pt idx="0">
                  <c:v>CUN</c:v>
                </c:pt>
              </c:strCache>
            </c:strRef>
          </c:tx>
          <c:cat>
            <c:numRef>
              <c:f>Feuil1!$B$5:$N$5</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Feuil1!$B$6:$N$6</c:f>
              <c:numCache>
                <c:formatCode>General</c:formatCode>
                <c:ptCount val="13"/>
                <c:pt idx="0">
                  <c:v>14.792</c:v>
                </c:pt>
                <c:pt idx="1">
                  <c:v>6.84</c:v>
                </c:pt>
                <c:pt idx="2">
                  <c:v>7.9950000000000001</c:v>
                </c:pt>
                <c:pt idx="3">
                  <c:v>7.4619999999999997</c:v>
                </c:pt>
                <c:pt idx="4">
                  <c:v>7.4619999999999997</c:v>
                </c:pt>
                <c:pt idx="5">
                  <c:v>7.4619999999999997</c:v>
                </c:pt>
                <c:pt idx="6">
                  <c:v>5.2610000000000001</c:v>
                </c:pt>
                <c:pt idx="7">
                  <c:v>5.2610000000000001</c:v>
                </c:pt>
                <c:pt idx="8">
                  <c:v>5.5960000000000001</c:v>
                </c:pt>
                <c:pt idx="9">
                  <c:v>5.2610000000000001</c:v>
                </c:pt>
                <c:pt idx="10">
                  <c:v>5.2610000000000001</c:v>
                </c:pt>
                <c:pt idx="11">
                  <c:v>5.2610000000000001</c:v>
                </c:pt>
                <c:pt idx="12">
                  <c:v>5.2610000000000001</c:v>
                </c:pt>
              </c:numCache>
            </c:numRef>
          </c:val>
          <c:smooth val="0"/>
        </c:ser>
        <c:ser>
          <c:idx val="1"/>
          <c:order val="1"/>
          <c:tx>
            <c:strRef>
              <c:f>Feuil1!$A$7</c:f>
              <c:strCache>
                <c:ptCount val="1"/>
                <c:pt idx="0">
                  <c:v>CUE for</c:v>
                </c:pt>
              </c:strCache>
            </c:strRef>
          </c:tx>
          <c:cat>
            <c:numRef>
              <c:f>Feuil1!$B$5:$N$5</c:f>
              <c:numCache>
                <c:formatCode>General</c:formatCode>
                <c:ptCount val="13"/>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numCache>
            </c:numRef>
          </c:cat>
          <c:val>
            <c:numRef>
              <c:f>Feuil1!$B$7:$N$7</c:f>
              <c:numCache>
                <c:formatCode>General</c:formatCode>
                <c:ptCount val="13"/>
                <c:pt idx="0">
                  <c:v>14.792</c:v>
                </c:pt>
                <c:pt idx="1">
                  <c:v>6.84</c:v>
                </c:pt>
                <c:pt idx="2">
                  <c:v>7.9950000000000001</c:v>
                </c:pt>
                <c:pt idx="3">
                  <c:v>7.4619999999999997</c:v>
                </c:pt>
                <c:pt idx="4">
                  <c:v>7.4619999999999997</c:v>
                </c:pt>
                <c:pt idx="5">
                  <c:v>7.4619999999999997</c:v>
                </c:pt>
                <c:pt idx="6">
                  <c:v>5.2610000000000001</c:v>
                </c:pt>
                <c:pt idx="7">
                  <c:v>5.2610000000000001</c:v>
                </c:pt>
                <c:pt idx="8">
                  <c:v>5.2610000000000001</c:v>
                </c:pt>
                <c:pt idx="9">
                  <c:v>5.05</c:v>
                </c:pt>
                <c:pt idx="10">
                  <c:v>5.2610000000000001</c:v>
                </c:pt>
                <c:pt idx="11">
                  <c:v>5.2610000000000001</c:v>
                </c:pt>
              </c:numCache>
            </c:numRef>
          </c:val>
          <c:smooth val="0"/>
        </c:ser>
        <c:dLbls>
          <c:showLegendKey val="0"/>
          <c:showVal val="0"/>
          <c:showCatName val="0"/>
          <c:showSerName val="0"/>
          <c:showPercent val="0"/>
          <c:showBubbleSize val="0"/>
        </c:dLbls>
        <c:marker val="1"/>
        <c:smooth val="0"/>
        <c:axId val="9307336"/>
        <c:axId val="9306552"/>
      </c:lineChart>
      <c:catAx>
        <c:axId val="9307336"/>
        <c:scaling>
          <c:orientation val="minMax"/>
        </c:scaling>
        <c:delete val="0"/>
        <c:axPos val="b"/>
        <c:numFmt formatCode="General" sourceLinked="1"/>
        <c:majorTickMark val="none"/>
        <c:minorTickMark val="none"/>
        <c:tickLblPos val="nextTo"/>
        <c:crossAx val="9306552"/>
        <c:crosses val="autoZero"/>
        <c:auto val="1"/>
        <c:lblAlgn val="ctr"/>
        <c:lblOffset val="100"/>
        <c:noMultiLvlLbl val="0"/>
      </c:catAx>
      <c:valAx>
        <c:axId val="9306552"/>
        <c:scaling>
          <c:orientation val="minMax"/>
        </c:scaling>
        <c:delete val="0"/>
        <c:axPos val="l"/>
        <c:majorGridlines/>
        <c:title>
          <c:tx>
            <c:rich>
              <a:bodyPr/>
              <a:lstStyle/>
              <a:p>
                <a:pPr>
                  <a:defRPr/>
                </a:pPr>
                <a:r>
                  <a:rPr lang="en-US"/>
                  <a:t>Methyl Bromide (Tonnes)</a:t>
                </a:r>
              </a:p>
            </c:rich>
          </c:tx>
          <c:layout>
            <c:manualLayout>
              <c:xMode val="edge"/>
              <c:yMode val="edge"/>
              <c:x val="1.91972076788831E-2"/>
              <c:y val="0.149479440069992"/>
            </c:manualLayout>
          </c:layout>
          <c:overlay val="0"/>
        </c:title>
        <c:numFmt formatCode="General" sourceLinked="1"/>
        <c:majorTickMark val="none"/>
        <c:minorTickMark val="none"/>
        <c:tickLblPos val="nextTo"/>
        <c:crossAx val="9307336"/>
        <c:crosses val="autoZero"/>
        <c:crossBetween val="between"/>
      </c:valAx>
      <c:dTable>
        <c:showHorzBorder val="1"/>
        <c:showVertBorder val="1"/>
        <c:showOutline val="1"/>
        <c:showKeys val="1"/>
        <c:txPr>
          <a:bodyPr/>
          <a:lstStyle/>
          <a:p>
            <a:pPr rtl="0">
              <a:defRPr sz="800"/>
            </a:pPr>
            <a:endParaRPr lang="en-US"/>
          </a:p>
        </c:txPr>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fr-FR" sz="1200"/>
              <a:t>Argentina:</a:t>
            </a:r>
            <a:r>
              <a:rPr lang="fr-FR" sz="1400"/>
              <a:t> </a:t>
            </a:r>
            <a:r>
              <a:rPr lang="fr-FR" sz="1200"/>
              <a:t>Tomato</a:t>
            </a:r>
            <a:r>
              <a:rPr lang="fr-FR" sz="1400"/>
              <a:t> </a:t>
            </a:r>
            <a:r>
              <a:rPr lang="fr-FR" sz="1200"/>
              <a:t>(Pepper 2015</a:t>
            </a:r>
            <a:r>
              <a:rPr lang="fr-FR" sz="1400"/>
              <a:t>) </a:t>
            </a:r>
          </a:p>
        </c:rich>
      </c:tx>
      <c:layout>
        <c:manualLayout>
          <c:xMode val="edge"/>
          <c:yMode val="edge"/>
          <c:x val="0.19825887743413501"/>
          <c:y val="2.8368794326241099E-2"/>
        </c:manualLayout>
      </c:layout>
      <c:overlay val="0"/>
    </c:title>
    <c:autoTitleDeleted val="0"/>
    <c:plotArea>
      <c:layout>
        <c:manualLayout>
          <c:layoutTarget val="inner"/>
          <c:xMode val="edge"/>
          <c:yMode val="edge"/>
          <c:x val="0.319359255350813"/>
          <c:y val="0.188836991120791"/>
          <c:w val="0.680640744649187"/>
          <c:h val="0.57548534092812897"/>
        </c:manualLayout>
      </c:layout>
      <c:lineChart>
        <c:grouping val="standard"/>
        <c:varyColors val="0"/>
        <c:ser>
          <c:idx val="0"/>
          <c:order val="0"/>
          <c:tx>
            <c:strRef>
              <c:f>Feuil1!$A$65</c:f>
              <c:strCache>
                <c:ptCount val="1"/>
                <c:pt idx="0">
                  <c:v>CUN</c:v>
                </c:pt>
              </c:strCache>
            </c:strRef>
          </c:tx>
          <c:cat>
            <c:numRef>
              <c:f>Feuil1!$B$64:$D$64</c:f>
              <c:numCache>
                <c:formatCode>General</c:formatCode>
                <c:ptCount val="3"/>
                <c:pt idx="0">
                  <c:v>2015</c:v>
                </c:pt>
                <c:pt idx="1">
                  <c:v>2016</c:v>
                </c:pt>
                <c:pt idx="2">
                  <c:v>2017</c:v>
                </c:pt>
              </c:numCache>
            </c:numRef>
          </c:cat>
          <c:val>
            <c:numRef>
              <c:f>Feuil1!$B$65:$D$65</c:f>
              <c:numCache>
                <c:formatCode>General</c:formatCode>
                <c:ptCount val="3"/>
                <c:pt idx="0">
                  <c:v>100</c:v>
                </c:pt>
                <c:pt idx="1">
                  <c:v>75</c:v>
                </c:pt>
                <c:pt idx="2">
                  <c:v>75</c:v>
                </c:pt>
              </c:numCache>
            </c:numRef>
          </c:val>
          <c:smooth val="0"/>
        </c:ser>
        <c:ser>
          <c:idx val="1"/>
          <c:order val="1"/>
          <c:tx>
            <c:strRef>
              <c:f>Feuil1!$A$66</c:f>
              <c:strCache>
                <c:ptCount val="1"/>
                <c:pt idx="0">
                  <c:v>CUE for</c:v>
                </c:pt>
              </c:strCache>
            </c:strRef>
          </c:tx>
          <c:cat>
            <c:numRef>
              <c:f>Feuil1!$B$64:$D$64</c:f>
              <c:numCache>
                <c:formatCode>General</c:formatCode>
                <c:ptCount val="3"/>
                <c:pt idx="0">
                  <c:v>2015</c:v>
                </c:pt>
                <c:pt idx="1">
                  <c:v>2016</c:v>
                </c:pt>
                <c:pt idx="2">
                  <c:v>2017</c:v>
                </c:pt>
              </c:numCache>
            </c:numRef>
          </c:cat>
          <c:val>
            <c:numRef>
              <c:f>Feuil1!$B$66:$D$66</c:f>
              <c:numCache>
                <c:formatCode>General</c:formatCode>
                <c:ptCount val="3"/>
                <c:pt idx="0">
                  <c:v>100</c:v>
                </c:pt>
                <c:pt idx="1">
                  <c:v>71.25</c:v>
                </c:pt>
              </c:numCache>
            </c:numRef>
          </c:val>
          <c:smooth val="0"/>
        </c:ser>
        <c:dLbls>
          <c:showLegendKey val="0"/>
          <c:showVal val="0"/>
          <c:showCatName val="0"/>
          <c:showSerName val="0"/>
          <c:showPercent val="0"/>
          <c:showBubbleSize val="0"/>
        </c:dLbls>
        <c:marker val="1"/>
        <c:smooth val="0"/>
        <c:axId val="9304200"/>
        <c:axId val="9304592"/>
      </c:lineChart>
      <c:catAx>
        <c:axId val="9304200"/>
        <c:scaling>
          <c:orientation val="minMax"/>
        </c:scaling>
        <c:delete val="0"/>
        <c:axPos val="b"/>
        <c:numFmt formatCode="General" sourceLinked="1"/>
        <c:majorTickMark val="none"/>
        <c:minorTickMark val="none"/>
        <c:tickLblPos val="nextTo"/>
        <c:crossAx val="9304592"/>
        <c:crosses val="autoZero"/>
        <c:auto val="1"/>
        <c:lblAlgn val="ctr"/>
        <c:lblOffset val="100"/>
        <c:noMultiLvlLbl val="0"/>
      </c:catAx>
      <c:valAx>
        <c:axId val="9304592"/>
        <c:scaling>
          <c:orientation val="minMax"/>
        </c:scaling>
        <c:delete val="0"/>
        <c:axPos val="l"/>
        <c:majorGridlines/>
        <c:title>
          <c:tx>
            <c:rich>
              <a:bodyPr/>
              <a:lstStyle/>
              <a:p>
                <a:pPr>
                  <a:defRPr/>
                </a:pPr>
                <a:r>
                  <a:rPr lang="en-US"/>
                  <a:t>Methyl Bromide (Tonnes)</a:t>
                </a:r>
              </a:p>
            </c:rich>
          </c:tx>
          <c:layout>
            <c:manualLayout>
              <c:xMode val="edge"/>
              <c:yMode val="edge"/>
              <c:x val="5.0400916380297797E-2"/>
              <c:y val="8.1035572681074503E-2"/>
            </c:manualLayout>
          </c:layout>
          <c:overlay val="0"/>
        </c:title>
        <c:numFmt formatCode="General" sourceLinked="1"/>
        <c:majorTickMark val="none"/>
        <c:minorTickMark val="none"/>
        <c:tickLblPos val="nextTo"/>
        <c:crossAx val="9304200"/>
        <c:crosses val="autoZero"/>
        <c:crossBetween val="between"/>
      </c:valAx>
      <c:dTable>
        <c:showHorzBorder val="1"/>
        <c:showVertBorder val="1"/>
        <c:showOutline val="1"/>
        <c:showKeys val="1"/>
        <c:txPr>
          <a:bodyPr/>
          <a:lstStyle/>
          <a:p>
            <a:pPr rtl="0">
              <a:defRPr sz="800"/>
            </a:pPr>
            <a:endParaRPr lang="en-US"/>
          </a:p>
        </c:txPr>
      </c:dTable>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Argentina: Strawberry Fruit</a:t>
            </a:r>
          </a:p>
        </c:rich>
      </c:tx>
      <c:overlay val="0"/>
    </c:title>
    <c:autoTitleDeleted val="0"/>
    <c:plotArea>
      <c:layout/>
      <c:lineChart>
        <c:grouping val="standard"/>
        <c:varyColors val="0"/>
        <c:ser>
          <c:idx val="0"/>
          <c:order val="0"/>
          <c:tx>
            <c:strRef>
              <c:f>Feuil1!$A$115</c:f>
              <c:strCache>
                <c:ptCount val="1"/>
                <c:pt idx="0">
                  <c:v>CUN</c:v>
                </c:pt>
              </c:strCache>
            </c:strRef>
          </c:tx>
          <c:cat>
            <c:numRef>
              <c:f>Feuil1!$B$114:$E$114</c:f>
              <c:numCache>
                <c:formatCode>General</c:formatCode>
                <c:ptCount val="4"/>
                <c:pt idx="0">
                  <c:v>2015</c:v>
                </c:pt>
                <c:pt idx="1">
                  <c:v>2016</c:v>
                </c:pt>
                <c:pt idx="2">
                  <c:v>2017</c:v>
                </c:pt>
              </c:numCache>
            </c:numRef>
          </c:cat>
          <c:val>
            <c:numRef>
              <c:f>Feuil1!$B$115:$E$115</c:f>
              <c:numCache>
                <c:formatCode>General</c:formatCode>
                <c:ptCount val="4"/>
                <c:pt idx="0">
                  <c:v>70</c:v>
                </c:pt>
                <c:pt idx="1">
                  <c:v>58</c:v>
                </c:pt>
                <c:pt idx="2">
                  <c:v>45.3</c:v>
                </c:pt>
              </c:numCache>
            </c:numRef>
          </c:val>
          <c:smooth val="0"/>
        </c:ser>
        <c:ser>
          <c:idx val="1"/>
          <c:order val="1"/>
          <c:tx>
            <c:strRef>
              <c:f>Feuil1!$A$116</c:f>
              <c:strCache>
                <c:ptCount val="1"/>
                <c:pt idx="0">
                  <c:v>CUE for</c:v>
                </c:pt>
              </c:strCache>
            </c:strRef>
          </c:tx>
          <c:cat>
            <c:numRef>
              <c:f>Feuil1!$B$114:$E$114</c:f>
              <c:numCache>
                <c:formatCode>General</c:formatCode>
                <c:ptCount val="4"/>
                <c:pt idx="0">
                  <c:v>2015</c:v>
                </c:pt>
                <c:pt idx="1">
                  <c:v>2016</c:v>
                </c:pt>
                <c:pt idx="2">
                  <c:v>2017</c:v>
                </c:pt>
              </c:numCache>
            </c:numRef>
          </c:cat>
          <c:val>
            <c:numRef>
              <c:f>Feuil1!$B$116:$E$116</c:f>
              <c:numCache>
                <c:formatCode>General</c:formatCode>
                <c:ptCount val="4"/>
                <c:pt idx="0">
                  <c:v>70</c:v>
                </c:pt>
                <c:pt idx="1">
                  <c:v>58</c:v>
                </c:pt>
              </c:numCache>
            </c:numRef>
          </c:val>
          <c:smooth val="0"/>
        </c:ser>
        <c:dLbls>
          <c:showLegendKey val="0"/>
          <c:showVal val="0"/>
          <c:showCatName val="0"/>
          <c:showSerName val="0"/>
          <c:showPercent val="0"/>
          <c:showBubbleSize val="0"/>
        </c:dLbls>
        <c:marker val="1"/>
        <c:smooth val="0"/>
        <c:axId val="557584696"/>
        <c:axId val="557585480"/>
      </c:lineChart>
      <c:catAx>
        <c:axId val="557584696"/>
        <c:scaling>
          <c:orientation val="minMax"/>
        </c:scaling>
        <c:delete val="0"/>
        <c:axPos val="b"/>
        <c:numFmt formatCode="General" sourceLinked="1"/>
        <c:majorTickMark val="none"/>
        <c:minorTickMark val="none"/>
        <c:tickLblPos val="nextTo"/>
        <c:crossAx val="557585480"/>
        <c:crosses val="autoZero"/>
        <c:auto val="1"/>
        <c:lblAlgn val="ctr"/>
        <c:lblOffset val="100"/>
        <c:noMultiLvlLbl val="0"/>
      </c:catAx>
      <c:valAx>
        <c:axId val="557585480"/>
        <c:scaling>
          <c:orientation val="minMax"/>
        </c:scaling>
        <c:delete val="0"/>
        <c:axPos val="l"/>
        <c:majorGridlines/>
        <c:title>
          <c:tx>
            <c:rich>
              <a:bodyPr/>
              <a:lstStyle/>
              <a:p>
                <a:pPr>
                  <a:defRPr/>
                </a:pPr>
                <a:r>
                  <a:rPr lang="en-US"/>
                  <a:t>Methyl Bromide (Tonnes)</a:t>
                </a:r>
              </a:p>
            </c:rich>
          </c:tx>
          <c:layout>
            <c:manualLayout>
              <c:xMode val="edge"/>
              <c:yMode val="edge"/>
              <c:x val="4.6619906300108399E-2"/>
              <c:y val="0.13407015903833899"/>
            </c:manualLayout>
          </c:layout>
          <c:overlay val="0"/>
        </c:title>
        <c:numFmt formatCode="General" sourceLinked="1"/>
        <c:majorTickMark val="none"/>
        <c:minorTickMark val="none"/>
        <c:tickLblPos val="nextTo"/>
        <c:crossAx val="557584696"/>
        <c:crosses val="autoZero"/>
        <c:crossBetween val="between"/>
      </c:valAx>
      <c:dTable>
        <c:showHorzBorder val="1"/>
        <c:showVertBorder val="1"/>
        <c:showOutline val="1"/>
        <c:showKeys val="1"/>
        <c:txPr>
          <a:bodyPr/>
          <a:lstStyle/>
          <a:p>
            <a:pPr rtl="0">
              <a:defRPr sz="800"/>
            </a:pPr>
            <a:endParaRPr lang="en-US"/>
          </a:p>
        </c:txPr>
      </c:dTable>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China: Ginger Open Field</a:t>
            </a:r>
          </a:p>
        </c:rich>
      </c:tx>
      <c:layout>
        <c:manualLayout>
          <c:xMode val="edge"/>
          <c:yMode val="edge"/>
          <c:x val="0.27751270452895499"/>
          <c:y val="4.6204589233212801E-2"/>
        </c:manualLayout>
      </c:layout>
      <c:overlay val="0"/>
    </c:title>
    <c:autoTitleDeleted val="0"/>
    <c:plotArea>
      <c:layout/>
      <c:lineChart>
        <c:grouping val="standard"/>
        <c:varyColors val="0"/>
        <c:ser>
          <c:idx val="0"/>
          <c:order val="0"/>
          <c:tx>
            <c:strRef>
              <c:f>Feuil1!$A$139</c:f>
              <c:strCache>
                <c:ptCount val="1"/>
                <c:pt idx="0">
                  <c:v>CUN</c:v>
                </c:pt>
              </c:strCache>
            </c:strRef>
          </c:tx>
          <c:cat>
            <c:numRef>
              <c:f>Feuil1!$B$138:$E$138</c:f>
              <c:numCache>
                <c:formatCode>General</c:formatCode>
                <c:ptCount val="4"/>
                <c:pt idx="0">
                  <c:v>2015</c:v>
                </c:pt>
                <c:pt idx="1">
                  <c:v>2016</c:v>
                </c:pt>
                <c:pt idx="2">
                  <c:v>2017</c:v>
                </c:pt>
              </c:numCache>
            </c:numRef>
          </c:cat>
          <c:val>
            <c:numRef>
              <c:f>Feuil1!$B$139:$E$139</c:f>
              <c:numCache>
                <c:formatCode>General</c:formatCode>
                <c:ptCount val="4"/>
                <c:pt idx="0">
                  <c:v>90</c:v>
                </c:pt>
                <c:pt idx="1">
                  <c:v>90</c:v>
                </c:pt>
                <c:pt idx="2">
                  <c:v>78.5</c:v>
                </c:pt>
              </c:numCache>
            </c:numRef>
          </c:val>
          <c:smooth val="0"/>
        </c:ser>
        <c:ser>
          <c:idx val="1"/>
          <c:order val="1"/>
          <c:tx>
            <c:strRef>
              <c:f>Feuil1!$A$140</c:f>
              <c:strCache>
                <c:ptCount val="1"/>
                <c:pt idx="0">
                  <c:v>CUE for</c:v>
                </c:pt>
              </c:strCache>
            </c:strRef>
          </c:tx>
          <c:cat>
            <c:numRef>
              <c:f>Feuil1!$B$138:$E$138</c:f>
              <c:numCache>
                <c:formatCode>General</c:formatCode>
                <c:ptCount val="4"/>
                <c:pt idx="0">
                  <c:v>2015</c:v>
                </c:pt>
                <c:pt idx="1">
                  <c:v>2016</c:v>
                </c:pt>
                <c:pt idx="2">
                  <c:v>2017</c:v>
                </c:pt>
              </c:numCache>
            </c:numRef>
          </c:cat>
          <c:val>
            <c:numRef>
              <c:f>Feuil1!$B$140:$E$140</c:f>
              <c:numCache>
                <c:formatCode>General</c:formatCode>
                <c:ptCount val="4"/>
                <c:pt idx="0">
                  <c:v>90</c:v>
                </c:pt>
                <c:pt idx="1">
                  <c:v>90</c:v>
                </c:pt>
              </c:numCache>
            </c:numRef>
          </c:val>
          <c:smooth val="0"/>
        </c:ser>
        <c:dLbls>
          <c:showLegendKey val="0"/>
          <c:showVal val="0"/>
          <c:showCatName val="0"/>
          <c:showSerName val="0"/>
          <c:showPercent val="0"/>
          <c:showBubbleSize val="0"/>
        </c:dLbls>
        <c:marker val="1"/>
        <c:smooth val="0"/>
        <c:axId val="562105080"/>
        <c:axId val="562106256"/>
      </c:lineChart>
      <c:catAx>
        <c:axId val="562105080"/>
        <c:scaling>
          <c:orientation val="minMax"/>
        </c:scaling>
        <c:delete val="0"/>
        <c:axPos val="b"/>
        <c:numFmt formatCode="General" sourceLinked="1"/>
        <c:majorTickMark val="none"/>
        <c:minorTickMark val="none"/>
        <c:tickLblPos val="nextTo"/>
        <c:crossAx val="562106256"/>
        <c:crosses val="autoZero"/>
        <c:auto val="1"/>
        <c:lblAlgn val="ctr"/>
        <c:lblOffset val="100"/>
        <c:noMultiLvlLbl val="0"/>
      </c:catAx>
      <c:valAx>
        <c:axId val="562106256"/>
        <c:scaling>
          <c:orientation val="minMax"/>
          <c:max val="100"/>
          <c:min val="0"/>
        </c:scaling>
        <c:delete val="0"/>
        <c:axPos val="l"/>
        <c:majorGridlines/>
        <c:title>
          <c:tx>
            <c:rich>
              <a:bodyPr/>
              <a:lstStyle/>
              <a:p>
                <a:pPr>
                  <a:defRPr sz="900"/>
                </a:pPr>
                <a:r>
                  <a:rPr lang="en-US" sz="900"/>
                  <a:t>Methyl Bromide (Tonnes)</a:t>
                </a:r>
              </a:p>
            </c:rich>
          </c:tx>
          <c:layout>
            <c:manualLayout>
              <c:xMode val="edge"/>
              <c:yMode val="edge"/>
              <c:x val="5.1103368176538898E-2"/>
              <c:y val="0.103184948416101"/>
            </c:manualLayout>
          </c:layout>
          <c:overlay val="0"/>
        </c:title>
        <c:numFmt formatCode="General" sourceLinked="1"/>
        <c:majorTickMark val="none"/>
        <c:minorTickMark val="none"/>
        <c:tickLblPos val="nextTo"/>
        <c:crossAx val="562105080"/>
        <c:crosses val="autoZero"/>
        <c:crossBetween val="between"/>
      </c:valAx>
      <c:dTable>
        <c:showHorzBorder val="1"/>
        <c:showVertBorder val="1"/>
        <c:showOutline val="1"/>
        <c:showKeys val="1"/>
        <c:txPr>
          <a:bodyPr/>
          <a:lstStyle/>
          <a:p>
            <a:pPr rtl="0">
              <a:defRPr sz="800"/>
            </a:pPr>
            <a:endParaRPr lang="en-US"/>
          </a:p>
        </c:txPr>
      </c:dTable>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China: Ginger Protected</a:t>
            </a:r>
          </a:p>
        </c:rich>
      </c:tx>
      <c:layout>
        <c:manualLayout>
          <c:xMode val="edge"/>
          <c:yMode val="edge"/>
          <c:x val="0.30604107476256198"/>
          <c:y val="3.72437565475989E-2"/>
        </c:manualLayout>
      </c:layout>
      <c:overlay val="0"/>
    </c:title>
    <c:autoTitleDeleted val="0"/>
    <c:plotArea>
      <c:layout/>
      <c:lineChart>
        <c:grouping val="standard"/>
        <c:varyColors val="0"/>
        <c:ser>
          <c:idx val="0"/>
          <c:order val="0"/>
          <c:tx>
            <c:strRef>
              <c:f>Feuil1!$A$161</c:f>
              <c:strCache>
                <c:ptCount val="1"/>
                <c:pt idx="0">
                  <c:v>CUN</c:v>
                </c:pt>
              </c:strCache>
            </c:strRef>
          </c:tx>
          <c:cat>
            <c:numRef>
              <c:f>Feuil1!$B$160:$E$160</c:f>
              <c:numCache>
                <c:formatCode>General</c:formatCode>
                <c:ptCount val="4"/>
                <c:pt idx="0">
                  <c:v>2015</c:v>
                </c:pt>
                <c:pt idx="1">
                  <c:v>2016</c:v>
                </c:pt>
                <c:pt idx="2">
                  <c:v>2017</c:v>
                </c:pt>
              </c:numCache>
            </c:numRef>
          </c:cat>
          <c:val>
            <c:numRef>
              <c:f>Feuil1!$B$161:$E$161</c:f>
              <c:numCache>
                <c:formatCode>General</c:formatCode>
                <c:ptCount val="4"/>
                <c:pt idx="0">
                  <c:v>30</c:v>
                </c:pt>
                <c:pt idx="1">
                  <c:v>24</c:v>
                </c:pt>
                <c:pt idx="2">
                  <c:v>21</c:v>
                </c:pt>
              </c:numCache>
            </c:numRef>
          </c:val>
          <c:smooth val="0"/>
        </c:ser>
        <c:ser>
          <c:idx val="1"/>
          <c:order val="1"/>
          <c:tx>
            <c:strRef>
              <c:f>Feuil1!$A$162</c:f>
              <c:strCache>
                <c:ptCount val="1"/>
                <c:pt idx="0">
                  <c:v>CUE for</c:v>
                </c:pt>
              </c:strCache>
            </c:strRef>
          </c:tx>
          <c:cat>
            <c:numRef>
              <c:f>Feuil1!$B$160:$E$160</c:f>
              <c:numCache>
                <c:formatCode>General</c:formatCode>
                <c:ptCount val="4"/>
                <c:pt idx="0">
                  <c:v>2015</c:v>
                </c:pt>
                <c:pt idx="1">
                  <c:v>2016</c:v>
                </c:pt>
                <c:pt idx="2">
                  <c:v>2017</c:v>
                </c:pt>
              </c:numCache>
            </c:numRef>
          </c:cat>
          <c:val>
            <c:numRef>
              <c:f>Feuil1!$B$162:$E$162</c:f>
              <c:numCache>
                <c:formatCode>General</c:formatCode>
                <c:ptCount val="4"/>
                <c:pt idx="0">
                  <c:v>24</c:v>
                </c:pt>
                <c:pt idx="1">
                  <c:v>21</c:v>
                </c:pt>
              </c:numCache>
            </c:numRef>
          </c:val>
          <c:smooth val="0"/>
        </c:ser>
        <c:dLbls>
          <c:showLegendKey val="0"/>
          <c:showVal val="0"/>
          <c:showCatName val="0"/>
          <c:showSerName val="0"/>
          <c:showPercent val="0"/>
          <c:showBubbleSize val="0"/>
        </c:dLbls>
        <c:marker val="1"/>
        <c:smooth val="0"/>
        <c:axId val="562107432"/>
        <c:axId val="562107824"/>
      </c:lineChart>
      <c:catAx>
        <c:axId val="562107432"/>
        <c:scaling>
          <c:orientation val="minMax"/>
        </c:scaling>
        <c:delete val="0"/>
        <c:axPos val="b"/>
        <c:numFmt formatCode="General" sourceLinked="1"/>
        <c:majorTickMark val="none"/>
        <c:minorTickMark val="none"/>
        <c:tickLblPos val="nextTo"/>
        <c:crossAx val="562107824"/>
        <c:crosses val="autoZero"/>
        <c:auto val="1"/>
        <c:lblAlgn val="ctr"/>
        <c:lblOffset val="100"/>
        <c:noMultiLvlLbl val="0"/>
      </c:catAx>
      <c:valAx>
        <c:axId val="562107824"/>
        <c:scaling>
          <c:orientation val="minMax"/>
        </c:scaling>
        <c:delete val="0"/>
        <c:axPos val="l"/>
        <c:majorGridlines/>
        <c:title>
          <c:tx>
            <c:rich>
              <a:bodyPr/>
              <a:lstStyle/>
              <a:p>
                <a:pPr>
                  <a:defRPr sz="900"/>
                </a:pPr>
                <a:r>
                  <a:rPr lang="en-US" sz="900"/>
                  <a:t>Methyl Bromide (Tonnes)</a:t>
                </a:r>
              </a:p>
            </c:rich>
          </c:tx>
          <c:layout>
            <c:manualLayout>
              <c:xMode val="edge"/>
              <c:yMode val="edge"/>
              <c:x val="7.3310423825887802E-2"/>
              <c:y val="6.3267781182524602E-2"/>
            </c:manualLayout>
          </c:layout>
          <c:overlay val="0"/>
        </c:title>
        <c:numFmt formatCode="General" sourceLinked="1"/>
        <c:majorTickMark val="none"/>
        <c:minorTickMark val="none"/>
        <c:tickLblPos val="nextTo"/>
        <c:crossAx val="562107432"/>
        <c:crosses val="autoZero"/>
        <c:crossBetween val="between"/>
      </c:valAx>
      <c:dTable>
        <c:showHorzBorder val="1"/>
        <c:showVertBorder val="1"/>
        <c:showOutline val="1"/>
        <c:showKeys val="1"/>
        <c:txPr>
          <a:bodyPr/>
          <a:lstStyle/>
          <a:p>
            <a:pPr rtl="0">
              <a:defRPr sz="900"/>
            </a:pPr>
            <a:endParaRPr lang="en-US"/>
          </a:p>
        </c:txPr>
      </c:dTable>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Mexico: Strawberries</a:t>
            </a:r>
          </a:p>
        </c:rich>
      </c:tx>
      <c:layout>
        <c:manualLayout>
          <c:xMode val="edge"/>
          <c:yMode val="edge"/>
          <c:x val="0.34907463969139102"/>
          <c:y val="4.5390070921985798E-2"/>
        </c:manualLayout>
      </c:layout>
      <c:overlay val="0"/>
    </c:title>
    <c:autoTitleDeleted val="0"/>
    <c:plotArea>
      <c:layout/>
      <c:lineChart>
        <c:grouping val="standard"/>
        <c:varyColors val="0"/>
        <c:ser>
          <c:idx val="0"/>
          <c:order val="0"/>
          <c:tx>
            <c:strRef>
              <c:f>Feuil1!$A$183</c:f>
              <c:strCache>
                <c:ptCount val="1"/>
                <c:pt idx="0">
                  <c:v>CUN</c:v>
                </c:pt>
              </c:strCache>
            </c:strRef>
          </c:tx>
          <c:cat>
            <c:numRef>
              <c:f>Feuil1!$B$182:$E$182</c:f>
              <c:numCache>
                <c:formatCode>General</c:formatCode>
                <c:ptCount val="4"/>
                <c:pt idx="0">
                  <c:v>2015</c:v>
                </c:pt>
                <c:pt idx="1">
                  <c:v>2016</c:v>
                </c:pt>
                <c:pt idx="2">
                  <c:v>2017</c:v>
                </c:pt>
              </c:numCache>
            </c:numRef>
          </c:cat>
          <c:val>
            <c:numRef>
              <c:f>Feuil1!$B$183:$E$183</c:f>
              <c:numCache>
                <c:formatCode>General</c:formatCode>
                <c:ptCount val="4"/>
                <c:pt idx="0">
                  <c:v>70</c:v>
                </c:pt>
                <c:pt idx="1">
                  <c:v>64.959999999999994</c:v>
                </c:pt>
                <c:pt idx="2">
                  <c:v>0</c:v>
                </c:pt>
              </c:numCache>
            </c:numRef>
          </c:val>
          <c:smooth val="0"/>
        </c:ser>
        <c:ser>
          <c:idx val="1"/>
          <c:order val="1"/>
          <c:tx>
            <c:strRef>
              <c:f>Feuil1!$A$184</c:f>
              <c:strCache>
                <c:ptCount val="1"/>
                <c:pt idx="0">
                  <c:v>CUE for</c:v>
                </c:pt>
              </c:strCache>
            </c:strRef>
          </c:tx>
          <c:cat>
            <c:numRef>
              <c:f>Feuil1!$B$182:$E$182</c:f>
              <c:numCache>
                <c:formatCode>General</c:formatCode>
                <c:ptCount val="4"/>
                <c:pt idx="0">
                  <c:v>2015</c:v>
                </c:pt>
                <c:pt idx="1">
                  <c:v>2016</c:v>
                </c:pt>
                <c:pt idx="2">
                  <c:v>2017</c:v>
                </c:pt>
              </c:numCache>
            </c:numRef>
          </c:cat>
          <c:val>
            <c:numRef>
              <c:f>Feuil1!$B$184:$E$184</c:f>
              <c:numCache>
                <c:formatCode>General</c:formatCode>
                <c:ptCount val="4"/>
                <c:pt idx="0">
                  <c:v>43.54</c:v>
                </c:pt>
                <c:pt idx="1">
                  <c:v>43.54</c:v>
                </c:pt>
              </c:numCache>
            </c:numRef>
          </c:val>
          <c:smooth val="0"/>
        </c:ser>
        <c:dLbls>
          <c:showLegendKey val="0"/>
          <c:showVal val="0"/>
          <c:showCatName val="0"/>
          <c:showSerName val="0"/>
          <c:showPercent val="0"/>
          <c:showBubbleSize val="0"/>
        </c:dLbls>
        <c:marker val="1"/>
        <c:smooth val="0"/>
        <c:axId val="562108608"/>
        <c:axId val="564983312"/>
      </c:lineChart>
      <c:catAx>
        <c:axId val="562108608"/>
        <c:scaling>
          <c:orientation val="minMax"/>
        </c:scaling>
        <c:delete val="0"/>
        <c:axPos val="b"/>
        <c:numFmt formatCode="General" sourceLinked="1"/>
        <c:majorTickMark val="none"/>
        <c:minorTickMark val="none"/>
        <c:tickLblPos val="nextTo"/>
        <c:crossAx val="564983312"/>
        <c:crosses val="autoZero"/>
        <c:auto val="1"/>
        <c:lblAlgn val="ctr"/>
        <c:lblOffset val="100"/>
        <c:noMultiLvlLbl val="0"/>
      </c:catAx>
      <c:valAx>
        <c:axId val="564983312"/>
        <c:scaling>
          <c:orientation val="minMax"/>
        </c:scaling>
        <c:delete val="0"/>
        <c:axPos val="l"/>
        <c:majorGridlines/>
        <c:title>
          <c:tx>
            <c:rich>
              <a:bodyPr/>
              <a:lstStyle/>
              <a:p>
                <a:pPr>
                  <a:defRPr sz="900"/>
                </a:pPr>
                <a:r>
                  <a:rPr lang="en-AU" sz="900"/>
                  <a:t>Methyl Bromide (Tonnes)</a:t>
                </a:r>
              </a:p>
            </c:rich>
          </c:tx>
          <c:layout>
            <c:manualLayout>
              <c:xMode val="edge"/>
              <c:yMode val="edge"/>
              <c:x val="7.5919335705812593E-2"/>
              <c:y val="0.115550509674663"/>
            </c:manualLayout>
          </c:layout>
          <c:overlay val="0"/>
        </c:title>
        <c:numFmt formatCode="General" sourceLinked="1"/>
        <c:majorTickMark val="none"/>
        <c:minorTickMark val="none"/>
        <c:tickLblPos val="nextTo"/>
        <c:crossAx val="562108608"/>
        <c:crosses val="autoZero"/>
        <c:crossBetween val="between"/>
      </c:valAx>
      <c:dTable>
        <c:showHorzBorder val="1"/>
        <c:showVertBorder val="1"/>
        <c:showOutline val="1"/>
        <c:showKeys val="1"/>
        <c:txPr>
          <a:bodyPr/>
          <a:lstStyle/>
          <a:p>
            <a:pPr rtl="0">
              <a:defRPr sz="800"/>
            </a:pPr>
            <a:endParaRPr lang="en-US"/>
          </a:p>
        </c:txPr>
      </c:dTable>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Mexico: Raspberries</a:t>
            </a:r>
          </a:p>
        </c:rich>
      </c:tx>
      <c:layout>
        <c:manualLayout>
          <c:xMode val="edge"/>
          <c:yMode val="edge"/>
          <c:x val="0.377136465324385"/>
          <c:y val="3.9716312056737597E-2"/>
        </c:manualLayout>
      </c:layout>
      <c:overlay val="0"/>
    </c:title>
    <c:autoTitleDeleted val="0"/>
    <c:plotArea>
      <c:layout/>
      <c:lineChart>
        <c:grouping val="standard"/>
        <c:varyColors val="0"/>
        <c:ser>
          <c:idx val="0"/>
          <c:order val="0"/>
          <c:tx>
            <c:strRef>
              <c:f>Feuil1!$A$203</c:f>
              <c:strCache>
                <c:ptCount val="1"/>
                <c:pt idx="0">
                  <c:v>CUN</c:v>
                </c:pt>
              </c:strCache>
            </c:strRef>
          </c:tx>
          <c:cat>
            <c:numRef>
              <c:f>Feuil1!$B$202:$E$202</c:f>
              <c:numCache>
                <c:formatCode>General</c:formatCode>
                <c:ptCount val="4"/>
                <c:pt idx="0">
                  <c:v>2015</c:v>
                </c:pt>
                <c:pt idx="1">
                  <c:v>2016</c:v>
                </c:pt>
                <c:pt idx="2">
                  <c:v>2017</c:v>
                </c:pt>
              </c:numCache>
            </c:numRef>
          </c:cat>
          <c:val>
            <c:numRef>
              <c:f>Feuil1!$B$203:$E$203</c:f>
              <c:numCache>
                <c:formatCode>General</c:formatCode>
                <c:ptCount val="4"/>
                <c:pt idx="0">
                  <c:v>70</c:v>
                </c:pt>
                <c:pt idx="1">
                  <c:v>56.02</c:v>
                </c:pt>
                <c:pt idx="2">
                  <c:v>0</c:v>
                </c:pt>
              </c:numCache>
            </c:numRef>
          </c:val>
          <c:smooth val="0"/>
        </c:ser>
        <c:ser>
          <c:idx val="1"/>
          <c:order val="1"/>
          <c:tx>
            <c:strRef>
              <c:f>Feuil1!$A$204</c:f>
              <c:strCache>
                <c:ptCount val="1"/>
                <c:pt idx="0">
                  <c:v>CUE for</c:v>
                </c:pt>
              </c:strCache>
            </c:strRef>
          </c:tx>
          <c:cat>
            <c:numRef>
              <c:f>Feuil1!$B$202:$E$202</c:f>
              <c:numCache>
                <c:formatCode>General</c:formatCode>
                <c:ptCount val="4"/>
                <c:pt idx="0">
                  <c:v>2015</c:v>
                </c:pt>
                <c:pt idx="1">
                  <c:v>2016</c:v>
                </c:pt>
                <c:pt idx="2">
                  <c:v>2017</c:v>
                </c:pt>
              </c:numCache>
            </c:numRef>
          </c:cat>
          <c:val>
            <c:numRef>
              <c:f>Feuil1!$B$204:$E$204</c:f>
              <c:numCache>
                <c:formatCode>General</c:formatCode>
                <c:ptCount val="4"/>
                <c:pt idx="0">
                  <c:v>41.42</c:v>
                </c:pt>
                <c:pt idx="1">
                  <c:v>41.148000000000003</c:v>
                </c:pt>
              </c:numCache>
            </c:numRef>
          </c:val>
          <c:smooth val="0"/>
        </c:ser>
        <c:dLbls>
          <c:showLegendKey val="0"/>
          <c:showVal val="0"/>
          <c:showCatName val="0"/>
          <c:showSerName val="0"/>
          <c:showPercent val="0"/>
          <c:showBubbleSize val="0"/>
        </c:dLbls>
        <c:marker val="1"/>
        <c:smooth val="0"/>
        <c:axId val="564984096"/>
        <c:axId val="564984880"/>
      </c:lineChart>
      <c:catAx>
        <c:axId val="564984096"/>
        <c:scaling>
          <c:orientation val="minMax"/>
        </c:scaling>
        <c:delete val="0"/>
        <c:axPos val="b"/>
        <c:numFmt formatCode="General" sourceLinked="1"/>
        <c:majorTickMark val="none"/>
        <c:minorTickMark val="none"/>
        <c:tickLblPos val="nextTo"/>
        <c:crossAx val="564984880"/>
        <c:crosses val="autoZero"/>
        <c:auto val="1"/>
        <c:lblAlgn val="ctr"/>
        <c:lblOffset val="100"/>
        <c:noMultiLvlLbl val="0"/>
      </c:catAx>
      <c:valAx>
        <c:axId val="564984880"/>
        <c:scaling>
          <c:orientation val="minMax"/>
        </c:scaling>
        <c:delete val="0"/>
        <c:axPos val="l"/>
        <c:majorGridlines/>
        <c:title>
          <c:tx>
            <c:rich>
              <a:bodyPr/>
              <a:lstStyle/>
              <a:p>
                <a:pPr>
                  <a:defRPr/>
                </a:pPr>
                <a:r>
                  <a:rPr lang="en-US"/>
                  <a:t>Methyl bromide (Tonnes)</a:t>
                </a:r>
              </a:p>
            </c:rich>
          </c:tx>
          <c:layout>
            <c:manualLayout>
              <c:xMode val="edge"/>
              <c:yMode val="edge"/>
              <c:x val="6.9444319460067502E-2"/>
              <c:y val="0.10066916869036199"/>
            </c:manualLayout>
          </c:layout>
          <c:overlay val="0"/>
        </c:title>
        <c:numFmt formatCode="General" sourceLinked="1"/>
        <c:majorTickMark val="none"/>
        <c:minorTickMark val="none"/>
        <c:tickLblPos val="nextTo"/>
        <c:crossAx val="564984096"/>
        <c:crosses val="autoZero"/>
        <c:crossBetween val="between"/>
      </c:valAx>
      <c:dTable>
        <c:showHorzBorder val="1"/>
        <c:showVertBorder val="1"/>
        <c:showOutline val="1"/>
        <c:showKeys val="1"/>
        <c:txPr>
          <a:bodyPr/>
          <a:lstStyle/>
          <a:p>
            <a:pPr rtl="0">
              <a:defRPr sz="800"/>
            </a:pPr>
            <a:endParaRPr lang="en-US"/>
          </a:p>
        </c:txPr>
      </c:dTable>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750043744531901"/>
          <c:y val="0.15325240594925599"/>
          <c:w val="0.76194400699912501"/>
          <c:h val="0.64886227763196302"/>
        </c:manualLayout>
      </c:layout>
      <c:lineChart>
        <c:grouping val="standard"/>
        <c:varyColors val="0"/>
        <c:ser>
          <c:idx val="0"/>
          <c:order val="0"/>
          <c:tx>
            <c:strRef>
              <c:f>Feuil1!$A$64</c:f>
              <c:strCache>
                <c:ptCount val="1"/>
                <c:pt idx="0">
                  <c:v>CUN</c:v>
                </c:pt>
              </c:strCache>
            </c:strRef>
          </c:tx>
          <c:cat>
            <c:numRef>
              <c:f>Feuil1!$B$63:$O$63</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cat>
          <c:val>
            <c:numRef>
              <c:f>Feuil1!$B$64:$O$64</c:f>
              <c:numCache>
                <c:formatCode>General</c:formatCode>
                <c:ptCount val="14"/>
                <c:pt idx="0">
                  <c:v>136.30000000000001</c:v>
                </c:pt>
                <c:pt idx="1">
                  <c:v>135.69999999999999</c:v>
                </c:pt>
                <c:pt idx="2">
                  <c:v>40.799999999999997</c:v>
                </c:pt>
                <c:pt idx="3">
                  <c:v>19.7</c:v>
                </c:pt>
                <c:pt idx="4">
                  <c:v>19.7</c:v>
                </c:pt>
                <c:pt idx="5">
                  <c:v>4.5</c:v>
                </c:pt>
                <c:pt idx="6">
                  <c:v>3.7</c:v>
                </c:pt>
                <c:pt idx="7">
                  <c:v>3.7</c:v>
                </c:pt>
                <c:pt idx="8">
                  <c:v>3.7</c:v>
                </c:pt>
                <c:pt idx="9">
                  <c:v>3.7</c:v>
                </c:pt>
                <c:pt idx="10">
                  <c:v>3.24</c:v>
                </c:pt>
                <c:pt idx="11">
                  <c:v>3.24</c:v>
                </c:pt>
                <c:pt idx="12">
                  <c:v>3.24</c:v>
                </c:pt>
                <c:pt idx="13">
                  <c:v>0</c:v>
                </c:pt>
              </c:numCache>
            </c:numRef>
          </c:val>
          <c:smooth val="0"/>
        </c:ser>
        <c:ser>
          <c:idx val="1"/>
          <c:order val="1"/>
          <c:tx>
            <c:strRef>
              <c:f>Feuil1!$A$65</c:f>
              <c:strCache>
                <c:ptCount val="1"/>
                <c:pt idx="0">
                  <c:v>CUE for</c:v>
                </c:pt>
              </c:strCache>
            </c:strRef>
          </c:tx>
          <c:cat>
            <c:numRef>
              <c:f>Feuil1!$B$63:$O$63</c:f>
              <c:numCache>
                <c:formatCode>General</c:formatCod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numCache>
            </c:numRef>
          </c:cat>
          <c:val>
            <c:numRef>
              <c:f>Feuil1!$B$65:$N$65</c:f>
              <c:numCache>
                <c:formatCode>General</c:formatCode>
                <c:ptCount val="13"/>
                <c:pt idx="0">
                  <c:v>67.900000000000006</c:v>
                </c:pt>
                <c:pt idx="1">
                  <c:v>81.7</c:v>
                </c:pt>
                <c:pt idx="2">
                  <c:v>18.899999999999999</c:v>
                </c:pt>
                <c:pt idx="3">
                  <c:v>19.7</c:v>
                </c:pt>
                <c:pt idx="4">
                  <c:v>19</c:v>
                </c:pt>
                <c:pt idx="5">
                  <c:v>4.5</c:v>
                </c:pt>
                <c:pt idx="6">
                  <c:v>3.7</c:v>
                </c:pt>
                <c:pt idx="7">
                  <c:v>3.7</c:v>
                </c:pt>
                <c:pt idx="8">
                  <c:v>3.7</c:v>
                </c:pt>
                <c:pt idx="9">
                  <c:v>2.46</c:v>
                </c:pt>
                <c:pt idx="10">
                  <c:v>3.24</c:v>
                </c:pt>
                <c:pt idx="11">
                  <c:v>3.24</c:v>
                </c:pt>
                <c:pt idx="12">
                  <c:v>0</c:v>
                </c:pt>
              </c:numCache>
            </c:numRef>
          </c:val>
          <c:smooth val="0"/>
        </c:ser>
        <c:dLbls>
          <c:showLegendKey val="0"/>
          <c:showVal val="0"/>
          <c:showCatName val="0"/>
          <c:showSerName val="0"/>
          <c:showPercent val="0"/>
          <c:showBubbleSize val="0"/>
        </c:dLbls>
        <c:marker val="1"/>
        <c:smooth val="0"/>
        <c:axId val="564984488"/>
        <c:axId val="564982136"/>
      </c:lineChart>
      <c:catAx>
        <c:axId val="564984488"/>
        <c:scaling>
          <c:orientation val="minMax"/>
        </c:scaling>
        <c:delete val="0"/>
        <c:axPos val="b"/>
        <c:numFmt formatCode="General" sourceLinked="1"/>
        <c:majorTickMark val="out"/>
        <c:minorTickMark val="none"/>
        <c:tickLblPos val="nextTo"/>
        <c:crossAx val="564982136"/>
        <c:crosses val="autoZero"/>
        <c:auto val="1"/>
        <c:lblAlgn val="ctr"/>
        <c:lblOffset val="100"/>
        <c:noMultiLvlLbl val="0"/>
      </c:catAx>
      <c:valAx>
        <c:axId val="564982136"/>
        <c:scaling>
          <c:orientation val="minMax"/>
        </c:scaling>
        <c:delete val="0"/>
        <c:axPos val="l"/>
        <c:majorGridlines/>
        <c:numFmt formatCode="General" sourceLinked="1"/>
        <c:majorTickMark val="out"/>
        <c:minorTickMark val="none"/>
        <c:tickLblPos val="nextTo"/>
        <c:crossAx val="564984488"/>
        <c:crosses val="autoZero"/>
        <c:crossBetween val="between"/>
      </c:valAx>
      <c:dTable>
        <c:showHorzBorder val="1"/>
        <c:showVertBorder val="1"/>
        <c:showOutline val="1"/>
        <c:showKeys val="1"/>
        <c:txPr>
          <a:bodyPr/>
          <a:lstStyle/>
          <a:p>
            <a:pPr rtl="0">
              <a:defRPr sz="700"/>
            </a:pPr>
            <a:endParaRPr lang="en-US"/>
          </a:p>
        </c:txPr>
      </c:dTable>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0.38611</cdr:x>
      <cdr:y>0.01852</cdr:y>
    </cdr:from>
    <cdr:to>
      <cdr:x>0.87153</cdr:x>
      <cdr:y>0.15394</cdr:y>
    </cdr:to>
    <cdr:sp macro="" textlink="">
      <cdr:nvSpPr>
        <cdr:cNvPr id="2" name="TextBox 1"/>
        <cdr:cNvSpPr txBox="1"/>
      </cdr:nvSpPr>
      <cdr:spPr>
        <a:xfrm xmlns:a="http://schemas.openxmlformats.org/drawingml/2006/main">
          <a:off x="1765300" y="50800"/>
          <a:ext cx="2219325" cy="3714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400" b="1"/>
            <a:t>USA: Dry Cure ham</a:t>
          </a:r>
        </a:p>
      </cdr:txBody>
    </cdr:sp>
  </cdr:relSizeAnchor>
  <cdr:relSizeAnchor xmlns:cdr="http://schemas.openxmlformats.org/drawingml/2006/chartDrawing">
    <cdr:from>
      <cdr:x>0.06736</cdr:x>
      <cdr:y>0.1088</cdr:y>
    </cdr:from>
    <cdr:to>
      <cdr:x>0.12569</cdr:x>
      <cdr:y>0.7581</cdr:y>
    </cdr:to>
    <cdr:sp macro="" textlink="">
      <cdr:nvSpPr>
        <cdr:cNvPr id="3" name="TextBox 1"/>
        <cdr:cNvSpPr txBox="1"/>
      </cdr:nvSpPr>
      <cdr:spPr>
        <a:xfrm xmlns:a="http://schemas.openxmlformats.org/drawingml/2006/main">
          <a:off x="307975" y="298450"/>
          <a:ext cx="266700" cy="1781175"/>
        </a:xfrm>
        <a:prstGeom xmlns:a="http://schemas.openxmlformats.org/drawingml/2006/main" prst="rect">
          <a:avLst/>
        </a:prstGeom>
      </cdr:spPr>
      <cdr:txBody>
        <a:bodyPr xmlns:a="http://schemas.openxmlformats.org/drawingml/2006/main" vert="vert270"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000" b="1"/>
            <a:t>Methyl bromide(Tonnes)</a:t>
          </a:r>
        </a:p>
      </cdr:txBody>
    </cdr:sp>
  </cdr:relSizeAnchor>
</c:userShapes>
</file>

<file path=word/drawings/drawing2.xml><?xml version="1.0" encoding="utf-8"?>
<c:userShapes xmlns:c="http://schemas.openxmlformats.org/drawingml/2006/chart">
  <cdr:relSizeAnchor xmlns:cdr="http://schemas.openxmlformats.org/drawingml/2006/chartDrawing">
    <cdr:from>
      <cdr:x>0.31076</cdr:x>
      <cdr:y>0</cdr:y>
    </cdr:from>
    <cdr:to>
      <cdr:x>0.91958</cdr:x>
      <cdr:y>0.11805</cdr:y>
    </cdr:to>
    <cdr:sp macro="" textlink="">
      <cdr:nvSpPr>
        <cdr:cNvPr id="2" name="TextBox 1"/>
        <cdr:cNvSpPr txBox="1"/>
      </cdr:nvSpPr>
      <cdr:spPr>
        <a:xfrm xmlns:a="http://schemas.openxmlformats.org/drawingml/2006/main">
          <a:off x="846558" y="0"/>
          <a:ext cx="1658517" cy="2484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400" b="1"/>
            <a:t>South Africa: Mills</a:t>
          </a:r>
        </a:p>
      </cdr:txBody>
    </cdr:sp>
  </cdr:relSizeAnchor>
  <cdr:relSizeAnchor xmlns:cdr="http://schemas.openxmlformats.org/drawingml/2006/chartDrawing">
    <cdr:from>
      <cdr:x>0.05944</cdr:x>
      <cdr:y>0.07186</cdr:y>
    </cdr:from>
    <cdr:to>
      <cdr:x>0.1381</cdr:x>
      <cdr:y>0.77872</cdr:y>
    </cdr:to>
    <cdr:sp macro="" textlink="">
      <cdr:nvSpPr>
        <cdr:cNvPr id="3" name="TextBox 1"/>
        <cdr:cNvSpPr txBox="1"/>
      </cdr:nvSpPr>
      <cdr:spPr>
        <a:xfrm xmlns:a="http://schemas.openxmlformats.org/drawingml/2006/main">
          <a:off x="161925" y="160851"/>
          <a:ext cx="214276" cy="1582224"/>
        </a:xfrm>
        <a:prstGeom xmlns:a="http://schemas.openxmlformats.org/drawingml/2006/main" prst="rect">
          <a:avLst/>
        </a:prstGeom>
      </cdr:spPr>
      <cdr:txBody>
        <a:bodyPr xmlns:a="http://schemas.openxmlformats.org/drawingml/2006/main" vert="vert270"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1000" b="1"/>
            <a:t>Methyl bromide (Tonnes)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214F2DDC74D4F89010D158663DABB" ma:contentTypeVersion="" ma:contentTypeDescription="Create a new document." ma:contentTypeScope="" ma:versionID="0ce87f6364861a81b1bbfc5069a50866">
  <xsd:schema xmlns:xsd="http://www.w3.org/2001/XMLSchema" xmlns:xs="http://www.w3.org/2001/XMLSchema" xmlns:p="http://schemas.microsoft.com/office/2006/metadata/properties" xmlns:ns2="B5910004-6EF8-4FD4-A98B-7951F97828E1" targetNamespace="http://schemas.microsoft.com/office/2006/metadata/properties" ma:root="true" ma:fieldsID="2b404db6335006d35fab375ab6eefe3b" ns2:_="">
    <xsd:import namespace="B5910004-6EF8-4FD4-A98B-7951F97828E1"/>
    <xsd:element name="properties">
      <xsd:complexType>
        <xsd:sequence>
          <xsd:element name="documentManagement">
            <xsd:complexType>
              <xsd:all>
                <xsd:element ref="ns2:Document_x0020_Symbo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10004-6EF8-4FD4-A98B-7951F97828E1" elementFormDefault="qualified">
    <xsd:import namespace="http://schemas.microsoft.com/office/2006/documentManagement/types"/>
    <xsd:import namespace="http://schemas.microsoft.com/office/infopath/2007/PartnerControls"/>
    <xsd:element name="Document_x0020_Symbol" ma:index="8" ma:displayName="Document Symbol" ma:internalName="Document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ument_x0020_Symbol xmlns="B5910004-6EF8-4FD4-A98B-7951F97828E1">3</Document_x0020_Symbol>
  </documentManagement>
</p:properties>
</file>

<file path=customXml/itemProps1.xml><?xml version="1.0" encoding="utf-8"?>
<ds:datastoreItem xmlns:ds="http://schemas.openxmlformats.org/officeDocument/2006/customXml" ds:itemID="{1934B3D3-96F6-4864-BE39-07C549C6A0A0}"/>
</file>

<file path=customXml/itemProps2.xml><?xml version="1.0" encoding="utf-8"?>
<ds:datastoreItem xmlns:ds="http://schemas.openxmlformats.org/officeDocument/2006/customXml" ds:itemID="{59C6FA50-D6F8-472C-B025-5B9F5332927D}"/>
</file>

<file path=customXml/itemProps3.xml><?xml version="1.0" encoding="utf-8"?>
<ds:datastoreItem xmlns:ds="http://schemas.openxmlformats.org/officeDocument/2006/customXml" ds:itemID="{6B2BD586-B62B-487D-BE7E-7C72F1EEEE71}"/>
</file>

<file path=customXml/itemProps4.xml><?xml version="1.0" encoding="utf-8"?>
<ds:datastoreItem xmlns:ds="http://schemas.openxmlformats.org/officeDocument/2006/customXml" ds:itemID="{7CF0D1C5-E3EE-4D48-B2FE-32068236FAE7}"/>
</file>

<file path=docProps/app.xml><?xml version="1.0" encoding="utf-8"?>
<Properties xmlns="http://schemas.openxmlformats.org/officeDocument/2006/extended-properties" xmlns:vt="http://schemas.openxmlformats.org/officeDocument/2006/docPropsVTypes">
  <Template>Teap Style.dot</Template>
  <TotalTime>9</TotalTime>
  <Pages>1</Pages>
  <Words>26824</Words>
  <Characters>152902</Characters>
  <Application>Microsoft Office Word</Application>
  <DocSecurity>0</DocSecurity>
  <Lines>1274</Lines>
  <Paragraphs>358</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1 Essential Uses and Sale of MDI-ODS to Other Uses</vt:lpstr>
      <vt:lpstr>1 Essential Uses and Sale of MDI-ODS to Other Uses</vt:lpstr>
      <vt:lpstr>1 Essential Uses and Sale of MDI-ODS to Other Uses</vt:lpstr>
    </vt:vector>
  </TitlesOfParts>
  <Company>Hewlett-Packard</Company>
  <LinksUpToDate>false</LinksUpToDate>
  <CharactersWithSpaces>179368</CharactersWithSpaces>
  <SharedDoc>false</SharedDoc>
  <HLinks>
    <vt:vector size="312" baseType="variant">
      <vt:variant>
        <vt:i4>5505109</vt:i4>
      </vt:variant>
      <vt:variant>
        <vt:i4>243</vt:i4>
      </vt:variant>
      <vt:variant>
        <vt:i4>0</vt:i4>
      </vt:variant>
      <vt:variant>
        <vt:i4>5</vt:i4>
      </vt:variant>
      <vt:variant>
        <vt:lpwstr>http://www.mbao.org/</vt:lpwstr>
      </vt:variant>
      <vt:variant>
        <vt:lpwstr/>
      </vt:variant>
      <vt:variant>
        <vt:i4>5505109</vt:i4>
      </vt:variant>
      <vt:variant>
        <vt:i4>240</vt:i4>
      </vt:variant>
      <vt:variant>
        <vt:i4>0</vt:i4>
      </vt:variant>
      <vt:variant>
        <vt:i4>5</vt:i4>
      </vt:variant>
      <vt:variant>
        <vt:lpwstr>http://www.mbao.org/</vt:lpwstr>
      </vt:variant>
      <vt:variant>
        <vt:lpwstr/>
      </vt:variant>
      <vt:variant>
        <vt:i4>5505053</vt:i4>
      </vt:variant>
      <vt:variant>
        <vt:i4>237</vt:i4>
      </vt:variant>
      <vt:variant>
        <vt:i4>0</vt:i4>
      </vt:variant>
      <vt:variant>
        <vt:i4>5</vt:i4>
      </vt:variant>
      <vt:variant>
        <vt:lpwstr>http://www.cabdirect.org.dbserv1.inra.org.ma/search.html?q=au%3A%22Tryngiel-Gac%2C+A.%22</vt:lpwstr>
      </vt:variant>
      <vt:variant>
        <vt:lpwstr/>
      </vt:variant>
      <vt:variant>
        <vt:i4>6291572</vt:i4>
      </vt:variant>
      <vt:variant>
        <vt:i4>234</vt:i4>
      </vt:variant>
      <vt:variant>
        <vt:i4>0</vt:i4>
      </vt:variant>
      <vt:variant>
        <vt:i4>5</vt:i4>
      </vt:variant>
      <vt:variant>
        <vt:lpwstr>http://www.cabdirect.org.dbserv1.inra.org.ma/search.html?q=au%3A%22Klamkowski%2C+K.%22</vt:lpwstr>
      </vt:variant>
      <vt:variant>
        <vt:lpwstr/>
      </vt:variant>
      <vt:variant>
        <vt:i4>7667812</vt:i4>
      </vt:variant>
      <vt:variant>
        <vt:i4>231</vt:i4>
      </vt:variant>
      <vt:variant>
        <vt:i4>0</vt:i4>
      </vt:variant>
      <vt:variant>
        <vt:i4>5</vt:i4>
      </vt:variant>
      <vt:variant>
        <vt:lpwstr>http://www.cabdirect.org.dbserv1.inra.org.ma/search.html?q=au%3A%22Treder%2C+W.%22</vt:lpwstr>
      </vt:variant>
      <vt:variant>
        <vt:lpwstr/>
      </vt:variant>
      <vt:variant>
        <vt:i4>5308425</vt:i4>
      </vt:variant>
      <vt:variant>
        <vt:i4>228</vt:i4>
      </vt:variant>
      <vt:variant>
        <vt:i4>0</vt:i4>
      </vt:variant>
      <vt:variant>
        <vt:i4>5</vt:i4>
      </vt:variant>
      <vt:variant>
        <vt:lpwstr>http://www.scopus.com/source/sourceInfo.url?sourceId=26209&amp;origin=resultslist</vt:lpwstr>
      </vt:variant>
      <vt:variant>
        <vt:lpwstr/>
      </vt:variant>
      <vt:variant>
        <vt:i4>1835016</vt:i4>
      </vt:variant>
      <vt:variant>
        <vt:i4>225</vt:i4>
      </vt:variant>
      <vt:variant>
        <vt:i4>0</vt:i4>
      </vt:variant>
      <vt:variant>
        <vt:i4>5</vt:i4>
      </vt:variant>
      <vt:variant>
        <vt:lpwstr>http://www.cabdirect.org.dbserv1.inra.org.ma/search.html?q=do%3A%22Fruit+Belge%22</vt:lpwstr>
      </vt:variant>
      <vt:variant>
        <vt:lpwstr/>
      </vt:variant>
      <vt:variant>
        <vt:i4>5701642</vt:i4>
      </vt:variant>
      <vt:variant>
        <vt:i4>222</vt:i4>
      </vt:variant>
      <vt:variant>
        <vt:i4>0</vt:i4>
      </vt:variant>
      <vt:variant>
        <vt:i4>5</vt:i4>
      </vt:variant>
      <vt:variant>
        <vt:lpwstr>http://www.cabdirect.org.dbserv1.inra.org.ma/search.html?q=au%3A%22Robbe%2C+A.%22</vt:lpwstr>
      </vt:variant>
      <vt:variant>
        <vt:lpwstr/>
      </vt:variant>
      <vt:variant>
        <vt:i4>2424957</vt:i4>
      </vt:variant>
      <vt:variant>
        <vt:i4>219</vt:i4>
      </vt:variant>
      <vt:variant>
        <vt:i4>0</vt:i4>
      </vt:variant>
      <vt:variant>
        <vt:i4>5</vt:i4>
      </vt:variant>
      <vt:variant>
        <vt:lpwstr>http://www.sciencedirect.com/science/article/pii/S0045653512012453</vt:lpwstr>
      </vt:variant>
      <vt:variant>
        <vt:lpwstr/>
      </vt:variant>
      <vt:variant>
        <vt:i4>2424957</vt:i4>
      </vt:variant>
      <vt:variant>
        <vt:i4>216</vt:i4>
      </vt:variant>
      <vt:variant>
        <vt:i4>0</vt:i4>
      </vt:variant>
      <vt:variant>
        <vt:i4>5</vt:i4>
      </vt:variant>
      <vt:variant>
        <vt:lpwstr>http://www.sciencedirect.com/science/article/pii/S0045653512012453</vt:lpwstr>
      </vt:variant>
      <vt:variant>
        <vt:lpwstr/>
      </vt:variant>
      <vt:variant>
        <vt:i4>2424957</vt:i4>
      </vt:variant>
      <vt:variant>
        <vt:i4>213</vt:i4>
      </vt:variant>
      <vt:variant>
        <vt:i4>0</vt:i4>
      </vt:variant>
      <vt:variant>
        <vt:i4>5</vt:i4>
      </vt:variant>
      <vt:variant>
        <vt:lpwstr>http://www.sciencedirect.com/science/article/pii/S0045653512012453</vt:lpwstr>
      </vt:variant>
      <vt:variant>
        <vt:lpwstr/>
      </vt:variant>
      <vt:variant>
        <vt:i4>5505109</vt:i4>
      </vt:variant>
      <vt:variant>
        <vt:i4>210</vt:i4>
      </vt:variant>
      <vt:variant>
        <vt:i4>0</vt:i4>
      </vt:variant>
      <vt:variant>
        <vt:i4>5</vt:i4>
      </vt:variant>
      <vt:variant>
        <vt:lpwstr>http://www.mbao.org/</vt:lpwstr>
      </vt:variant>
      <vt:variant>
        <vt:lpwstr/>
      </vt:variant>
      <vt:variant>
        <vt:i4>5505109</vt:i4>
      </vt:variant>
      <vt:variant>
        <vt:i4>207</vt:i4>
      </vt:variant>
      <vt:variant>
        <vt:i4>0</vt:i4>
      </vt:variant>
      <vt:variant>
        <vt:i4>5</vt:i4>
      </vt:variant>
      <vt:variant>
        <vt:lpwstr>http://www.mbao.org/</vt:lpwstr>
      </vt:variant>
      <vt:variant>
        <vt:lpwstr/>
      </vt:variant>
      <vt:variant>
        <vt:i4>5505109</vt:i4>
      </vt:variant>
      <vt:variant>
        <vt:i4>204</vt:i4>
      </vt:variant>
      <vt:variant>
        <vt:i4>0</vt:i4>
      </vt:variant>
      <vt:variant>
        <vt:i4>5</vt:i4>
      </vt:variant>
      <vt:variant>
        <vt:lpwstr>http://www.mbao.org/</vt:lpwstr>
      </vt:variant>
      <vt:variant>
        <vt:lpwstr/>
      </vt:variant>
      <vt:variant>
        <vt:i4>5832733</vt:i4>
      </vt:variant>
      <vt:variant>
        <vt:i4>201</vt:i4>
      </vt:variant>
      <vt:variant>
        <vt:i4>0</vt:i4>
      </vt:variant>
      <vt:variant>
        <vt:i4>5</vt:i4>
      </vt:variant>
      <vt:variant>
        <vt:lpwstr>http://www.cabdirect.org.dbserv1.inra.org.ma/search.html?q=au%3A%22Erpen%2C+L.%22</vt:lpwstr>
      </vt:variant>
      <vt:variant>
        <vt:lpwstr/>
      </vt:variant>
      <vt:variant>
        <vt:i4>7012479</vt:i4>
      </vt:variant>
      <vt:variant>
        <vt:i4>198</vt:i4>
      </vt:variant>
      <vt:variant>
        <vt:i4>0</vt:i4>
      </vt:variant>
      <vt:variant>
        <vt:i4>5</vt:i4>
      </vt:variant>
      <vt:variant>
        <vt:lpwstr>http://mbao.org/2011/Proceedings/26NolingJAREAWIDE.pdf</vt:lpwstr>
      </vt:variant>
      <vt:variant>
        <vt:lpwstr/>
      </vt:variant>
      <vt:variant>
        <vt:i4>1966163</vt:i4>
      </vt:variant>
      <vt:variant>
        <vt:i4>195</vt:i4>
      </vt:variant>
      <vt:variant>
        <vt:i4>0</vt:i4>
      </vt:variant>
      <vt:variant>
        <vt:i4>5</vt:i4>
      </vt:variant>
      <vt:variant>
        <vt:lpwstr>http://www.cabdirect.org.dbserv1.inra.org.ma/abstracts/20093359847.html?resultNumber=3&amp;q=strawberry+production+AND+soil+less+</vt:lpwstr>
      </vt:variant>
      <vt:variant>
        <vt:lpwstr/>
      </vt:variant>
      <vt:variant>
        <vt:i4>786443</vt:i4>
      </vt:variant>
      <vt:variant>
        <vt:i4>192</vt:i4>
      </vt:variant>
      <vt:variant>
        <vt:i4>0</vt:i4>
      </vt:variant>
      <vt:variant>
        <vt:i4>5</vt:i4>
      </vt:variant>
      <vt:variant>
        <vt:lpwstr>http://www.scopus.com/authid/detail.url?origin=resultslist&amp;authorId=35773893900&amp;zone=</vt:lpwstr>
      </vt:variant>
      <vt:variant>
        <vt:lpwstr/>
      </vt:variant>
      <vt:variant>
        <vt:i4>524303</vt:i4>
      </vt:variant>
      <vt:variant>
        <vt:i4>189</vt:i4>
      </vt:variant>
      <vt:variant>
        <vt:i4>0</vt:i4>
      </vt:variant>
      <vt:variant>
        <vt:i4>5</vt:i4>
      </vt:variant>
      <vt:variant>
        <vt:lpwstr>http://www.scopus.com/authid/detail.url?origin=resultslist&amp;authorId=23393641500&amp;zone=</vt:lpwstr>
      </vt:variant>
      <vt:variant>
        <vt:lpwstr/>
      </vt:variant>
      <vt:variant>
        <vt:i4>196610</vt:i4>
      </vt:variant>
      <vt:variant>
        <vt:i4>186</vt:i4>
      </vt:variant>
      <vt:variant>
        <vt:i4>0</vt:i4>
      </vt:variant>
      <vt:variant>
        <vt:i4>5</vt:i4>
      </vt:variant>
      <vt:variant>
        <vt:lpwstr>http://www.scopus.com/authid/detail.url?origin=resultslist&amp;authorId=36128270300&amp;zone=</vt:lpwstr>
      </vt:variant>
      <vt:variant>
        <vt:lpwstr/>
      </vt:variant>
      <vt:variant>
        <vt:i4>4980739</vt:i4>
      </vt:variant>
      <vt:variant>
        <vt:i4>183</vt:i4>
      </vt:variant>
      <vt:variant>
        <vt:i4>0</vt:i4>
      </vt:variant>
      <vt:variant>
        <vt:i4>5</vt:i4>
      </vt:variant>
      <vt:variant>
        <vt:lpwstr>http://www.ijret.org/</vt:lpwstr>
      </vt:variant>
      <vt:variant>
        <vt:lpwstr/>
      </vt:variant>
      <vt:variant>
        <vt:i4>5832778</vt:i4>
      </vt:variant>
      <vt:variant>
        <vt:i4>180</vt:i4>
      </vt:variant>
      <vt:variant>
        <vt:i4>0</vt:i4>
      </vt:variant>
      <vt:variant>
        <vt:i4>5</vt:i4>
      </vt:variant>
      <vt:variant>
        <vt:lpwstr>http://pubs.acs.org/action/doSearch?action=search&amp;author=Becker%2C+J.+Ole&amp;qsSearchArea=author</vt:lpwstr>
      </vt:variant>
      <vt:variant>
        <vt:lpwstr/>
      </vt:variant>
      <vt:variant>
        <vt:i4>983041</vt:i4>
      </vt:variant>
      <vt:variant>
        <vt:i4>177</vt:i4>
      </vt:variant>
      <vt:variant>
        <vt:i4>0</vt:i4>
      </vt:variant>
      <vt:variant>
        <vt:i4>5</vt:i4>
      </vt:variant>
      <vt:variant>
        <vt:lpwstr>http://pubs.acs.org/action/doSearch?action=search&amp;author=Xuan%2C+Richeng&amp;qsSearchArea=author</vt:lpwstr>
      </vt:variant>
      <vt:variant>
        <vt:lpwstr/>
      </vt:variant>
      <vt:variant>
        <vt:i4>8192101</vt:i4>
      </vt:variant>
      <vt:variant>
        <vt:i4>174</vt:i4>
      </vt:variant>
      <vt:variant>
        <vt:i4>0</vt:i4>
      </vt:variant>
      <vt:variant>
        <vt:i4>5</vt:i4>
      </vt:variant>
      <vt:variant>
        <vt:lpwstr>http://pubs.acs.org/action/doSearch?action=search&amp;author=Ashworth%2C+Daniel+J.&amp;qsSearchArea=author</vt:lpwstr>
      </vt:variant>
      <vt:variant>
        <vt:lpwstr/>
      </vt:variant>
      <vt:variant>
        <vt:i4>3538996</vt:i4>
      </vt:variant>
      <vt:variant>
        <vt:i4>171</vt:i4>
      </vt:variant>
      <vt:variant>
        <vt:i4>0</vt:i4>
      </vt:variant>
      <vt:variant>
        <vt:i4>5</vt:i4>
      </vt:variant>
      <vt:variant>
        <vt:lpwstr>http://pubs.acs.org/action/doSearch?action=search&amp;author=Yates%2C+Scott+R.&amp;qsSearchArea=author</vt:lpwstr>
      </vt:variant>
      <vt:variant>
        <vt:lpwstr/>
      </vt:variant>
      <vt:variant>
        <vt:i4>3539003</vt:i4>
      </vt:variant>
      <vt:variant>
        <vt:i4>168</vt:i4>
      </vt:variant>
      <vt:variant>
        <vt:i4>0</vt:i4>
      </vt:variant>
      <vt:variant>
        <vt:i4>5</vt:i4>
      </vt:variant>
      <vt:variant>
        <vt:lpwstr>http://pubs.acs.org/action/doSearch?action=search&amp;author=Luo%2C+Lifang&amp;qsSearchArea=author</vt:lpwstr>
      </vt:variant>
      <vt:variant>
        <vt:lpwstr/>
      </vt:variant>
      <vt:variant>
        <vt:i4>720922</vt:i4>
      </vt:variant>
      <vt:variant>
        <vt:i4>165</vt:i4>
      </vt:variant>
      <vt:variant>
        <vt:i4>0</vt:i4>
      </vt:variant>
      <vt:variant>
        <vt:i4>5</vt:i4>
      </vt:variant>
      <vt:variant>
        <vt:lpwstr>http://www.mendeley.com/profiles/miguel-talavera/</vt:lpwstr>
      </vt:variant>
      <vt:variant>
        <vt:lpwstr/>
      </vt:variant>
      <vt:variant>
        <vt:i4>458752</vt:i4>
      </vt:variant>
      <vt:variant>
        <vt:i4>162</vt:i4>
      </vt:variant>
      <vt:variant>
        <vt:i4>0</vt:i4>
      </vt:variant>
      <vt:variant>
        <vt:i4>5</vt:i4>
      </vt:variant>
      <vt:variant>
        <vt:lpwstr>http://www.cabdirect.org.dbserv1.inra.org.ma/search.html?q=au%3A%22Toso%2C+V.%22</vt:lpwstr>
      </vt:variant>
      <vt:variant>
        <vt:lpwstr/>
      </vt:variant>
      <vt:variant>
        <vt:i4>4718612</vt:i4>
      </vt:variant>
      <vt:variant>
        <vt:i4>159</vt:i4>
      </vt:variant>
      <vt:variant>
        <vt:i4>0</vt:i4>
      </vt:variant>
      <vt:variant>
        <vt:i4>5</vt:i4>
      </vt:variant>
      <vt:variant>
        <vt:lpwstr>http://www.cabdirect.org.dbserv1.inra.org.ma/search.html?q=au%3A%22Godoi%2C+R.%22</vt:lpwstr>
      </vt:variant>
      <vt:variant>
        <vt:lpwstr/>
      </vt:variant>
      <vt:variant>
        <vt:i4>3997801</vt:i4>
      </vt:variant>
      <vt:variant>
        <vt:i4>156</vt:i4>
      </vt:variant>
      <vt:variant>
        <vt:i4>0</vt:i4>
      </vt:variant>
      <vt:variant>
        <vt:i4>5</vt:i4>
      </vt:variant>
      <vt:variant>
        <vt:lpwstr>http://www.cabdirect.org.dbserv1.inra.org.ma/search.html?q=au%3A%22Janisch%2C+D.%22</vt:lpwstr>
      </vt:variant>
      <vt:variant>
        <vt:lpwstr/>
      </vt:variant>
      <vt:variant>
        <vt:i4>3932263</vt:i4>
      </vt:variant>
      <vt:variant>
        <vt:i4>153</vt:i4>
      </vt:variant>
      <vt:variant>
        <vt:i4>0</vt:i4>
      </vt:variant>
      <vt:variant>
        <vt:i4>5</vt:i4>
      </vt:variant>
      <vt:variant>
        <vt:lpwstr>http://www.cabdirect.org.dbserv1.inra.org.ma/search.html?q=au%3A%22Andriolo%2C+J.+L.%22</vt:lpwstr>
      </vt:variant>
      <vt:variant>
        <vt:lpwstr/>
      </vt:variant>
      <vt:variant>
        <vt:i4>65546</vt:i4>
      </vt:variant>
      <vt:variant>
        <vt:i4>150</vt:i4>
      </vt:variant>
      <vt:variant>
        <vt:i4>0</vt:i4>
      </vt:variant>
      <vt:variant>
        <vt:i4>5</vt:i4>
      </vt:variant>
      <vt:variant>
        <vt:lpwstr>http://www.cabdirect.org.dbserv1.inra.org.ma/search.html?q=au%3A%22Gim%C3%A9nez%2C+G.%22</vt:lpwstr>
      </vt:variant>
      <vt:variant>
        <vt:lpwstr/>
      </vt:variant>
      <vt:variant>
        <vt:i4>2818097</vt:i4>
      </vt:variant>
      <vt:variant>
        <vt:i4>147</vt:i4>
      </vt:variant>
      <vt:variant>
        <vt:i4>0</vt:i4>
      </vt:variant>
      <vt:variant>
        <vt:i4>5</vt:i4>
      </vt:variant>
      <vt:variant>
        <vt:lpwstr>http://www.epa.gov/pesticides/tarpcredits/</vt:lpwstr>
      </vt:variant>
      <vt:variant>
        <vt:lpwstr/>
      </vt:variant>
      <vt:variant>
        <vt:i4>3276813</vt:i4>
      </vt:variant>
      <vt:variant>
        <vt:i4>144</vt:i4>
      </vt:variant>
      <vt:variant>
        <vt:i4>0</vt:i4>
      </vt:variant>
      <vt:variant>
        <vt:i4>5</vt:i4>
      </vt:variant>
      <vt:variant>
        <vt:lpwstr>http://www.jns-journal.com/issues?issue_key=S0022-510X(13)X0013-9</vt:lpwstr>
      </vt:variant>
      <vt:variant>
        <vt:lpwstr/>
      </vt:variant>
      <vt:variant>
        <vt:i4>65541</vt:i4>
      </vt:variant>
      <vt:variant>
        <vt:i4>141</vt:i4>
      </vt:variant>
      <vt:variant>
        <vt:i4>0</vt:i4>
      </vt:variant>
      <vt:variant>
        <vt:i4>5</vt:i4>
      </vt:variant>
      <vt:variant>
        <vt:lpwstr>http://www.scopus.com/authid/detail.url?origin=resultslist&amp;authorId=7005223076&amp;zone=</vt:lpwstr>
      </vt:variant>
      <vt:variant>
        <vt:lpwstr/>
      </vt:variant>
      <vt:variant>
        <vt:i4>65544</vt:i4>
      </vt:variant>
      <vt:variant>
        <vt:i4>138</vt:i4>
      </vt:variant>
      <vt:variant>
        <vt:i4>0</vt:i4>
      </vt:variant>
      <vt:variant>
        <vt:i4>5</vt:i4>
      </vt:variant>
      <vt:variant>
        <vt:lpwstr>http://www.scopus.com/authid/detail.url?origin=resultslist&amp;authorId=35516020600&amp;zone=</vt:lpwstr>
      </vt:variant>
      <vt:variant>
        <vt:lpwstr/>
      </vt:variant>
      <vt:variant>
        <vt:i4>9</vt:i4>
      </vt:variant>
      <vt:variant>
        <vt:i4>135</vt:i4>
      </vt:variant>
      <vt:variant>
        <vt:i4>0</vt:i4>
      </vt:variant>
      <vt:variant>
        <vt:i4>5</vt:i4>
      </vt:variant>
      <vt:variant>
        <vt:lpwstr>http://www.scopus.com/authid/detail.url?origin=resultslist&amp;authorId=6701588668&amp;zone=</vt:lpwstr>
      </vt:variant>
      <vt:variant>
        <vt:lpwstr/>
      </vt:variant>
      <vt:variant>
        <vt:i4>10</vt:i4>
      </vt:variant>
      <vt:variant>
        <vt:i4>132</vt:i4>
      </vt:variant>
      <vt:variant>
        <vt:i4>0</vt:i4>
      </vt:variant>
      <vt:variant>
        <vt:i4>5</vt:i4>
      </vt:variant>
      <vt:variant>
        <vt:lpwstr>http://www.scopus.com/authid/detail.url?origin=resultslist&amp;authorId=8711403600&amp;zone=</vt:lpwstr>
      </vt:variant>
      <vt:variant>
        <vt:lpwstr/>
      </vt:variant>
      <vt:variant>
        <vt:i4>458754</vt:i4>
      </vt:variant>
      <vt:variant>
        <vt:i4>129</vt:i4>
      </vt:variant>
      <vt:variant>
        <vt:i4>0</vt:i4>
      </vt:variant>
      <vt:variant>
        <vt:i4>5</vt:i4>
      </vt:variant>
      <vt:variant>
        <vt:lpwstr>http://www.scopus.com/authid/detail.url?origin=resultslist&amp;authorId=6603743046&amp;zone=</vt:lpwstr>
      </vt:variant>
      <vt:variant>
        <vt:lpwstr/>
      </vt:variant>
      <vt:variant>
        <vt:i4>5832796</vt:i4>
      </vt:variant>
      <vt:variant>
        <vt:i4>126</vt:i4>
      </vt:variant>
      <vt:variant>
        <vt:i4>0</vt:i4>
      </vt:variant>
      <vt:variant>
        <vt:i4>5</vt:i4>
      </vt:variant>
      <vt:variant>
        <vt:lpwstr>http://www.cdpr.ca.gov/docs/county/cacltrs/penfltrs/penf2012/2012atch/attach2102.pdf</vt:lpwstr>
      </vt:variant>
      <vt:variant>
        <vt:lpwstr/>
      </vt:variant>
      <vt:variant>
        <vt:i4>7995433</vt:i4>
      </vt:variant>
      <vt:variant>
        <vt:i4>123</vt:i4>
      </vt:variant>
      <vt:variant>
        <vt:i4>0</vt:i4>
      </vt:variant>
      <vt:variant>
        <vt:i4>5</vt:i4>
      </vt:variant>
      <vt:variant>
        <vt:lpwstr>http://www.cdpr.ca.gov/docs/license/pubs/fieldfum_studyguide_addendum.pdf</vt:lpwstr>
      </vt:variant>
      <vt:variant>
        <vt:lpwstr/>
      </vt:variant>
      <vt:variant>
        <vt:i4>6684772</vt:i4>
      </vt:variant>
      <vt:variant>
        <vt:i4>120</vt:i4>
      </vt:variant>
      <vt:variant>
        <vt:i4>0</vt:i4>
      </vt:variant>
      <vt:variant>
        <vt:i4>5</vt:i4>
      </vt:variant>
      <vt:variant>
        <vt:lpwstr>http://www.cdpr.ca.gov/</vt:lpwstr>
      </vt:variant>
      <vt:variant>
        <vt:lpwstr/>
      </vt:variant>
      <vt:variant>
        <vt:i4>6684772</vt:i4>
      </vt:variant>
      <vt:variant>
        <vt:i4>117</vt:i4>
      </vt:variant>
      <vt:variant>
        <vt:i4>0</vt:i4>
      </vt:variant>
      <vt:variant>
        <vt:i4>5</vt:i4>
      </vt:variant>
      <vt:variant>
        <vt:lpwstr>http://www.cdpr.ca.gov/</vt:lpwstr>
      </vt:variant>
      <vt:variant>
        <vt:lpwstr/>
      </vt:variant>
      <vt:variant>
        <vt:i4>2162749</vt:i4>
      </vt:variant>
      <vt:variant>
        <vt:i4>114</vt:i4>
      </vt:variant>
      <vt:variant>
        <vt:i4>0</vt:i4>
      </vt:variant>
      <vt:variant>
        <vt:i4>5</vt:i4>
      </vt:variant>
      <vt:variant>
        <vt:lpwstr>http://het.sagepub.com/content/33/1/81</vt:lpwstr>
      </vt:variant>
      <vt:variant>
        <vt:lpwstr/>
      </vt:variant>
      <vt:variant>
        <vt:i4>5505109</vt:i4>
      </vt:variant>
      <vt:variant>
        <vt:i4>111</vt:i4>
      </vt:variant>
      <vt:variant>
        <vt:i4>0</vt:i4>
      </vt:variant>
      <vt:variant>
        <vt:i4>5</vt:i4>
      </vt:variant>
      <vt:variant>
        <vt:lpwstr>http://www.mbao.org/</vt:lpwstr>
      </vt:variant>
      <vt:variant>
        <vt:lpwstr/>
      </vt:variant>
      <vt:variant>
        <vt:i4>5505109</vt:i4>
      </vt:variant>
      <vt:variant>
        <vt:i4>108</vt:i4>
      </vt:variant>
      <vt:variant>
        <vt:i4>0</vt:i4>
      </vt:variant>
      <vt:variant>
        <vt:i4>5</vt:i4>
      </vt:variant>
      <vt:variant>
        <vt:lpwstr>http://www.mbao.org/</vt:lpwstr>
      </vt:variant>
      <vt:variant>
        <vt:lpwstr/>
      </vt:variant>
      <vt:variant>
        <vt:i4>2555920</vt:i4>
      </vt:variant>
      <vt:variant>
        <vt:i4>105</vt:i4>
      </vt:variant>
      <vt:variant>
        <vt:i4>0</vt:i4>
      </vt:variant>
      <vt:variant>
        <vt:i4>5</vt:i4>
      </vt:variant>
      <vt:variant>
        <vt:lpwstr>http://ozone.unep.org/new_site/en/disclosure_of_interest.php?body_id=6&amp;committee_id=6</vt:lpwstr>
      </vt:variant>
      <vt:variant>
        <vt:lpwstr/>
      </vt:variant>
      <vt:variant>
        <vt:i4>6094941</vt:i4>
      </vt:variant>
      <vt:variant>
        <vt:i4>102</vt:i4>
      </vt:variant>
      <vt:variant>
        <vt:i4>0</vt:i4>
      </vt:variant>
      <vt:variant>
        <vt:i4>5</vt:i4>
      </vt:variant>
      <vt:variant>
        <vt:lpwstr>http://ozone.unep.org/Exemption_Information/Decisions/Decision_XVII-9(5).shtml</vt:lpwstr>
      </vt:variant>
      <vt:variant>
        <vt:lpwstr/>
      </vt:variant>
      <vt:variant>
        <vt:i4>3604536</vt:i4>
      </vt:variant>
      <vt:variant>
        <vt:i4>99</vt:i4>
      </vt:variant>
      <vt:variant>
        <vt:i4>0</vt:i4>
      </vt:variant>
      <vt:variant>
        <vt:i4>5</vt:i4>
      </vt:variant>
      <vt:variant>
        <vt:lpwstr>http://ozone.unep.org/Exemption_Information/Decisions/Decision_XVI-2(4).shtml</vt:lpwstr>
      </vt:variant>
      <vt:variant>
        <vt:lpwstr/>
      </vt:variant>
      <vt:variant>
        <vt:i4>458841</vt:i4>
      </vt:variant>
      <vt:variant>
        <vt:i4>96</vt:i4>
      </vt:variant>
      <vt:variant>
        <vt:i4>0</vt:i4>
      </vt:variant>
      <vt:variant>
        <vt:i4>5</vt:i4>
      </vt:variant>
      <vt:variant>
        <vt:lpwstr>http://ozone.unep.org/Exemption_Information/Decisions/Decision_Ex.I-3(5).shtml</vt:lpwstr>
      </vt:variant>
      <vt:variant>
        <vt:lpwstr/>
      </vt:variant>
      <vt:variant>
        <vt:i4>6094941</vt:i4>
      </vt:variant>
      <vt:variant>
        <vt:i4>93</vt:i4>
      </vt:variant>
      <vt:variant>
        <vt:i4>0</vt:i4>
      </vt:variant>
      <vt:variant>
        <vt:i4>5</vt:i4>
      </vt:variant>
      <vt:variant>
        <vt:lpwstr>http://ozone.unep.org/Exemption_Information/Decisions/Decision_XVII-9(5).shtml</vt:lpwstr>
      </vt:variant>
      <vt:variant>
        <vt:lpwstr/>
      </vt:variant>
      <vt:variant>
        <vt:i4>3604536</vt:i4>
      </vt:variant>
      <vt:variant>
        <vt:i4>90</vt:i4>
      </vt:variant>
      <vt:variant>
        <vt:i4>0</vt:i4>
      </vt:variant>
      <vt:variant>
        <vt:i4>5</vt:i4>
      </vt:variant>
      <vt:variant>
        <vt:lpwstr>http://ozone.unep.org/Exemption_Information/Decisions/Decision_XVI-2(4).shtml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TEAP September 2016: Evaluation of 2016 Critical Use Nominations for Methyl Bromide and Related Matters - Final Report (Volume 3)</dc:title>
  <dc:creator>Walter Brunner</dc:creator>
  <cp:lastModifiedBy>user</cp:lastModifiedBy>
  <cp:revision>5</cp:revision>
  <cp:lastPrinted>2016-09-09T17:07:00Z</cp:lastPrinted>
  <dcterms:created xsi:type="dcterms:W3CDTF">2016-09-09T17:05:00Z</dcterms:created>
  <dcterms:modified xsi:type="dcterms:W3CDTF">2016-09-09T17:13:00Z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0x010100445214F2DDC74D4F89010D158663DABB</vt:lpwstr>
  </property>
</Properties>
</file>