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0.xml" ContentType="application/vnd.openxmlformats-officedocument.wordprocessingml.foot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2B5C6" w14:textId="314C2077" w:rsidR="003F021F" w:rsidRPr="00CD1278" w:rsidRDefault="003F021F" w:rsidP="003F021F">
      <w:pPr>
        <w:spacing w:line="240" w:lineRule="atLeast"/>
        <w:jc w:val="center"/>
        <w:rPr>
          <w:color w:val="auto"/>
        </w:rPr>
      </w:pPr>
      <w:r w:rsidRPr="00CD1278">
        <w:rPr>
          <w:b/>
          <w:color w:val="auto"/>
          <w:sz w:val="32"/>
        </w:rPr>
        <w:t>MONTREAL PROTOCOL</w:t>
      </w:r>
      <w:r w:rsidRPr="00CD1278">
        <w:rPr>
          <w:b/>
          <w:color w:val="auto"/>
          <w:sz w:val="32"/>
        </w:rPr>
        <w:br/>
      </w:r>
      <w:r w:rsidRPr="00CD1278">
        <w:rPr>
          <w:b/>
          <w:color w:val="auto"/>
          <w:sz w:val="32"/>
        </w:rPr>
        <w:br/>
        <w:t>ON SUBSTANCES THAT DEPLETE</w:t>
      </w:r>
      <w:r w:rsidRPr="00CD1278">
        <w:rPr>
          <w:b/>
          <w:color w:val="auto"/>
          <w:sz w:val="32"/>
        </w:rPr>
        <w:br/>
      </w:r>
      <w:r w:rsidRPr="00CD1278">
        <w:rPr>
          <w:b/>
          <w:color w:val="auto"/>
          <w:sz w:val="32"/>
        </w:rPr>
        <w:br/>
        <w:t>THE OZONE LAYER</w:t>
      </w:r>
      <w:r w:rsidRPr="00CD1278">
        <w:rPr>
          <w:b/>
          <w:color w:val="auto"/>
          <w:sz w:val="32"/>
        </w:rPr>
        <w:br/>
      </w:r>
      <w:r w:rsidRPr="00CD1278">
        <w:rPr>
          <w:b/>
          <w:color w:val="auto"/>
          <w:sz w:val="32"/>
        </w:rPr>
        <w:br/>
      </w:r>
    </w:p>
    <w:p w14:paraId="50F44D8D" w14:textId="77777777" w:rsidR="003F021F" w:rsidRPr="00CD1278" w:rsidRDefault="003F021F" w:rsidP="003F021F">
      <w:pPr>
        <w:spacing w:line="240" w:lineRule="atLeast"/>
        <w:jc w:val="center"/>
        <w:rPr>
          <w:color w:val="auto"/>
        </w:rPr>
      </w:pPr>
    </w:p>
    <w:p w14:paraId="474FE97F" w14:textId="77777777" w:rsidR="003F021F" w:rsidRPr="00CD1278" w:rsidRDefault="00445A8F" w:rsidP="003F021F">
      <w:pPr>
        <w:spacing w:line="240" w:lineRule="atLeast"/>
        <w:jc w:val="center"/>
        <w:rPr>
          <w:color w:val="auto"/>
        </w:rPr>
      </w:pPr>
      <w:r w:rsidRPr="00CD1278">
        <w:rPr>
          <w:noProof/>
          <w:color w:val="auto"/>
          <w:lang w:val="en-US" w:eastAsia="en-US"/>
        </w:rPr>
        <w:drawing>
          <wp:inline distT="0" distB="0" distL="0" distR="0" wp14:anchorId="2D9DCC98" wp14:editId="19BEA5C2">
            <wp:extent cx="2876550" cy="247650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2476500"/>
                    </a:xfrm>
                    <a:prstGeom prst="rect">
                      <a:avLst/>
                    </a:prstGeom>
                    <a:noFill/>
                    <a:ln>
                      <a:noFill/>
                    </a:ln>
                  </pic:spPr>
                </pic:pic>
              </a:graphicData>
            </a:graphic>
          </wp:inline>
        </w:drawing>
      </w:r>
    </w:p>
    <w:p w14:paraId="5FBD8DB8" w14:textId="77777777" w:rsidR="003F021F" w:rsidRPr="00CD1278" w:rsidRDefault="003F021F" w:rsidP="003F021F">
      <w:pPr>
        <w:spacing w:line="240" w:lineRule="atLeast"/>
        <w:jc w:val="center"/>
        <w:outlineLvl w:val="0"/>
        <w:rPr>
          <w:color w:val="auto"/>
          <w:sz w:val="96"/>
        </w:rPr>
      </w:pPr>
      <w:bookmarkStart w:id="0" w:name="_Toc102559467"/>
      <w:r w:rsidRPr="00CD1278">
        <w:rPr>
          <w:color w:val="auto"/>
          <w:sz w:val="120"/>
        </w:rPr>
        <w:t>UNEP</w:t>
      </w:r>
      <w:bookmarkEnd w:id="0"/>
    </w:p>
    <w:p w14:paraId="05F2AADB" w14:textId="77777777" w:rsidR="00DA55AC" w:rsidRPr="00CD1278" w:rsidRDefault="003F021F" w:rsidP="003F021F">
      <w:pPr>
        <w:spacing w:line="240" w:lineRule="atLeast"/>
        <w:jc w:val="center"/>
        <w:rPr>
          <w:b/>
          <w:smallCaps/>
          <w:color w:val="auto"/>
          <w:sz w:val="32"/>
        </w:rPr>
      </w:pPr>
      <w:r w:rsidRPr="00CD1278">
        <w:rPr>
          <w:b/>
          <w:color w:val="auto"/>
          <w:sz w:val="30"/>
        </w:rPr>
        <w:br/>
      </w:r>
      <w:r w:rsidRPr="00CD1278">
        <w:rPr>
          <w:b/>
          <w:smallCaps/>
          <w:color w:val="auto"/>
          <w:sz w:val="32"/>
        </w:rPr>
        <w:t>Report of the</w:t>
      </w:r>
      <w:r w:rsidRPr="00CD1278">
        <w:rPr>
          <w:b/>
          <w:smallCaps/>
          <w:color w:val="auto"/>
          <w:sz w:val="32"/>
        </w:rPr>
        <w:br/>
        <w:t>Technology and Economic Assessment Panel</w:t>
      </w:r>
    </w:p>
    <w:p w14:paraId="49915353" w14:textId="31FA9CB5" w:rsidR="003F021F" w:rsidRPr="00CD1278" w:rsidRDefault="00DA55AC" w:rsidP="00562BA8">
      <w:pPr>
        <w:spacing w:line="240" w:lineRule="atLeast"/>
        <w:jc w:val="center"/>
        <w:rPr>
          <w:b/>
          <w:smallCaps/>
          <w:color w:val="auto"/>
          <w:sz w:val="32"/>
        </w:rPr>
      </w:pPr>
      <w:r w:rsidRPr="00CD1278">
        <w:rPr>
          <w:b/>
          <w:smallCaps/>
          <w:color w:val="auto"/>
          <w:sz w:val="32"/>
        </w:rPr>
        <w:t xml:space="preserve">Volume </w:t>
      </w:r>
      <w:r w:rsidR="00562BA8" w:rsidRPr="00CD1278">
        <w:rPr>
          <w:b/>
          <w:smallCaps/>
          <w:color w:val="auto"/>
          <w:sz w:val="32"/>
        </w:rPr>
        <w:t>4</w:t>
      </w:r>
      <w:r w:rsidR="003F021F" w:rsidRPr="00CD1278">
        <w:rPr>
          <w:b/>
          <w:smallCaps/>
          <w:color w:val="auto"/>
          <w:sz w:val="32"/>
        </w:rPr>
        <w:br/>
      </w:r>
    </w:p>
    <w:p w14:paraId="673660BB" w14:textId="30736950" w:rsidR="003F021F" w:rsidRPr="00CD1278" w:rsidRDefault="004E2AD8" w:rsidP="003F021F">
      <w:pPr>
        <w:spacing w:line="240" w:lineRule="atLeast"/>
        <w:jc w:val="center"/>
        <w:rPr>
          <w:b/>
          <w:smallCaps/>
          <w:color w:val="auto"/>
          <w:sz w:val="32"/>
        </w:rPr>
      </w:pPr>
      <w:r w:rsidRPr="00CD1278">
        <w:rPr>
          <w:b/>
          <w:smallCaps/>
          <w:color w:val="auto"/>
          <w:sz w:val="36"/>
        </w:rPr>
        <w:t>May</w:t>
      </w:r>
      <w:r w:rsidR="003F021F" w:rsidRPr="00CD1278">
        <w:rPr>
          <w:b/>
          <w:smallCaps/>
          <w:color w:val="auto"/>
          <w:sz w:val="32"/>
        </w:rPr>
        <w:t xml:space="preserve"> </w:t>
      </w:r>
      <w:r w:rsidR="00B63939" w:rsidRPr="00CD1278">
        <w:rPr>
          <w:b/>
          <w:smallCaps/>
          <w:color w:val="auto"/>
          <w:sz w:val="32"/>
        </w:rPr>
        <w:t>2018</w:t>
      </w:r>
    </w:p>
    <w:p w14:paraId="2C29CE03" w14:textId="77777777" w:rsidR="003F021F" w:rsidRPr="00CD1278" w:rsidRDefault="003F021F" w:rsidP="003F021F">
      <w:pPr>
        <w:spacing w:line="240" w:lineRule="atLeast"/>
        <w:jc w:val="center"/>
        <w:rPr>
          <w:b/>
          <w:smallCaps/>
          <w:color w:val="auto"/>
          <w:sz w:val="30"/>
        </w:rPr>
      </w:pPr>
    </w:p>
    <w:p w14:paraId="5AD10807" w14:textId="4C20B1AF" w:rsidR="003F021F" w:rsidRPr="00CD1278" w:rsidRDefault="003F021F" w:rsidP="003F021F">
      <w:pPr>
        <w:jc w:val="center"/>
        <w:rPr>
          <w:b/>
          <w:smallCaps/>
          <w:color w:val="auto"/>
          <w:sz w:val="28"/>
        </w:rPr>
      </w:pPr>
      <w:r w:rsidRPr="00CD1278">
        <w:rPr>
          <w:b/>
          <w:smallCaps/>
          <w:color w:val="auto"/>
          <w:sz w:val="28"/>
        </w:rPr>
        <w:t xml:space="preserve">Evaluation of </w:t>
      </w:r>
      <w:r w:rsidR="00B63939" w:rsidRPr="00CD1278">
        <w:rPr>
          <w:b/>
          <w:smallCaps/>
          <w:color w:val="auto"/>
          <w:sz w:val="28"/>
        </w:rPr>
        <w:t xml:space="preserve">2018 </w:t>
      </w:r>
      <w:r w:rsidRPr="00CD1278">
        <w:rPr>
          <w:b/>
          <w:smallCaps/>
          <w:color w:val="auto"/>
          <w:sz w:val="28"/>
        </w:rPr>
        <w:t xml:space="preserve">Critical Use Nominations for Methyl Bromide </w:t>
      </w:r>
      <w:r w:rsidR="0082383F" w:rsidRPr="00CD1278">
        <w:rPr>
          <w:b/>
          <w:smallCaps/>
          <w:color w:val="auto"/>
          <w:sz w:val="28"/>
        </w:rPr>
        <w:t xml:space="preserve">and </w:t>
      </w:r>
      <w:r w:rsidR="00E21A18" w:rsidRPr="00CD1278">
        <w:rPr>
          <w:b/>
          <w:smallCaps/>
          <w:color w:val="auto"/>
          <w:sz w:val="28"/>
        </w:rPr>
        <w:t>Related</w:t>
      </w:r>
      <w:r w:rsidR="006D387F" w:rsidRPr="00CD1278">
        <w:rPr>
          <w:b/>
          <w:smallCaps/>
          <w:color w:val="auto"/>
          <w:sz w:val="28"/>
        </w:rPr>
        <w:t xml:space="preserve"> Matters</w:t>
      </w:r>
    </w:p>
    <w:p w14:paraId="202DE490" w14:textId="77777777" w:rsidR="003F021F" w:rsidRPr="00CD1278" w:rsidRDefault="003F021F" w:rsidP="003F021F">
      <w:pPr>
        <w:jc w:val="center"/>
        <w:rPr>
          <w:b/>
          <w:smallCaps/>
          <w:color w:val="auto"/>
          <w:sz w:val="28"/>
        </w:rPr>
        <w:sectPr w:rsidR="003F021F" w:rsidRPr="00CD1278" w:rsidSect="00114183">
          <w:headerReference w:type="even" r:id="rId12"/>
          <w:headerReference w:type="default" r:id="rId13"/>
          <w:footerReference w:type="even" r:id="rId14"/>
          <w:footerReference w:type="default" r:id="rId15"/>
          <w:headerReference w:type="first" r:id="rId16"/>
          <w:footerReference w:type="first" r:id="rId17"/>
          <w:pgSz w:w="11909" w:h="16834" w:code="9"/>
          <w:pgMar w:top="1440" w:right="1797" w:bottom="1134" w:left="1797" w:header="720" w:footer="794" w:gutter="0"/>
          <w:pgNumType w:fmt="lowerRoman"/>
          <w:cols w:space="720"/>
          <w:titlePg/>
          <w:docGrid w:linePitch="299"/>
        </w:sectPr>
      </w:pPr>
      <w:r w:rsidRPr="00CD1278">
        <w:rPr>
          <w:b/>
          <w:smallCaps/>
          <w:color w:val="auto"/>
          <w:sz w:val="28"/>
        </w:rPr>
        <w:t>Interim Report</w:t>
      </w:r>
    </w:p>
    <w:p w14:paraId="1BA630FF" w14:textId="299A5B13" w:rsidR="003F021F" w:rsidRPr="00CD1278" w:rsidRDefault="003F021F" w:rsidP="003F021F">
      <w:pPr>
        <w:jc w:val="right"/>
        <w:rPr>
          <w:b/>
          <w:smallCaps/>
          <w:color w:val="auto"/>
          <w:sz w:val="20"/>
        </w:rPr>
      </w:pPr>
      <w:r w:rsidRPr="00CD1278">
        <w:rPr>
          <w:b/>
          <w:smallCaps/>
          <w:color w:val="auto"/>
          <w:sz w:val="28"/>
        </w:rPr>
        <w:lastRenderedPageBreak/>
        <w:br/>
        <w:t>UNEP</w:t>
      </w:r>
      <w:r w:rsidRPr="00CD1278">
        <w:rPr>
          <w:b/>
          <w:smallCaps/>
          <w:color w:val="auto"/>
          <w:sz w:val="28"/>
        </w:rPr>
        <w:br/>
      </w:r>
      <w:r w:rsidR="007A735D" w:rsidRPr="00CD1278">
        <w:rPr>
          <w:b/>
          <w:smallCaps/>
          <w:color w:val="auto"/>
          <w:sz w:val="32"/>
        </w:rPr>
        <w:t>may</w:t>
      </w:r>
      <w:r w:rsidRPr="00CD1278">
        <w:rPr>
          <w:b/>
          <w:smallCaps/>
          <w:color w:val="auto"/>
          <w:sz w:val="28"/>
        </w:rPr>
        <w:t xml:space="preserve"> </w:t>
      </w:r>
      <w:r w:rsidR="00B63939" w:rsidRPr="00CD1278">
        <w:rPr>
          <w:b/>
          <w:smallCaps/>
          <w:color w:val="auto"/>
          <w:sz w:val="28"/>
        </w:rPr>
        <w:t xml:space="preserve">2018 </w:t>
      </w:r>
      <w:r w:rsidRPr="00CD1278">
        <w:rPr>
          <w:b/>
          <w:smallCaps/>
          <w:color w:val="auto"/>
          <w:sz w:val="28"/>
        </w:rPr>
        <w:t>Report of the</w:t>
      </w:r>
      <w:r w:rsidRPr="00CD1278">
        <w:rPr>
          <w:b/>
          <w:smallCaps/>
          <w:color w:val="auto"/>
          <w:sz w:val="28"/>
        </w:rPr>
        <w:br/>
        <w:t>Technology and Economic</w:t>
      </w:r>
      <w:r w:rsidRPr="00CD1278">
        <w:rPr>
          <w:b/>
          <w:smallCaps/>
          <w:color w:val="auto"/>
          <w:sz w:val="28"/>
        </w:rPr>
        <w:br/>
        <w:t>Assessment Panel</w:t>
      </w:r>
      <w:r w:rsidRPr="00CD1278">
        <w:rPr>
          <w:b/>
          <w:smallCaps/>
          <w:color w:val="auto"/>
          <w:sz w:val="28"/>
        </w:rPr>
        <w:br/>
      </w:r>
      <w:r w:rsidRPr="00CD1278">
        <w:rPr>
          <w:b/>
          <w:smallCaps/>
          <w:color w:val="auto"/>
          <w:sz w:val="28"/>
        </w:rPr>
        <w:br/>
      </w:r>
    </w:p>
    <w:p w14:paraId="51B26174" w14:textId="1AD0D2E3" w:rsidR="003F021F" w:rsidRPr="00CD1278" w:rsidRDefault="003F021F" w:rsidP="003F021F">
      <w:pPr>
        <w:jc w:val="right"/>
        <w:rPr>
          <w:b/>
          <w:smallCaps/>
          <w:color w:val="auto"/>
          <w:sz w:val="28"/>
        </w:rPr>
      </w:pPr>
      <w:r w:rsidRPr="00CD1278">
        <w:rPr>
          <w:b/>
          <w:smallCaps/>
          <w:color w:val="auto"/>
          <w:sz w:val="28"/>
        </w:rPr>
        <w:t xml:space="preserve">Evaluation of </w:t>
      </w:r>
      <w:r w:rsidR="00B63939" w:rsidRPr="00CD1278">
        <w:rPr>
          <w:b/>
          <w:smallCaps/>
          <w:color w:val="auto"/>
          <w:sz w:val="28"/>
        </w:rPr>
        <w:t xml:space="preserve">2018 </w:t>
      </w:r>
      <w:r w:rsidRPr="00CD1278">
        <w:rPr>
          <w:b/>
          <w:smallCaps/>
          <w:color w:val="auto"/>
          <w:sz w:val="28"/>
        </w:rPr>
        <w:t xml:space="preserve">Critical Use Nominations for </w:t>
      </w:r>
    </w:p>
    <w:p w14:paraId="43518F88" w14:textId="306C9927" w:rsidR="003F021F" w:rsidRPr="00CD1278" w:rsidRDefault="003F021F" w:rsidP="003F021F">
      <w:pPr>
        <w:jc w:val="right"/>
        <w:rPr>
          <w:b/>
          <w:smallCaps/>
          <w:color w:val="auto"/>
          <w:sz w:val="28"/>
        </w:rPr>
      </w:pPr>
      <w:r w:rsidRPr="00CD1278">
        <w:rPr>
          <w:b/>
          <w:smallCaps/>
          <w:color w:val="auto"/>
          <w:sz w:val="28"/>
        </w:rPr>
        <w:t>Methyl Bromide</w:t>
      </w:r>
      <w:r w:rsidR="00E21A18" w:rsidRPr="00CD1278">
        <w:rPr>
          <w:b/>
          <w:smallCaps/>
          <w:color w:val="auto"/>
          <w:sz w:val="28"/>
        </w:rPr>
        <w:t xml:space="preserve"> and Related Matters</w:t>
      </w:r>
    </w:p>
    <w:p w14:paraId="2AFC3FEE" w14:textId="77777777" w:rsidR="003F021F" w:rsidRPr="00CD1278" w:rsidRDefault="003F021F" w:rsidP="003F021F">
      <w:pPr>
        <w:jc w:val="right"/>
        <w:rPr>
          <w:b/>
          <w:smallCaps/>
          <w:color w:val="auto"/>
          <w:sz w:val="28"/>
        </w:rPr>
      </w:pPr>
    </w:p>
    <w:p w14:paraId="2A2D5A0A" w14:textId="77777777" w:rsidR="003F021F" w:rsidRPr="00CD1278" w:rsidRDefault="003F021F" w:rsidP="00E417DF">
      <w:pPr>
        <w:jc w:val="right"/>
        <w:rPr>
          <w:b/>
          <w:smallCaps/>
          <w:color w:val="auto"/>
          <w:sz w:val="28"/>
        </w:rPr>
        <w:sectPr w:rsidR="003F021F" w:rsidRPr="00CD1278" w:rsidSect="00114183">
          <w:headerReference w:type="even" r:id="rId18"/>
          <w:headerReference w:type="default" r:id="rId19"/>
          <w:footerReference w:type="default" r:id="rId20"/>
          <w:headerReference w:type="first" r:id="rId21"/>
          <w:pgSz w:w="11909" w:h="16834" w:code="9"/>
          <w:pgMar w:top="1440" w:right="1797" w:bottom="1134" w:left="1260" w:header="720" w:footer="794" w:gutter="0"/>
          <w:pgNumType w:fmt="lowerRoman" w:start="2"/>
          <w:cols w:space="720"/>
        </w:sectPr>
      </w:pPr>
      <w:r w:rsidRPr="00CD1278">
        <w:rPr>
          <w:b/>
          <w:smallCaps/>
          <w:color w:val="auto"/>
          <w:sz w:val="28"/>
        </w:rPr>
        <w:t>Interim Report</w:t>
      </w:r>
    </w:p>
    <w:p w14:paraId="28E3FD89" w14:textId="77777777" w:rsidR="003F021F" w:rsidRPr="00CD1278" w:rsidRDefault="003F021F" w:rsidP="000F59B7">
      <w:pPr>
        <w:spacing w:after="0"/>
        <w:rPr>
          <w:b/>
          <w:color w:val="auto"/>
        </w:rPr>
      </w:pPr>
      <w:r w:rsidRPr="00CD1278">
        <w:rPr>
          <w:b/>
          <w:color w:val="auto"/>
        </w:rPr>
        <w:t>Montreal Protocol</w:t>
      </w:r>
    </w:p>
    <w:p w14:paraId="4D824AAF" w14:textId="77777777" w:rsidR="003F021F" w:rsidRPr="00CD1278" w:rsidRDefault="003F021F" w:rsidP="003F021F">
      <w:pPr>
        <w:rPr>
          <w:b/>
          <w:color w:val="auto"/>
        </w:rPr>
      </w:pPr>
      <w:r w:rsidRPr="00CD1278">
        <w:rPr>
          <w:b/>
          <w:color w:val="auto"/>
        </w:rPr>
        <w:t>On Substances that Deplete the Ozone Layer</w:t>
      </w:r>
    </w:p>
    <w:p w14:paraId="1A77F438" w14:textId="77777777" w:rsidR="003F021F" w:rsidRPr="00CD1278" w:rsidRDefault="003F021F" w:rsidP="003F021F">
      <w:pPr>
        <w:pStyle w:val="Footer"/>
        <w:tabs>
          <w:tab w:val="clear" w:pos="4320"/>
          <w:tab w:val="clear" w:pos="8640"/>
          <w:tab w:val="left" w:pos="6452"/>
        </w:tabs>
        <w:spacing w:after="0"/>
      </w:pPr>
      <w:r w:rsidRPr="00CD1278">
        <w:tab/>
      </w:r>
    </w:p>
    <w:p w14:paraId="75E2E0D9" w14:textId="669097EC" w:rsidR="003F021F" w:rsidRPr="00CD1278" w:rsidRDefault="003F021F" w:rsidP="000F59B7">
      <w:pPr>
        <w:tabs>
          <w:tab w:val="left" w:pos="5530"/>
        </w:tabs>
        <w:outlineLvl w:val="0"/>
        <w:rPr>
          <w:color w:val="auto"/>
          <w:sz w:val="28"/>
        </w:rPr>
      </w:pPr>
      <w:bookmarkStart w:id="1" w:name="_Toc102559468"/>
      <w:r w:rsidRPr="00CD1278">
        <w:rPr>
          <w:color w:val="auto"/>
          <w:sz w:val="28"/>
        </w:rPr>
        <w:t>Report of the</w:t>
      </w:r>
      <w:bookmarkEnd w:id="1"/>
      <w:r w:rsidRPr="00CD1278">
        <w:rPr>
          <w:color w:val="auto"/>
          <w:sz w:val="28"/>
        </w:rPr>
        <w:tab/>
      </w:r>
      <w:r w:rsidR="000F59B7" w:rsidRPr="00CD1278">
        <w:rPr>
          <w:color w:val="auto"/>
          <w:sz w:val="28"/>
        </w:rPr>
        <w:br/>
      </w:r>
      <w:r w:rsidRPr="00CD1278">
        <w:rPr>
          <w:color w:val="auto"/>
          <w:sz w:val="28"/>
        </w:rPr>
        <w:t>UNEP Technology and Economic Assessment Panel</w:t>
      </w:r>
      <w:r w:rsidRPr="00CD1278">
        <w:rPr>
          <w:color w:val="auto"/>
          <w:sz w:val="28"/>
        </w:rPr>
        <w:br/>
      </w:r>
    </w:p>
    <w:p w14:paraId="1BD8D36E" w14:textId="5326D724" w:rsidR="003F021F" w:rsidRPr="00CD1278" w:rsidRDefault="007A735D" w:rsidP="003F021F">
      <w:pPr>
        <w:tabs>
          <w:tab w:val="left" w:pos="6451"/>
        </w:tabs>
        <w:rPr>
          <w:color w:val="auto"/>
        </w:rPr>
      </w:pPr>
      <w:r w:rsidRPr="00CD1278">
        <w:rPr>
          <w:color w:val="auto"/>
          <w:sz w:val="28"/>
        </w:rPr>
        <w:t>MAY</w:t>
      </w:r>
      <w:r w:rsidR="003F021F" w:rsidRPr="00CD1278">
        <w:rPr>
          <w:color w:val="auto"/>
          <w:sz w:val="28"/>
        </w:rPr>
        <w:t xml:space="preserve"> </w:t>
      </w:r>
      <w:r w:rsidR="008B08D6" w:rsidRPr="00CD1278">
        <w:rPr>
          <w:color w:val="auto"/>
          <w:sz w:val="28"/>
        </w:rPr>
        <w:t>2018</w:t>
      </w:r>
      <w:r w:rsidR="003F021F" w:rsidRPr="00CD1278">
        <w:rPr>
          <w:color w:val="auto"/>
          <w:sz w:val="28"/>
        </w:rPr>
        <w:tab/>
      </w:r>
    </w:p>
    <w:p w14:paraId="6833DA55" w14:textId="4E0DFC99" w:rsidR="003F021F" w:rsidRPr="00CD1278" w:rsidRDefault="003F021F" w:rsidP="0021355E">
      <w:pPr>
        <w:spacing w:after="0"/>
        <w:rPr>
          <w:b/>
          <w:smallCaps/>
          <w:color w:val="auto"/>
          <w:sz w:val="28"/>
        </w:rPr>
      </w:pPr>
      <w:r w:rsidRPr="00CD1278">
        <w:rPr>
          <w:b/>
          <w:smallCaps/>
          <w:color w:val="auto"/>
          <w:sz w:val="28"/>
        </w:rPr>
        <w:t xml:space="preserve">Evaluation of </w:t>
      </w:r>
      <w:r w:rsidR="008B08D6" w:rsidRPr="00CD1278">
        <w:rPr>
          <w:b/>
          <w:smallCaps/>
          <w:color w:val="auto"/>
          <w:sz w:val="28"/>
        </w:rPr>
        <w:t xml:space="preserve">2018 </w:t>
      </w:r>
      <w:r w:rsidRPr="00CD1278">
        <w:rPr>
          <w:b/>
          <w:smallCaps/>
          <w:color w:val="auto"/>
          <w:sz w:val="28"/>
        </w:rPr>
        <w:t xml:space="preserve">Critical Use Nominations for </w:t>
      </w:r>
    </w:p>
    <w:p w14:paraId="284BD1A3" w14:textId="1A60A7BB" w:rsidR="003F021F" w:rsidRPr="00CD1278" w:rsidRDefault="003F021F" w:rsidP="0021355E">
      <w:pPr>
        <w:spacing w:after="0"/>
        <w:rPr>
          <w:b/>
          <w:smallCaps/>
          <w:color w:val="auto"/>
        </w:rPr>
      </w:pPr>
      <w:r w:rsidRPr="00CD1278">
        <w:rPr>
          <w:b/>
          <w:smallCaps/>
          <w:color w:val="auto"/>
          <w:sz w:val="28"/>
        </w:rPr>
        <w:t>Methyl Bromide</w:t>
      </w:r>
      <w:r w:rsidR="00E21A18" w:rsidRPr="00CD1278">
        <w:rPr>
          <w:b/>
          <w:smallCaps/>
          <w:color w:val="auto"/>
          <w:sz w:val="28"/>
        </w:rPr>
        <w:t xml:space="preserve"> and Related Matters</w:t>
      </w:r>
      <w:r w:rsidRPr="00CD1278">
        <w:rPr>
          <w:b/>
          <w:smallCaps/>
          <w:color w:val="auto"/>
          <w:sz w:val="28"/>
        </w:rPr>
        <w:t xml:space="preserve"> </w:t>
      </w:r>
    </w:p>
    <w:p w14:paraId="7FB61D1F" w14:textId="77777777" w:rsidR="003F021F" w:rsidRPr="00CD1278" w:rsidRDefault="003F021F" w:rsidP="003F021F">
      <w:pPr>
        <w:outlineLvl w:val="0"/>
        <w:rPr>
          <w:b/>
          <w:smallCaps/>
          <w:color w:val="auto"/>
        </w:rPr>
      </w:pPr>
    </w:p>
    <w:p w14:paraId="08883656" w14:textId="77777777" w:rsidR="0021355E" w:rsidRPr="00CD1278" w:rsidRDefault="0021355E" w:rsidP="003F021F">
      <w:pPr>
        <w:outlineLvl w:val="0"/>
        <w:rPr>
          <w:b/>
          <w:smallCaps/>
          <w:color w:val="auto"/>
        </w:rPr>
      </w:pPr>
    </w:p>
    <w:p w14:paraId="6C992F52" w14:textId="77777777" w:rsidR="003F021F" w:rsidRPr="00CD1278" w:rsidRDefault="003F021F" w:rsidP="003F021F">
      <w:pPr>
        <w:rPr>
          <w:color w:val="auto"/>
        </w:rPr>
      </w:pPr>
      <w:r w:rsidRPr="00CD1278">
        <w:rPr>
          <w:color w:val="auto"/>
        </w:rPr>
        <w:t>The text of this report is composed in Times New Roman.</w:t>
      </w:r>
    </w:p>
    <w:p w14:paraId="4BB951D4" w14:textId="77777777" w:rsidR="003F021F" w:rsidRPr="00CD1278" w:rsidRDefault="003F021F" w:rsidP="003F021F">
      <w:pPr>
        <w:tabs>
          <w:tab w:val="left" w:pos="3870"/>
        </w:tabs>
        <w:ind w:left="2700" w:hanging="2700"/>
        <w:outlineLvl w:val="0"/>
        <w:rPr>
          <w:b/>
          <w:color w:val="auto"/>
        </w:rPr>
      </w:pPr>
      <w:bookmarkStart w:id="2" w:name="_Toc102559469"/>
      <w:r w:rsidRPr="00CD1278">
        <w:rPr>
          <w:color w:val="auto"/>
        </w:rPr>
        <w:t>Co-ordination:</w:t>
      </w:r>
      <w:r w:rsidRPr="00CD1278">
        <w:rPr>
          <w:color w:val="auto"/>
        </w:rPr>
        <w:tab/>
      </w:r>
      <w:r w:rsidRPr="00CD1278">
        <w:rPr>
          <w:b/>
          <w:color w:val="auto"/>
        </w:rPr>
        <w:t>Methyl Bromide Technical Options Committee</w:t>
      </w:r>
      <w:bookmarkEnd w:id="2"/>
    </w:p>
    <w:p w14:paraId="1F85015E" w14:textId="722F90FE" w:rsidR="003F021F" w:rsidRPr="00CD1278" w:rsidRDefault="003F021F" w:rsidP="003F021F">
      <w:pPr>
        <w:tabs>
          <w:tab w:val="left" w:pos="2700"/>
        </w:tabs>
        <w:rPr>
          <w:color w:val="auto"/>
        </w:rPr>
      </w:pPr>
      <w:r w:rsidRPr="00CD1278">
        <w:rPr>
          <w:b/>
          <w:color w:val="auto"/>
        </w:rPr>
        <w:br/>
      </w:r>
      <w:r w:rsidRPr="00CD1278">
        <w:rPr>
          <w:color w:val="auto"/>
        </w:rPr>
        <w:t>Composition of the report:</w:t>
      </w:r>
      <w:r w:rsidRPr="00CD1278">
        <w:rPr>
          <w:color w:val="auto"/>
        </w:rPr>
        <w:tab/>
        <w:t>Co-chairs</w:t>
      </w:r>
      <w:r w:rsidR="00A270C7" w:rsidRPr="00CD1278">
        <w:rPr>
          <w:color w:val="auto"/>
        </w:rPr>
        <w:t>:</w:t>
      </w:r>
      <w:r w:rsidRPr="00CD1278">
        <w:rPr>
          <w:color w:val="auto"/>
        </w:rPr>
        <w:t xml:space="preserve"> Ian Porter, Marta Pizano</w:t>
      </w:r>
    </w:p>
    <w:p w14:paraId="4C923456" w14:textId="77777777" w:rsidR="003F021F" w:rsidRPr="00CD1278" w:rsidRDefault="003F021F" w:rsidP="003F021F">
      <w:pPr>
        <w:tabs>
          <w:tab w:val="left" w:pos="2700"/>
          <w:tab w:val="left" w:pos="3870"/>
        </w:tabs>
        <w:rPr>
          <w:color w:val="auto"/>
        </w:rPr>
      </w:pPr>
      <w:r w:rsidRPr="00CD1278">
        <w:rPr>
          <w:color w:val="auto"/>
        </w:rPr>
        <w:t>Reproduction:</w:t>
      </w:r>
      <w:r w:rsidRPr="00CD1278">
        <w:rPr>
          <w:color w:val="auto"/>
        </w:rPr>
        <w:tab/>
        <w:t>UNON Nairobi</w:t>
      </w:r>
    </w:p>
    <w:p w14:paraId="1FEEA222" w14:textId="41A648D4" w:rsidR="003F021F" w:rsidRPr="00CD1278" w:rsidRDefault="003F021F" w:rsidP="003F021F">
      <w:pPr>
        <w:tabs>
          <w:tab w:val="left" w:pos="2700"/>
          <w:tab w:val="left" w:pos="3870"/>
        </w:tabs>
        <w:rPr>
          <w:color w:val="auto"/>
        </w:rPr>
      </w:pPr>
      <w:r w:rsidRPr="00CD1278">
        <w:rPr>
          <w:color w:val="auto"/>
        </w:rPr>
        <w:t>Date:</w:t>
      </w:r>
      <w:r w:rsidRPr="00CD1278">
        <w:rPr>
          <w:color w:val="auto"/>
        </w:rPr>
        <w:tab/>
      </w:r>
      <w:r w:rsidR="007A735D" w:rsidRPr="00CD1278">
        <w:rPr>
          <w:color w:val="auto"/>
        </w:rPr>
        <w:t>May</w:t>
      </w:r>
      <w:r w:rsidRPr="00CD1278">
        <w:rPr>
          <w:color w:val="auto"/>
        </w:rPr>
        <w:t xml:space="preserve"> </w:t>
      </w:r>
      <w:r w:rsidR="008B08D6" w:rsidRPr="00CD1278">
        <w:rPr>
          <w:color w:val="auto"/>
        </w:rPr>
        <w:t>2018</w:t>
      </w:r>
    </w:p>
    <w:p w14:paraId="20CEB27E" w14:textId="77777777" w:rsidR="003F021F" w:rsidRPr="00CD1278" w:rsidRDefault="003F021F" w:rsidP="003F021F">
      <w:pPr>
        <w:rPr>
          <w:color w:val="auto"/>
        </w:rPr>
      </w:pPr>
      <w:r w:rsidRPr="00CD1278">
        <w:rPr>
          <w:color w:val="auto"/>
        </w:rPr>
        <w:t>Under certain conditions, printed copies of this report are available from:</w:t>
      </w:r>
    </w:p>
    <w:p w14:paraId="34A251D5" w14:textId="77777777" w:rsidR="003F021F" w:rsidRPr="00CD1278" w:rsidRDefault="003F021F" w:rsidP="003F021F">
      <w:pPr>
        <w:rPr>
          <w:color w:val="auto"/>
        </w:rPr>
      </w:pPr>
      <w:r w:rsidRPr="00CD1278">
        <w:rPr>
          <w:color w:val="auto"/>
        </w:rPr>
        <w:t>UNITED NATIONS ENVIRONMENT PROGRAMME</w:t>
      </w:r>
      <w:r w:rsidRPr="00CD1278">
        <w:rPr>
          <w:color w:val="auto"/>
        </w:rPr>
        <w:br/>
        <w:t>Ozone Secretariat, P.O. Box 30552, Nairobi, Kenya</w:t>
      </w:r>
    </w:p>
    <w:p w14:paraId="522A2BD9" w14:textId="77777777" w:rsidR="0021355E" w:rsidRPr="00CD1278" w:rsidRDefault="003F021F" w:rsidP="0021355E">
      <w:pPr>
        <w:spacing w:after="0"/>
        <w:rPr>
          <w:color w:val="auto"/>
        </w:rPr>
      </w:pPr>
      <w:r w:rsidRPr="00CD1278">
        <w:rPr>
          <w:color w:val="auto"/>
        </w:rPr>
        <w:t xml:space="preserve">Normally from SMI Distribution Service Ltd., Stevenage, Hertfordshire, UK, </w:t>
      </w:r>
    </w:p>
    <w:p w14:paraId="36E10B02" w14:textId="1EC02262" w:rsidR="003F021F" w:rsidRPr="00CD1278" w:rsidRDefault="00310FF5" w:rsidP="0021355E">
      <w:pPr>
        <w:spacing w:after="0"/>
        <w:rPr>
          <w:color w:val="auto"/>
        </w:rPr>
      </w:pPr>
      <w:r w:rsidRPr="00CD1278">
        <w:rPr>
          <w:color w:val="auto"/>
        </w:rPr>
        <w:t>Fax</w:t>
      </w:r>
      <w:r w:rsidR="003F021F" w:rsidRPr="00CD1278">
        <w:rPr>
          <w:color w:val="auto"/>
        </w:rPr>
        <w:t>: + 44 1438 748844</w:t>
      </w:r>
    </w:p>
    <w:p w14:paraId="72702A22" w14:textId="77777777" w:rsidR="0021355E" w:rsidRPr="00CD1278" w:rsidRDefault="0021355E" w:rsidP="003F021F">
      <w:pPr>
        <w:outlineLvl w:val="0"/>
        <w:rPr>
          <w:color w:val="auto"/>
        </w:rPr>
      </w:pPr>
      <w:bookmarkStart w:id="3" w:name="_Toc102559470"/>
    </w:p>
    <w:p w14:paraId="540D5575" w14:textId="77777777" w:rsidR="003F021F" w:rsidRPr="00CD1278" w:rsidRDefault="003F021F" w:rsidP="003F021F">
      <w:pPr>
        <w:outlineLvl w:val="0"/>
        <w:rPr>
          <w:color w:val="auto"/>
          <w:sz w:val="16"/>
        </w:rPr>
      </w:pPr>
      <w:r w:rsidRPr="00CD1278">
        <w:rPr>
          <w:color w:val="auto"/>
        </w:rPr>
        <w:t>This document is also available in portable document format from</w:t>
      </w:r>
      <w:bookmarkEnd w:id="3"/>
    </w:p>
    <w:p w14:paraId="1E945421" w14:textId="72ED708F" w:rsidR="003F021F" w:rsidRPr="00CD1278" w:rsidRDefault="000F59B7" w:rsidP="003F021F">
      <w:pPr>
        <w:jc w:val="center"/>
        <w:rPr>
          <w:color w:val="auto"/>
        </w:rPr>
      </w:pPr>
      <w:r w:rsidRPr="00CD1278">
        <w:rPr>
          <w:color w:val="auto"/>
        </w:rPr>
        <w:t>http://ozone.unep.org/en/assessment-panels/technology-and-economic-assessment-panel</w:t>
      </w:r>
    </w:p>
    <w:p w14:paraId="3B6C3BAC" w14:textId="77777777" w:rsidR="003F021F" w:rsidRPr="00CD1278" w:rsidRDefault="003F021F" w:rsidP="003F021F">
      <w:pPr>
        <w:rPr>
          <w:b/>
          <w:color w:val="auto"/>
        </w:rPr>
      </w:pPr>
      <w:r w:rsidRPr="00CD1278">
        <w:rPr>
          <w:color w:val="auto"/>
        </w:rPr>
        <w:t>No copyright involved.  This publication may be freely copied, abstracted and cited, with acknowledgement of the source of the material.</w:t>
      </w:r>
    </w:p>
    <w:p w14:paraId="423A0C7A" w14:textId="77777777" w:rsidR="003F021F" w:rsidRPr="00CD1278" w:rsidRDefault="003F021F" w:rsidP="003F021F">
      <w:pPr>
        <w:rPr>
          <w:b/>
          <w:color w:val="auto"/>
        </w:rPr>
      </w:pPr>
    </w:p>
    <w:p w14:paraId="47FD79BD" w14:textId="12CA7A16" w:rsidR="003F021F" w:rsidRPr="00CD1278" w:rsidRDefault="003F021F" w:rsidP="003F021F">
      <w:pPr>
        <w:outlineLvl w:val="0"/>
        <w:rPr>
          <w:b/>
          <w:color w:val="auto"/>
        </w:rPr>
      </w:pPr>
      <w:bookmarkStart w:id="4" w:name="_Toc102559471"/>
      <w:r w:rsidRPr="00CD1278">
        <w:rPr>
          <w:b/>
          <w:color w:val="auto"/>
        </w:rPr>
        <w:t>ISBN:</w:t>
      </w:r>
      <w:r w:rsidR="00310FF5" w:rsidRPr="00CD1278">
        <w:rPr>
          <w:b/>
          <w:color w:val="auto"/>
        </w:rPr>
        <w:t xml:space="preserve"> </w:t>
      </w:r>
      <w:r w:rsidR="00626B1A" w:rsidRPr="00CD1278">
        <w:rPr>
          <w:b/>
          <w:color w:val="auto"/>
        </w:rPr>
        <w:t>978-9966-076-39-7</w:t>
      </w:r>
      <w:r w:rsidRPr="00CD1278">
        <w:rPr>
          <w:b/>
          <w:color w:val="auto"/>
        </w:rPr>
        <w:tab/>
      </w:r>
      <w:bookmarkEnd w:id="4"/>
    </w:p>
    <w:p w14:paraId="62342432" w14:textId="77777777" w:rsidR="003F021F" w:rsidRPr="00CD1278" w:rsidRDefault="003F021F" w:rsidP="003F021F">
      <w:pPr>
        <w:outlineLvl w:val="0"/>
        <w:rPr>
          <w:b/>
          <w:color w:val="auto"/>
        </w:rPr>
        <w:sectPr w:rsidR="003F021F" w:rsidRPr="00CD1278" w:rsidSect="00114183">
          <w:headerReference w:type="even" r:id="rId22"/>
          <w:headerReference w:type="default" r:id="rId23"/>
          <w:footerReference w:type="default" r:id="rId24"/>
          <w:headerReference w:type="first" r:id="rId25"/>
          <w:footerReference w:type="first" r:id="rId26"/>
          <w:type w:val="nextColumn"/>
          <w:pgSz w:w="11909" w:h="16834" w:code="9"/>
          <w:pgMar w:top="1440" w:right="1800" w:bottom="1134" w:left="1800" w:header="720" w:footer="792" w:gutter="0"/>
          <w:pgNumType w:fmt="lowerRoman"/>
          <w:cols w:space="720"/>
          <w:titlePg/>
          <w:docGrid w:linePitch="299"/>
        </w:sectPr>
      </w:pPr>
    </w:p>
    <w:p w14:paraId="055D7885" w14:textId="77777777" w:rsidR="003F021F" w:rsidRPr="00CD1278" w:rsidRDefault="003F021F" w:rsidP="003F021F">
      <w:pPr>
        <w:ind w:left="-360"/>
        <w:outlineLvl w:val="0"/>
        <w:rPr>
          <w:b/>
          <w:color w:val="auto"/>
        </w:rPr>
      </w:pPr>
      <w:bookmarkStart w:id="5" w:name="_Toc102559472"/>
      <w:r w:rsidRPr="00CD1278">
        <w:rPr>
          <w:b/>
          <w:color w:val="auto"/>
        </w:rPr>
        <w:t>Disclaimer</w:t>
      </w:r>
      <w:bookmarkEnd w:id="5"/>
    </w:p>
    <w:p w14:paraId="6DE53E6F" w14:textId="77777777" w:rsidR="003F021F" w:rsidRPr="00CD1278" w:rsidRDefault="003F021F" w:rsidP="005A552B">
      <w:pPr>
        <w:ind w:left="-360"/>
        <w:rPr>
          <w:color w:val="auto"/>
        </w:rPr>
      </w:pPr>
      <w:r w:rsidRPr="00CD1278">
        <w:rPr>
          <w:color w:val="auto"/>
        </w:rPr>
        <w:t>The United Nations Environment Programme (UNEP), the Technology and Economic Assessment Panel (TEAP) Co-Chairs and members, and the Methyl Bromide Technical Options Committee (MBTOC) Co-Chairs and members, and the companies and organisations that employ them do not endorse the performance, worker safety, or environmental acceptability of any of the technical options discussed.  Every industrial operation requires consideration of worker safety and proper disposal of contaminants and waste products.  Moreover, as work continues - including additional toxicity evaluation - more information on health, environmental and safety effects of alternatives and replacements will become available for use in selecting among the options discussed in this document.</w:t>
      </w:r>
    </w:p>
    <w:p w14:paraId="0E992A67" w14:textId="77777777" w:rsidR="003F021F" w:rsidRPr="00CD1278" w:rsidRDefault="003F021F" w:rsidP="005A552B">
      <w:pPr>
        <w:ind w:left="-360"/>
        <w:rPr>
          <w:color w:val="auto"/>
        </w:rPr>
      </w:pPr>
      <w:r w:rsidRPr="00CD1278">
        <w:rPr>
          <w:color w:val="auto"/>
        </w:rPr>
        <w:t>UNEP, TEAP Co-Chairs and members, and the MBTOC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14:paraId="24FC717C" w14:textId="77777777" w:rsidR="003F021F" w:rsidRPr="00CD1278" w:rsidRDefault="003F021F" w:rsidP="005A552B">
      <w:pPr>
        <w:ind w:left="-360"/>
        <w:rPr>
          <w:color w:val="auto"/>
        </w:rPr>
      </w:pPr>
      <w:r w:rsidRPr="00CD1278">
        <w:rPr>
          <w:color w:val="auto"/>
        </w:rPr>
        <w:t>Mention of any company, association, or product in this document is for information purposes only and does not constitute a recommendation of any such company, association, or product, either express or implied by UNEP, TEAP Co-Chairs and members, and the MBTOC Co-Chairs and members or the companies or organisations that employ them.</w:t>
      </w:r>
    </w:p>
    <w:p w14:paraId="039A6124" w14:textId="77777777" w:rsidR="003F021F" w:rsidRPr="00CD1278" w:rsidRDefault="003F021F" w:rsidP="003F021F">
      <w:pPr>
        <w:keepNext/>
        <w:suppressAutoHyphens/>
        <w:spacing w:before="120"/>
        <w:ind w:left="-360" w:right="244"/>
        <w:jc w:val="both"/>
        <w:rPr>
          <w:b/>
          <w:color w:val="auto"/>
        </w:rPr>
      </w:pPr>
      <w:r w:rsidRPr="00CD1278">
        <w:rPr>
          <w:b/>
          <w:color w:val="auto"/>
        </w:rPr>
        <w:t>Acknowledgement</w:t>
      </w:r>
    </w:p>
    <w:p w14:paraId="548D534E" w14:textId="77777777" w:rsidR="003F021F" w:rsidRPr="00CD1278" w:rsidRDefault="003F021F" w:rsidP="005A552B">
      <w:pPr>
        <w:ind w:left="-360"/>
        <w:rPr>
          <w:color w:val="auto"/>
        </w:rPr>
      </w:pPr>
      <w:r w:rsidRPr="00CD1278">
        <w:rPr>
          <w:color w:val="auto"/>
        </w:rPr>
        <w:t>The Technology and Economic Assessment Panel and its Methyl Bromide Technical Options Committee acknowledge with thanks the outstanding contributions from all of the individuals and organisations who provided support to Panel and Committee Co-Chairs and members. The opinions expressed are those of the Panel and the Committee and do not reflect the reviews of any sponsoring or supporting organisation.</w:t>
      </w:r>
    </w:p>
    <w:p w14:paraId="4CC1BE23" w14:textId="77777777" w:rsidR="003F021F" w:rsidRPr="00CD1278" w:rsidRDefault="003F021F" w:rsidP="005A552B">
      <w:pPr>
        <w:ind w:left="-360"/>
        <w:rPr>
          <w:b/>
          <w:color w:val="auto"/>
        </w:rPr>
      </w:pPr>
      <w:r w:rsidRPr="00CD1278">
        <w:rPr>
          <w:b/>
          <w:color w:val="auto"/>
        </w:rPr>
        <w:t>Methyl Bromide Technical Options Committee:</w:t>
      </w:r>
    </w:p>
    <w:p w14:paraId="6593FC92" w14:textId="43757885" w:rsidR="00ED76B3" w:rsidRPr="00CD1278" w:rsidRDefault="003F021F" w:rsidP="005A552B">
      <w:pPr>
        <w:ind w:left="-360"/>
        <w:rPr>
          <w:color w:val="auto"/>
        </w:rPr>
      </w:pPr>
      <w:r w:rsidRPr="00CD1278">
        <w:rPr>
          <w:b/>
          <w:color w:val="auto"/>
        </w:rPr>
        <w:t>MBTOC Co-Chairs</w:t>
      </w:r>
      <w:r w:rsidRPr="00CD1278">
        <w:rPr>
          <w:color w:val="auto"/>
        </w:rPr>
        <w:t xml:space="preserve">: Marta Pizano (Colombia), Ian Porter (Australia). </w:t>
      </w:r>
    </w:p>
    <w:p w14:paraId="75812E35" w14:textId="0C9D55E5" w:rsidR="00ED76B3" w:rsidRPr="00CD1278" w:rsidRDefault="003F021F" w:rsidP="005A552B">
      <w:pPr>
        <w:ind w:left="-360"/>
        <w:rPr>
          <w:color w:val="auto"/>
        </w:rPr>
      </w:pPr>
      <w:r w:rsidRPr="00CD1278">
        <w:rPr>
          <w:b/>
          <w:color w:val="auto"/>
        </w:rPr>
        <w:t>MBTOC Technical Members</w:t>
      </w:r>
      <w:r w:rsidRPr="00CD1278">
        <w:rPr>
          <w:color w:val="auto"/>
        </w:rPr>
        <w:t>:</w:t>
      </w:r>
      <w:r w:rsidR="00B82935" w:rsidRPr="00CD1278">
        <w:rPr>
          <w:color w:val="auto"/>
        </w:rPr>
        <w:t xml:space="preserve"> </w:t>
      </w:r>
      <w:r w:rsidR="00CF7CAA" w:rsidRPr="00CD1278">
        <w:rPr>
          <w:color w:val="auto"/>
        </w:rPr>
        <w:t xml:space="preserve">Cao Aocheng  (China); </w:t>
      </w:r>
      <w:r w:rsidR="00B82935" w:rsidRPr="00CD1278">
        <w:rPr>
          <w:color w:val="auto"/>
        </w:rPr>
        <w:t xml:space="preserve">Jonathan Banks (Australia); </w:t>
      </w:r>
      <w:r w:rsidR="00CF7CAA" w:rsidRPr="00CD1278">
        <w:rPr>
          <w:color w:val="auto"/>
        </w:rPr>
        <w:t xml:space="preserve">Mohammed Besri (Morocco), </w:t>
      </w:r>
      <w:r w:rsidRPr="00CD1278">
        <w:rPr>
          <w:color w:val="auto"/>
        </w:rPr>
        <w:t xml:space="preserve">Fred Bergwerff (Netherlands); </w:t>
      </w:r>
      <w:r w:rsidR="00CF7CAA" w:rsidRPr="00CD1278">
        <w:rPr>
          <w:color w:val="auto"/>
        </w:rPr>
        <w:t>Sait Ertuk</w:t>
      </w:r>
      <w:r w:rsidR="00CF7CAA" w:rsidRPr="00CD1278" w:rsidDel="008B08D6">
        <w:rPr>
          <w:color w:val="auto"/>
        </w:rPr>
        <w:t xml:space="preserve"> </w:t>
      </w:r>
      <w:r w:rsidR="00CF7CAA" w:rsidRPr="00CD1278">
        <w:rPr>
          <w:color w:val="auto"/>
        </w:rPr>
        <w:t xml:space="preserve">(Turkey); </w:t>
      </w:r>
      <w:r w:rsidRPr="00CD1278">
        <w:rPr>
          <w:color w:val="auto"/>
        </w:rPr>
        <w:t>Ken Glassey (New Zealand); Alfredo Gonzalez (Philip</w:t>
      </w:r>
      <w:r w:rsidR="007A735D" w:rsidRPr="00CD1278">
        <w:rPr>
          <w:color w:val="auto"/>
        </w:rPr>
        <w:t xml:space="preserve">pines); Rosalind James (USA); Takashi Misumi (Japan); </w:t>
      </w:r>
      <w:r w:rsidRPr="00CD1278">
        <w:rPr>
          <w:color w:val="auto"/>
        </w:rPr>
        <w:t>Christoph</w:t>
      </w:r>
      <w:r w:rsidR="00B10CF8" w:rsidRPr="00CD1278">
        <w:rPr>
          <w:color w:val="auto"/>
        </w:rPr>
        <w:t xml:space="preserve"> </w:t>
      </w:r>
      <w:r w:rsidRPr="00CD1278">
        <w:rPr>
          <w:color w:val="auto"/>
        </w:rPr>
        <w:t xml:space="preserve">Reichmuth (Germany); Jordi Riudavets (Spain); Akio Tateya (Japan); Alejandro Valeiro (Argentina) </w:t>
      </w:r>
    </w:p>
    <w:p w14:paraId="070A0C90" w14:textId="77777777" w:rsidR="003F021F" w:rsidRPr="00CD1278" w:rsidRDefault="003F021F" w:rsidP="005A552B">
      <w:pPr>
        <w:ind w:left="-360"/>
        <w:rPr>
          <w:b/>
          <w:color w:val="auto"/>
        </w:rPr>
      </w:pPr>
      <w:r w:rsidRPr="00CD1278">
        <w:rPr>
          <w:b/>
          <w:color w:val="auto"/>
        </w:rPr>
        <w:t xml:space="preserve">MBTOC Economist: </w:t>
      </w:r>
      <w:r w:rsidRPr="00CD1278">
        <w:rPr>
          <w:color w:val="auto"/>
        </w:rPr>
        <w:t>Nick Vink (South Africa)</w:t>
      </w:r>
    </w:p>
    <w:p w14:paraId="27909A46" w14:textId="77777777" w:rsidR="003F021F" w:rsidRPr="00CD1278" w:rsidRDefault="003F021F" w:rsidP="003F021F">
      <w:pPr>
        <w:ind w:left="-360"/>
        <w:rPr>
          <w:color w:val="auto"/>
        </w:rPr>
      </w:pPr>
    </w:p>
    <w:p w14:paraId="717B3E7A" w14:textId="5736A15A" w:rsidR="003F021F" w:rsidRPr="00CD1278" w:rsidRDefault="003F021F" w:rsidP="003F021F">
      <w:pPr>
        <w:jc w:val="right"/>
        <w:rPr>
          <w:b/>
          <w:smallCaps/>
          <w:color w:val="auto"/>
          <w:sz w:val="20"/>
        </w:rPr>
      </w:pPr>
      <w:r w:rsidRPr="00CD1278">
        <w:rPr>
          <w:b/>
          <w:color w:val="auto"/>
        </w:rPr>
        <w:br w:type="page"/>
      </w:r>
      <w:r w:rsidRPr="00CD1278">
        <w:rPr>
          <w:b/>
          <w:smallCaps/>
          <w:color w:val="auto"/>
          <w:sz w:val="28"/>
        </w:rPr>
        <w:br/>
      </w:r>
      <w:r w:rsidR="009C6597" w:rsidRPr="00CD1278">
        <w:rPr>
          <w:b/>
          <w:smallCaps/>
          <w:color w:val="auto"/>
          <w:sz w:val="28"/>
        </w:rPr>
        <w:t>May</w:t>
      </w:r>
      <w:r w:rsidR="004120DA" w:rsidRPr="00CD1278">
        <w:rPr>
          <w:b/>
          <w:smallCaps/>
          <w:color w:val="auto"/>
          <w:sz w:val="28"/>
        </w:rPr>
        <w:t xml:space="preserve"> </w:t>
      </w:r>
      <w:r w:rsidR="008B08D6" w:rsidRPr="00CD1278">
        <w:rPr>
          <w:b/>
          <w:smallCaps/>
          <w:color w:val="auto"/>
          <w:sz w:val="28"/>
        </w:rPr>
        <w:t xml:space="preserve">2018 </w:t>
      </w:r>
      <w:r w:rsidRPr="00CD1278">
        <w:rPr>
          <w:b/>
          <w:smallCaps/>
          <w:color w:val="auto"/>
          <w:sz w:val="28"/>
        </w:rPr>
        <w:t>Report of the</w:t>
      </w:r>
      <w:r w:rsidRPr="00CD1278">
        <w:rPr>
          <w:b/>
          <w:smallCaps/>
          <w:color w:val="auto"/>
          <w:sz w:val="28"/>
        </w:rPr>
        <w:br/>
        <w:t>Technology and Economic</w:t>
      </w:r>
      <w:r w:rsidRPr="00CD1278">
        <w:rPr>
          <w:b/>
          <w:smallCaps/>
          <w:color w:val="auto"/>
          <w:sz w:val="28"/>
        </w:rPr>
        <w:br/>
        <w:t>Assessment Panel</w:t>
      </w:r>
      <w:r w:rsidRPr="00CD1278">
        <w:rPr>
          <w:b/>
          <w:smallCaps/>
          <w:color w:val="auto"/>
          <w:sz w:val="28"/>
        </w:rPr>
        <w:br/>
      </w:r>
      <w:r w:rsidRPr="00CD1278">
        <w:rPr>
          <w:b/>
          <w:smallCaps/>
          <w:color w:val="auto"/>
          <w:sz w:val="28"/>
        </w:rPr>
        <w:br/>
      </w:r>
    </w:p>
    <w:p w14:paraId="2018C05D" w14:textId="1536C7ED" w:rsidR="003F021F" w:rsidRPr="00CD1278" w:rsidRDefault="003F021F" w:rsidP="003F021F">
      <w:pPr>
        <w:ind w:left="720"/>
        <w:jc w:val="right"/>
        <w:rPr>
          <w:b/>
          <w:smallCaps/>
          <w:color w:val="auto"/>
          <w:sz w:val="28"/>
        </w:rPr>
      </w:pPr>
      <w:r w:rsidRPr="00CD1278">
        <w:rPr>
          <w:b/>
          <w:smallCaps/>
          <w:color w:val="auto"/>
          <w:sz w:val="28"/>
        </w:rPr>
        <w:t xml:space="preserve">Evaluation of </w:t>
      </w:r>
      <w:r w:rsidR="008B08D6" w:rsidRPr="00CD1278">
        <w:rPr>
          <w:b/>
          <w:smallCaps/>
          <w:color w:val="auto"/>
          <w:sz w:val="28"/>
        </w:rPr>
        <w:t xml:space="preserve">2018 </w:t>
      </w:r>
      <w:r w:rsidRPr="00CD1278">
        <w:rPr>
          <w:b/>
          <w:smallCaps/>
          <w:color w:val="auto"/>
          <w:sz w:val="28"/>
        </w:rPr>
        <w:t xml:space="preserve">Critical Use Nominations for </w:t>
      </w:r>
    </w:p>
    <w:p w14:paraId="709874F1" w14:textId="50342B52" w:rsidR="003F021F" w:rsidRPr="00CD1278" w:rsidRDefault="003F021F" w:rsidP="003F021F">
      <w:pPr>
        <w:ind w:left="720"/>
        <w:jc w:val="right"/>
        <w:rPr>
          <w:b/>
          <w:smallCaps/>
          <w:color w:val="auto"/>
          <w:sz w:val="28"/>
        </w:rPr>
      </w:pPr>
      <w:r w:rsidRPr="00CD1278">
        <w:rPr>
          <w:b/>
          <w:smallCaps/>
          <w:color w:val="auto"/>
          <w:sz w:val="28"/>
        </w:rPr>
        <w:t>Methyl Bromide</w:t>
      </w:r>
      <w:r w:rsidR="00E21A18" w:rsidRPr="00CD1278">
        <w:rPr>
          <w:b/>
          <w:smallCaps/>
          <w:color w:val="auto"/>
          <w:sz w:val="28"/>
        </w:rPr>
        <w:t xml:space="preserve"> and Related Matters</w:t>
      </w:r>
    </w:p>
    <w:p w14:paraId="23CB347E" w14:textId="77777777" w:rsidR="003F021F" w:rsidRPr="00CD1278" w:rsidRDefault="003F021F" w:rsidP="003F021F">
      <w:pPr>
        <w:ind w:left="720"/>
        <w:jc w:val="right"/>
        <w:rPr>
          <w:b/>
          <w:smallCaps/>
          <w:color w:val="auto"/>
          <w:sz w:val="28"/>
        </w:rPr>
      </w:pPr>
    </w:p>
    <w:p w14:paraId="45A991D3" w14:textId="77777777" w:rsidR="003F021F" w:rsidRPr="00CD1278" w:rsidRDefault="004120DA" w:rsidP="003F021F">
      <w:pPr>
        <w:ind w:left="720"/>
        <w:jc w:val="right"/>
        <w:rPr>
          <w:b/>
          <w:smallCaps/>
          <w:color w:val="auto"/>
          <w:sz w:val="28"/>
        </w:rPr>
        <w:sectPr w:rsidR="003F021F" w:rsidRPr="00CD1278" w:rsidSect="0038722C">
          <w:pgSz w:w="11909" w:h="16834" w:code="9"/>
          <w:pgMar w:top="1440" w:right="1797" w:bottom="1134" w:left="1797" w:header="720" w:footer="794" w:gutter="0"/>
          <w:pgNumType w:fmt="lowerRoman"/>
          <w:cols w:space="720"/>
        </w:sectPr>
      </w:pPr>
      <w:r w:rsidRPr="00CD1278">
        <w:rPr>
          <w:b/>
          <w:smallCaps/>
          <w:color w:val="auto"/>
          <w:sz w:val="28"/>
        </w:rPr>
        <w:t>Interim</w:t>
      </w:r>
      <w:r w:rsidR="003F021F" w:rsidRPr="00CD1278">
        <w:rPr>
          <w:b/>
          <w:smallCaps/>
          <w:color w:val="auto"/>
          <w:sz w:val="28"/>
        </w:rPr>
        <w:t xml:space="preserve"> Report</w:t>
      </w:r>
    </w:p>
    <w:p w14:paraId="2760AC43" w14:textId="4CF13267" w:rsidR="003F021F" w:rsidRPr="00CD1278" w:rsidRDefault="003F021F" w:rsidP="003F021F">
      <w:pPr>
        <w:jc w:val="right"/>
        <w:rPr>
          <w:b/>
          <w:smallCaps/>
          <w:color w:val="auto"/>
          <w:sz w:val="28"/>
        </w:rPr>
      </w:pPr>
      <w:r w:rsidRPr="00CD1278">
        <w:rPr>
          <w:b/>
          <w:smallCaps/>
          <w:color w:val="auto"/>
          <w:sz w:val="28"/>
        </w:rPr>
        <w:t>UNEP</w:t>
      </w:r>
      <w:r w:rsidRPr="00CD1278">
        <w:rPr>
          <w:b/>
          <w:smallCaps/>
          <w:color w:val="auto"/>
          <w:sz w:val="28"/>
        </w:rPr>
        <w:br/>
      </w:r>
      <w:r w:rsidR="009C6597" w:rsidRPr="00CD1278">
        <w:rPr>
          <w:b/>
          <w:smallCaps/>
          <w:color w:val="auto"/>
          <w:sz w:val="28"/>
        </w:rPr>
        <w:t>May</w:t>
      </w:r>
      <w:r w:rsidR="001B0F82" w:rsidRPr="00CD1278">
        <w:rPr>
          <w:b/>
          <w:smallCaps/>
          <w:color w:val="auto"/>
          <w:sz w:val="28"/>
        </w:rPr>
        <w:t xml:space="preserve"> </w:t>
      </w:r>
      <w:r w:rsidR="008B08D6" w:rsidRPr="00CD1278">
        <w:rPr>
          <w:b/>
          <w:smallCaps/>
          <w:color w:val="auto"/>
          <w:sz w:val="28"/>
        </w:rPr>
        <w:t xml:space="preserve">2018 </w:t>
      </w:r>
      <w:r w:rsidRPr="00CD1278">
        <w:rPr>
          <w:b/>
          <w:smallCaps/>
          <w:color w:val="auto"/>
          <w:sz w:val="28"/>
        </w:rPr>
        <w:t>Report of the</w:t>
      </w:r>
      <w:r w:rsidRPr="00CD1278">
        <w:rPr>
          <w:b/>
          <w:smallCaps/>
          <w:color w:val="auto"/>
          <w:sz w:val="28"/>
        </w:rPr>
        <w:br/>
        <w:t>Technology and Economic</w:t>
      </w:r>
      <w:r w:rsidRPr="00CD1278">
        <w:rPr>
          <w:b/>
          <w:smallCaps/>
          <w:color w:val="auto"/>
          <w:sz w:val="28"/>
        </w:rPr>
        <w:br/>
        <w:t>Assessment Panel</w:t>
      </w:r>
      <w:r w:rsidRPr="00CD1278">
        <w:rPr>
          <w:b/>
          <w:smallCaps/>
          <w:color w:val="auto"/>
          <w:sz w:val="28"/>
        </w:rPr>
        <w:br/>
      </w:r>
    </w:p>
    <w:p w14:paraId="42BD5C5C" w14:textId="73185EA4" w:rsidR="003F021F" w:rsidRPr="00CD1278" w:rsidRDefault="003F021F" w:rsidP="006B71CA">
      <w:pPr>
        <w:spacing w:before="240"/>
        <w:jc w:val="center"/>
        <w:rPr>
          <w:b/>
          <w:smallCaps/>
          <w:color w:val="auto"/>
          <w:sz w:val="28"/>
        </w:rPr>
      </w:pPr>
      <w:r w:rsidRPr="00CD1278">
        <w:rPr>
          <w:b/>
          <w:smallCaps/>
          <w:color w:val="auto"/>
          <w:sz w:val="28"/>
        </w:rPr>
        <w:t xml:space="preserve">MBTOC INTERIM CUN Report – </w:t>
      </w:r>
      <w:r w:rsidR="009C6597" w:rsidRPr="00CD1278">
        <w:rPr>
          <w:b/>
          <w:smallCaps/>
          <w:color w:val="auto"/>
          <w:sz w:val="28"/>
        </w:rPr>
        <w:t>May</w:t>
      </w:r>
      <w:r w:rsidRPr="00CD1278">
        <w:rPr>
          <w:b/>
          <w:smallCaps/>
          <w:color w:val="auto"/>
          <w:sz w:val="28"/>
        </w:rPr>
        <w:t xml:space="preserve"> </w:t>
      </w:r>
      <w:r w:rsidR="008B08D6" w:rsidRPr="00CD1278">
        <w:rPr>
          <w:b/>
          <w:smallCaps/>
          <w:color w:val="auto"/>
          <w:sz w:val="28"/>
        </w:rPr>
        <w:t>2018</w:t>
      </w:r>
    </w:p>
    <w:p w14:paraId="3CD1EE91" w14:textId="77777777" w:rsidR="008D5F24" w:rsidRPr="00CD1278" w:rsidRDefault="008D5F24" w:rsidP="006B71CA">
      <w:pPr>
        <w:spacing w:after="120"/>
        <w:rPr>
          <w:color w:val="auto"/>
          <w:sz w:val="28"/>
        </w:rPr>
      </w:pPr>
      <w:r w:rsidRPr="00CD1278">
        <w:rPr>
          <w:color w:val="auto"/>
          <w:sz w:val="28"/>
        </w:rPr>
        <w:t>Common Acronyms</w:t>
      </w:r>
    </w:p>
    <w:p w14:paraId="5CBA124E" w14:textId="77777777" w:rsidR="008D5F24" w:rsidRPr="00CD1278" w:rsidRDefault="008D5F24" w:rsidP="006B71CA">
      <w:pPr>
        <w:spacing w:after="120"/>
        <w:rPr>
          <w:color w:val="auto"/>
        </w:rPr>
      </w:pPr>
      <w:r w:rsidRPr="00CD1278">
        <w:rPr>
          <w:color w:val="auto"/>
        </w:rPr>
        <w:t>1,3-D</w:t>
      </w:r>
      <w:r w:rsidRPr="00CD1278">
        <w:rPr>
          <w:color w:val="auto"/>
        </w:rPr>
        <w:tab/>
      </w:r>
      <w:r w:rsidRPr="00CD1278">
        <w:rPr>
          <w:color w:val="auto"/>
        </w:rPr>
        <w:tab/>
        <w:t>1,3-dichloropropene</w:t>
      </w:r>
    </w:p>
    <w:p w14:paraId="695D2E2C" w14:textId="77777777" w:rsidR="008D5F24" w:rsidRPr="00CD1278" w:rsidRDefault="008D5F24" w:rsidP="006B71CA">
      <w:pPr>
        <w:spacing w:after="120"/>
        <w:rPr>
          <w:color w:val="auto"/>
        </w:rPr>
      </w:pPr>
      <w:r w:rsidRPr="00CD1278">
        <w:rPr>
          <w:color w:val="auto"/>
        </w:rPr>
        <w:t>A5</w:t>
      </w:r>
      <w:r w:rsidRPr="00CD1278">
        <w:rPr>
          <w:color w:val="auto"/>
        </w:rPr>
        <w:tab/>
      </w:r>
      <w:r w:rsidRPr="00CD1278">
        <w:rPr>
          <w:color w:val="auto"/>
        </w:rPr>
        <w:tab/>
        <w:t>Article 5 Party</w:t>
      </w:r>
    </w:p>
    <w:p w14:paraId="36C14725" w14:textId="77777777" w:rsidR="008D5F24" w:rsidRPr="00CD1278" w:rsidRDefault="008D5F24" w:rsidP="006B71CA">
      <w:pPr>
        <w:spacing w:after="120"/>
        <w:rPr>
          <w:color w:val="auto"/>
        </w:rPr>
      </w:pPr>
      <w:r w:rsidRPr="00CD1278">
        <w:rPr>
          <w:color w:val="auto"/>
        </w:rPr>
        <w:t xml:space="preserve">ASD </w:t>
      </w:r>
      <w:r w:rsidRPr="00CD1278">
        <w:rPr>
          <w:color w:val="auto"/>
        </w:rPr>
        <w:tab/>
      </w:r>
      <w:r w:rsidRPr="00CD1278">
        <w:rPr>
          <w:color w:val="auto"/>
        </w:rPr>
        <w:tab/>
        <w:t>Anaerobic soil disinfestation</w:t>
      </w:r>
    </w:p>
    <w:p w14:paraId="2FD32544" w14:textId="77777777" w:rsidR="008D5F24" w:rsidRPr="00CD1278" w:rsidRDefault="008D5F24" w:rsidP="006B71CA">
      <w:pPr>
        <w:spacing w:after="120"/>
        <w:rPr>
          <w:color w:val="auto"/>
        </w:rPr>
      </w:pPr>
      <w:r w:rsidRPr="00CD1278">
        <w:rPr>
          <w:color w:val="auto"/>
        </w:rPr>
        <w:t>CUE</w:t>
      </w:r>
      <w:r w:rsidRPr="00CD1278">
        <w:rPr>
          <w:color w:val="auto"/>
        </w:rPr>
        <w:tab/>
      </w:r>
      <w:r w:rsidRPr="00CD1278">
        <w:rPr>
          <w:color w:val="auto"/>
        </w:rPr>
        <w:tab/>
        <w:t>Critical Use Exemption</w:t>
      </w:r>
    </w:p>
    <w:p w14:paraId="52497ED7" w14:textId="77777777" w:rsidR="008D5F24" w:rsidRPr="00CD1278" w:rsidRDefault="008D5F24" w:rsidP="006B71CA">
      <w:pPr>
        <w:spacing w:after="120"/>
        <w:rPr>
          <w:color w:val="auto"/>
        </w:rPr>
      </w:pPr>
      <w:r w:rsidRPr="00CD1278">
        <w:rPr>
          <w:color w:val="auto"/>
        </w:rPr>
        <w:t>CUN</w:t>
      </w:r>
      <w:r w:rsidRPr="00CD1278">
        <w:rPr>
          <w:color w:val="auto"/>
        </w:rPr>
        <w:tab/>
      </w:r>
      <w:r w:rsidRPr="00CD1278">
        <w:rPr>
          <w:color w:val="auto"/>
        </w:rPr>
        <w:tab/>
        <w:t>Critical Use Nomination</w:t>
      </w:r>
    </w:p>
    <w:p w14:paraId="6893CF7A" w14:textId="77777777" w:rsidR="00B10CF8" w:rsidRPr="00CD1278" w:rsidRDefault="00B10CF8" w:rsidP="006B71CA">
      <w:pPr>
        <w:spacing w:after="120"/>
        <w:rPr>
          <w:color w:val="auto"/>
        </w:rPr>
      </w:pPr>
      <w:r w:rsidRPr="00CD1278">
        <w:rPr>
          <w:color w:val="auto"/>
        </w:rPr>
        <w:t>DMDS</w:t>
      </w:r>
      <w:r w:rsidRPr="00CD1278">
        <w:rPr>
          <w:color w:val="auto"/>
        </w:rPr>
        <w:tab/>
      </w:r>
      <w:r w:rsidRPr="00CD1278">
        <w:rPr>
          <w:color w:val="auto"/>
        </w:rPr>
        <w:tab/>
        <w:t>Dimethyl disulphide</w:t>
      </w:r>
    </w:p>
    <w:p w14:paraId="098B5F34" w14:textId="77777777" w:rsidR="008D5F24" w:rsidRPr="00CD1278" w:rsidRDefault="008D5F24" w:rsidP="006B71CA">
      <w:pPr>
        <w:spacing w:after="120"/>
        <w:rPr>
          <w:color w:val="auto"/>
        </w:rPr>
      </w:pPr>
      <w:r w:rsidRPr="00CD1278">
        <w:rPr>
          <w:color w:val="auto"/>
        </w:rPr>
        <w:t>DOI</w:t>
      </w:r>
      <w:r w:rsidRPr="00CD1278">
        <w:rPr>
          <w:color w:val="auto"/>
        </w:rPr>
        <w:tab/>
      </w:r>
      <w:r w:rsidRPr="00CD1278">
        <w:rPr>
          <w:color w:val="auto"/>
        </w:rPr>
        <w:tab/>
        <w:t>Disclosure of Interest</w:t>
      </w:r>
    </w:p>
    <w:p w14:paraId="42D0063D" w14:textId="77777777" w:rsidR="008D5F24" w:rsidRPr="00CD1278" w:rsidRDefault="000F22AA" w:rsidP="006B71CA">
      <w:pPr>
        <w:spacing w:after="120"/>
        <w:rPr>
          <w:color w:val="auto"/>
        </w:rPr>
      </w:pPr>
      <w:r w:rsidRPr="00CD1278">
        <w:rPr>
          <w:color w:val="auto"/>
        </w:rPr>
        <w:t>EU</w:t>
      </w:r>
      <w:r w:rsidR="008D5F24" w:rsidRPr="00CD1278">
        <w:rPr>
          <w:color w:val="auto"/>
        </w:rPr>
        <w:tab/>
      </w:r>
      <w:r w:rsidR="008D5F24" w:rsidRPr="00CD1278">
        <w:rPr>
          <w:color w:val="auto"/>
        </w:rPr>
        <w:tab/>
        <w:t xml:space="preserve">European </w:t>
      </w:r>
      <w:r w:rsidRPr="00CD1278">
        <w:rPr>
          <w:color w:val="auto"/>
        </w:rPr>
        <w:t>Union</w:t>
      </w:r>
    </w:p>
    <w:p w14:paraId="418C1C6A" w14:textId="1ED79C0F" w:rsidR="008D5F24" w:rsidRPr="00CD1278" w:rsidRDefault="008D5F24" w:rsidP="006B71CA">
      <w:pPr>
        <w:spacing w:after="120"/>
        <w:rPr>
          <w:color w:val="auto"/>
        </w:rPr>
      </w:pPr>
      <w:r w:rsidRPr="00CD1278">
        <w:rPr>
          <w:color w:val="auto"/>
        </w:rPr>
        <w:t>E</w:t>
      </w:r>
      <w:r w:rsidR="007C2976" w:rsidRPr="00CD1278">
        <w:rPr>
          <w:color w:val="auto"/>
        </w:rPr>
        <w:t>x</w:t>
      </w:r>
      <w:r w:rsidRPr="00CD1278">
        <w:rPr>
          <w:color w:val="auto"/>
        </w:rPr>
        <w:t>MOP</w:t>
      </w:r>
      <w:r w:rsidRPr="00CD1278">
        <w:rPr>
          <w:color w:val="auto"/>
        </w:rPr>
        <w:tab/>
      </w:r>
      <w:r w:rsidRPr="00CD1278">
        <w:rPr>
          <w:color w:val="auto"/>
        </w:rPr>
        <w:tab/>
        <w:t>Extraordinary Meeting of the Parties</w:t>
      </w:r>
    </w:p>
    <w:p w14:paraId="372AE893" w14:textId="77777777" w:rsidR="008D5F24" w:rsidRPr="00CD1278" w:rsidRDefault="008D5F24" w:rsidP="006B71CA">
      <w:pPr>
        <w:spacing w:after="120"/>
        <w:rPr>
          <w:color w:val="auto"/>
        </w:rPr>
      </w:pPr>
      <w:r w:rsidRPr="00CD1278">
        <w:rPr>
          <w:color w:val="auto"/>
        </w:rPr>
        <w:t>EPA</w:t>
      </w:r>
      <w:r w:rsidRPr="00CD1278">
        <w:rPr>
          <w:color w:val="auto"/>
        </w:rPr>
        <w:tab/>
      </w:r>
      <w:r w:rsidRPr="00CD1278">
        <w:rPr>
          <w:color w:val="auto"/>
        </w:rPr>
        <w:tab/>
        <w:t>Environmental Protection Agency</w:t>
      </w:r>
    </w:p>
    <w:p w14:paraId="04290F9F" w14:textId="77777777" w:rsidR="008D5F24" w:rsidRPr="00CD1278" w:rsidRDefault="008D5F24" w:rsidP="006B71CA">
      <w:pPr>
        <w:spacing w:after="120"/>
        <w:rPr>
          <w:color w:val="auto"/>
        </w:rPr>
      </w:pPr>
      <w:r w:rsidRPr="00CD1278">
        <w:rPr>
          <w:color w:val="auto"/>
        </w:rPr>
        <w:t>EPPO</w:t>
      </w:r>
      <w:r w:rsidRPr="00CD1278">
        <w:rPr>
          <w:color w:val="auto"/>
        </w:rPr>
        <w:tab/>
      </w:r>
      <w:r w:rsidRPr="00CD1278">
        <w:rPr>
          <w:color w:val="auto"/>
        </w:rPr>
        <w:tab/>
        <w:t>European Plant Protection Organisation</w:t>
      </w:r>
    </w:p>
    <w:p w14:paraId="3648ED6D" w14:textId="56C86F8E" w:rsidR="008D5F24" w:rsidRPr="00CD1278" w:rsidRDefault="008D5F24" w:rsidP="006B71CA">
      <w:pPr>
        <w:spacing w:after="120"/>
        <w:rPr>
          <w:color w:val="auto"/>
        </w:rPr>
      </w:pPr>
      <w:r w:rsidRPr="00CD1278">
        <w:rPr>
          <w:color w:val="auto"/>
        </w:rPr>
        <w:t>IM</w:t>
      </w:r>
      <w:r w:rsidRPr="00CD1278">
        <w:rPr>
          <w:color w:val="auto"/>
        </w:rPr>
        <w:tab/>
      </w:r>
      <w:r w:rsidRPr="00CD1278">
        <w:rPr>
          <w:color w:val="auto"/>
        </w:rPr>
        <w:tab/>
        <w:t>Iodomethane</w:t>
      </w:r>
      <w:r w:rsidR="00BC4CBB" w:rsidRPr="00CD1278">
        <w:rPr>
          <w:color w:val="auto"/>
        </w:rPr>
        <w:t xml:space="preserve"> (methyl iodide)</w:t>
      </w:r>
    </w:p>
    <w:p w14:paraId="26C93DF3" w14:textId="77777777" w:rsidR="008D5F24" w:rsidRPr="00CD1278" w:rsidRDefault="008D5F24" w:rsidP="006B71CA">
      <w:pPr>
        <w:spacing w:after="120"/>
        <w:rPr>
          <w:color w:val="auto"/>
        </w:rPr>
      </w:pPr>
      <w:r w:rsidRPr="00CD1278">
        <w:rPr>
          <w:color w:val="auto"/>
        </w:rPr>
        <w:t>IPM</w:t>
      </w:r>
      <w:r w:rsidRPr="00CD1278">
        <w:rPr>
          <w:color w:val="auto"/>
        </w:rPr>
        <w:tab/>
      </w:r>
      <w:r w:rsidRPr="00CD1278">
        <w:rPr>
          <w:color w:val="auto"/>
        </w:rPr>
        <w:tab/>
        <w:t>Integrated Pest Management</w:t>
      </w:r>
    </w:p>
    <w:p w14:paraId="115A5478" w14:textId="77777777" w:rsidR="008D5F24" w:rsidRPr="00CD1278" w:rsidRDefault="008D5F24" w:rsidP="006B71CA">
      <w:pPr>
        <w:spacing w:after="120"/>
        <w:rPr>
          <w:color w:val="auto"/>
        </w:rPr>
      </w:pPr>
      <w:r w:rsidRPr="00CD1278">
        <w:rPr>
          <w:color w:val="auto"/>
        </w:rPr>
        <w:t>IPPC</w:t>
      </w:r>
      <w:r w:rsidRPr="00CD1278">
        <w:rPr>
          <w:color w:val="auto"/>
        </w:rPr>
        <w:tab/>
      </w:r>
      <w:r w:rsidRPr="00CD1278">
        <w:rPr>
          <w:color w:val="auto"/>
        </w:rPr>
        <w:tab/>
        <w:t>International Plant Protection Convention</w:t>
      </w:r>
    </w:p>
    <w:p w14:paraId="5167341E" w14:textId="77777777" w:rsidR="008D5F24" w:rsidRPr="00CD1278" w:rsidRDefault="008D5F24" w:rsidP="006B71CA">
      <w:pPr>
        <w:spacing w:after="120"/>
        <w:rPr>
          <w:color w:val="auto"/>
        </w:rPr>
      </w:pPr>
      <w:r w:rsidRPr="00CD1278">
        <w:rPr>
          <w:color w:val="auto"/>
        </w:rPr>
        <w:t xml:space="preserve">ISPM </w:t>
      </w:r>
      <w:r w:rsidRPr="00CD1278">
        <w:rPr>
          <w:color w:val="auto"/>
        </w:rPr>
        <w:tab/>
      </w:r>
      <w:r w:rsidRPr="00CD1278">
        <w:rPr>
          <w:color w:val="auto"/>
        </w:rPr>
        <w:tab/>
        <w:t>International Standard Phytosanitary Measure</w:t>
      </w:r>
    </w:p>
    <w:p w14:paraId="7F474966" w14:textId="77777777" w:rsidR="008D5F24" w:rsidRPr="00CD1278" w:rsidRDefault="008D5F24" w:rsidP="006B71CA">
      <w:pPr>
        <w:spacing w:after="120"/>
        <w:rPr>
          <w:color w:val="auto"/>
        </w:rPr>
      </w:pPr>
      <w:r w:rsidRPr="00CD1278">
        <w:rPr>
          <w:color w:val="auto"/>
        </w:rPr>
        <w:t>LPBF</w:t>
      </w:r>
      <w:r w:rsidRPr="00CD1278">
        <w:rPr>
          <w:color w:val="auto"/>
        </w:rPr>
        <w:tab/>
      </w:r>
      <w:r w:rsidRPr="00CD1278">
        <w:rPr>
          <w:color w:val="auto"/>
        </w:rPr>
        <w:tab/>
        <w:t>Low Permeability Barrier Film (including VIF films)</w:t>
      </w:r>
    </w:p>
    <w:p w14:paraId="6CD7BA79" w14:textId="77777777" w:rsidR="008D5F24" w:rsidRPr="00CD1278" w:rsidRDefault="008D5F24" w:rsidP="006B71CA">
      <w:pPr>
        <w:spacing w:after="120"/>
        <w:rPr>
          <w:color w:val="auto"/>
        </w:rPr>
      </w:pPr>
      <w:r w:rsidRPr="00CD1278">
        <w:rPr>
          <w:color w:val="auto"/>
        </w:rPr>
        <w:t>MB</w:t>
      </w:r>
      <w:r w:rsidRPr="00CD1278">
        <w:rPr>
          <w:color w:val="auto"/>
        </w:rPr>
        <w:tab/>
      </w:r>
      <w:r w:rsidRPr="00CD1278">
        <w:rPr>
          <w:color w:val="auto"/>
        </w:rPr>
        <w:tab/>
        <w:t>Methyl Bromide</w:t>
      </w:r>
    </w:p>
    <w:p w14:paraId="2B19ADDE" w14:textId="77777777" w:rsidR="008D5F24" w:rsidRPr="00CD1278" w:rsidRDefault="008D5F24" w:rsidP="006B71CA">
      <w:pPr>
        <w:spacing w:after="120"/>
        <w:rPr>
          <w:color w:val="auto"/>
        </w:rPr>
      </w:pPr>
      <w:r w:rsidRPr="00CD1278">
        <w:rPr>
          <w:color w:val="auto"/>
        </w:rPr>
        <w:t>MBTOC</w:t>
      </w:r>
      <w:r w:rsidRPr="00CD1278">
        <w:rPr>
          <w:color w:val="auto"/>
        </w:rPr>
        <w:tab/>
      </w:r>
      <w:r w:rsidRPr="00CD1278">
        <w:rPr>
          <w:color w:val="auto"/>
        </w:rPr>
        <w:tab/>
        <w:t>Methyl Bromide Technical Options Committee</w:t>
      </w:r>
    </w:p>
    <w:p w14:paraId="132FE582" w14:textId="77777777" w:rsidR="008D5F24" w:rsidRPr="00CD1278" w:rsidRDefault="008D5F24" w:rsidP="006B71CA">
      <w:pPr>
        <w:spacing w:after="120"/>
        <w:rPr>
          <w:color w:val="auto"/>
        </w:rPr>
      </w:pPr>
      <w:r w:rsidRPr="00CD1278">
        <w:rPr>
          <w:color w:val="auto"/>
        </w:rPr>
        <w:t>MITC</w:t>
      </w:r>
      <w:r w:rsidRPr="00CD1278">
        <w:rPr>
          <w:color w:val="auto"/>
        </w:rPr>
        <w:tab/>
      </w:r>
      <w:r w:rsidRPr="00CD1278">
        <w:rPr>
          <w:color w:val="auto"/>
        </w:rPr>
        <w:tab/>
        <w:t>Methyl isothiocyanate</w:t>
      </w:r>
    </w:p>
    <w:p w14:paraId="2F84671F" w14:textId="77777777" w:rsidR="008D5F24" w:rsidRPr="00CD1278" w:rsidRDefault="008D5F24" w:rsidP="006B71CA">
      <w:pPr>
        <w:spacing w:after="120"/>
        <w:rPr>
          <w:color w:val="auto"/>
        </w:rPr>
      </w:pPr>
      <w:r w:rsidRPr="00CD1278">
        <w:rPr>
          <w:color w:val="auto"/>
        </w:rPr>
        <w:t>MOP</w:t>
      </w:r>
      <w:r w:rsidRPr="00CD1278">
        <w:rPr>
          <w:color w:val="auto"/>
        </w:rPr>
        <w:tab/>
      </w:r>
      <w:r w:rsidRPr="00CD1278">
        <w:rPr>
          <w:color w:val="auto"/>
        </w:rPr>
        <w:tab/>
        <w:t>Meeting of the Parties</w:t>
      </w:r>
    </w:p>
    <w:p w14:paraId="0574E143" w14:textId="77777777" w:rsidR="008D5F24" w:rsidRPr="00CD1278" w:rsidRDefault="008D5F24" w:rsidP="006B71CA">
      <w:pPr>
        <w:spacing w:after="120"/>
        <w:rPr>
          <w:color w:val="auto"/>
        </w:rPr>
      </w:pPr>
      <w:r w:rsidRPr="00CD1278">
        <w:rPr>
          <w:color w:val="auto"/>
        </w:rPr>
        <w:t>MS</w:t>
      </w:r>
      <w:r w:rsidRPr="00CD1278">
        <w:rPr>
          <w:color w:val="auto"/>
        </w:rPr>
        <w:tab/>
      </w:r>
      <w:r w:rsidRPr="00CD1278">
        <w:rPr>
          <w:color w:val="auto"/>
        </w:rPr>
        <w:tab/>
        <w:t>Met</w:t>
      </w:r>
      <w:r w:rsidR="00B10CF8" w:rsidRPr="00CD1278">
        <w:rPr>
          <w:color w:val="auto"/>
        </w:rPr>
        <w:t>h</w:t>
      </w:r>
      <w:r w:rsidRPr="00CD1278">
        <w:rPr>
          <w:color w:val="auto"/>
        </w:rPr>
        <w:t xml:space="preserve">am </w:t>
      </w:r>
      <w:r w:rsidR="00B10CF8" w:rsidRPr="00CD1278">
        <w:rPr>
          <w:color w:val="auto"/>
        </w:rPr>
        <w:t xml:space="preserve">(metam) </w:t>
      </w:r>
      <w:r w:rsidRPr="00CD1278">
        <w:rPr>
          <w:color w:val="auto"/>
        </w:rPr>
        <w:t>sodium</w:t>
      </w:r>
    </w:p>
    <w:p w14:paraId="5D56F21D" w14:textId="099CB38C" w:rsidR="000141FA" w:rsidRPr="00CD1278" w:rsidRDefault="000141FA" w:rsidP="006B71CA">
      <w:pPr>
        <w:spacing w:after="120"/>
        <w:rPr>
          <w:color w:val="auto"/>
        </w:rPr>
      </w:pPr>
      <w:r w:rsidRPr="00CD1278">
        <w:rPr>
          <w:color w:val="auto"/>
        </w:rPr>
        <w:t>Non-A5</w:t>
      </w:r>
      <w:r w:rsidRPr="00CD1278">
        <w:rPr>
          <w:color w:val="auto"/>
        </w:rPr>
        <w:tab/>
      </w:r>
      <w:r w:rsidRPr="00CD1278">
        <w:rPr>
          <w:color w:val="auto"/>
        </w:rPr>
        <w:tab/>
        <w:t>Non Article 5 Party</w:t>
      </w:r>
    </w:p>
    <w:p w14:paraId="6FF28860" w14:textId="77777777" w:rsidR="008D5F24" w:rsidRPr="00CD1278" w:rsidRDefault="008D5F24" w:rsidP="006B71CA">
      <w:pPr>
        <w:spacing w:after="120"/>
        <w:rPr>
          <w:color w:val="auto"/>
        </w:rPr>
      </w:pPr>
      <w:r w:rsidRPr="00CD1278">
        <w:rPr>
          <w:color w:val="auto"/>
        </w:rPr>
        <w:t>OEWG</w:t>
      </w:r>
      <w:r w:rsidRPr="00CD1278">
        <w:rPr>
          <w:color w:val="auto"/>
        </w:rPr>
        <w:tab/>
      </w:r>
      <w:r w:rsidRPr="00CD1278">
        <w:rPr>
          <w:color w:val="auto"/>
        </w:rPr>
        <w:tab/>
        <w:t>Open Ended Working Group</w:t>
      </w:r>
    </w:p>
    <w:p w14:paraId="4666BE31" w14:textId="77777777" w:rsidR="008D5F24" w:rsidRPr="00CD1278" w:rsidRDefault="008D5F24" w:rsidP="006B71CA">
      <w:pPr>
        <w:spacing w:after="120"/>
        <w:rPr>
          <w:color w:val="auto"/>
        </w:rPr>
      </w:pPr>
      <w:r w:rsidRPr="00CD1278">
        <w:rPr>
          <w:color w:val="auto"/>
        </w:rPr>
        <w:t>Pic</w:t>
      </w:r>
      <w:r w:rsidRPr="00CD1278">
        <w:rPr>
          <w:color w:val="auto"/>
        </w:rPr>
        <w:tab/>
      </w:r>
      <w:r w:rsidRPr="00CD1278">
        <w:rPr>
          <w:color w:val="auto"/>
        </w:rPr>
        <w:tab/>
        <w:t>Chloropicrin</w:t>
      </w:r>
    </w:p>
    <w:p w14:paraId="6E9B2641" w14:textId="77777777" w:rsidR="008D5F24" w:rsidRPr="00CD1278" w:rsidRDefault="008D5F24" w:rsidP="006B71CA">
      <w:pPr>
        <w:spacing w:after="120"/>
        <w:rPr>
          <w:color w:val="auto"/>
        </w:rPr>
      </w:pPr>
      <w:r w:rsidRPr="00CD1278">
        <w:rPr>
          <w:color w:val="auto"/>
        </w:rPr>
        <w:t>QPS</w:t>
      </w:r>
      <w:r w:rsidRPr="00CD1278">
        <w:rPr>
          <w:color w:val="auto"/>
        </w:rPr>
        <w:tab/>
      </w:r>
      <w:r w:rsidRPr="00CD1278">
        <w:rPr>
          <w:color w:val="auto"/>
        </w:rPr>
        <w:tab/>
        <w:t>Quarantine and Pre-shipment</w:t>
      </w:r>
    </w:p>
    <w:p w14:paraId="51177E41" w14:textId="77777777" w:rsidR="008D5F24" w:rsidRPr="00CD1278" w:rsidRDefault="008D5F24" w:rsidP="006B71CA">
      <w:pPr>
        <w:spacing w:after="120"/>
        <w:rPr>
          <w:color w:val="auto"/>
        </w:rPr>
      </w:pPr>
      <w:r w:rsidRPr="00CD1278">
        <w:rPr>
          <w:color w:val="auto"/>
        </w:rPr>
        <w:t>SF</w:t>
      </w:r>
      <w:r w:rsidRPr="00CD1278">
        <w:rPr>
          <w:color w:val="auto"/>
        </w:rPr>
        <w:tab/>
      </w:r>
      <w:r w:rsidRPr="00CD1278">
        <w:rPr>
          <w:color w:val="auto"/>
        </w:rPr>
        <w:tab/>
        <w:t>Sulfuryl fluoride</w:t>
      </w:r>
    </w:p>
    <w:p w14:paraId="0D535A29" w14:textId="77777777" w:rsidR="008D5F24" w:rsidRPr="00CD1278" w:rsidRDefault="008D5F24" w:rsidP="006B71CA">
      <w:pPr>
        <w:spacing w:after="120"/>
        <w:rPr>
          <w:color w:val="auto"/>
        </w:rPr>
      </w:pPr>
      <w:r w:rsidRPr="00CD1278">
        <w:rPr>
          <w:color w:val="auto"/>
        </w:rPr>
        <w:t>TEAP</w:t>
      </w:r>
      <w:r w:rsidRPr="00CD1278">
        <w:rPr>
          <w:color w:val="auto"/>
        </w:rPr>
        <w:tab/>
      </w:r>
      <w:r w:rsidRPr="00CD1278">
        <w:rPr>
          <w:color w:val="auto"/>
        </w:rPr>
        <w:tab/>
        <w:t>Technology and Economics Assessment Panel</w:t>
      </w:r>
      <w:r w:rsidRPr="00CD1278">
        <w:rPr>
          <w:color w:val="auto"/>
        </w:rPr>
        <w:tab/>
      </w:r>
    </w:p>
    <w:p w14:paraId="51B68281" w14:textId="77777777" w:rsidR="008D5F24" w:rsidRPr="00CD1278" w:rsidRDefault="008D5F24" w:rsidP="006B71CA">
      <w:pPr>
        <w:spacing w:after="120"/>
        <w:rPr>
          <w:color w:val="auto"/>
        </w:rPr>
      </w:pPr>
      <w:r w:rsidRPr="00CD1278">
        <w:rPr>
          <w:color w:val="auto"/>
        </w:rPr>
        <w:t>TIF</w:t>
      </w:r>
      <w:r w:rsidRPr="00CD1278">
        <w:rPr>
          <w:color w:val="auto"/>
        </w:rPr>
        <w:tab/>
      </w:r>
      <w:r w:rsidRPr="00CD1278">
        <w:rPr>
          <w:color w:val="auto"/>
        </w:rPr>
        <w:tab/>
        <w:t>Totally Impermeable Film</w:t>
      </w:r>
      <w:r w:rsidRPr="00CD1278">
        <w:rPr>
          <w:color w:val="auto"/>
        </w:rPr>
        <w:tab/>
      </w:r>
    </w:p>
    <w:p w14:paraId="61B95DC3" w14:textId="77777777" w:rsidR="008D5F24" w:rsidRPr="00CD1278" w:rsidRDefault="008D5F24" w:rsidP="006B71CA">
      <w:pPr>
        <w:spacing w:after="120"/>
        <w:rPr>
          <w:color w:val="auto"/>
        </w:rPr>
      </w:pPr>
      <w:r w:rsidRPr="00CD1278">
        <w:rPr>
          <w:color w:val="auto"/>
        </w:rPr>
        <w:t>VIF</w:t>
      </w:r>
      <w:r w:rsidRPr="00CD1278">
        <w:rPr>
          <w:color w:val="auto"/>
        </w:rPr>
        <w:tab/>
      </w:r>
      <w:r w:rsidRPr="00CD1278">
        <w:rPr>
          <w:color w:val="auto"/>
        </w:rPr>
        <w:tab/>
        <w:t>Virtually Impermeable Film</w:t>
      </w:r>
    </w:p>
    <w:p w14:paraId="1F4EE5F2" w14:textId="77777777" w:rsidR="008D5F24" w:rsidRPr="00CD1278" w:rsidRDefault="008D5F24" w:rsidP="006B71CA">
      <w:pPr>
        <w:spacing w:after="120"/>
        <w:rPr>
          <w:color w:val="auto"/>
          <w:sz w:val="28"/>
        </w:rPr>
        <w:sectPr w:rsidR="008D5F24" w:rsidRPr="00CD1278" w:rsidSect="00C4152F">
          <w:headerReference w:type="even" r:id="rId27"/>
          <w:headerReference w:type="default" r:id="rId28"/>
          <w:headerReference w:type="first" r:id="rId29"/>
          <w:pgSz w:w="11909" w:h="16834" w:code="9"/>
          <w:pgMar w:top="1440" w:right="1797" w:bottom="851" w:left="1797" w:header="720" w:footer="720" w:gutter="0"/>
          <w:pgNumType w:fmt="lowerRoman"/>
          <w:cols w:space="720"/>
          <w:docGrid w:linePitch="360"/>
        </w:sectPr>
      </w:pPr>
      <w:r w:rsidRPr="00CD1278">
        <w:rPr>
          <w:color w:val="auto"/>
        </w:rPr>
        <w:t>VOC</w:t>
      </w:r>
      <w:r w:rsidRPr="00CD1278">
        <w:rPr>
          <w:color w:val="auto"/>
        </w:rPr>
        <w:tab/>
      </w:r>
      <w:r w:rsidRPr="00CD1278">
        <w:rPr>
          <w:color w:val="auto"/>
        </w:rPr>
        <w:tab/>
        <w:t>Volatile Organic Compounds</w:t>
      </w:r>
    </w:p>
    <w:p w14:paraId="05BFB160" w14:textId="77777777" w:rsidR="00660441" w:rsidRPr="00CD1278" w:rsidRDefault="008B08D6" w:rsidP="00E54A8D">
      <w:pPr>
        <w:pStyle w:val="Title"/>
        <w:rPr>
          <w:rStyle w:val="Heading1Char3"/>
          <w:rFonts w:ascii="Times New Roman" w:hAnsi="Times New Roman"/>
          <w:color w:val="auto"/>
        </w:rPr>
      </w:pPr>
      <w:r w:rsidRPr="00CD1278">
        <w:rPr>
          <w:rStyle w:val="Heading1Char3"/>
          <w:rFonts w:ascii="Times New Roman" w:hAnsi="Times New Roman"/>
          <w:b/>
          <w:color w:val="auto"/>
        </w:rPr>
        <w:t xml:space="preserve">2018 </w:t>
      </w:r>
      <w:r w:rsidR="008D5F24" w:rsidRPr="00CD1278">
        <w:rPr>
          <w:rStyle w:val="Heading1Char3"/>
          <w:rFonts w:ascii="Times New Roman" w:hAnsi="Times New Roman"/>
          <w:b/>
          <w:color w:val="auto"/>
        </w:rPr>
        <w:t xml:space="preserve">Evaluation of Critical Use Nominations for Methyl Bromide and Related Matters – </w:t>
      </w:r>
      <w:r w:rsidR="00254F25" w:rsidRPr="00CD1278">
        <w:rPr>
          <w:rStyle w:val="Heading1Char3"/>
          <w:rFonts w:ascii="Times New Roman" w:hAnsi="Times New Roman"/>
          <w:b/>
          <w:color w:val="auto"/>
        </w:rPr>
        <w:t>Interim</w:t>
      </w:r>
      <w:r w:rsidR="008D5F24" w:rsidRPr="00CD1278">
        <w:rPr>
          <w:rStyle w:val="Heading1Char3"/>
          <w:rFonts w:ascii="Times New Roman" w:hAnsi="Times New Roman"/>
          <w:b/>
          <w:color w:val="auto"/>
        </w:rPr>
        <w:t xml:space="preserve"> Report</w:t>
      </w:r>
      <w:r w:rsidR="00CF7CAA" w:rsidRPr="00CD1278">
        <w:rPr>
          <w:rStyle w:val="Heading1Char3"/>
          <w:rFonts w:ascii="Times New Roman" w:hAnsi="Times New Roman"/>
          <w:b/>
          <w:color w:val="auto"/>
        </w:rPr>
        <w:t xml:space="preserve"> </w:t>
      </w:r>
    </w:p>
    <w:p w14:paraId="736F2982" w14:textId="4914343F" w:rsidR="008D5F24" w:rsidRPr="00CD1278" w:rsidRDefault="008D5F24" w:rsidP="00E54A8D">
      <w:pPr>
        <w:pStyle w:val="Title"/>
        <w:jc w:val="left"/>
        <w:rPr>
          <w:color w:val="auto"/>
        </w:rPr>
      </w:pPr>
      <w:r w:rsidRPr="00CD1278">
        <w:rPr>
          <w:color w:val="auto"/>
          <w:sz w:val="28"/>
        </w:rPr>
        <w:t>Table of Contents</w:t>
      </w:r>
    </w:p>
    <w:p w14:paraId="0231B16E" w14:textId="7B654A0B" w:rsidR="002873C0" w:rsidRPr="00CD1278" w:rsidRDefault="001E3306">
      <w:pPr>
        <w:pStyle w:val="TOC1"/>
        <w:rPr>
          <w:rFonts w:asciiTheme="majorBidi" w:eastAsiaTheme="minorEastAsia" w:hAnsiTheme="majorBidi" w:cstheme="majorBidi"/>
          <w:b w:val="0"/>
          <w:color w:val="auto"/>
          <w:sz w:val="22"/>
          <w:szCs w:val="22"/>
          <w:lang w:eastAsia="en-AU"/>
        </w:rPr>
      </w:pPr>
      <w:r w:rsidRPr="00CD1278">
        <w:rPr>
          <w:rFonts w:asciiTheme="majorBidi" w:hAnsiTheme="majorBidi" w:cstheme="majorBidi"/>
          <w:caps/>
          <w:color w:val="auto"/>
        </w:rPr>
        <w:fldChar w:fldCharType="begin"/>
      </w:r>
      <w:r w:rsidRPr="00CD1278">
        <w:rPr>
          <w:rFonts w:asciiTheme="majorBidi" w:hAnsiTheme="majorBidi" w:cstheme="majorBidi"/>
          <w:caps/>
          <w:color w:val="auto"/>
        </w:rPr>
        <w:instrText xml:space="preserve"> TOC \o "1-4" </w:instrText>
      </w:r>
      <w:r w:rsidRPr="00CD1278">
        <w:rPr>
          <w:rFonts w:asciiTheme="majorBidi" w:hAnsiTheme="majorBidi" w:cstheme="majorBidi"/>
          <w:caps/>
          <w:color w:val="auto"/>
        </w:rPr>
        <w:fldChar w:fldCharType="separate"/>
      </w:r>
      <w:r w:rsidR="002873C0" w:rsidRPr="00CD1278">
        <w:rPr>
          <w:rFonts w:asciiTheme="majorBidi" w:hAnsiTheme="majorBidi" w:cstheme="majorBidi"/>
          <w:color w:val="auto"/>
        </w:rPr>
        <w:t xml:space="preserve">1.0 </w:t>
      </w:r>
      <w:r w:rsidR="002873C0" w:rsidRPr="00CD1278">
        <w:rPr>
          <w:rFonts w:asciiTheme="majorBidi" w:eastAsiaTheme="minorEastAsia" w:hAnsiTheme="majorBidi" w:cstheme="majorBidi"/>
          <w:b w:val="0"/>
          <w:color w:val="auto"/>
          <w:sz w:val="22"/>
          <w:szCs w:val="22"/>
          <w:lang w:eastAsia="en-AU"/>
        </w:rPr>
        <w:tab/>
      </w:r>
      <w:r w:rsidR="002873C0" w:rsidRPr="00CD1278">
        <w:rPr>
          <w:rFonts w:asciiTheme="majorBidi" w:hAnsiTheme="majorBidi" w:cstheme="majorBidi"/>
          <w:color w:val="auto"/>
        </w:rPr>
        <w:t>Executive Summary</w:t>
      </w:r>
      <w:r w:rsidR="002873C0" w:rsidRPr="00CD1278">
        <w:rPr>
          <w:rFonts w:asciiTheme="majorBidi" w:hAnsiTheme="majorBidi" w:cstheme="majorBidi"/>
          <w:color w:val="auto"/>
        </w:rPr>
        <w:tab/>
      </w:r>
      <w:r w:rsidR="002873C0" w:rsidRPr="00CD1278">
        <w:rPr>
          <w:rFonts w:asciiTheme="majorBidi" w:hAnsiTheme="majorBidi" w:cstheme="majorBidi"/>
          <w:color w:val="auto"/>
        </w:rPr>
        <w:fldChar w:fldCharType="begin"/>
      </w:r>
      <w:r w:rsidR="002873C0" w:rsidRPr="00CD1278">
        <w:rPr>
          <w:rFonts w:asciiTheme="majorBidi" w:hAnsiTheme="majorBidi" w:cstheme="majorBidi"/>
          <w:color w:val="auto"/>
        </w:rPr>
        <w:instrText xml:space="preserve"> PAGEREF _Toc453277803 \h </w:instrText>
      </w:r>
      <w:r w:rsidR="002873C0" w:rsidRPr="00CD1278">
        <w:rPr>
          <w:rFonts w:asciiTheme="majorBidi" w:hAnsiTheme="majorBidi" w:cstheme="majorBidi"/>
          <w:color w:val="auto"/>
        </w:rPr>
      </w:r>
      <w:r w:rsidR="002873C0" w:rsidRPr="00CD1278">
        <w:rPr>
          <w:rFonts w:asciiTheme="majorBidi" w:hAnsiTheme="majorBidi" w:cstheme="majorBidi"/>
          <w:color w:val="auto"/>
        </w:rPr>
        <w:fldChar w:fldCharType="separate"/>
      </w:r>
      <w:r w:rsidR="003827E5">
        <w:rPr>
          <w:rFonts w:asciiTheme="majorBidi" w:hAnsiTheme="majorBidi" w:cstheme="majorBidi"/>
          <w:color w:val="auto"/>
        </w:rPr>
        <w:t>1</w:t>
      </w:r>
      <w:r w:rsidR="002873C0" w:rsidRPr="00CD1278">
        <w:rPr>
          <w:rFonts w:asciiTheme="majorBidi" w:hAnsiTheme="majorBidi" w:cstheme="majorBidi"/>
          <w:color w:val="auto"/>
        </w:rPr>
        <w:fldChar w:fldCharType="end"/>
      </w:r>
    </w:p>
    <w:p w14:paraId="477079D0" w14:textId="7DC92BF6" w:rsidR="002873C0" w:rsidRPr="00CD1278" w:rsidRDefault="002873C0">
      <w:pPr>
        <w:pStyle w:val="TOC1"/>
        <w:rPr>
          <w:rFonts w:asciiTheme="majorBidi" w:eastAsiaTheme="minorEastAsia" w:hAnsiTheme="majorBidi" w:cstheme="majorBidi"/>
          <w:b w:val="0"/>
          <w:color w:val="auto"/>
          <w:sz w:val="22"/>
          <w:szCs w:val="22"/>
          <w:lang w:eastAsia="en-AU"/>
        </w:rPr>
      </w:pPr>
      <w:r w:rsidRPr="00CD1278">
        <w:rPr>
          <w:rFonts w:asciiTheme="majorBidi" w:hAnsiTheme="majorBidi" w:cstheme="majorBidi"/>
          <w:color w:val="auto"/>
        </w:rPr>
        <w:t xml:space="preserve">1.1 </w:t>
      </w:r>
      <w:r w:rsidRPr="00CD1278">
        <w:rPr>
          <w:rFonts w:asciiTheme="majorBidi" w:eastAsiaTheme="minorEastAsia" w:hAnsiTheme="majorBidi" w:cstheme="majorBidi"/>
          <w:b w:val="0"/>
          <w:color w:val="auto"/>
          <w:sz w:val="22"/>
          <w:szCs w:val="22"/>
          <w:lang w:eastAsia="en-AU"/>
        </w:rPr>
        <w:tab/>
      </w:r>
      <w:r w:rsidRPr="00CD1278">
        <w:rPr>
          <w:rFonts w:asciiTheme="majorBidi" w:hAnsiTheme="majorBidi" w:cstheme="majorBidi"/>
          <w:color w:val="auto"/>
        </w:rPr>
        <w:t xml:space="preserve">Scope </w:t>
      </w:r>
      <w:r w:rsidRPr="00CD1278">
        <w:rPr>
          <w:rFonts w:asciiTheme="majorBidi" w:hAnsiTheme="majorBidi" w:cstheme="majorBidi"/>
          <w:b w:val="0"/>
          <w:bCs/>
          <w:color w:val="auto"/>
        </w:rPr>
        <w:t>of</w:t>
      </w:r>
      <w:r w:rsidRPr="00CD1278">
        <w:rPr>
          <w:rFonts w:asciiTheme="majorBidi" w:hAnsiTheme="majorBidi" w:cstheme="majorBidi"/>
          <w:color w:val="auto"/>
        </w:rPr>
        <w:t xml:space="preserve"> the Report</w:t>
      </w:r>
      <w:r w:rsidRPr="00CD1278">
        <w:rPr>
          <w:rFonts w:asciiTheme="majorBidi" w:hAnsiTheme="majorBidi" w:cstheme="majorBidi"/>
          <w:color w:val="auto"/>
        </w:rPr>
        <w:tab/>
      </w:r>
      <w:r w:rsidRPr="00CD1278">
        <w:rPr>
          <w:rFonts w:asciiTheme="majorBidi" w:hAnsiTheme="majorBidi" w:cstheme="majorBidi"/>
          <w:color w:val="auto"/>
        </w:rPr>
        <w:fldChar w:fldCharType="begin"/>
      </w:r>
      <w:r w:rsidRPr="00CD1278">
        <w:rPr>
          <w:rFonts w:asciiTheme="majorBidi" w:hAnsiTheme="majorBidi" w:cstheme="majorBidi"/>
          <w:color w:val="auto"/>
        </w:rPr>
        <w:instrText xml:space="preserve"> PAGEREF _Toc453277804 \h </w:instrText>
      </w:r>
      <w:r w:rsidRPr="00CD1278">
        <w:rPr>
          <w:rFonts w:asciiTheme="majorBidi" w:hAnsiTheme="majorBidi" w:cstheme="majorBidi"/>
          <w:color w:val="auto"/>
        </w:rPr>
      </w:r>
      <w:r w:rsidRPr="00CD1278">
        <w:rPr>
          <w:rFonts w:asciiTheme="majorBidi" w:hAnsiTheme="majorBidi" w:cstheme="majorBidi"/>
          <w:color w:val="auto"/>
        </w:rPr>
        <w:fldChar w:fldCharType="separate"/>
      </w:r>
      <w:r w:rsidR="003827E5">
        <w:rPr>
          <w:rFonts w:asciiTheme="majorBidi" w:hAnsiTheme="majorBidi" w:cstheme="majorBidi"/>
          <w:color w:val="auto"/>
        </w:rPr>
        <w:t>1</w:t>
      </w:r>
      <w:r w:rsidRPr="00CD1278">
        <w:rPr>
          <w:rFonts w:asciiTheme="majorBidi" w:hAnsiTheme="majorBidi" w:cstheme="majorBidi"/>
          <w:color w:val="auto"/>
        </w:rPr>
        <w:fldChar w:fldCharType="end"/>
      </w:r>
    </w:p>
    <w:p w14:paraId="40FE0AE3" w14:textId="3ED9C922" w:rsidR="002873C0" w:rsidRPr="00CD1278" w:rsidRDefault="002873C0">
      <w:pPr>
        <w:pStyle w:val="TOC1"/>
        <w:rPr>
          <w:rFonts w:asciiTheme="majorBidi" w:eastAsiaTheme="minorEastAsia" w:hAnsiTheme="majorBidi" w:cstheme="majorBidi"/>
          <w:b w:val="0"/>
          <w:color w:val="auto"/>
          <w:sz w:val="22"/>
          <w:szCs w:val="22"/>
          <w:lang w:eastAsia="en-AU"/>
        </w:rPr>
      </w:pPr>
      <w:r w:rsidRPr="00CD1278">
        <w:rPr>
          <w:rFonts w:asciiTheme="majorBidi" w:hAnsiTheme="majorBidi" w:cstheme="majorBidi"/>
          <w:color w:val="auto"/>
        </w:rPr>
        <w:t xml:space="preserve">1.2 </w:t>
      </w:r>
      <w:r w:rsidRPr="00CD1278">
        <w:rPr>
          <w:rFonts w:asciiTheme="majorBidi" w:eastAsiaTheme="minorEastAsia" w:hAnsiTheme="majorBidi" w:cstheme="majorBidi"/>
          <w:b w:val="0"/>
          <w:color w:val="auto"/>
          <w:sz w:val="22"/>
          <w:szCs w:val="22"/>
          <w:lang w:eastAsia="en-AU"/>
        </w:rPr>
        <w:tab/>
      </w:r>
      <w:r w:rsidRPr="00CD1278">
        <w:rPr>
          <w:rFonts w:asciiTheme="majorBidi" w:hAnsiTheme="majorBidi" w:cstheme="majorBidi"/>
          <w:color w:val="auto"/>
        </w:rPr>
        <w:t>Critical Use Nominations for Methyl Bromide</w:t>
      </w:r>
      <w:r w:rsidRPr="00CD1278">
        <w:rPr>
          <w:rFonts w:asciiTheme="majorBidi" w:hAnsiTheme="majorBidi" w:cstheme="majorBidi"/>
          <w:color w:val="auto"/>
        </w:rPr>
        <w:tab/>
      </w:r>
      <w:r w:rsidRPr="00CD1278">
        <w:rPr>
          <w:rFonts w:asciiTheme="majorBidi" w:hAnsiTheme="majorBidi" w:cstheme="majorBidi"/>
          <w:color w:val="auto"/>
        </w:rPr>
        <w:fldChar w:fldCharType="begin"/>
      </w:r>
      <w:r w:rsidRPr="00CD1278">
        <w:rPr>
          <w:rFonts w:asciiTheme="majorBidi" w:hAnsiTheme="majorBidi" w:cstheme="majorBidi"/>
          <w:color w:val="auto"/>
        </w:rPr>
        <w:instrText xml:space="preserve"> PAGEREF _Toc453277805 \h </w:instrText>
      </w:r>
      <w:r w:rsidRPr="00CD1278">
        <w:rPr>
          <w:rFonts w:asciiTheme="majorBidi" w:hAnsiTheme="majorBidi" w:cstheme="majorBidi"/>
          <w:color w:val="auto"/>
        </w:rPr>
      </w:r>
      <w:r w:rsidRPr="00CD1278">
        <w:rPr>
          <w:rFonts w:asciiTheme="majorBidi" w:hAnsiTheme="majorBidi" w:cstheme="majorBidi"/>
          <w:color w:val="auto"/>
        </w:rPr>
        <w:fldChar w:fldCharType="separate"/>
      </w:r>
      <w:r w:rsidR="003827E5">
        <w:rPr>
          <w:rFonts w:asciiTheme="majorBidi" w:hAnsiTheme="majorBidi" w:cstheme="majorBidi"/>
          <w:color w:val="auto"/>
        </w:rPr>
        <w:t>2</w:t>
      </w:r>
      <w:r w:rsidRPr="00CD1278">
        <w:rPr>
          <w:rFonts w:asciiTheme="majorBidi" w:hAnsiTheme="majorBidi" w:cstheme="majorBidi"/>
          <w:color w:val="auto"/>
        </w:rPr>
        <w:fldChar w:fldCharType="end"/>
      </w:r>
    </w:p>
    <w:p w14:paraId="6CF48DA4" w14:textId="328D141F"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1.2.1</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Mandate</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_Toc453277806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2</w:t>
      </w:r>
      <w:r w:rsidRPr="00CD1278">
        <w:rPr>
          <w:rFonts w:asciiTheme="majorBidi" w:hAnsiTheme="majorBidi" w:cstheme="majorBidi"/>
          <w:b w:val="0"/>
          <w:bCs/>
          <w:noProof/>
          <w:color w:val="auto"/>
        </w:rPr>
        <w:fldChar w:fldCharType="end"/>
      </w:r>
    </w:p>
    <w:p w14:paraId="7CEAAAFC" w14:textId="4DBA6F06"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1.2.2</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Fulfilment of Decision IX/6</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_Toc453277807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2</w:t>
      </w:r>
      <w:r w:rsidRPr="00CD1278">
        <w:rPr>
          <w:rFonts w:asciiTheme="majorBidi" w:hAnsiTheme="majorBidi" w:cstheme="majorBidi"/>
          <w:b w:val="0"/>
          <w:bCs/>
          <w:noProof/>
          <w:color w:val="auto"/>
        </w:rPr>
        <w:fldChar w:fldCharType="end"/>
      </w:r>
    </w:p>
    <w:p w14:paraId="51AE80A7" w14:textId="746229B0"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1.2.3</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Accounting Frameworks for Critical Use</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_Toc453277808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3</w:t>
      </w:r>
      <w:r w:rsidRPr="00CD1278">
        <w:rPr>
          <w:rFonts w:asciiTheme="majorBidi" w:hAnsiTheme="majorBidi" w:cstheme="majorBidi"/>
          <w:b w:val="0"/>
          <w:bCs/>
          <w:noProof/>
          <w:color w:val="auto"/>
        </w:rPr>
        <w:fldChar w:fldCharType="end"/>
      </w:r>
    </w:p>
    <w:p w14:paraId="2E8A714B" w14:textId="3CCCD7BB"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1.2.4</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Trends in Methyl Bromide Use for CUEs since 2005</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_Toc453277809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3</w:t>
      </w:r>
      <w:r w:rsidRPr="00CD1278">
        <w:rPr>
          <w:rFonts w:asciiTheme="majorBidi" w:hAnsiTheme="majorBidi" w:cstheme="majorBidi"/>
          <w:b w:val="0"/>
          <w:bCs/>
          <w:noProof/>
          <w:color w:val="auto"/>
        </w:rPr>
        <w:fldChar w:fldCharType="end"/>
      </w:r>
    </w:p>
    <w:p w14:paraId="10290FEF" w14:textId="69C759F2"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 xml:space="preserve">1.2.5 </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Disclosure of Interest</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_Toc453277810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4</w:t>
      </w:r>
      <w:r w:rsidRPr="00CD1278">
        <w:rPr>
          <w:rFonts w:asciiTheme="majorBidi" w:hAnsiTheme="majorBidi" w:cstheme="majorBidi"/>
          <w:b w:val="0"/>
          <w:bCs/>
          <w:noProof/>
          <w:color w:val="auto"/>
        </w:rPr>
        <w:fldChar w:fldCharType="end"/>
      </w:r>
    </w:p>
    <w:p w14:paraId="1254F475" w14:textId="6AE1C13E"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 xml:space="preserve">1.2.6  </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Article 5 issues</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_Toc453277811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7</w:t>
      </w:r>
      <w:r w:rsidRPr="00CD1278">
        <w:rPr>
          <w:rFonts w:asciiTheme="majorBidi" w:hAnsiTheme="majorBidi" w:cstheme="majorBidi"/>
          <w:b w:val="0"/>
          <w:bCs/>
          <w:noProof/>
          <w:color w:val="auto"/>
        </w:rPr>
        <w:fldChar w:fldCharType="end"/>
      </w:r>
    </w:p>
    <w:p w14:paraId="6032DB8F" w14:textId="56D89DDE"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1.2.7</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Consideration of Stocks, Decision Ex.1/4 (9f)</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_Toc453277812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8</w:t>
      </w:r>
      <w:r w:rsidRPr="00CD1278">
        <w:rPr>
          <w:rFonts w:asciiTheme="majorBidi" w:hAnsiTheme="majorBidi" w:cstheme="majorBidi"/>
          <w:b w:val="0"/>
          <w:bCs/>
          <w:noProof/>
          <w:color w:val="auto"/>
        </w:rPr>
        <w:fldChar w:fldCharType="end"/>
      </w:r>
    </w:p>
    <w:p w14:paraId="1A1DD97D" w14:textId="14F71990" w:rsidR="002873C0" w:rsidRPr="00CD1278" w:rsidRDefault="002873C0">
      <w:pPr>
        <w:pStyle w:val="TOC1"/>
        <w:rPr>
          <w:rFonts w:asciiTheme="majorBidi" w:eastAsiaTheme="minorEastAsia" w:hAnsiTheme="majorBidi" w:cstheme="majorBidi"/>
          <w:b w:val="0"/>
          <w:color w:val="auto"/>
          <w:sz w:val="22"/>
          <w:szCs w:val="22"/>
          <w:lang w:eastAsia="en-AU"/>
        </w:rPr>
      </w:pPr>
      <w:r w:rsidRPr="00CD1278">
        <w:rPr>
          <w:rFonts w:asciiTheme="majorBidi" w:hAnsiTheme="majorBidi" w:cstheme="majorBidi"/>
          <w:color w:val="auto"/>
        </w:rPr>
        <w:t>1.3</w:t>
      </w:r>
      <w:r w:rsidRPr="00CD1278">
        <w:rPr>
          <w:rFonts w:asciiTheme="majorBidi" w:eastAsiaTheme="minorEastAsia" w:hAnsiTheme="majorBidi" w:cstheme="majorBidi"/>
          <w:b w:val="0"/>
          <w:color w:val="auto"/>
          <w:sz w:val="22"/>
          <w:szCs w:val="22"/>
          <w:lang w:eastAsia="en-AU"/>
        </w:rPr>
        <w:tab/>
      </w:r>
      <w:r w:rsidRPr="00CD1278">
        <w:rPr>
          <w:rFonts w:asciiTheme="majorBidi" w:hAnsiTheme="majorBidi" w:cstheme="majorBidi"/>
          <w:color w:val="auto"/>
        </w:rPr>
        <w:t>Evaluations of CUNs – 201</w:t>
      </w:r>
      <w:r w:rsidR="00A730B6" w:rsidRPr="00CD1278">
        <w:rPr>
          <w:rFonts w:asciiTheme="majorBidi" w:hAnsiTheme="majorBidi" w:cstheme="majorBidi"/>
          <w:color w:val="auto"/>
        </w:rPr>
        <w:t>7</w:t>
      </w:r>
      <w:r w:rsidRPr="00CD1278">
        <w:rPr>
          <w:rFonts w:asciiTheme="majorBidi" w:hAnsiTheme="majorBidi" w:cstheme="majorBidi"/>
          <w:color w:val="auto"/>
        </w:rPr>
        <w:t xml:space="preserve"> Round for 201</w:t>
      </w:r>
      <w:r w:rsidR="00A730B6" w:rsidRPr="00CD1278">
        <w:rPr>
          <w:rFonts w:asciiTheme="majorBidi" w:hAnsiTheme="majorBidi" w:cstheme="majorBidi"/>
          <w:color w:val="auto"/>
        </w:rPr>
        <w:t>8</w:t>
      </w:r>
      <w:r w:rsidRPr="00CD1278">
        <w:rPr>
          <w:rFonts w:asciiTheme="majorBidi" w:hAnsiTheme="majorBidi" w:cstheme="majorBidi"/>
          <w:color w:val="auto"/>
        </w:rPr>
        <w:t xml:space="preserve"> and 201</w:t>
      </w:r>
      <w:r w:rsidR="00A730B6" w:rsidRPr="00CD1278">
        <w:rPr>
          <w:rFonts w:asciiTheme="majorBidi" w:hAnsiTheme="majorBidi" w:cstheme="majorBidi"/>
          <w:color w:val="auto"/>
        </w:rPr>
        <w:t>9</w:t>
      </w:r>
      <w:r w:rsidRPr="00CD1278">
        <w:rPr>
          <w:rFonts w:asciiTheme="majorBidi" w:hAnsiTheme="majorBidi" w:cstheme="majorBidi"/>
          <w:color w:val="auto"/>
        </w:rPr>
        <w:t xml:space="preserve"> Exemptions</w:t>
      </w:r>
      <w:r w:rsidRPr="00CD1278">
        <w:rPr>
          <w:rFonts w:asciiTheme="majorBidi" w:hAnsiTheme="majorBidi" w:cstheme="majorBidi"/>
          <w:color w:val="auto"/>
        </w:rPr>
        <w:tab/>
      </w:r>
      <w:r w:rsidRPr="00CD1278">
        <w:rPr>
          <w:rFonts w:asciiTheme="majorBidi" w:hAnsiTheme="majorBidi" w:cstheme="majorBidi"/>
          <w:color w:val="auto"/>
        </w:rPr>
        <w:fldChar w:fldCharType="begin"/>
      </w:r>
      <w:r w:rsidRPr="00CD1278">
        <w:rPr>
          <w:rFonts w:asciiTheme="majorBidi" w:hAnsiTheme="majorBidi" w:cstheme="majorBidi"/>
          <w:color w:val="auto"/>
        </w:rPr>
        <w:instrText xml:space="preserve"> PAGEREF _Toc453277813 \h </w:instrText>
      </w:r>
      <w:r w:rsidRPr="00CD1278">
        <w:rPr>
          <w:rFonts w:asciiTheme="majorBidi" w:hAnsiTheme="majorBidi" w:cstheme="majorBidi"/>
          <w:color w:val="auto"/>
        </w:rPr>
      </w:r>
      <w:r w:rsidRPr="00CD1278">
        <w:rPr>
          <w:rFonts w:asciiTheme="majorBidi" w:hAnsiTheme="majorBidi" w:cstheme="majorBidi"/>
          <w:color w:val="auto"/>
        </w:rPr>
        <w:fldChar w:fldCharType="separate"/>
      </w:r>
      <w:r w:rsidR="003827E5">
        <w:rPr>
          <w:rFonts w:asciiTheme="majorBidi" w:hAnsiTheme="majorBidi" w:cstheme="majorBidi"/>
          <w:color w:val="auto"/>
        </w:rPr>
        <w:t>13</w:t>
      </w:r>
      <w:r w:rsidRPr="00CD1278">
        <w:rPr>
          <w:rFonts w:asciiTheme="majorBidi" w:hAnsiTheme="majorBidi" w:cstheme="majorBidi"/>
          <w:color w:val="auto"/>
        </w:rPr>
        <w:fldChar w:fldCharType="end"/>
      </w:r>
    </w:p>
    <w:p w14:paraId="062D5067" w14:textId="1B4998E6"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1.3.1</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Critical Use Nomination Review</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_Toc453277814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13</w:t>
      </w:r>
      <w:r w:rsidRPr="00CD1278">
        <w:rPr>
          <w:rFonts w:asciiTheme="majorBidi" w:hAnsiTheme="majorBidi" w:cstheme="majorBidi"/>
          <w:b w:val="0"/>
          <w:bCs/>
          <w:noProof/>
          <w:color w:val="auto"/>
        </w:rPr>
        <w:fldChar w:fldCharType="end"/>
      </w:r>
    </w:p>
    <w:p w14:paraId="1FC984D9" w14:textId="2564FDA6" w:rsidR="002873C0" w:rsidRPr="00CD1278" w:rsidRDefault="002873C0" w:rsidP="004674B1">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1.3.2</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Achieving Consensus</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_Toc453277815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14</w:t>
      </w:r>
      <w:r w:rsidRPr="00CD1278">
        <w:rPr>
          <w:rFonts w:asciiTheme="majorBidi" w:hAnsiTheme="majorBidi" w:cstheme="majorBidi"/>
          <w:b w:val="0"/>
          <w:bCs/>
          <w:noProof/>
          <w:color w:val="auto"/>
        </w:rPr>
        <w:fldChar w:fldCharType="end"/>
      </w:r>
    </w:p>
    <w:p w14:paraId="10FA38E6" w14:textId="3DCD2741" w:rsidR="002873C0" w:rsidRPr="00CD1278" w:rsidRDefault="002873C0">
      <w:pPr>
        <w:pStyle w:val="TOC1"/>
        <w:rPr>
          <w:rFonts w:asciiTheme="majorBidi" w:eastAsiaTheme="minorEastAsia" w:hAnsiTheme="majorBidi" w:cstheme="majorBidi"/>
          <w:b w:val="0"/>
          <w:color w:val="auto"/>
          <w:sz w:val="22"/>
          <w:szCs w:val="22"/>
          <w:lang w:eastAsia="en-AU"/>
        </w:rPr>
      </w:pPr>
      <w:r w:rsidRPr="00CD1278">
        <w:rPr>
          <w:rFonts w:asciiTheme="majorBidi" w:hAnsiTheme="majorBidi" w:cstheme="majorBidi"/>
          <w:color w:val="auto"/>
        </w:rPr>
        <w:t>1.4</w:t>
      </w:r>
      <w:r w:rsidRPr="00CD1278">
        <w:rPr>
          <w:rFonts w:asciiTheme="majorBidi" w:eastAsiaTheme="minorEastAsia" w:hAnsiTheme="majorBidi" w:cstheme="majorBidi"/>
          <w:b w:val="0"/>
          <w:color w:val="auto"/>
          <w:sz w:val="22"/>
          <w:szCs w:val="22"/>
          <w:lang w:eastAsia="en-AU"/>
        </w:rPr>
        <w:tab/>
      </w:r>
      <w:r w:rsidRPr="00CD1278">
        <w:rPr>
          <w:rFonts w:asciiTheme="majorBidi" w:hAnsiTheme="majorBidi" w:cstheme="majorBidi"/>
          <w:color w:val="auto"/>
        </w:rPr>
        <w:t>Interim Evaluations of 201</w:t>
      </w:r>
      <w:r w:rsidR="00A730B6" w:rsidRPr="00CD1278">
        <w:rPr>
          <w:rFonts w:asciiTheme="majorBidi" w:hAnsiTheme="majorBidi" w:cstheme="majorBidi"/>
          <w:color w:val="auto"/>
        </w:rPr>
        <w:t>7</w:t>
      </w:r>
      <w:r w:rsidRPr="00CD1278">
        <w:rPr>
          <w:rFonts w:asciiTheme="majorBidi" w:hAnsiTheme="majorBidi" w:cstheme="majorBidi"/>
          <w:color w:val="auto"/>
        </w:rPr>
        <w:t xml:space="preserve"> Critical Use Nominations for Methyl Bromide for Preplant soil use in 201</w:t>
      </w:r>
      <w:r w:rsidR="00A730B6" w:rsidRPr="00CD1278">
        <w:rPr>
          <w:rFonts w:asciiTheme="majorBidi" w:hAnsiTheme="majorBidi" w:cstheme="majorBidi"/>
          <w:color w:val="auto"/>
        </w:rPr>
        <w:t xml:space="preserve">8 </w:t>
      </w:r>
      <w:r w:rsidRPr="00CD1278">
        <w:rPr>
          <w:rFonts w:asciiTheme="majorBidi" w:hAnsiTheme="majorBidi" w:cstheme="majorBidi"/>
          <w:color w:val="auto"/>
        </w:rPr>
        <w:t>and 201</w:t>
      </w:r>
      <w:r w:rsidR="00A730B6" w:rsidRPr="00CD1278">
        <w:rPr>
          <w:rFonts w:asciiTheme="majorBidi" w:hAnsiTheme="majorBidi" w:cstheme="majorBidi"/>
          <w:color w:val="auto"/>
        </w:rPr>
        <w:t>9</w:t>
      </w:r>
      <w:r w:rsidRPr="00CD1278">
        <w:rPr>
          <w:rFonts w:asciiTheme="majorBidi" w:hAnsiTheme="majorBidi" w:cstheme="majorBidi"/>
          <w:color w:val="auto"/>
        </w:rPr>
        <w:tab/>
      </w:r>
      <w:r w:rsidRPr="00CD1278">
        <w:rPr>
          <w:rFonts w:asciiTheme="majorBidi" w:hAnsiTheme="majorBidi" w:cstheme="majorBidi"/>
          <w:color w:val="auto"/>
        </w:rPr>
        <w:fldChar w:fldCharType="begin"/>
      </w:r>
      <w:r w:rsidRPr="00CD1278">
        <w:rPr>
          <w:rFonts w:asciiTheme="majorBidi" w:hAnsiTheme="majorBidi" w:cstheme="majorBidi"/>
          <w:color w:val="auto"/>
        </w:rPr>
        <w:instrText xml:space="preserve"> PAGEREF _Toc453277817 \h </w:instrText>
      </w:r>
      <w:r w:rsidRPr="00CD1278">
        <w:rPr>
          <w:rFonts w:asciiTheme="majorBidi" w:hAnsiTheme="majorBidi" w:cstheme="majorBidi"/>
          <w:color w:val="auto"/>
        </w:rPr>
      </w:r>
      <w:r w:rsidRPr="00CD1278">
        <w:rPr>
          <w:rFonts w:asciiTheme="majorBidi" w:hAnsiTheme="majorBidi" w:cstheme="majorBidi"/>
          <w:color w:val="auto"/>
        </w:rPr>
        <w:fldChar w:fldCharType="separate"/>
      </w:r>
      <w:r w:rsidR="003827E5">
        <w:rPr>
          <w:rFonts w:asciiTheme="majorBidi" w:hAnsiTheme="majorBidi" w:cstheme="majorBidi"/>
          <w:color w:val="auto"/>
        </w:rPr>
        <w:t>15</w:t>
      </w:r>
      <w:r w:rsidRPr="00CD1278">
        <w:rPr>
          <w:rFonts w:asciiTheme="majorBidi" w:hAnsiTheme="majorBidi" w:cstheme="majorBidi"/>
          <w:color w:val="auto"/>
        </w:rPr>
        <w:fldChar w:fldCharType="end"/>
      </w:r>
    </w:p>
    <w:p w14:paraId="6A658EA4" w14:textId="60F4F550"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1.4.1</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Critical Use Nomination Assessment</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_Toc453277818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15</w:t>
      </w:r>
      <w:r w:rsidRPr="00CD1278">
        <w:rPr>
          <w:rFonts w:asciiTheme="majorBidi" w:hAnsiTheme="majorBidi" w:cstheme="majorBidi"/>
          <w:b w:val="0"/>
          <w:bCs/>
          <w:noProof/>
          <w:color w:val="auto"/>
        </w:rPr>
        <w:fldChar w:fldCharType="end"/>
      </w:r>
    </w:p>
    <w:p w14:paraId="551E2788" w14:textId="6870931B"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1.4.2</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Issues Related to CUN Assessment for Preplant Soil Use</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_Toc453277819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15</w:t>
      </w:r>
      <w:r w:rsidRPr="00CD1278">
        <w:rPr>
          <w:rFonts w:asciiTheme="majorBidi" w:hAnsiTheme="majorBidi" w:cstheme="majorBidi"/>
          <w:b w:val="0"/>
          <w:bCs/>
          <w:noProof/>
          <w:color w:val="auto"/>
        </w:rPr>
        <w:fldChar w:fldCharType="end"/>
      </w:r>
    </w:p>
    <w:p w14:paraId="00DF7336" w14:textId="4055FE41"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1.4.3</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General Comments on the Assessment for Preplant Soil Use</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_Toc453277820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16</w:t>
      </w:r>
      <w:r w:rsidRPr="00CD1278">
        <w:rPr>
          <w:rFonts w:asciiTheme="majorBidi" w:hAnsiTheme="majorBidi" w:cstheme="majorBidi"/>
          <w:b w:val="0"/>
          <w:bCs/>
          <w:noProof/>
          <w:color w:val="auto"/>
        </w:rPr>
        <w:fldChar w:fldCharType="end"/>
      </w:r>
    </w:p>
    <w:p w14:paraId="17539A30" w14:textId="50CA05AA"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1.4.4</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Registration of Alternatives for Preplant Uses - Decision Ex I/4 (9i) and (9j)</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_Toc453277821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16</w:t>
      </w:r>
      <w:r w:rsidRPr="00CD1278">
        <w:rPr>
          <w:rFonts w:asciiTheme="majorBidi" w:hAnsiTheme="majorBidi" w:cstheme="majorBidi"/>
          <w:b w:val="0"/>
          <w:bCs/>
          <w:noProof/>
          <w:color w:val="auto"/>
        </w:rPr>
        <w:fldChar w:fldCharType="end"/>
      </w:r>
    </w:p>
    <w:p w14:paraId="7D4EE66C" w14:textId="764F4328"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1.4.5</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Decision XXV/4</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_Toc453277822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16</w:t>
      </w:r>
      <w:r w:rsidRPr="00CD1278">
        <w:rPr>
          <w:rFonts w:asciiTheme="majorBidi" w:hAnsiTheme="majorBidi" w:cstheme="majorBidi"/>
          <w:b w:val="0"/>
          <w:bCs/>
          <w:noProof/>
          <w:color w:val="auto"/>
        </w:rPr>
        <w:fldChar w:fldCharType="end"/>
      </w:r>
    </w:p>
    <w:p w14:paraId="56EAB169" w14:textId="29A0D198" w:rsidR="002873C0" w:rsidRPr="00CD1278" w:rsidRDefault="002873C0" w:rsidP="00626B1A">
      <w:pPr>
        <w:pStyle w:val="TOC3"/>
        <w:tabs>
          <w:tab w:val="clear" w:pos="993"/>
          <w:tab w:val="left" w:pos="1170"/>
        </w:tabs>
        <w:ind w:left="1080"/>
        <w:rPr>
          <w:rFonts w:asciiTheme="majorBidi" w:eastAsiaTheme="minorEastAsia" w:hAnsiTheme="majorBidi" w:cstheme="majorBidi"/>
          <w:b w:val="0"/>
          <w:bCs/>
          <w:color w:val="auto"/>
          <w:lang w:eastAsia="en-AU"/>
        </w:rPr>
      </w:pPr>
      <w:r w:rsidRPr="00CD1278">
        <w:rPr>
          <w:rFonts w:asciiTheme="majorBidi" w:hAnsiTheme="majorBidi" w:cstheme="majorBidi"/>
          <w:b w:val="0"/>
          <w:bCs/>
          <w:color w:val="auto"/>
        </w:rPr>
        <w:t xml:space="preserve">1.4.5.1 </w:t>
      </w:r>
      <w:r w:rsidRPr="00CD1278">
        <w:rPr>
          <w:rFonts w:asciiTheme="majorBidi" w:hAnsiTheme="majorBidi" w:cstheme="majorBidi"/>
          <w:b w:val="0"/>
          <w:bCs/>
          <w:i/>
          <w:color w:val="auto"/>
        </w:rPr>
        <w:t>Regulations impacting use of alternatives by country</w:t>
      </w:r>
      <w:r w:rsidRPr="00CD1278">
        <w:rPr>
          <w:rFonts w:asciiTheme="majorBidi" w:hAnsiTheme="majorBidi" w:cstheme="majorBidi"/>
          <w:b w:val="0"/>
          <w:bCs/>
          <w:color w:val="auto"/>
        </w:rPr>
        <w:tab/>
      </w:r>
      <w:r w:rsidRPr="00CD1278">
        <w:rPr>
          <w:rFonts w:asciiTheme="majorBidi" w:hAnsiTheme="majorBidi" w:cstheme="majorBidi"/>
          <w:b w:val="0"/>
          <w:bCs/>
          <w:color w:val="auto"/>
        </w:rPr>
        <w:fldChar w:fldCharType="begin"/>
      </w:r>
      <w:r w:rsidRPr="00CD1278">
        <w:rPr>
          <w:rFonts w:asciiTheme="majorBidi" w:hAnsiTheme="majorBidi" w:cstheme="majorBidi"/>
          <w:b w:val="0"/>
          <w:bCs/>
          <w:color w:val="auto"/>
        </w:rPr>
        <w:instrText xml:space="preserve"> PAGEREF _Toc453277823 \h </w:instrText>
      </w:r>
      <w:r w:rsidRPr="00CD1278">
        <w:rPr>
          <w:rFonts w:asciiTheme="majorBidi" w:hAnsiTheme="majorBidi" w:cstheme="majorBidi"/>
          <w:b w:val="0"/>
          <w:bCs/>
          <w:color w:val="auto"/>
        </w:rPr>
      </w:r>
      <w:r w:rsidRPr="00CD1278">
        <w:rPr>
          <w:rFonts w:asciiTheme="majorBidi" w:hAnsiTheme="majorBidi" w:cstheme="majorBidi"/>
          <w:b w:val="0"/>
          <w:bCs/>
          <w:color w:val="auto"/>
        </w:rPr>
        <w:fldChar w:fldCharType="separate"/>
      </w:r>
      <w:r w:rsidR="003827E5">
        <w:rPr>
          <w:rFonts w:asciiTheme="majorBidi" w:hAnsiTheme="majorBidi" w:cstheme="majorBidi"/>
          <w:b w:val="0"/>
          <w:bCs/>
          <w:color w:val="auto"/>
        </w:rPr>
        <w:t>16</w:t>
      </w:r>
      <w:r w:rsidRPr="00CD1278">
        <w:rPr>
          <w:rFonts w:asciiTheme="majorBidi" w:hAnsiTheme="majorBidi" w:cstheme="majorBidi"/>
          <w:b w:val="0"/>
          <w:bCs/>
          <w:color w:val="auto"/>
        </w:rPr>
        <w:fldChar w:fldCharType="end"/>
      </w:r>
    </w:p>
    <w:p w14:paraId="04A4E815" w14:textId="1974C741" w:rsidR="002873C0" w:rsidRPr="00CD1278" w:rsidRDefault="002873C0" w:rsidP="00626B1A">
      <w:pPr>
        <w:pStyle w:val="TOC3"/>
        <w:tabs>
          <w:tab w:val="clear" w:pos="993"/>
          <w:tab w:val="left" w:pos="1170"/>
        </w:tabs>
        <w:ind w:left="1080"/>
        <w:rPr>
          <w:rFonts w:asciiTheme="majorBidi" w:eastAsiaTheme="minorEastAsia" w:hAnsiTheme="majorBidi" w:cstheme="majorBidi"/>
          <w:b w:val="0"/>
          <w:bCs/>
          <w:color w:val="auto"/>
          <w:lang w:eastAsia="en-AU"/>
        </w:rPr>
      </w:pPr>
      <w:r w:rsidRPr="00CD1278">
        <w:rPr>
          <w:rFonts w:asciiTheme="majorBidi" w:hAnsiTheme="majorBidi" w:cstheme="majorBidi"/>
          <w:b w:val="0"/>
          <w:bCs/>
          <w:color w:val="auto"/>
        </w:rPr>
        <w:t>1.4.5.2</w:t>
      </w:r>
      <w:r w:rsidR="000D7F69" w:rsidRPr="00CD1278">
        <w:rPr>
          <w:rFonts w:asciiTheme="majorBidi" w:hAnsiTheme="majorBidi" w:cstheme="majorBidi"/>
          <w:b w:val="0"/>
          <w:bCs/>
          <w:color w:val="auto"/>
        </w:rPr>
        <w:t xml:space="preserve"> </w:t>
      </w:r>
      <w:r w:rsidRPr="00CD1278">
        <w:rPr>
          <w:rFonts w:asciiTheme="majorBidi" w:hAnsiTheme="majorBidi" w:cstheme="majorBidi"/>
          <w:b w:val="0"/>
          <w:bCs/>
          <w:i/>
          <w:color w:val="auto"/>
        </w:rPr>
        <w:t>Health effects of MB use and environmental acceptability</w:t>
      </w:r>
      <w:r w:rsidRPr="00CD1278">
        <w:rPr>
          <w:rFonts w:asciiTheme="majorBidi" w:hAnsiTheme="majorBidi" w:cstheme="majorBidi"/>
          <w:b w:val="0"/>
          <w:bCs/>
          <w:color w:val="auto"/>
        </w:rPr>
        <w:tab/>
      </w:r>
      <w:r w:rsidRPr="00CD1278">
        <w:rPr>
          <w:rFonts w:asciiTheme="majorBidi" w:hAnsiTheme="majorBidi" w:cstheme="majorBidi"/>
          <w:b w:val="0"/>
          <w:bCs/>
          <w:color w:val="auto"/>
        </w:rPr>
        <w:fldChar w:fldCharType="begin"/>
      </w:r>
      <w:r w:rsidRPr="00CD1278">
        <w:rPr>
          <w:rFonts w:asciiTheme="majorBidi" w:hAnsiTheme="majorBidi" w:cstheme="majorBidi"/>
          <w:b w:val="0"/>
          <w:bCs/>
          <w:color w:val="auto"/>
        </w:rPr>
        <w:instrText xml:space="preserve"> PAGEREF _Toc453277824 \h </w:instrText>
      </w:r>
      <w:r w:rsidRPr="00CD1278">
        <w:rPr>
          <w:rFonts w:asciiTheme="majorBidi" w:hAnsiTheme="majorBidi" w:cstheme="majorBidi"/>
          <w:b w:val="0"/>
          <w:bCs/>
          <w:color w:val="auto"/>
        </w:rPr>
      </w:r>
      <w:r w:rsidRPr="00CD1278">
        <w:rPr>
          <w:rFonts w:asciiTheme="majorBidi" w:hAnsiTheme="majorBidi" w:cstheme="majorBidi"/>
          <w:b w:val="0"/>
          <w:bCs/>
          <w:color w:val="auto"/>
        </w:rPr>
        <w:fldChar w:fldCharType="separate"/>
      </w:r>
      <w:r w:rsidR="003827E5">
        <w:rPr>
          <w:rFonts w:asciiTheme="majorBidi" w:hAnsiTheme="majorBidi" w:cstheme="majorBidi"/>
          <w:b w:val="0"/>
          <w:bCs/>
          <w:color w:val="auto"/>
        </w:rPr>
        <w:t>17</w:t>
      </w:r>
      <w:r w:rsidRPr="00CD1278">
        <w:rPr>
          <w:rFonts w:asciiTheme="majorBidi" w:hAnsiTheme="majorBidi" w:cstheme="majorBidi"/>
          <w:b w:val="0"/>
          <w:bCs/>
          <w:color w:val="auto"/>
        </w:rPr>
        <w:fldChar w:fldCharType="end"/>
      </w:r>
    </w:p>
    <w:p w14:paraId="4568266D" w14:textId="742569B0"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1.4.6</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Sustainable Alternatives for Preplant Uses</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_Toc453277825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17</w:t>
      </w:r>
      <w:r w:rsidRPr="00CD1278">
        <w:rPr>
          <w:rFonts w:asciiTheme="majorBidi" w:hAnsiTheme="majorBidi" w:cstheme="majorBidi"/>
          <w:b w:val="0"/>
          <w:bCs/>
          <w:noProof/>
          <w:color w:val="auto"/>
        </w:rPr>
        <w:fldChar w:fldCharType="end"/>
      </w:r>
    </w:p>
    <w:p w14:paraId="4796F14C" w14:textId="75EF3A22"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1.4.7</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Standard Presumptions Used in Assessment of Nominated Quantities</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_Toc453277826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18</w:t>
      </w:r>
      <w:r w:rsidRPr="00CD1278">
        <w:rPr>
          <w:rFonts w:asciiTheme="majorBidi" w:hAnsiTheme="majorBidi" w:cstheme="majorBidi"/>
          <w:b w:val="0"/>
          <w:bCs/>
          <w:noProof/>
          <w:color w:val="auto"/>
        </w:rPr>
        <w:fldChar w:fldCharType="end"/>
      </w:r>
    </w:p>
    <w:p w14:paraId="04B3D850" w14:textId="1A089CA6"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1.4.8</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Adjustments for Standard Dosage Rates using MB/Pic Formulations</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_Toc453277827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19</w:t>
      </w:r>
      <w:r w:rsidRPr="00CD1278">
        <w:rPr>
          <w:rFonts w:asciiTheme="majorBidi" w:hAnsiTheme="majorBidi" w:cstheme="majorBidi"/>
          <w:b w:val="0"/>
          <w:bCs/>
          <w:noProof/>
          <w:color w:val="auto"/>
        </w:rPr>
        <w:fldChar w:fldCharType="end"/>
      </w:r>
    </w:p>
    <w:p w14:paraId="027E3787" w14:textId="3B582FEA"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1.4.9</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Use/Emission Reduction Technologies - Barrier films and dosage reduction</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_Toc453277828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20</w:t>
      </w:r>
      <w:r w:rsidRPr="00CD1278">
        <w:rPr>
          <w:rFonts w:asciiTheme="majorBidi" w:hAnsiTheme="majorBidi" w:cstheme="majorBidi"/>
          <w:b w:val="0"/>
          <w:bCs/>
          <w:noProof/>
          <w:color w:val="auto"/>
        </w:rPr>
        <w:fldChar w:fldCharType="end"/>
      </w:r>
    </w:p>
    <w:p w14:paraId="3F24EDF1" w14:textId="5D0A7673" w:rsidR="002873C0" w:rsidRPr="00CD1278" w:rsidRDefault="002873C0">
      <w:pPr>
        <w:pStyle w:val="TOC1"/>
        <w:rPr>
          <w:rFonts w:asciiTheme="majorBidi" w:eastAsiaTheme="minorEastAsia" w:hAnsiTheme="majorBidi" w:cstheme="majorBidi"/>
          <w:b w:val="0"/>
          <w:color w:val="auto"/>
          <w:sz w:val="22"/>
          <w:szCs w:val="22"/>
          <w:lang w:eastAsia="en-AU"/>
        </w:rPr>
      </w:pPr>
      <w:r w:rsidRPr="00CD1278">
        <w:rPr>
          <w:rFonts w:asciiTheme="majorBidi" w:hAnsiTheme="majorBidi" w:cstheme="majorBidi"/>
          <w:color w:val="auto"/>
        </w:rPr>
        <w:t xml:space="preserve">1.5. </w:t>
      </w:r>
      <w:r w:rsidRPr="00CD1278">
        <w:rPr>
          <w:rFonts w:asciiTheme="majorBidi" w:eastAsiaTheme="minorEastAsia" w:hAnsiTheme="majorBidi" w:cstheme="majorBidi"/>
          <w:b w:val="0"/>
          <w:color w:val="auto"/>
          <w:sz w:val="22"/>
          <w:szCs w:val="22"/>
          <w:lang w:eastAsia="en-AU"/>
        </w:rPr>
        <w:tab/>
      </w:r>
      <w:r w:rsidRPr="00CD1278">
        <w:rPr>
          <w:rFonts w:asciiTheme="majorBidi" w:hAnsiTheme="majorBidi" w:cstheme="majorBidi"/>
          <w:color w:val="auto"/>
        </w:rPr>
        <w:t>Interim Evaluations of Critical Use Nominations of Methyl Bromide for Commodities and Structures in 201</w:t>
      </w:r>
      <w:r w:rsidR="00A730B6" w:rsidRPr="00CD1278">
        <w:rPr>
          <w:rFonts w:asciiTheme="majorBidi" w:hAnsiTheme="majorBidi" w:cstheme="majorBidi"/>
          <w:color w:val="auto"/>
        </w:rPr>
        <w:t>8</w:t>
      </w:r>
      <w:r w:rsidRPr="00CD1278">
        <w:rPr>
          <w:rFonts w:asciiTheme="majorBidi" w:hAnsiTheme="majorBidi" w:cstheme="majorBidi"/>
          <w:color w:val="auto"/>
        </w:rPr>
        <w:tab/>
      </w:r>
      <w:r w:rsidRPr="00CD1278">
        <w:rPr>
          <w:rFonts w:asciiTheme="majorBidi" w:hAnsiTheme="majorBidi" w:cstheme="majorBidi"/>
          <w:color w:val="auto"/>
        </w:rPr>
        <w:fldChar w:fldCharType="begin"/>
      </w:r>
      <w:r w:rsidRPr="00CD1278">
        <w:rPr>
          <w:rFonts w:asciiTheme="majorBidi" w:hAnsiTheme="majorBidi" w:cstheme="majorBidi"/>
          <w:color w:val="auto"/>
        </w:rPr>
        <w:instrText xml:space="preserve"> PAGEREF _Toc453277829 \h </w:instrText>
      </w:r>
      <w:r w:rsidRPr="00CD1278">
        <w:rPr>
          <w:rFonts w:asciiTheme="majorBidi" w:hAnsiTheme="majorBidi" w:cstheme="majorBidi"/>
          <w:color w:val="auto"/>
        </w:rPr>
      </w:r>
      <w:r w:rsidRPr="00CD1278">
        <w:rPr>
          <w:rFonts w:asciiTheme="majorBidi" w:hAnsiTheme="majorBidi" w:cstheme="majorBidi"/>
          <w:color w:val="auto"/>
        </w:rPr>
        <w:fldChar w:fldCharType="separate"/>
      </w:r>
      <w:r w:rsidR="003827E5">
        <w:rPr>
          <w:rFonts w:asciiTheme="majorBidi" w:hAnsiTheme="majorBidi" w:cstheme="majorBidi"/>
          <w:color w:val="auto"/>
        </w:rPr>
        <w:t>32</w:t>
      </w:r>
      <w:r w:rsidRPr="00CD1278">
        <w:rPr>
          <w:rFonts w:asciiTheme="majorBidi" w:hAnsiTheme="majorBidi" w:cstheme="majorBidi"/>
          <w:color w:val="auto"/>
        </w:rPr>
        <w:fldChar w:fldCharType="end"/>
      </w:r>
    </w:p>
    <w:p w14:paraId="06C8FD5D" w14:textId="3F36A708"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1.5.1</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 xml:space="preserve">Standard </w:t>
      </w:r>
      <w:r w:rsidR="0027651E" w:rsidRPr="00CD1278">
        <w:rPr>
          <w:rFonts w:asciiTheme="majorBidi" w:hAnsiTheme="majorBidi" w:cstheme="majorBidi"/>
          <w:b w:val="0"/>
          <w:bCs/>
          <w:noProof/>
          <w:color w:val="auto"/>
        </w:rPr>
        <w:t xml:space="preserve">Rate </w:t>
      </w:r>
      <w:r w:rsidR="008C6A32" w:rsidRPr="00CD1278">
        <w:rPr>
          <w:rFonts w:asciiTheme="majorBidi" w:hAnsiTheme="majorBidi" w:cstheme="majorBidi"/>
          <w:b w:val="0"/>
          <w:bCs/>
          <w:noProof/>
          <w:color w:val="auto"/>
        </w:rPr>
        <w:t>Presumptions</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_Toc453277830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32</w:t>
      </w:r>
      <w:r w:rsidRPr="00CD1278">
        <w:rPr>
          <w:rFonts w:asciiTheme="majorBidi" w:hAnsiTheme="majorBidi" w:cstheme="majorBidi"/>
          <w:b w:val="0"/>
          <w:bCs/>
          <w:noProof/>
          <w:color w:val="auto"/>
        </w:rPr>
        <w:fldChar w:fldCharType="end"/>
      </w:r>
    </w:p>
    <w:p w14:paraId="67AC95DA" w14:textId="1A765E18" w:rsidR="002873C0" w:rsidRPr="00CD1278" w:rsidRDefault="002873C0">
      <w:pPr>
        <w:pStyle w:val="TOC2"/>
        <w:tabs>
          <w:tab w:val="left" w:pos="1100"/>
          <w:tab w:val="right" w:leader="dot" w:pos="9019"/>
        </w:tabs>
        <w:rPr>
          <w:rFonts w:asciiTheme="majorBidi" w:eastAsiaTheme="minorEastAsia" w:hAnsiTheme="majorBidi" w:cstheme="majorBidi"/>
          <w:b w:val="0"/>
          <w:bCs/>
          <w:noProof/>
          <w:color w:val="auto"/>
          <w:lang w:eastAsia="en-AU"/>
        </w:rPr>
      </w:pPr>
      <w:r w:rsidRPr="00CD1278">
        <w:rPr>
          <w:rFonts w:asciiTheme="majorBidi" w:hAnsiTheme="majorBidi" w:cstheme="majorBidi"/>
          <w:b w:val="0"/>
          <w:bCs/>
          <w:noProof/>
          <w:color w:val="auto"/>
        </w:rPr>
        <w:t>1.5.2.</w:t>
      </w:r>
      <w:r w:rsidRPr="00CD1278">
        <w:rPr>
          <w:rFonts w:asciiTheme="majorBidi" w:eastAsiaTheme="minorEastAsia" w:hAnsiTheme="majorBidi" w:cstheme="majorBidi"/>
          <w:b w:val="0"/>
          <w:bCs/>
          <w:noProof/>
          <w:color w:val="auto"/>
          <w:lang w:eastAsia="en-AU"/>
        </w:rPr>
        <w:tab/>
      </w:r>
      <w:r w:rsidRPr="00CD1278">
        <w:rPr>
          <w:rFonts w:asciiTheme="majorBidi" w:hAnsiTheme="majorBidi" w:cstheme="majorBidi"/>
          <w:b w:val="0"/>
          <w:bCs/>
          <w:noProof/>
          <w:color w:val="auto"/>
        </w:rPr>
        <w:t xml:space="preserve">Details of the </w:t>
      </w:r>
      <w:r w:rsidR="008C6A32" w:rsidRPr="00CD1278">
        <w:rPr>
          <w:rFonts w:asciiTheme="majorBidi" w:hAnsiTheme="majorBidi" w:cstheme="majorBidi"/>
          <w:b w:val="0"/>
          <w:bCs/>
          <w:noProof/>
          <w:color w:val="auto"/>
        </w:rPr>
        <w:t>Evaluation</w:t>
      </w:r>
      <w:r w:rsidRPr="00CD1278">
        <w:rPr>
          <w:rFonts w:asciiTheme="majorBidi" w:hAnsiTheme="majorBidi" w:cstheme="majorBidi"/>
          <w:b w:val="0"/>
          <w:bCs/>
          <w:noProof/>
          <w:color w:val="auto"/>
        </w:rPr>
        <w:tab/>
      </w:r>
      <w:r w:rsidRPr="00CD1278">
        <w:rPr>
          <w:rFonts w:asciiTheme="majorBidi" w:hAnsiTheme="majorBidi" w:cstheme="majorBidi"/>
          <w:b w:val="0"/>
          <w:bCs/>
          <w:noProof/>
          <w:color w:val="auto"/>
        </w:rPr>
        <w:fldChar w:fldCharType="begin"/>
      </w:r>
      <w:r w:rsidRPr="00CD1278">
        <w:rPr>
          <w:rFonts w:asciiTheme="majorBidi" w:hAnsiTheme="majorBidi" w:cstheme="majorBidi"/>
          <w:b w:val="0"/>
          <w:bCs/>
          <w:noProof/>
          <w:color w:val="auto"/>
        </w:rPr>
        <w:instrText xml:space="preserve"> PAGEREF _Toc453277831 \h </w:instrText>
      </w:r>
      <w:r w:rsidRPr="00CD1278">
        <w:rPr>
          <w:rFonts w:asciiTheme="majorBidi" w:hAnsiTheme="majorBidi" w:cstheme="majorBidi"/>
          <w:b w:val="0"/>
          <w:bCs/>
          <w:noProof/>
          <w:color w:val="auto"/>
        </w:rPr>
      </w:r>
      <w:r w:rsidRPr="00CD1278">
        <w:rPr>
          <w:rFonts w:asciiTheme="majorBidi" w:hAnsiTheme="majorBidi" w:cstheme="majorBidi"/>
          <w:b w:val="0"/>
          <w:bCs/>
          <w:noProof/>
          <w:color w:val="auto"/>
        </w:rPr>
        <w:fldChar w:fldCharType="separate"/>
      </w:r>
      <w:r w:rsidR="003827E5">
        <w:rPr>
          <w:rFonts w:asciiTheme="majorBidi" w:hAnsiTheme="majorBidi" w:cstheme="majorBidi"/>
          <w:b w:val="0"/>
          <w:bCs/>
          <w:noProof/>
          <w:color w:val="auto"/>
        </w:rPr>
        <w:t>32</w:t>
      </w:r>
      <w:r w:rsidRPr="00CD1278">
        <w:rPr>
          <w:rFonts w:asciiTheme="majorBidi" w:hAnsiTheme="majorBidi" w:cstheme="majorBidi"/>
          <w:b w:val="0"/>
          <w:bCs/>
          <w:noProof/>
          <w:color w:val="auto"/>
        </w:rPr>
        <w:fldChar w:fldCharType="end"/>
      </w:r>
    </w:p>
    <w:p w14:paraId="62FDA775" w14:textId="29D6E03B" w:rsidR="002873C0" w:rsidRPr="00CD1278" w:rsidRDefault="002873C0">
      <w:pPr>
        <w:pStyle w:val="TOC1"/>
        <w:rPr>
          <w:rFonts w:asciiTheme="majorBidi" w:eastAsiaTheme="minorEastAsia" w:hAnsiTheme="majorBidi" w:cstheme="majorBidi"/>
          <w:b w:val="0"/>
          <w:color w:val="auto"/>
          <w:sz w:val="22"/>
          <w:szCs w:val="22"/>
          <w:lang w:eastAsia="en-AU"/>
        </w:rPr>
      </w:pPr>
      <w:r w:rsidRPr="00CD1278">
        <w:rPr>
          <w:rFonts w:asciiTheme="majorBidi" w:hAnsiTheme="majorBidi" w:cstheme="majorBidi"/>
          <w:color w:val="auto"/>
        </w:rPr>
        <w:t>1.6</w:t>
      </w:r>
      <w:r w:rsidRPr="00CD1278">
        <w:rPr>
          <w:rFonts w:asciiTheme="majorBidi" w:eastAsiaTheme="minorEastAsia" w:hAnsiTheme="majorBidi" w:cstheme="majorBidi"/>
          <w:b w:val="0"/>
          <w:color w:val="auto"/>
          <w:sz w:val="22"/>
          <w:szCs w:val="22"/>
          <w:lang w:eastAsia="en-AU"/>
        </w:rPr>
        <w:tab/>
      </w:r>
      <w:r w:rsidRPr="00CD1278">
        <w:rPr>
          <w:rFonts w:asciiTheme="majorBidi" w:hAnsiTheme="majorBidi" w:cstheme="majorBidi"/>
          <w:color w:val="auto"/>
        </w:rPr>
        <w:t>References:</w:t>
      </w:r>
      <w:r w:rsidRPr="00CD1278">
        <w:rPr>
          <w:rFonts w:asciiTheme="majorBidi" w:hAnsiTheme="majorBidi" w:cstheme="majorBidi"/>
          <w:color w:val="auto"/>
        </w:rPr>
        <w:tab/>
      </w:r>
      <w:r w:rsidRPr="00CD1278">
        <w:rPr>
          <w:rFonts w:asciiTheme="majorBidi" w:hAnsiTheme="majorBidi" w:cstheme="majorBidi"/>
          <w:color w:val="auto"/>
        </w:rPr>
        <w:fldChar w:fldCharType="begin"/>
      </w:r>
      <w:r w:rsidRPr="00CD1278">
        <w:rPr>
          <w:rFonts w:asciiTheme="majorBidi" w:hAnsiTheme="majorBidi" w:cstheme="majorBidi"/>
          <w:color w:val="auto"/>
        </w:rPr>
        <w:instrText xml:space="preserve"> PAGEREF _Toc453277832 \h </w:instrText>
      </w:r>
      <w:r w:rsidRPr="00CD1278">
        <w:rPr>
          <w:rFonts w:asciiTheme="majorBidi" w:hAnsiTheme="majorBidi" w:cstheme="majorBidi"/>
          <w:color w:val="auto"/>
        </w:rPr>
      </w:r>
      <w:r w:rsidRPr="00CD1278">
        <w:rPr>
          <w:rFonts w:asciiTheme="majorBidi" w:hAnsiTheme="majorBidi" w:cstheme="majorBidi"/>
          <w:color w:val="auto"/>
        </w:rPr>
        <w:fldChar w:fldCharType="separate"/>
      </w:r>
      <w:r w:rsidR="003827E5">
        <w:rPr>
          <w:rFonts w:asciiTheme="majorBidi" w:hAnsiTheme="majorBidi" w:cstheme="majorBidi"/>
          <w:color w:val="auto"/>
        </w:rPr>
        <w:t>38</w:t>
      </w:r>
      <w:r w:rsidRPr="00CD1278">
        <w:rPr>
          <w:rFonts w:asciiTheme="majorBidi" w:hAnsiTheme="majorBidi" w:cstheme="majorBidi"/>
          <w:color w:val="auto"/>
        </w:rPr>
        <w:fldChar w:fldCharType="end"/>
      </w:r>
    </w:p>
    <w:p w14:paraId="380E167C" w14:textId="45B68EB9" w:rsidR="002873C0" w:rsidRPr="00CD1278" w:rsidRDefault="002873C0">
      <w:pPr>
        <w:pStyle w:val="TOC1"/>
        <w:rPr>
          <w:rFonts w:asciiTheme="majorBidi" w:eastAsiaTheme="minorEastAsia" w:hAnsiTheme="majorBidi" w:cstheme="majorBidi"/>
          <w:b w:val="0"/>
          <w:color w:val="auto"/>
          <w:sz w:val="22"/>
          <w:szCs w:val="22"/>
          <w:lang w:eastAsia="en-AU"/>
        </w:rPr>
      </w:pPr>
      <w:r w:rsidRPr="00CD1278">
        <w:rPr>
          <w:rFonts w:asciiTheme="majorBidi" w:eastAsia="MS ????" w:hAnsiTheme="majorBidi" w:cstheme="majorBidi"/>
          <w:color w:val="auto"/>
        </w:rPr>
        <w:t>ANNEX 1 - Decision IX/6 Critical Use Exemptions for Methyl Bromide</w:t>
      </w:r>
      <w:r w:rsidRPr="00CD1278">
        <w:rPr>
          <w:rFonts w:asciiTheme="majorBidi" w:hAnsiTheme="majorBidi" w:cstheme="majorBidi"/>
          <w:color w:val="auto"/>
        </w:rPr>
        <w:tab/>
      </w:r>
      <w:r w:rsidRPr="00CD1278">
        <w:rPr>
          <w:rFonts w:asciiTheme="majorBidi" w:hAnsiTheme="majorBidi" w:cstheme="majorBidi"/>
          <w:color w:val="auto"/>
        </w:rPr>
        <w:fldChar w:fldCharType="begin"/>
      </w:r>
      <w:r w:rsidRPr="00CD1278">
        <w:rPr>
          <w:rFonts w:asciiTheme="majorBidi" w:hAnsiTheme="majorBidi" w:cstheme="majorBidi"/>
          <w:color w:val="auto"/>
        </w:rPr>
        <w:instrText xml:space="preserve"> PAGEREF _Toc453277833 \h </w:instrText>
      </w:r>
      <w:r w:rsidRPr="00CD1278">
        <w:rPr>
          <w:rFonts w:asciiTheme="majorBidi" w:hAnsiTheme="majorBidi" w:cstheme="majorBidi"/>
          <w:color w:val="auto"/>
        </w:rPr>
      </w:r>
      <w:r w:rsidRPr="00CD1278">
        <w:rPr>
          <w:rFonts w:asciiTheme="majorBidi" w:hAnsiTheme="majorBidi" w:cstheme="majorBidi"/>
          <w:color w:val="auto"/>
        </w:rPr>
        <w:fldChar w:fldCharType="separate"/>
      </w:r>
      <w:r w:rsidR="003827E5">
        <w:rPr>
          <w:rFonts w:asciiTheme="majorBidi" w:hAnsiTheme="majorBidi" w:cstheme="majorBidi"/>
          <w:color w:val="auto"/>
        </w:rPr>
        <w:t>44</w:t>
      </w:r>
      <w:r w:rsidRPr="00CD1278">
        <w:rPr>
          <w:rFonts w:asciiTheme="majorBidi" w:hAnsiTheme="majorBidi" w:cstheme="majorBidi"/>
          <w:color w:val="auto"/>
        </w:rPr>
        <w:fldChar w:fldCharType="end"/>
      </w:r>
    </w:p>
    <w:p w14:paraId="72ED75A0" w14:textId="766A24C4" w:rsidR="002873C0" w:rsidRPr="00CD1278" w:rsidRDefault="002873C0" w:rsidP="002873C0">
      <w:pPr>
        <w:pStyle w:val="TOC1"/>
        <w:rPr>
          <w:rFonts w:asciiTheme="majorBidi" w:eastAsiaTheme="minorEastAsia" w:hAnsiTheme="majorBidi" w:cstheme="majorBidi"/>
          <w:b w:val="0"/>
          <w:color w:val="auto"/>
          <w:sz w:val="22"/>
          <w:szCs w:val="22"/>
          <w:lang w:eastAsia="en-AU"/>
        </w:rPr>
      </w:pPr>
      <w:r w:rsidRPr="00CD1278">
        <w:rPr>
          <w:rFonts w:asciiTheme="majorBidi" w:hAnsiTheme="majorBidi" w:cstheme="majorBidi"/>
          <w:color w:val="auto"/>
        </w:rPr>
        <w:t>ANNEX II - Decision Ex.I/4. Conditions for granting and reporting critical-use exemptions for methyl bromide</w:t>
      </w:r>
      <w:r w:rsidRPr="00CD1278">
        <w:rPr>
          <w:rFonts w:asciiTheme="majorBidi" w:hAnsiTheme="majorBidi" w:cstheme="majorBidi"/>
          <w:color w:val="auto"/>
        </w:rPr>
        <w:tab/>
      </w:r>
      <w:r w:rsidRPr="00CD1278">
        <w:rPr>
          <w:rFonts w:asciiTheme="majorBidi" w:hAnsiTheme="majorBidi" w:cstheme="majorBidi"/>
          <w:color w:val="auto"/>
        </w:rPr>
        <w:fldChar w:fldCharType="begin"/>
      </w:r>
      <w:r w:rsidRPr="00CD1278">
        <w:rPr>
          <w:rFonts w:asciiTheme="majorBidi" w:hAnsiTheme="majorBidi" w:cstheme="majorBidi"/>
          <w:color w:val="auto"/>
        </w:rPr>
        <w:instrText xml:space="preserve"> PAGEREF _Toc453277835 \h </w:instrText>
      </w:r>
      <w:r w:rsidRPr="00CD1278">
        <w:rPr>
          <w:rFonts w:asciiTheme="majorBidi" w:hAnsiTheme="majorBidi" w:cstheme="majorBidi"/>
          <w:color w:val="auto"/>
        </w:rPr>
      </w:r>
      <w:r w:rsidRPr="00CD1278">
        <w:rPr>
          <w:rFonts w:asciiTheme="majorBidi" w:hAnsiTheme="majorBidi" w:cstheme="majorBidi"/>
          <w:color w:val="auto"/>
        </w:rPr>
        <w:fldChar w:fldCharType="separate"/>
      </w:r>
      <w:r w:rsidR="003827E5">
        <w:rPr>
          <w:rFonts w:asciiTheme="majorBidi" w:hAnsiTheme="majorBidi" w:cstheme="majorBidi"/>
          <w:color w:val="auto"/>
        </w:rPr>
        <w:t>45</w:t>
      </w:r>
      <w:r w:rsidRPr="00CD1278">
        <w:rPr>
          <w:rFonts w:asciiTheme="majorBidi" w:hAnsiTheme="majorBidi" w:cstheme="majorBidi"/>
          <w:color w:val="auto"/>
        </w:rPr>
        <w:fldChar w:fldCharType="end"/>
      </w:r>
    </w:p>
    <w:p w14:paraId="1AC6770F" w14:textId="74AAB85B" w:rsidR="002873C0" w:rsidRPr="00CD1278" w:rsidRDefault="002873C0">
      <w:pPr>
        <w:pStyle w:val="TOC1"/>
        <w:rPr>
          <w:rFonts w:asciiTheme="majorBidi" w:eastAsiaTheme="minorEastAsia" w:hAnsiTheme="majorBidi" w:cstheme="majorBidi"/>
          <w:b w:val="0"/>
          <w:color w:val="auto"/>
          <w:sz w:val="22"/>
          <w:szCs w:val="22"/>
          <w:lang w:eastAsia="en-AU"/>
        </w:rPr>
      </w:pPr>
      <w:r w:rsidRPr="00CD1278">
        <w:rPr>
          <w:rFonts w:asciiTheme="majorBidi" w:hAnsiTheme="majorBidi" w:cstheme="majorBidi"/>
          <w:color w:val="auto"/>
        </w:rPr>
        <w:t>ANNEX III - Part A: Historic Trends in non A5 Preplant Soil Nominations and Exemptions for MB Use</w:t>
      </w:r>
      <w:r w:rsidR="00E23EA7" w:rsidRPr="00CD1278">
        <w:rPr>
          <w:rFonts w:asciiTheme="majorBidi" w:hAnsiTheme="majorBidi" w:cstheme="majorBidi"/>
          <w:color w:val="auto"/>
        </w:rPr>
        <w:t>s which have been reported to have been phased out</w:t>
      </w:r>
      <w:r w:rsidRPr="00CD1278">
        <w:rPr>
          <w:rFonts w:asciiTheme="majorBidi" w:hAnsiTheme="majorBidi" w:cstheme="majorBidi"/>
          <w:color w:val="auto"/>
        </w:rPr>
        <w:tab/>
      </w:r>
      <w:r w:rsidRPr="00CD1278">
        <w:rPr>
          <w:rFonts w:asciiTheme="majorBidi" w:hAnsiTheme="majorBidi" w:cstheme="majorBidi"/>
          <w:color w:val="auto"/>
        </w:rPr>
        <w:fldChar w:fldCharType="begin"/>
      </w:r>
      <w:r w:rsidRPr="00CD1278">
        <w:rPr>
          <w:rFonts w:asciiTheme="majorBidi" w:hAnsiTheme="majorBidi" w:cstheme="majorBidi"/>
          <w:color w:val="auto"/>
        </w:rPr>
        <w:instrText xml:space="preserve"> PAGEREF _Toc453277836 \h </w:instrText>
      </w:r>
      <w:r w:rsidRPr="00CD1278">
        <w:rPr>
          <w:rFonts w:asciiTheme="majorBidi" w:hAnsiTheme="majorBidi" w:cstheme="majorBidi"/>
          <w:color w:val="auto"/>
        </w:rPr>
      </w:r>
      <w:r w:rsidRPr="00CD1278">
        <w:rPr>
          <w:rFonts w:asciiTheme="majorBidi" w:hAnsiTheme="majorBidi" w:cstheme="majorBidi"/>
          <w:color w:val="auto"/>
        </w:rPr>
        <w:fldChar w:fldCharType="separate"/>
      </w:r>
      <w:r w:rsidR="003827E5">
        <w:rPr>
          <w:rFonts w:asciiTheme="majorBidi" w:hAnsiTheme="majorBidi" w:cstheme="majorBidi"/>
          <w:color w:val="auto"/>
        </w:rPr>
        <w:t>48</w:t>
      </w:r>
      <w:r w:rsidRPr="00CD1278">
        <w:rPr>
          <w:rFonts w:asciiTheme="majorBidi" w:hAnsiTheme="majorBidi" w:cstheme="majorBidi"/>
          <w:color w:val="auto"/>
        </w:rPr>
        <w:fldChar w:fldCharType="end"/>
      </w:r>
    </w:p>
    <w:p w14:paraId="4AD23E8F" w14:textId="50045743" w:rsidR="002873C0" w:rsidRPr="00CD1278" w:rsidRDefault="002873C0">
      <w:pPr>
        <w:pStyle w:val="TOC1"/>
        <w:rPr>
          <w:rFonts w:asciiTheme="majorBidi" w:eastAsiaTheme="minorEastAsia" w:hAnsiTheme="majorBidi" w:cstheme="majorBidi"/>
          <w:b w:val="0"/>
          <w:color w:val="auto"/>
          <w:sz w:val="22"/>
          <w:szCs w:val="22"/>
          <w:lang w:eastAsia="en-AU"/>
        </w:rPr>
      </w:pPr>
      <w:r w:rsidRPr="00CD1278">
        <w:rPr>
          <w:rFonts w:asciiTheme="majorBidi" w:hAnsiTheme="majorBidi" w:cstheme="majorBidi"/>
          <w:color w:val="auto"/>
        </w:rPr>
        <w:t>ANNEX IV– Part B: Historic Trends in non A5 Structural and Commodity Nominations and Exemptions</w:t>
      </w:r>
      <w:r w:rsidR="00E23EA7" w:rsidRPr="00CD1278">
        <w:rPr>
          <w:rFonts w:asciiTheme="majorBidi" w:hAnsiTheme="majorBidi" w:cstheme="majorBidi"/>
          <w:color w:val="auto"/>
        </w:rPr>
        <w:t xml:space="preserve"> </w:t>
      </w:r>
      <w:r w:rsidRPr="00CD1278">
        <w:rPr>
          <w:rFonts w:asciiTheme="majorBidi" w:hAnsiTheme="majorBidi" w:cstheme="majorBidi"/>
          <w:color w:val="auto"/>
        </w:rPr>
        <w:t>for MB Use</w:t>
      </w:r>
      <w:r w:rsidR="00E23EA7" w:rsidRPr="00CD1278">
        <w:rPr>
          <w:rFonts w:asciiTheme="majorBidi" w:hAnsiTheme="majorBidi" w:cstheme="majorBidi"/>
          <w:color w:val="auto"/>
        </w:rPr>
        <w:t>s which have been reported to have been phased out</w:t>
      </w:r>
      <w:r w:rsidRPr="00CD1278">
        <w:rPr>
          <w:rFonts w:asciiTheme="majorBidi" w:hAnsiTheme="majorBidi" w:cstheme="majorBidi"/>
          <w:color w:val="auto"/>
        </w:rPr>
        <w:tab/>
      </w:r>
      <w:r w:rsidRPr="00CD1278">
        <w:rPr>
          <w:rFonts w:asciiTheme="majorBidi" w:hAnsiTheme="majorBidi" w:cstheme="majorBidi"/>
          <w:color w:val="auto"/>
        </w:rPr>
        <w:fldChar w:fldCharType="begin"/>
      </w:r>
      <w:r w:rsidRPr="00CD1278">
        <w:rPr>
          <w:rFonts w:asciiTheme="majorBidi" w:hAnsiTheme="majorBidi" w:cstheme="majorBidi"/>
          <w:color w:val="auto"/>
        </w:rPr>
        <w:instrText xml:space="preserve"> PAGEREF _Toc453277837 \h </w:instrText>
      </w:r>
      <w:r w:rsidRPr="00CD1278">
        <w:rPr>
          <w:rFonts w:asciiTheme="majorBidi" w:hAnsiTheme="majorBidi" w:cstheme="majorBidi"/>
          <w:color w:val="auto"/>
        </w:rPr>
      </w:r>
      <w:r w:rsidRPr="00CD1278">
        <w:rPr>
          <w:rFonts w:asciiTheme="majorBidi" w:hAnsiTheme="majorBidi" w:cstheme="majorBidi"/>
          <w:color w:val="auto"/>
        </w:rPr>
        <w:fldChar w:fldCharType="separate"/>
      </w:r>
      <w:r w:rsidR="003827E5">
        <w:rPr>
          <w:rFonts w:asciiTheme="majorBidi" w:hAnsiTheme="majorBidi" w:cstheme="majorBidi"/>
          <w:color w:val="auto"/>
        </w:rPr>
        <w:t>55</w:t>
      </w:r>
      <w:r w:rsidRPr="00CD1278">
        <w:rPr>
          <w:rFonts w:asciiTheme="majorBidi" w:hAnsiTheme="majorBidi" w:cstheme="majorBidi"/>
          <w:color w:val="auto"/>
        </w:rPr>
        <w:fldChar w:fldCharType="end"/>
      </w:r>
    </w:p>
    <w:p w14:paraId="6844B005" w14:textId="60078086" w:rsidR="008D5F24" w:rsidRPr="00CD1278" w:rsidRDefault="001E3306" w:rsidP="00EB7F94">
      <w:pPr>
        <w:rPr>
          <w:color w:val="auto"/>
        </w:rPr>
      </w:pPr>
      <w:r w:rsidRPr="00CD1278">
        <w:rPr>
          <w:rFonts w:asciiTheme="majorBidi" w:hAnsiTheme="majorBidi" w:cstheme="majorBidi"/>
          <w:b/>
          <w:caps/>
          <w:color w:val="auto"/>
        </w:rPr>
        <w:fldChar w:fldCharType="end"/>
      </w:r>
    </w:p>
    <w:p w14:paraId="2E4A71B9" w14:textId="77777777" w:rsidR="006B71CA" w:rsidRPr="00CD1278" w:rsidRDefault="006B71CA" w:rsidP="00765CCC">
      <w:pPr>
        <w:pStyle w:val="Title"/>
        <w:jc w:val="left"/>
        <w:rPr>
          <w:color w:val="auto"/>
        </w:rPr>
        <w:sectPr w:rsidR="006B71CA" w:rsidRPr="00CD1278" w:rsidSect="00B43EA1">
          <w:headerReference w:type="even" r:id="rId30"/>
          <w:headerReference w:type="default" r:id="rId31"/>
          <w:footerReference w:type="even" r:id="rId32"/>
          <w:headerReference w:type="first" r:id="rId33"/>
          <w:pgSz w:w="11909" w:h="16834" w:code="9"/>
          <w:pgMar w:top="1440" w:right="1440" w:bottom="1134" w:left="1440" w:header="720" w:footer="720" w:gutter="0"/>
          <w:pgNumType w:fmt="lowerRoman"/>
          <w:cols w:space="720"/>
          <w:docGrid w:linePitch="360"/>
        </w:sectPr>
      </w:pPr>
      <w:bookmarkStart w:id="6" w:name="_Toc321116329"/>
    </w:p>
    <w:p w14:paraId="2E21AF6C" w14:textId="55966D38" w:rsidR="008D5F24" w:rsidRPr="00CD1278" w:rsidRDefault="008B08D6" w:rsidP="00765CCC">
      <w:pPr>
        <w:pStyle w:val="Title"/>
        <w:jc w:val="left"/>
        <w:rPr>
          <w:rStyle w:val="Heading1Char3"/>
          <w:b/>
          <w:color w:val="auto"/>
        </w:rPr>
      </w:pPr>
      <w:r w:rsidRPr="00CD1278">
        <w:rPr>
          <w:rStyle w:val="Heading1Char3"/>
          <w:b/>
          <w:color w:val="auto"/>
        </w:rPr>
        <w:t xml:space="preserve">2018 </w:t>
      </w:r>
      <w:r w:rsidR="008D5F24" w:rsidRPr="00CD1278">
        <w:rPr>
          <w:rStyle w:val="Heading1Char3"/>
          <w:b/>
          <w:color w:val="auto"/>
        </w:rPr>
        <w:t xml:space="preserve">Evaluation of Critical Use Nominations for Methyl Bromide and Related Matters </w:t>
      </w:r>
      <w:bookmarkEnd w:id="6"/>
    </w:p>
    <w:p w14:paraId="61A92E63" w14:textId="0F5AA2BE" w:rsidR="00067EB6" w:rsidRPr="00CD1278" w:rsidRDefault="00067EB6" w:rsidP="00BE7C70">
      <w:pPr>
        <w:pStyle w:val="StyleStyleHeading2SubParaaHeading2Char1CharSubParaaCha"/>
        <w:numPr>
          <w:ilvl w:val="0"/>
          <w:numId w:val="21"/>
        </w:numPr>
        <w:rPr>
          <w:rStyle w:val="StyleHeading1Para1Heading1Char1CharHeading1CharCharCChar"/>
          <w:color w:val="auto"/>
          <w:lang w:val="en-GB"/>
        </w:rPr>
      </w:pPr>
      <w:bookmarkStart w:id="7" w:name="_Toc453277803"/>
      <w:r w:rsidRPr="00CD1278">
        <w:rPr>
          <w:rStyle w:val="StyleHeading1Para1Heading1Char1CharHeading1CharCharCChar"/>
          <w:color w:val="auto"/>
          <w:lang w:val="en-GB"/>
        </w:rPr>
        <w:t>Executive Summary</w:t>
      </w:r>
      <w:bookmarkEnd w:id="7"/>
    </w:p>
    <w:p w14:paraId="6BA40B83" w14:textId="77777777" w:rsidR="00310FF5" w:rsidRPr="00CD1278" w:rsidRDefault="00310FF5" w:rsidP="00BE7C70">
      <w:pPr>
        <w:pStyle w:val="StyleStyleHeading2SubParaaHeading2Char1CharSubParaaCha"/>
        <w:rPr>
          <w:rStyle w:val="StyleHeading1Para1Heading1Char1CharHeading1CharCharCChar"/>
          <w:color w:val="auto"/>
          <w:sz w:val="18"/>
          <w:szCs w:val="8"/>
          <w:lang w:val="en-GB"/>
        </w:rPr>
      </w:pPr>
    </w:p>
    <w:p w14:paraId="1074C185" w14:textId="7A390857" w:rsidR="00DF2B90" w:rsidRPr="00CD1278" w:rsidRDefault="00DF2B90" w:rsidP="005A552B">
      <w:pPr>
        <w:pStyle w:val="Title"/>
        <w:spacing w:after="120"/>
        <w:jc w:val="left"/>
        <w:rPr>
          <w:rFonts w:ascii="Times New Roman" w:hAnsi="Times New Roman"/>
          <w:b w:val="0"/>
          <w:color w:val="auto"/>
          <w:kern w:val="0"/>
          <w:sz w:val="22"/>
        </w:rPr>
      </w:pPr>
      <w:r w:rsidRPr="00CD1278">
        <w:rPr>
          <w:rFonts w:ascii="Times New Roman" w:hAnsi="Times New Roman"/>
          <w:b w:val="0"/>
          <w:color w:val="auto"/>
          <w:kern w:val="0"/>
          <w:sz w:val="22"/>
        </w:rPr>
        <w:t>Since 2005 the amount of MB requested for critical use nominations has fallen from 18,700 t to 150 t for 2019/2020</w:t>
      </w:r>
      <w:r w:rsidR="005A552B" w:rsidRPr="00CD1278">
        <w:rPr>
          <w:rFonts w:ascii="Times New Roman" w:hAnsi="Times New Roman"/>
          <w:b w:val="0"/>
          <w:color w:val="auto"/>
          <w:kern w:val="0"/>
          <w:sz w:val="22"/>
        </w:rPr>
        <w:t xml:space="preserve">. </w:t>
      </w:r>
      <w:r w:rsidRPr="00CD1278">
        <w:rPr>
          <w:rFonts w:ascii="Times New Roman" w:hAnsi="Times New Roman"/>
          <w:b w:val="0"/>
          <w:color w:val="auto"/>
          <w:kern w:val="0"/>
          <w:sz w:val="22"/>
        </w:rPr>
        <w:t xml:space="preserve"> </w:t>
      </w:r>
    </w:p>
    <w:p w14:paraId="0CE0431F" w14:textId="74521B35" w:rsidR="000552BC" w:rsidRPr="00CD1278" w:rsidRDefault="00DF2B90" w:rsidP="005A552B">
      <w:pPr>
        <w:pStyle w:val="Title"/>
        <w:spacing w:after="120"/>
        <w:jc w:val="left"/>
        <w:rPr>
          <w:rFonts w:ascii="Times New Roman" w:hAnsi="Times New Roman"/>
          <w:b w:val="0"/>
          <w:color w:val="auto"/>
          <w:kern w:val="0"/>
          <w:sz w:val="22"/>
        </w:rPr>
      </w:pPr>
      <w:r w:rsidRPr="00CD1278">
        <w:rPr>
          <w:rFonts w:ascii="Times New Roman" w:hAnsi="Times New Roman"/>
          <w:b w:val="0"/>
          <w:color w:val="auto"/>
          <w:kern w:val="0"/>
          <w:sz w:val="22"/>
        </w:rPr>
        <w:t>In 2018</w:t>
      </w:r>
      <w:r w:rsidR="003A1CC9" w:rsidRPr="00CD1278">
        <w:rPr>
          <w:rFonts w:ascii="Times New Roman" w:hAnsi="Times New Roman"/>
          <w:b w:val="0"/>
          <w:color w:val="auto"/>
          <w:kern w:val="0"/>
          <w:sz w:val="22"/>
        </w:rPr>
        <w:t>,</w:t>
      </w:r>
      <w:r w:rsidRPr="00CD1278">
        <w:rPr>
          <w:rFonts w:ascii="Times New Roman" w:hAnsi="Times New Roman"/>
          <w:b w:val="0"/>
          <w:color w:val="auto"/>
          <w:kern w:val="0"/>
          <w:sz w:val="22"/>
        </w:rPr>
        <w:t xml:space="preserve"> M</w:t>
      </w:r>
      <w:r w:rsidR="00E65A3C" w:rsidRPr="00CD1278">
        <w:rPr>
          <w:rFonts w:ascii="Times New Roman" w:hAnsi="Times New Roman"/>
          <w:b w:val="0"/>
          <w:color w:val="auto"/>
          <w:kern w:val="0"/>
          <w:sz w:val="22"/>
        </w:rPr>
        <w:t xml:space="preserve">BTOC received </w:t>
      </w:r>
      <w:r w:rsidR="008B08D6" w:rsidRPr="00CD1278">
        <w:rPr>
          <w:rFonts w:ascii="Times New Roman" w:hAnsi="Times New Roman"/>
          <w:b w:val="0"/>
          <w:color w:val="auto"/>
          <w:kern w:val="0"/>
          <w:sz w:val="22"/>
        </w:rPr>
        <w:t>s</w:t>
      </w:r>
      <w:r w:rsidR="00CF7CAA" w:rsidRPr="00CD1278">
        <w:rPr>
          <w:rFonts w:ascii="Times New Roman" w:hAnsi="Times New Roman"/>
          <w:b w:val="0"/>
          <w:color w:val="auto"/>
          <w:kern w:val="0"/>
          <w:sz w:val="22"/>
        </w:rPr>
        <w:t>ix</w:t>
      </w:r>
      <w:r w:rsidR="008B08D6" w:rsidRPr="00CD1278">
        <w:rPr>
          <w:rFonts w:ascii="Times New Roman" w:hAnsi="Times New Roman"/>
          <w:b w:val="0"/>
          <w:color w:val="auto"/>
          <w:kern w:val="0"/>
          <w:sz w:val="22"/>
        </w:rPr>
        <w:t xml:space="preserve"> </w:t>
      </w:r>
      <w:r w:rsidRPr="00CD1278">
        <w:rPr>
          <w:rFonts w:ascii="Times New Roman" w:hAnsi="Times New Roman"/>
          <w:b w:val="0"/>
          <w:color w:val="auto"/>
          <w:kern w:val="0"/>
          <w:sz w:val="22"/>
        </w:rPr>
        <w:t>nominations for critical use</w:t>
      </w:r>
      <w:r w:rsidR="00E65A3C" w:rsidRPr="00CD1278">
        <w:rPr>
          <w:rFonts w:ascii="Times New Roman" w:hAnsi="Times New Roman"/>
          <w:b w:val="0"/>
          <w:color w:val="auto"/>
          <w:kern w:val="0"/>
          <w:sz w:val="22"/>
        </w:rPr>
        <w:t xml:space="preserve"> </w:t>
      </w:r>
      <w:r w:rsidR="000141FA" w:rsidRPr="00CD1278">
        <w:rPr>
          <w:rFonts w:ascii="Times New Roman" w:hAnsi="Times New Roman"/>
          <w:b w:val="0"/>
          <w:color w:val="auto"/>
          <w:kern w:val="0"/>
          <w:sz w:val="22"/>
        </w:rPr>
        <w:t xml:space="preserve">from </w:t>
      </w:r>
      <w:r w:rsidR="008B08D6" w:rsidRPr="00CD1278">
        <w:rPr>
          <w:rFonts w:ascii="Times New Roman" w:hAnsi="Times New Roman"/>
          <w:b w:val="0"/>
          <w:color w:val="auto"/>
          <w:kern w:val="0"/>
          <w:sz w:val="22"/>
        </w:rPr>
        <w:t xml:space="preserve">four </w:t>
      </w:r>
      <w:r w:rsidR="000141FA" w:rsidRPr="00CD1278">
        <w:rPr>
          <w:rFonts w:ascii="Times New Roman" w:hAnsi="Times New Roman"/>
          <w:b w:val="0"/>
          <w:color w:val="auto"/>
          <w:kern w:val="0"/>
          <w:sz w:val="22"/>
        </w:rPr>
        <w:t xml:space="preserve">Parties </w:t>
      </w:r>
      <w:r w:rsidR="00E65A3C" w:rsidRPr="00CD1278">
        <w:rPr>
          <w:rFonts w:ascii="Times New Roman" w:hAnsi="Times New Roman"/>
          <w:b w:val="0"/>
          <w:color w:val="auto"/>
          <w:kern w:val="0"/>
          <w:sz w:val="22"/>
        </w:rPr>
        <w:t xml:space="preserve">for use of </w:t>
      </w:r>
      <w:r w:rsidR="00CF7CAA" w:rsidRPr="00CD1278">
        <w:rPr>
          <w:rFonts w:ascii="Times New Roman" w:hAnsi="Times New Roman"/>
          <w:b w:val="0"/>
          <w:color w:val="auto"/>
          <w:kern w:val="0"/>
          <w:sz w:val="22"/>
        </w:rPr>
        <w:t>12</w:t>
      </w:r>
      <w:r w:rsidR="005978A3" w:rsidRPr="00CD1278">
        <w:rPr>
          <w:rFonts w:ascii="Times New Roman" w:hAnsi="Times New Roman"/>
          <w:b w:val="0"/>
          <w:color w:val="auto"/>
          <w:kern w:val="0"/>
          <w:sz w:val="22"/>
        </w:rPr>
        <w:t>3</w:t>
      </w:r>
      <w:r w:rsidR="00CF7CAA" w:rsidRPr="00CD1278">
        <w:rPr>
          <w:rFonts w:ascii="Times New Roman" w:hAnsi="Times New Roman"/>
          <w:b w:val="0"/>
          <w:color w:val="auto"/>
          <w:kern w:val="0"/>
          <w:sz w:val="22"/>
        </w:rPr>
        <w:t>.</w:t>
      </w:r>
      <w:r w:rsidR="005978A3" w:rsidRPr="00CD1278">
        <w:rPr>
          <w:rFonts w:ascii="Times New Roman" w:hAnsi="Times New Roman"/>
          <w:b w:val="0"/>
          <w:color w:val="auto"/>
          <w:kern w:val="0"/>
          <w:sz w:val="22"/>
        </w:rPr>
        <w:t>7</w:t>
      </w:r>
      <w:r w:rsidR="00CF7CAA" w:rsidRPr="00CD1278">
        <w:rPr>
          <w:rFonts w:ascii="Times New Roman" w:hAnsi="Times New Roman"/>
          <w:b w:val="0"/>
          <w:color w:val="auto"/>
          <w:kern w:val="0"/>
          <w:sz w:val="22"/>
        </w:rPr>
        <w:t>61</w:t>
      </w:r>
      <w:r w:rsidR="00E65A3C" w:rsidRPr="00CD1278">
        <w:rPr>
          <w:rFonts w:ascii="Times New Roman" w:hAnsi="Times New Roman"/>
          <w:b w:val="0"/>
          <w:color w:val="auto"/>
          <w:kern w:val="0"/>
          <w:sz w:val="22"/>
        </w:rPr>
        <w:t xml:space="preserve"> tonnes of methyl bromide</w:t>
      </w:r>
      <w:r w:rsidR="00674AA4" w:rsidRPr="00CD1278">
        <w:rPr>
          <w:rFonts w:ascii="Times New Roman" w:hAnsi="Times New Roman"/>
          <w:b w:val="0"/>
          <w:color w:val="auto"/>
          <w:kern w:val="0"/>
          <w:sz w:val="22"/>
        </w:rPr>
        <w:t xml:space="preserve"> (</w:t>
      </w:r>
      <w:r w:rsidR="001B150B" w:rsidRPr="00CD1278">
        <w:rPr>
          <w:rFonts w:ascii="Times New Roman" w:hAnsi="Times New Roman"/>
          <w:b w:val="0"/>
          <w:color w:val="auto"/>
          <w:kern w:val="0"/>
          <w:sz w:val="22"/>
        </w:rPr>
        <w:t>MB</w:t>
      </w:r>
      <w:r w:rsidR="00674AA4" w:rsidRPr="00CD1278">
        <w:rPr>
          <w:rFonts w:ascii="Times New Roman" w:hAnsi="Times New Roman"/>
          <w:b w:val="0"/>
          <w:color w:val="auto"/>
          <w:kern w:val="0"/>
          <w:sz w:val="22"/>
        </w:rPr>
        <w:t>)</w:t>
      </w:r>
      <w:r w:rsidR="001B150B" w:rsidRPr="00CD1278">
        <w:rPr>
          <w:rFonts w:ascii="Times New Roman" w:hAnsi="Times New Roman"/>
          <w:b w:val="0"/>
          <w:color w:val="auto"/>
          <w:kern w:val="0"/>
          <w:sz w:val="22"/>
        </w:rPr>
        <w:t xml:space="preserve"> in </w:t>
      </w:r>
      <w:r w:rsidR="00CF7CAA" w:rsidRPr="00CD1278">
        <w:rPr>
          <w:rFonts w:ascii="Times New Roman" w:hAnsi="Times New Roman"/>
          <w:b w:val="0"/>
          <w:color w:val="auto"/>
          <w:kern w:val="0"/>
          <w:sz w:val="22"/>
        </w:rPr>
        <w:t xml:space="preserve">2019 </w:t>
      </w:r>
      <w:r w:rsidR="00E65A3C" w:rsidRPr="00CD1278">
        <w:rPr>
          <w:rFonts w:ascii="Times New Roman" w:hAnsi="Times New Roman"/>
          <w:b w:val="0"/>
          <w:color w:val="auto"/>
          <w:kern w:val="0"/>
          <w:sz w:val="22"/>
        </w:rPr>
        <w:t>(</w:t>
      </w:r>
      <w:r w:rsidR="007521A0" w:rsidRPr="00CD1278">
        <w:rPr>
          <w:rFonts w:ascii="Times New Roman" w:hAnsi="Times New Roman"/>
          <w:b w:val="0"/>
          <w:color w:val="auto"/>
          <w:kern w:val="0"/>
          <w:sz w:val="22"/>
        </w:rPr>
        <w:t xml:space="preserve">five </w:t>
      </w:r>
      <w:r w:rsidR="00E65A3C" w:rsidRPr="00CD1278">
        <w:rPr>
          <w:rFonts w:ascii="Times New Roman" w:hAnsi="Times New Roman"/>
          <w:b w:val="0"/>
          <w:color w:val="auto"/>
          <w:kern w:val="0"/>
          <w:sz w:val="22"/>
        </w:rPr>
        <w:t xml:space="preserve">nominations) and </w:t>
      </w:r>
      <w:r w:rsidR="00CF7CAA" w:rsidRPr="00CD1278">
        <w:rPr>
          <w:rFonts w:ascii="Times New Roman" w:hAnsi="Times New Roman"/>
          <w:b w:val="0"/>
          <w:color w:val="auto"/>
          <w:kern w:val="0"/>
          <w:sz w:val="22"/>
        </w:rPr>
        <w:t xml:space="preserve">28.98 tonnes in 2020 </w:t>
      </w:r>
      <w:r w:rsidR="00E65A3C" w:rsidRPr="00CD1278">
        <w:rPr>
          <w:rFonts w:ascii="Times New Roman" w:hAnsi="Times New Roman"/>
          <w:b w:val="0"/>
          <w:color w:val="auto"/>
          <w:kern w:val="0"/>
          <w:sz w:val="22"/>
        </w:rPr>
        <w:t xml:space="preserve">(one nomination).  </w:t>
      </w:r>
    </w:p>
    <w:p w14:paraId="4D166724" w14:textId="77777777" w:rsidR="000552BC" w:rsidRPr="00CD1278" w:rsidRDefault="00B00EF0" w:rsidP="005A552B">
      <w:pPr>
        <w:pStyle w:val="Title"/>
        <w:spacing w:after="120"/>
        <w:jc w:val="left"/>
        <w:rPr>
          <w:rFonts w:ascii="Times New Roman" w:hAnsi="Times New Roman"/>
          <w:b w:val="0"/>
          <w:color w:val="auto"/>
          <w:kern w:val="0"/>
          <w:sz w:val="22"/>
        </w:rPr>
      </w:pPr>
      <w:r w:rsidRPr="00CD1278">
        <w:rPr>
          <w:rFonts w:ascii="Times New Roman" w:hAnsi="Times New Roman"/>
          <w:b w:val="0"/>
          <w:color w:val="auto"/>
          <w:kern w:val="0"/>
          <w:sz w:val="22"/>
        </w:rPr>
        <w:t>Th</w:t>
      </w:r>
      <w:r w:rsidR="00CF7CAA" w:rsidRPr="00CD1278">
        <w:rPr>
          <w:rFonts w:ascii="Times New Roman" w:hAnsi="Times New Roman"/>
          <w:b w:val="0"/>
          <w:color w:val="auto"/>
          <w:kern w:val="0"/>
          <w:sz w:val="22"/>
        </w:rPr>
        <w:t xml:space="preserve">e request </w:t>
      </w:r>
      <w:r w:rsidR="000552BC" w:rsidRPr="00CD1278">
        <w:rPr>
          <w:rFonts w:ascii="Times New Roman" w:hAnsi="Times New Roman"/>
          <w:b w:val="0"/>
          <w:color w:val="auto"/>
          <w:kern w:val="0"/>
          <w:sz w:val="22"/>
        </w:rPr>
        <w:t>over</w:t>
      </w:r>
      <w:r w:rsidR="00CF7CAA" w:rsidRPr="00CD1278">
        <w:rPr>
          <w:rFonts w:ascii="Times New Roman" w:hAnsi="Times New Roman"/>
          <w:b w:val="0"/>
          <w:color w:val="auto"/>
          <w:kern w:val="0"/>
          <w:sz w:val="22"/>
        </w:rPr>
        <w:t xml:space="preserve"> the two years </w:t>
      </w:r>
      <w:r w:rsidRPr="00CD1278">
        <w:rPr>
          <w:rFonts w:ascii="Times New Roman" w:hAnsi="Times New Roman"/>
          <w:b w:val="0"/>
          <w:color w:val="auto"/>
          <w:kern w:val="0"/>
          <w:sz w:val="22"/>
        </w:rPr>
        <w:t xml:space="preserve">is a </w:t>
      </w:r>
      <w:r w:rsidR="00CF7CAA" w:rsidRPr="00CD1278">
        <w:rPr>
          <w:rFonts w:ascii="Times New Roman" w:hAnsi="Times New Roman"/>
          <w:b w:val="0"/>
          <w:color w:val="auto"/>
          <w:kern w:val="0"/>
          <w:sz w:val="22"/>
        </w:rPr>
        <w:t>48%</w:t>
      </w:r>
      <w:r w:rsidRPr="00CD1278">
        <w:rPr>
          <w:rFonts w:ascii="Times New Roman" w:hAnsi="Times New Roman"/>
          <w:b w:val="0"/>
          <w:color w:val="auto"/>
          <w:kern w:val="0"/>
          <w:sz w:val="22"/>
        </w:rPr>
        <w:t xml:space="preserve"> reduction </w:t>
      </w:r>
      <w:r w:rsidR="000141FA" w:rsidRPr="00CD1278">
        <w:rPr>
          <w:rFonts w:ascii="Times New Roman" w:hAnsi="Times New Roman"/>
          <w:b w:val="0"/>
          <w:color w:val="auto"/>
          <w:kern w:val="0"/>
          <w:sz w:val="22"/>
        </w:rPr>
        <w:t xml:space="preserve">of </w:t>
      </w:r>
      <w:r w:rsidRPr="00CD1278">
        <w:rPr>
          <w:rFonts w:ascii="Times New Roman" w:hAnsi="Times New Roman"/>
          <w:b w:val="0"/>
          <w:color w:val="auto"/>
          <w:kern w:val="0"/>
          <w:sz w:val="22"/>
        </w:rPr>
        <w:t xml:space="preserve">the request </w:t>
      </w:r>
      <w:r w:rsidR="000141FA" w:rsidRPr="00CD1278">
        <w:rPr>
          <w:rFonts w:ascii="Times New Roman" w:hAnsi="Times New Roman"/>
          <w:b w:val="0"/>
          <w:color w:val="auto"/>
          <w:kern w:val="0"/>
          <w:sz w:val="22"/>
        </w:rPr>
        <w:t xml:space="preserve">for </w:t>
      </w:r>
      <w:r w:rsidRPr="00CD1278">
        <w:rPr>
          <w:rFonts w:ascii="Times New Roman" w:hAnsi="Times New Roman"/>
          <w:b w:val="0"/>
          <w:color w:val="auto"/>
          <w:kern w:val="0"/>
          <w:sz w:val="22"/>
        </w:rPr>
        <w:t xml:space="preserve">critical use nominations </w:t>
      </w:r>
      <w:r w:rsidR="005978A3" w:rsidRPr="00CD1278">
        <w:rPr>
          <w:rFonts w:ascii="Times New Roman" w:hAnsi="Times New Roman"/>
          <w:b w:val="0"/>
          <w:color w:val="auto"/>
          <w:kern w:val="0"/>
          <w:sz w:val="22"/>
        </w:rPr>
        <w:t xml:space="preserve">submitted </w:t>
      </w:r>
      <w:r w:rsidR="000141FA" w:rsidRPr="00CD1278">
        <w:rPr>
          <w:rFonts w:ascii="Times New Roman" w:hAnsi="Times New Roman"/>
          <w:b w:val="0"/>
          <w:color w:val="auto"/>
          <w:kern w:val="0"/>
          <w:sz w:val="22"/>
        </w:rPr>
        <w:t xml:space="preserve">in </w:t>
      </w:r>
      <w:r w:rsidR="00D70754" w:rsidRPr="00CD1278">
        <w:rPr>
          <w:rFonts w:ascii="Times New Roman" w:hAnsi="Times New Roman"/>
          <w:b w:val="0"/>
          <w:color w:val="auto"/>
          <w:kern w:val="0"/>
          <w:sz w:val="22"/>
        </w:rPr>
        <w:t>2017</w:t>
      </w:r>
      <w:r w:rsidRPr="00CD1278">
        <w:rPr>
          <w:rFonts w:ascii="Times New Roman" w:hAnsi="Times New Roman"/>
          <w:b w:val="0"/>
          <w:color w:val="auto"/>
          <w:kern w:val="0"/>
          <w:sz w:val="22"/>
        </w:rPr>
        <w:t xml:space="preserve">. </w:t>
      </w:r>
    </w:p>
    <w:p w14:paraId="347E984B" w14:textId="2912B0D3" w:rsidR="00B00EF0" w:rsidRPr="00CD1278" w:rsidRDefault="00B00EF0" w:rsidP="005A552B">
      <w:pPr>
        <w:pStyle w:val="Title"/>
        <w:spacing w:after="120"/>
        <w:jc w:val="left"/>
        <w:rPr>
          <w:rFonts w:ascii="Times New Roman" w:hAnsi="Times New Roman"/>
          <w:b w:val="0"/>
          <w:color w:val="auto"/>
          <w:kern w:val="0"/>
          <w:sz w:val="22"/>
        </w:rPr>
      </w:pPr>
      <w:r w:rsidRPr="00CD1278">
        <w:rPr>
          <w:rFonts w:ascii="Times New Roman" w:hAnsi="Times New Roman"/>
          <w:b w:val="0"/>
          <w:color w:val="auto"/>
          <w:kern w:val="0"/>
          <w:sz w:val="22"/>
        </w:rPr>
        <w:t>The majority of the request (</w:t>
      </w:r>
      <w:r w:rsidR="009A0D87" w:rsidRPr="00CD1278">
        <w:rPr>
          <w:rFonts w:ascii="Times New Roman" w:hAnsi="Times New Roman"/>
          <w:b w:val="0"/>
          <w:color w:val="auto"/>
          <w:kern w:val="0"/>
          <w:sz w:val="22"/>
        </w:rPr>
        <w:t>69</w:t>
      </w:r>
      <w:r w:rsidRPr="00CD1278">
        <w:rPr>
          <w:rFonts w:ascii="Times New Roman" w:hAnsi="Times New Roman"/>
          <w:b w:val="0"/>
          <w:color w:val="auto"/>
          <w:kern w:val="0"/>
          <w:sz w:val="22"/>
        </w:rPr>
        <w:t xml:space="preserve">%) was for preplant soil use against soilborne fungal pathogens, nematodes and weeds and the remaining </w:t>
      </w:r>
      <w:r w:rsidR="009A0D87" w:rsidRPr="00CD1278">
        <w:rPr>
          <w:rFonts w:ascii="Times New Roman" w:hAnsi="Times New Roman"/>
          <w:b w:val="0"/>
          <w:color w:val="auto"/>
          <w:kern w:val="0"/>
          <w:sz w:val="22"/>
        </w:rPr>
        <w:t>31</w:t>
      </w:r>
      <w:r w:rsidRPr="00CD1278">
        <w:rPr>
          <w:rFonts w:ascii="Times New Roman" w:hAnsi="Times New Roman"/>
          <w:b w:val="0"/>
          <w:color w:val="auto"/>
          <w:kern w:val="0"/>
          <w:sz w:val="22"/>
        </w:rPr>
        <w:t>% for structure and commodity uses against insect pests.</w:t>
      </w:r>
    </w:p>
    <w:p w14:paraId="515989AF" w14:textId="19612E2D" w:rsidR="005978A3" w:rsidRPr="00CD1278" w:rsidRDefault="007521A0" w:rsidP="005A552B">
      <w:pPr>
        <w:pStyle w:val="Title"/>
        <w:jc w:val="left"/>
        <w:rPr>
          <w:rFonts w:ascii="Times New Roman" w:hAnsi="Times New Roman"/>
          <w:b w:val="0"/>
          <w:color w:val="auto"/>
          <w:kern w:val="0"/>
          <w:sz w:val="22"/>
        </w:rPr>
      </w:pPr>
      <w:r w:rsidRPr="00CD1278">
        <w:rPr>
          <w:rFonts w:ascii="Times New Roman" w:hAnsi="Times New Roman"/>
          <w:b w:val="0"/>
          <w:color w:val="auto"/>
          <w:kern w:val="0"/>
          <w:sz w:val="22"/>
        </w:rPr>
        <w:t>MBTOC made i</w:t>
      </w:r>
      <w:r w:rsidR="00E65A3C" w:rsidRPr="00CD1278">
        <w:rPr>
          <w:rFonts w:ascii="Times New Roman" w:hAnsi="Times New Roman"/>
          <w:b w:val="0"/>
          <w:color w:val="auto"/>
          <w:kern w:val="0"/>
          <w:sz w:val="22"/>
        </w:rPr>
        <w:t>nterim recommendations</w:t>
      </w:r>
      <w:r w:rsidR="009A0D87" w:rsidRPr="00CD1278">
        <w:rPr>
          <w:rFonts w:ascii="Times New Roman" w:hAnsi="Times New Roman"/>
          <w:b w:val="0"/>
          <w:color w:val="auto"/>
          <w:kern w:val="0"/>
          <w:sz w:val="22"/>
        </w:rPr>
        <w:t xml:space="preserve"> for all nominations</w:t>
      </w:r>
      <w:r w:rsidR="004C774C" w:rsidRPr="00CD1278">
        <w:rPr>
          <w:rFonts w:ascii="Times New Roman" w:hAnsi="Times New Roman"/>
          <w:b w:val="0"/>
          <w:color w:val="auto"/>
          <w:kern w:val="0"/>
          <w:sz w:val="22"/>
        </w:rPr>
        <w:t xml:space="preserve"> for 102.</w:t>
      </w:r>
      <w:r w:rsidR="00D175EF" w:rsidRPr="00CD1278">
        <w:rPr>
          <w:rFonts w:ascii="Times New Roman" w:hAnsi="Times New Roman"/>
          <w:b w:val="0"/>
          <w:color w:val="auto"/>
          <w:kern w:val="0"/>
          <w:sz w:val="22"/>
        </w:rPr>
        <w:t xml:space="preserve">355 </w:t>
      </w:r>
      <w:r w:rsidR="004C774C" w:rsidRPr="00CD1278">
        <w:rPr>
          <w:rFonts w:ascii="Times New Roman" w:hAnsi="Times New Roman"/>
          <w:b w:val="0"/>
          <w:color w:val="auto"/>
          <w:kern w:val="0"/>
          <w:sz w:val="22"/>
        </w:rPr>
        <w:t>tonnes</w:t>
      </w:r>
      <w:r w:rsidRPr="00CD1278">
        <w:rPr>
          <w:rFonts w:ascii="Times New Roman" w:hAnsi="Times New Roman"/>
          <w:b w:val="0"/>
          <w:color w:val="auto"/>
          <w:kern w:val="0"/>
          <w:sz w:val="22"/>
        </w:rPr>
        <w:t>,</w:t>
      </w:r>
      <w:r w:rsidR="009A0D87" w:rsidRPr="00CD1278">
        <w:rPr>
          <w:rFonts w:ascii="Times New Roman" w:hAnsi="Times New Roman"/>
          <w:b w:val="0"/>
          <w:color w:val="auto"/>
          <w:kern w:val="0"/>
          <w:sz w:val="22"/>
        </w:rPr>
        <w:t xml:space="preserve"> </w:t>
      </w:r>
      <w:r w:rsidRPr="00CD1278">
        <w:rPr>
          <w:rFonts w:ascii="Times New Roman" w:hAnsi="Times New Roman"/>
          <w:b w:val="0"/>
          <w:color w:val="auto"/>
          <w:kern w:val="0"/>
          <w:sz w:val="22"/>
        </w:rPr>
        <w:t>with</w:t>
      </w:r>
      <w:r w:rsidR="009A0D87" w:rsidRPr="00CD1278">
        <w:rPr>
          <w:rFonts w:ascii="Times New Roman" w:hAnsi="Times New Roman"/>
          <w:b w:val="0"/>
          <w:color w:val="auto"/>
          <w:kern w:val="0"/>
          <w:sz w:val="22"/>
        </w:rPr>
        <w:t xml:space="preserve"> reductions </w:t>
      </w:r>
      <w:r w:rsidR="003A1CC9" w:rsidRPr="00CD1278">
        <w:rPr>
          <w:rFonts w:ascii="Times New Roman" w:hAnsi="Times New Roman"/>
          <w:b w:val="0"/>
          <w:color w:val="auto"/>
          <w:kern w:val="0"/>
          <w:sz w:val="22"/>
        </w:rPr>
        <w:t xml:space="preserve">made </w:t>
      </w:r>
      <w:r w:rsidR="009A0D87" w:rsidRPr="00CD1278">
        <w:rPr>
          <w:rFonts w:ascii="Times New Roman" w:hAnsi="Times New Roman"/>
          <w:b w:val="0"/>
          <w:color w:val="auto"/>
          <w:kern w:val="0"/>
          <w:sz w:val="22"/>
        </w:rPr>
        <w:t xml:space="preserve">to the </w:t>
      </w:r>
      <w:r w:rsidRPr="00CD1278">
        <w:rPr>
          <w:rFonts w:ascii="Times New Roman" w:hAnsi="Times New Roman"/>
          <w:b w:val="0"/>
          <w:color w:val="auto"/>
          <w:kern w:val="0"/>
          <w:sz w:val="22"/>
        </w:rPr>
        <w:t xml:space="preserve">nominated </w:t>
      </w:r>
      <w:r w:rsidR="009A0D87" w:rsidRPr="00CD1278">
        <w:rPr>
          <w:rFonts w:ascii="Times New Roman" w:hAnsi="Times New Roman"/>
          <w:b w:val="0"/>
          <w:color w:val="auto"/>
          <w:kern w:val="0"/>
          <w:sz w:val="22"/>
        </w:rPr>
        <w:t>qua</w:t>
      </w:r>
      <w:r w:rsidRPr="00CD1278">
        <w:rPr>
          <w:rFonts w:ascii="Times New Roman" w:hAnsi="Times New Roman"/>
          <w:b w:val="0"/>
          <w:color w:val="auto"/>
          <w:kern w:val="0"/>
          <w:sz w:val="22"/>
        </w:rPr>
        <w:t>n</w:t>
      </w:r>
      <w:r w:rsidR="009A0D87" w:rsidRPr="00CD1278">
        <w:rPr>
          <w:rFonts w:ascii="Times New Roman" w:hAnsi="Times New Roman"/>
          <w:b w:val="0"/>
          <w:color w:val="auto"/>
          <w:kern w:val="0"/>
          <w:sz w:val="22"/>
        </w:rPr>
        <w:t>tity of MB</w:t>
      </w:r>
      <w:r w:rsidR="005978A3" w:rsidRPr="00CD1278">
        <w:rPr>
          <w:rFonts w:ascii="Times New Roman" w:hAnsi="Times New Roman"/>
          <w:b w:val="0"/>
          <w:color w:val="auto"/>
          <w:kern w:val="0"/>
          <w:sz w:val="22"/>
        </w:rPr>
        <w:t xml:space="preserve"> for all nominations</w:t>
      </w:r>
      <w:r w:rsidR="003A1CC9" w:rsidRPr="00CD1278">
        <w:rPr>
          <w:rFonts w:ascii="Times New Roman" w:hAnsi="Times New Roman"/>
          <w:b w:val="0"/>
          <w:color w:val="auto"/>
          <w:kern w:val="0"/>
          <w:sz w:val="22"/>
        </w:rPr>
        <w:t xml:space="preserve"> as alternatives or </w:t>
      </w:r>
      <w:r w:rsidR="009A0D87" w:rsidRPr="00CD1278">
        <w:rPr>
          <w:rFonts w:ascii="Times New Roman" w:hAnsi="Times New Roman"/>
          <w:b w:val="0"/>
          <w:color w:val="auto"/>
          <w:kern w:val="0"/>
          <w:sz w:val="22"/>
        </w:rPr>
        <w:t>modifications were considered possible which reduced the quantity required for the nomination.</w:t>
      </w:r>
      <w:r w:rsidR="00585EF9" w:rsidRPr="00CD1278">
        <w:rPr>
          <w:rFonts w:ascii="Times New Roman" w:hAnsi="Times New Roman"/>
          <w:b w:val="0"/>
          <w:color w:val="auto"/>
          <w:kern w:val="0"/>
          <w:sz w:val="22"/>
        </w:rPr>
        <w:t xml:space="preserve"> </w:t>
      </w:r>
    </w:p>
    <w:p w14:paraId="32657F21" w14:textId="3B4F67EB" w:rsidR="00067EB6" w:rsidRPr="00CD1278" w:rsidRDefault="000D1B2E" w:rsidP="005A552B">
      <w:pPr>
        <w:pStyle w:val="Title"/>
        <w:jc w:val="left"/>
        <w:rPr>
          <w:rFonts w:ascii="Times New Roman" w:hAnsi="Times New Roman"/>
          <w:b w:val="0"/>
          <w:color w:val="auto"/>
          <w:kern w:val="0"/>
          <w:sz w:val="22"/>
        </w:rPr>
      </w:pPr>
      <w:r w:rsidRPr="00CD1278">
        <w:rPr>
          <w:rFonts w:ascii="Times New Roman" w:hAnsi="Times New Roman"/>
          <w:b w:val="0"/>
          <w:color w:val="auto"/>
          <w:kern w:val="0"/>
          <w:sz w:val="22"/>
        </w:rPr>
        <w:t>China</w:t>
      </w:r>
      <w:r w:rsidR="000552BC" w:rsidRPr="00CD1278">
        <w:rPr>
          <w:rFonts w:ascii="Times New Roman" w:hAnsi="Times New Roman"/>
          <w:b w:val="0"/>
          <w:color w:val="auto"/>
          <w:kern w:val="0"/>
          <w:sz w:val="22"/>
        </w:rPr>
        <w:t>,</w:t>
      </w:r>
      <w:r w:rsidRPr="00CD1278">
        <w:rPr>
          <w:rFonts w:ascii="Times New Roman" w:hAnsi="Times New Roman"/>
          <w:b w:val="0"/>
          <w:color w:val="auto"/>
          <w:kern w:val="0"/>
          <w:sz w:val="22"/>
        </w:rPr>
        <w:t xml:space="preserve"> </w:t>
      </w:r>
      <w:r w:rsidR="000552BC" w:rsidRPr="00CD1278">
        <w:rPr>
          <w:rFonts w:ascii="Times New Roman" w:hAnsi="Times New Roman"/>
          <w:b w:val="0"/>
          <w:color w:val="auto"/>
          <w:kern w:val="0"/>
          <w:sz w:val="22"/>
        </w:rPr>
        <w:t xml:space="preserve">which indicated its intent not to apply for CUNs last year, </w:t>
      </w:r>
      <w:r w:rsidR="009A0D87" w:rsidRPr="00CD1278">
        <w:rPr>
          <w:rFonts w:ascii="Times New Roman" w:hAnsi="Times New Roman"/>
          <w:b w:val="0"/>
          <w:color w:val="auto"/>
          <w:kern w:val="0"/>
          <w:sz w:val="22"/>
        </w:rPr>
        <w:t xml:space="preserve">did not apply for any CUNs in this round. </w:t>
      </w:r>
      <w:r w:rsidRPr="00CD1278">
        <w:rPr>
          <w:rFonts w:ascii="Times New Roman" w:hAnsi="Times New Roman"/>
          <w:b w:val="0"/>
          <w:color w:val="auto"/>
          <w:kern w:val="0"/>
          <w:sz w:val="22"/>
        </w:rPr>
        <w:t xml:space="preserve"> </w:t>
      </w:r>
    </w:p>
    <w:p w14:paraId="44289304" w14:textId="31367FC3" w:rsidR="000552BC" w:rsidRPr="00CD1278" w:rsidRDefault="00FA1BB3" w:rsidP="005A552B">
      <w:pPr>
        <w:rPr>
          <w:color w:val="auto"/>
        </w:rPr>
      </w:pPr>
      <w:r w:rsidRPr="00CD1278">
        <w:rPr>
          <w:color w:val="auto"/>
        </w:rPr>
        <w:t>The accounting framework information</w:t>
      </w:r>
      <w:r w:rsidR="000141FA" w:rsidRPr="00CD1278">
        <w:rPr>
          <w:color w:val="auto"/>
        </w:rPr>
        <w:t xml:space="preserve"> received</w:t>
      </w:r>
      <w:r w:rsidRPr="00CD1278">
        <w:rPr>
          <w:color w:val="auto"/>
        </w:rPr>
        <w:t xml:space="preserve"> from parties reporting under Article 7 show</w:t>
      </w:r>
      <w:r w:rsidR="009A0D87" w:rsidRPr="00CD1278">
        <w:rPr>
          <w:color w:val="auto"/>
        </w:rPr>
        <w:t>ed</w:t>
      </w:r>
      <w:r w:rsidRPr="00CD1278">
        <w:rPr>
          <w:color w:val="auto"/>
        </w:rPr>
        <w:t xml:space="preserve"> that</w:t>
      </w:r>
      <w:r w:rsidR="00E06E66" w:rsidRPr="00CD1278">
        <w:rPr>
          <w:color w:val="auto"/>
        </w:rPr>
        <w:t xml:space="preserve"> a total of </w:t>
      </w:r>
      <w:r w:rsidR="00391519" w:rsidRPr="00CD1278">
        <w:rPr>
          <w:color w:val="auto"/>
        </w:rPr>
        <w:t xml:space="preserve">24.285 </w:t>
      </w:r>
      <w:r w:rsidRPr="00CD1278">
        <w:rPr>
          <w:color w:val="auto"/>
        </w:rPr>
        <w:t xml:space="preserve">tonnes of stocks </w:t>
      </w:r>
      <w:r w:rsidR="00E06E66" w:rsidRPr="00CD1278">
        <w:rPr>
          <w:color w:val="auto"/>
        </w:rPr>
        <w:t>have been reported to be</w:t>
      </w:r>
      <w:r w:rsidRPr="00CD1278">
        <w:rPr>
          <w:color w:val="auto"/>
        </w:rPr>
        <w:t xml:space="preserve"> available</w:t>
      </w:r>
      <w:r w:rsidR="00E06E66" w:rsidRPr="00CD1278">
        <w:rPr>
          <w:color w:val="auto"/>
        </w:rPr>
        <w:t xml:space="preserve"> in both non</w:t>
      </w:r>
      <w:r w:rsidR="00CD275B" w:rsidRPr="00CD1278">
        <w:rPr>
          <w:color w:val="auto"/>
        </w:rPr>
        <w:t>-Article 5 (non-</w:t>
      </w:r>
      <w:r w:rsidR="00E06E66" w:rsidRPr="00CD1278">
        <w:rPr>
          <w:color w:val="auto"/>
        </w:rPr>
        <w:t>A5</w:t>
      </w:r>
      <w:r w:rsidR="00CD275B" w:rsidRPr="00CD1278">
        <w:rPr>
          <w:color w:val="auto"/>
        </w:rPr>
        <w:t>)</w:t>
      </w:r>
      <w:r w:rsidR="00E06E66" w:rsidRPr="00CD1278">
        <w:rPr>
          <w:color w:val="auto"/>
        </w:rPr>
        <w:t xml:space="preserve"> and </w:t>
      </w:r>
      <w:r w:rsidR="00CD275B" w:rsidRPr="00CD1278">
        <w:rPr>
          <w:color w:val="auto"/>
        </w:rPr>
        <w:t>Article 5 (</w:t>
      </w:r>
      <w:r w:rsidR="00E06E66" w:rsidRPr="00CD1278">
        <w:rPr>
          <w:color w:val="auto"/>
        </w:rPr>
        <w:t>A5</w:t>
      </w:r>
      <w:r w:rsidR="00CD275B" w:rsidRPr="00CD1278">
        <w:rPr>
          <w:color w:val="auto"/>
        </w:rPr>
        <w:t>)</w:t>
      </w:r>
      <w:r w:rsidR="00E06E66" w:rsidRPr="00CD1278">
        <w:rPr>
          <w:color w:val="auto"/>
        </w:rPr>
        <w:t xml:space="preserve"> at the end of 201</w:t>
      </w:r>
      <w:r w:rsidR="00E54A8D" w:rsidRPr="00CD1278">
        <w:rPr>
          <w:color w:val="auto"/>
        </w:rPr>
        <w:t>7</w:t>
      </w:r>
      <w:r w:rsidR="00E06E66" w:rsidRPr="00CD1278">
        <w:rPr>
          <w:color w:val="auto"/>
        </w:rPr>
        <w:t>.</w:t>
      </w:r>
      <w:r w:rsidRPr="00CD1278">
        <w:rPr>
          <w:color w:val="auto"/>
        </w:rPr>
        <w:t xml:space="preserve">  </w:t>
      </w:r>
      <w:r w:rsidR="00CD275B" w:rsidRPr="00CD1278">
        <w:rPr>
          <w:color w:val="auto"/>
        </w:rPr>
        <w:t>MBTOC notes, h</w:t>
      </w:r>
      <w:r w:rsidR="000552BC" w:rsidRPr="00CD1278">
        <w:rPr>
          <w:color w:val="auto"/>
        </w:rPr>
        <w:t>owever</w:t>
      </w:r>
      <w:r w:rsidR="00CD275B" w:rsidRPr="00CD1278">
        <w:rPr>
          <w:color w:val="auto"/>
        </w:rPr>
        <w:t>,</w:t>
      </w:r>
      <w:r w:rsidR="000552BC" w:rsidRPr="00CD1278">
        <w:rPr>
          <w:color w:val="auto"/>
        </w:rPr>
        <w:t xml:space="preserve"> </w:t>
      </w:r>
      <w:r w:rsidR="00CD275B" w:rsidRPr="00CD1278">
        <w:rPr>
          <w:color w:val="auto"/>
        </w:rPr>
        <w:t xml:space="preserve">that </w:t>
      </w:r>
      <w:r w:rsidR="000552BC" w:rsidRPr="00CD1278">
        <w:rPr>
          <w:color w:val="auto"/>
        </w:rPr>
        <w:t>the accounting information in this report does not accurately show the stocks of MB held globally for controlled uses by A5 parties as there is no requirement for parties to report pre</w:t>
      </w:r>
      <w:r w:rsidR="00CD275B" w:rsidRPr="00CD1278">
        <w:rPr>
          <w:color w:val="auto"/>
        </w:rPr>
        <w:t>-</w:t>
      </w:r>
      <w:r w:rsidR="000552BC" w:rsidRPr="00CD1278">
        <w:rPr>
          <w:color w:val="auto"/>
        </w:rPr>
        <w:t>2015 stocks under the Montreal Protocol.  MBTOC estimates these stocks may be substantial (&gt;2,000 tonnes).</w:t>
      </w:r>
    </w:p>
    <w:p w14:paraId="60D0E2E6" w14:textId="17A87DF5" w:rsidR="000552BC" w:rsidRPr="00CD1278" w:rsidRDefault="000552BC" w:rsidP="005A552B">
      <w:pPr>
        <w:rPr>
          <w:color w:val="auto"/>
        </w:rPr>
      </w:pPr>
      <w:r w:rsidRPr="00CD1278">
        <w:rPr>
          <w:color w:val="auto"/>
        </w:rPr>
        <w:t xml:space="preserve">MBTOC has not reduced its recommended amount of </w:t>
      </w:r>
      <w:r w:rsidR="009C333D" w:rsidRPr="00CD1278">
        <w:rPr>
          <w:color w:val="auto"/>
        </w:rPr>
        <w:t>MB</w:t>
      </w:r>
      <w:r w:rsidRPr="00CD1278">
        <w:rPr>
          <w:color w:val="auto"/>
        </w:rPr>
        <w:t xml:space="preserve"> in consideration of stocks held by the Party and has instead relied on Parties to take this into consideration when approving the amounts recommended by TEAP for each nomination. </w:t>
      </w:r>
    </w:p>
    <w:p w14:paraId="5D538285" w14:textId="77777777" w:rsidR="008D5F24" w:rsidRPr="00CD1278" w:rsidRDefault="00655D62" w:rsidP="00A426E1">
      <w:pPr>
        <w:pStyle w:val="Heading1"/>
        <w:rPr>
          <w:rStyle w:val="Heading1Char3"/>
          <w:bCs/>
          <w:color w:val="auto"/>
        </w:rPr>
      </w:pPr>
      <w:bookmarkStart w:id="8" w:name="_Toc102710545"/>
      <w:bookmarkStart w:id="9" w:name="_Toc321116330"/>
      <w:bookmarkStart w:id="10" w:name="_Toc323048859"/>
      <w:bookmarkStart w:id="11" w:name="_Toc323049023"/>
      <w:bookmarkStart w:id="12" w:name="_Toc293054732"/>
      <w:bookmarkStart w:id="13" w:name="_Toc453277804"/>
      <w:r w:rsidRPr="00CD1278">
        <w:rPr>
          <w:rStyle w:val="Heading1Char3"/>
          <w:bCs/>
          <w:color w:val="auto"/>
        </w:rPr>
        <w:t>1</w:t>
      </w:r>
      <w:r w:rsidR="008D5F24" w:rsidRPr="00CD1278">
        <w:rPr>
          <w:rStyle w:val="Heading1Char3"/>
          <w:bCs/>
          <w:color w:val="auto"/>
        </w:rPr>
        <w:t xml:space="preserve">.1 </w:t>
      </w:r>
      <w:r w:rsidR="008D5F24" w:rsidRPr="00CD1278">
        <w:rPr>
          <w:rStyle w:val="Heading1Char3"/>
          <w:bCs/>
          <w:color w:val="auto"/>
        </w:rPr>
        <w:tab/>
        <w:t>Scope of the Report</w:t>
      </w:r>
      <w:bookmarkEnd w:id="8"/>
      <w:bookmarkEnd w:id="9"/>
      <w:bookmarkEnd w:id="10"/>
      <w:bookmarkEnd w:id="11"/>
      <w:bookmarkEnd w:id="12"/>
      <w:bookmarkEnd w:id="13"/>
    </w:p>
    <w:p w14:paraId="67C322AC" w14:textId="5E1C4A9E" w:rsidR="008D5F24" w:rsidRPr="00CD1278" w:rsidRDefault="008D5F24" w:rsidP="005A552B">
      <w:pPr>
        <w:rPr>
          <w:color w:val="auto"/>
        </w:rPr>
      </w:pPr>
      <w:r w:rsidRPr="00CD1278">
        <w:rPr>
          <w:color w:val="auto"/>
        </w:rPr>
        <w:t>Th</w:t>
      </w:r>
      <w:r w:rsidR="004D6151" w:rsidRPr="00CD1278">
        <w:rPr>
          <w:color w:val="auto"/>
        </w:rPr>
        <w:t>e</w:t>
      </w:r>
      <w:r w:rsidR="00C17D19" w:rsidRPr="00CD1278">
        <w:rPr>
          <w:color w:val="auto"/>
        </w:rPr>
        <w:t xml:space="preserve"> </w:t>
      </w:r>
      <w:r w:rsidR="00CF7CAA" w:rsidRPr="00CD1278">
        <w:rPr>
          <w:color w:val="auto"/>
        </w:rPr>
        <w:t xml:space="preserve">2018 </w:t>
      </w:r>
      <w:r w:rsidR="00254F25" w:rsidRPr="00CD1278">
        <w:rPr>
          <w:color w:val="auto"/>
        </w:rPr>
        <w:t>interim</w:t>
      </w:r>
      <w:r w:rsidRPr="00CD1278">
        <w:rPr>
          <w:color w:val="auto"/>
        </w:rPr>
        <w:t xml:space="preserve"> report provides evaluations by MBTOC of Critical Use Nominations (CUNs) for methyl bromide (MB) </w:t>
      </w:r>
      <w:r w:rsidR="000141FA" w:rsidRPr="00CD1278">
        <w:rPr>
          <w:color w:val="auto"/>
        </w:rPr>
        <w:t xml:space="preserve">submitted </w:t>
      </w:r>
      <w:r w:rsidRPr="00CD1278">
        <w:rPr>
          <w:color w:val="auto"/>
        </w:rPr>
        <w:t>for 201</w:t>
      </w:r>
      <w:r w:rsidR="00B00EF0" w:rsidRPr="00CD1278">
        <w:rPr>
          <w:color w:val="auto"/>
        </w:rPr>
        <w:t>8</w:t>
      </w:r>
      <w:r w:rsidR="004D6151" w:rsidRPr="00CD1278">
        <w:rPr>
          <w:color w:val="auto"/>
        </w:rPr>
        <w:t xml:space="preserve"> and 201</w:t>
      </w:r>
      <w:r w:rsidR="00B00EF0" w:rsidRPr="00CD1278">
        <w:rPr>
          <w:color w:val="auto"/>
        </w:rPr>
        <w:t>9</w:t>
      </w:r>
      <w:r w:rsidRPr="00CD1278">
        <w:rPr>
          <w:color w:val="auto"/>
        </w:rPr>
        <w:t xml:space="preserve"> by </w:t>
      </w:r>
      <w:r w:rsidR="00345318" w:rsidRPr="00CD1278">
        <w:rPr>
          <w:color w:val="auto"/>
        </w:rPr>
        <w:t>f</w:t>
      </w:r>
      <w:r w:rsidR="00CF7CAA" w:rsidRPr="00CD1278">
        <w:rPr>
          <w:color w:val="auto"/>
        </w:rPr>
        <w:t>our</w:t>
      </w:r>
      <w:r w:rsidR="00332A99" w:rsidRPr="00CD1278">
        <w:rPr>
          <w:color w:val="auto"/>
        </w:rPr>
        <w:t xml:space="preserve"> </w:t>
      </w:r>
      <w:r w:rsidRPr="00CD1278">
        <w:rPr>
          <w:color w:val="auto"/>
        </w:rPr>
        <w:t>Parties</w:t>
      </w:r>
      <w:r w:rsidR="004D6151" w:rsidRPr="00CD1278">
        <w:rPr>
          <w:color w:val="auto"/>
        </w:rPr>
        <w:t>: t</w:t>
      </w:r>
      <w:r w:rsidR="00345318" w:rsidRPr="00CD1278">
        <w:rPr>
          <w:color w:val="auto"/>
        </w:rPr>
        <w:t>wo</w:t>
      </w:r>
      <w:r w:rsidR="004D6151" w:rsidRPr="00CD1278">
        <w:rPr>
          <w:color w:val="auto"/>
        </w:rPr>
        <w:t xml:space="preserve"> non-A5</w:t>
      </w:r>
      <w:r w:rsidRPr="00CD1278">
        <w:rPr>
          <w:color w:val="auto"/>
        </w:rPr>
        <w:t xml:space="preserve"> (</w:t>
      </w:r>
      <w:r w:rsidR="004D6151" w:rsidRPr="00CD1278">
        <w:rPr>
          <w:color w:val="auto"/>
        </w:rPr>
        <w:t>Australia</w:t>
      </w:r>
      <w:r w:rsidR="00345318" w:rsidRPr="00CD1278">
        <w:rPr>
          <w:color w:val="auto"/>
        </w:rPr>
        <w:t xml:space="preserve"> and</w:t>
      </w:r>
      <w:r w:rsidR="004D6151" w:rsidRPr="00CD1278">
        <w:rPr>
          <w:color w:val="auto"/>
        </w:rPr>
        <w:t xml:space="preserve"> Canada</w:t>
      </w:r>
      <w:r w:rsidRPr="00CD1278">
        <w:rPr>
          <w:color w:val="auto"/>
        </w:rPr>
        <w:t>)</w:t>
      </w:r>
      <w:r w:rsidR="004D6151" w:rsidRPr="00CD1278">
        <w:rPr>
          <w:color w:val="auto"/>
        </w:rPr>
        <w:t xml:space="preserve"> and </w:t>
      </w:r>
      <w:r w:rsidR="00345318" w:rsidRPr="00CD1278">
        <w:rPr>
          <w:color w:val="auto"/>
        </w:rPr>
        <w:t>t</w:t>
      </w:r>
      <w:r w:rsidR="00CF7CAA" w:rsidRPr="00CD1278">
        <w:rPr>
          <w:color w:val="auto"/>
        </w:rPr>
        <w:t>wo</w:t>
      </w:r>
      <w:r w:rsidR="00234175" w:rsidRPr="00CD1278">
        <w:rPr>
          <w:color w:val="auto"/>
        </w:rPr>
        <w:t xml:space="preserve"> </w:t>
      </w:r>
      <w:r w:rsidR="004D6151" w:rsidRPr="00CD1278">
        <w:rPr>
          <w:color w:val="auto"/>
        </w:rPr>
        <w:t>A5</w:t>
      </w:r>
      <w:r w:rsidR="00CD275B" w:rsidRPr="00CD1278">
        <w:rPr>
          <w:color w:val="auto"/>
        </w:rPr>
        <w:t xml:space="preserve"> parties</w:t>
      </w:r>
      <w:r w:rsidR="004D6151" w:rsidRPr="00CD1278">
        <w:rPr>
          <w:color w:val="auto"/>
        </w:rPr>
        <w:t xml:space="preserve"> (Argentina</w:t>
      </w:r>
      <w:r w:rsidR="00332A99" w:rsidRPr="00CD1278">
        <w:rPr>
          <w:color w:val="auto"/>
        </w:rPr>
        <w:t xml:space="preserve"> and South Africa</w:t>
      </w:r>
      <w:r w:rsidR="004D6151" w:rsidRPr="00CD1278">
        <w:rPr>
          <w:color w:val="auto"/>
        </w:rPr>
        <w:t>)</w:t>
      </w:r>
      <w:r w:rsidRPr="00CD1278">
        <w:rPr>
          <w:color w:val="auto"/>
        </w:rPr>
        <w:t>. As per provisions set out in Decision IX/6 (Annex I,</w:t>
      </w:r>
      <w:r w:rsidR="00507126" w:rsidRPr="00CD1278">
        <w:rPr>
          <w:color w:val="auto"/>
        </w:rPr>
        <w:t xml:space="preserve"> </w:t>
      </w:r>
      <w:r w:rsidR="00C17D19" w:rsidRPr="00CD1278">
        <w:rPr>
          <w:color w:val="auto"/>
        </w:rPr>
        <w:t>MOP16</w:t>
      </w:r>
      <w:r w:rsidR="00F40EFF" w:rsidRPr="00CD1278">
        <w:rPr>
          <w:color w:val="auto"/>
        </w:rPr>
        <w:t>)</w:t>
      </w:r>
      <w:r w:rsidRPr="00CD1278">
        <w:rPr>
          <w:color w:val="auto"/>
        </w:rPr>
        <w:t xml:space="preserve">, CUNs were </w:t>
      </w:r>
      <w:r w:rsidR="00332A99" w:rsidRPr="00CD1278">
        <w:rPr>
          <w:color w:val="auto"/>
        </w:rPr>
        <w:t xml:space="preserve">required to be </w:t>
      </w:r>
      <w:r w:rsidRPr="00CD1278">
        <w:rPr>
          <w:color w:val="auto"/>
        </w:rPr>
        <w:t>submitted</w:t>
      </w:r>
      <w:r w:rsidR="00BD353E" w:rsidRPr="00CD1278">
        <w:rPr>
          <w:color w:val="auto"/>
        </w:rPr>
        <w:t xml:space="preserve"> by the Parties</w:t>
      </w:r>
      <w:r w:rsidRPr="00CD1278">
        <w:rPr>
          <w:color w:val="auto"/>
        </w:rPr>
        <w:t xml:space="preserve"> to the Ozone Secretariat in accordance with the timetable shown in paragraph</w:t>
      </w:r>
      <w:r w:rsidR="004D6151" w:rsidRPr="00CD1278">
        <w:rPr>
          <w:color w:val="auto"/>
        </w:rPr>
        <w:t xml:space="preserve"> 1 of Annex I, Decision XVI/4. </w:t>
      </w:r>
    </w:p>
    <w:p w14:paraId="44161213" w14:textId="7E678A34" w:rsidR="008D5F24" w:rsidRPr="00CD1278" w:rsidRDefault="008D5F24" w:rsidP="005A552B">
      <w:pPr>
        <w:rPr>
          <w:color w:val="auto"/>
        </w:rPr>
      </w:pPr>
      <w:r w:rsidRPr="00CD1278">
        <w:rPr>
          <w:color w:val="auto"/>
        </w:rPr>
        <w:t xml:space="preserve">This report </w:t>
      </w:r>
      <w:r w:rsidR="00BF087C" w:rsidRPr="00CD1278">
        <w:rPr>
          <w:color w:val="auto"/>
        </w:rPr>
        <w:t xml:space="preserve">also </w:t>
      </w:r>
      <w:r w:rsidRPr="00CD1278">
        <w:rPr>
          <w:color w:val="auto"/>
        </w:rPr>
        <w:t>provides</w:t>
      </w:r>
      <w:r w:rsidR="00CB4A33" w:rsidRPr="00CD1278">
        <w:rPr>
          <w:color w:val="auto"/>
        </w:rPr>
        <w:t xml:space="preserve">; </w:t>
      </w:r>
      <w:r w:rsidR="00086B93" w:rsidRPr="00CD1278">
        <w:rPr>
          <w:color w:val="auto"/>
        </w:rPr>
        <w:t>1</w:t>
      </w:r>
      <w:r w:rsidR="00254F25" w:rsidRPr="00CD1278">
        <w:rPr>
          <w:color w:val="auto"/>
        </w:rPr>
        <w:t>)</w:t>
      </w:r>
      <w:r w:rsidR="00CB4A33" w:rsidRPr="00CD1278">
        <w:rPr>
          <w:color w:val="auto"/>
        </w:rPr>
        <w:t xml:space="preserve"> </w:t>
      </w:r>
      <w:r w:rsidR="00254F25" w:rsidRPr="00CD1278">
        <w:rPr>
          <w:color w:val="auto"/>
        </w:rPr>
        <w:t xml:space="preserve">interim </w:t>
      </w:r>
      <w:r w:rsidRPr="00CD1278">
        <w:rPr>
          <w:color w:val="auto"/>
        </w:rPr>
        <w:t xml:space="preserve">recommendations for the CUNs for which the Parties provided information </w:t>
      </w:r>
      <w:r w:rsidR="00254F25" w:rsidRPr="00CD1278">
        <w:rPr>
          <w:color w:val="auto"/>
        </w:rPr>
        <w:t>as per the timelines set at the 2</w:t>
      </w:r>
      <w:r w:rsidR="00332A99" w:rsidRPr="00CD1278">
        <w:rPr>
          <w:color w:val="auto"/>
        </w:rPr>
        <w:t>6</w:t>
      </w:r>
      <w:r w:rsidR="00254F25" w:rsidRPr="00CD1278">
        <w:rPr>
          <w:color w:val="auto"/>
          <w:vertAlign w:val="superscript"/>
        </w:rPr>
        <w:t>th</w:t>
      </w:r>
      <w:r w:rsidR="00254F25" w:rsidRPr="00CD1278">
        <w:rPr>
          <w:color w:val="auto"/>
        </w:rPr>
        <w:t xml:space="preserve"> Meeting of the Parties</w:t>
      </w:r>
      <w:r w:rsidR="00CB4A33" w:rsidRPr="00CD1278">
        <w:rPr>
          <w:color w:val="auto"/>
        </w:rPr>
        <w:t xml:space="preserve">, </w:t>
      </w:r>
      <w:r w:rsidR="00254F25" w:rsidRPr="00CD1278">
        <w:rPr>
          <w:color w:val="auto"/>
        </w:rPr>
        <w:t>2</w:t>
      </w:r>
      <w:r w:rsidRPr="00CD1278">
        <w:rPr>
          <w:color w:val="auto"/>
        </w:rPr>
        <w:t>) information from Parties on stocks (Decision Ex.1/4 (9f))</w:t>
      </w:r>
      <w:r w:rsidR="00CB4A33" w:rsidRPr="00CD1278">
        <w:rPr>
          <w:color w:val="auto"/>
        </w:rPr>
        <w:t>,</w:t>
      </w:r>
      <w:r w:rsidR="00254F25" w:rsidRPr="00CD1278">
        <w:rPr>
          <w:color w:val="auto"/>
        </w:rPr>
        <w:t xml:space="preserve"> 3)</w:t>
      </w:r>
      <w:r w:rsidRPr="00CD1278">
        <w:rPr>
          <w:color w:val="auto"/>
        </w:rPr>
        <w:t xml:space="preserve"> partial information on actual MB consumption for critical uses (in accordance with Decision XVII/9)</w:t>
      </w:r>
      <w:r w:rsidR="00332A99" w:rsidRPr="00CD1278">
        <w:rPr>
          <w:color w:val="auto"/>
        </w:rPr>
        <w:t>,</w:t>
      </w:r>
      <w:r w:rsidRPr="00CD1278">
        <w:rPr>
          <w:color w:val="auto"/>
        </w:rPr>
        <w:t xml:space="preserve"> and </w:t>
      </w:r>
      <w:r w:rsidR="00254F25" w:rsidRPr="00CD1278">
        <w:rPr>
          <w:color w:val="auto"/>
        </w:rPr>
        <w:t xml:space="preserve">4) </w:t>
      </w:r>
      <w:r w:rsidR="00332A99" w:rsidRPr="00CD1278">
        <w:rPr>
          <w:color w:val="auto"/>
        </w:rPr>
        <w:t xml:space="preserve">indication of </w:t>
      </w:r>
      <w:r w:rsidRPr="00CD1278">
        <w:rPr>
          <w:color w:val="auto"/>
        </w:rPr>
        <w:t xml:space="preserve">adoption rates of alternatives, as evidenced by trend lines on reduction of MB </w:t>
      </w:r>
      <w:r w:rsidR="00332A99" w:rsidRPr="00CD1278">
        <w:rPr>
          <w:color w:val="auto"/>
        </w:rPr>
        <w:t xml:space="preserve">for </w:t>
      </w:r>
      <w:r w:rsidRPr="00CD1278">
        <w:rPr>
          <w:color w:val="auto"/>
        </w:rPr>
        <w:t>CUNs</w:t>
      </w:r>
      <w:r w:rsidR="00507126" w:rsidRPr="00CD1278">
        <w:rPr>
          <w:color w:val="auto"/>
        </w:rPr>
        <w:t xml:space="preserve"> </w:t>
      </w:r>
      <w:r w:rsidRPr="00CD1278">
        <w:rPr>
          <w:color w:val="auto"/>
        </w:rPr>
        <w:t xml:space="preserve">(in accordance with Decisions XIX/9, XX/5). It is noted that trend lines on adoption may not necessarily indicate true adoption rates for alternatives, as the use of stocks of MB may have been available </w:t>
      </w:r>
      <w:r w:rsidR="00332A99" w:rsidRPr="00CD1278">
        <w:rPr>
          <w:color w:val="auto"/>
        </w:rPr>
        <w:t>for use, although for non A5 Parties stocks are now small</w:t>
      </w:r>
      <w:r w:rsidR="00BE531D" w:rsidRPr="00CD1278">
        <w:rPr>
          <w:color w:val="auto"/>
        </w:rPr>
        <w:t xml:space="preserve"> (see Table </w:t>
      </w:r>
      <w:r w:rsidR="000F22AA" w:rsidRPr="00CD1278">
        <w:rPr>
          <w:color w:val="auto"/>
        </w:rPr>
        <w:t>1-3).</w:t>
      </w:r>
      <w:r w:rsidR="00507126" w:rsidRPr="00CD1278">
        <w:rPr>
          <w:color w:val="auto"/>
        </w:rPr>
        <w:t xml:space="preserve"> </w:t>
      </w:r>
      <w:r w:rsidRPr="00CD1278">
        <w:rPr>
          <w:color w:val="auto"/>
        </w:rPr>
        <w:t xml:space="preserve">MBTOC notes that </w:t>
      </w:r>
      <w:r w:rsidR="003D6F4A" w:rsidRPr="00CD1278">
        <w:rPr>
          <w:color w:val="auto"/>
        </w:rPr>
        <w:t xml:space="preserve">reported </w:t>
      </w:r>
      <w:r w:rsidRPr="00CD1278">
        <w:rPr>
          <w:color w:val="auto"/>
        </w:rPr>
        <w:t>stock volumes have significantly decreased in recent years</w:t>
      </w:r>
      <w:r w:rsidR="003D6F4A" w:rsidRPr="00CD1278">
        <w:rPr>
          <w:color w:val="auto"/>
        </w:rPr>
        <w:t>, but an unknown amount of pre</w:t>
      </w:r>
      <w:r w:rsidR="00CD275B" w:rsidRPr="00CD1278">
        <w:rPr>
          <w:color w:val="auto"/>
        </w:rPr>
        <w:t>-</w:t>
      </w:r>
      <w:r w:rsidR="003D6F4A" w:rsidRPr="00CD1278">
        <w:rPr>
          <w:color w:val="auto"/>
        </w:rPr>
        <w:t>2015 stocks may be held by A5 parties as there is no reporting mechanism to account for these stocks</w:t>
      </w:r>
      <w:r w:rsidRPr="00CD1278">
        <w:rPr>
          <w:color w:val="auto"/>
        </w:rPr>
        <w:t xml:space="preserve">. </w:t>
      </w:r>
    </w:p>
    <w:p w14:paraId="1DC04AD5" w14:textId="619E3629" w:rsidR="008D5F24" w:rsidRPr="00CD1278" w:rsidRDefault="008D5F24" w:rsidP="005A552B">
      <w:pPr>
        <w:rPr>
          <w:color w:val="auto"/>
        </w:rPr>
      </w:pPr>
      <w:r w:rsidRPr="00CD1278">
        <w:rPr>
          <w:color w:val="auto"/>
        </w:rPr>
        <w:t>Standard presumptions used in th</w:t>
      </w:r>
      <w:r w:rsidR="00E46F19" w:rsidRPr="00CD1278">
        <w:rPr>
          <w:color w:val="auto"/>
        </w:rPr>
        <w:t xml:space="preserve">is round in </w:t>
      </w:r>
      <w:r w:rsidR="003D6F4A" w:rsidRPr="00CD1278">
        <w:rPr>
          <w:color w:val="auto"/>
        </w:rPr>
        <w:t xml:space="preserve">2018 </w:t>
      </w:r>
      <w:r w:rsidRPr="00CD1278">
        <w:rPr>
          <w:color w:val="auto"/>
        </w:rPr>
        <w:t xml:space="preserve">were the same as those used in the </w:t>
      </w:r>
      <w:r w:rsidR="003D6F4A" w:rsidRPr="00CD1278">
        <w:rPr>
          <w:color w:val="auto"/>
        </w:rPr>
        <w:t xml:space="preserve">2017 </w:t>
      </w:r>
      <w:r w:rsidRPr="00CD1278">
        <w:rPr>
          <w:color w:val="auto"/>
        </w:rPr>
        <w:t>evaluations of the CUNs</w:t>
      </w:r>
      <w:r w:rsidR="000F22AA" w:rsidRPr="00CD1278">
        <w:rPr>
          <w:color w:val="auto"/>
        </w:rPr>
        <w:t>.</w:t>
      </w:r>
      <w:r w:rsidR="002354D7" w:rsidRPr="00CD1278">
        <w:rPr>
          <w:color w:val="auto"/>
        </w:rPr>
        <w:t xml:space="preserve"> </w:t>
      </w:r>
      <w:r w:rsidR="000F22AA" w:rsidRPr="00CD1278">
        <w:rPr>
          <w:color w:val="auto"/>
        </w:rPr>
        <w:t>T</w:t>
      </w:r>
      <w:r w:rsidR="00BE531D" w:rsidRPr="00CD1278">
        <w:rPr>
          <w:color w:val="auto"/>
        </w:rPr>
        <w:t xml:space="preserve">hese </w:t>
      </w:r>
      <w:r w:rsidR="000F22AA" w:rsidRPr="00CD1278">
        <w:rPr>
          <w:color w:val="auto"/>
        </w:rPr>
        <w:t xml:space="preserve">are </w:t>
      </w:r>
      <w:r w:rsidRPr="00CD1278">
        <w:rPr>
          <w:color w:val="auto"/>
        </w:rPr>
        <w:t>subject</w:t>
      </w:r>
      <w:r w:rsidR="000F22AA" w:rsidRPr="00CD1278">
        <w:rPr>
          <w:color w:val="auto"/>
        </w:rPr>
        <w:t>ed</w:t>
      </w:r>
      <w:r w:rsidRPr="00CD1278">
        <w:rPr>
          <w:color w:val="auto"/>
        </w:rPr>
        <w:t xml:space="preserve"> to continual review.  However, </w:t>
      </w:r>
      <w:r w:rsidR="00EA1A47" w:rsidRPr="00CD1278">
        <w:rPr>
          <w:color w:val="auto"/>
        </w:rPr>
        <w:t xml:space="preserve">it is required that </w:t>
      </w:r>
      <w:r w:rsidRPr="00CD1278">
        <w:rPr>
          <w:color w:val="auto"/>
        </w:rPr>
        <w:t>any changes proposed by MBTOC be approved by the Part</w:t>
      </w:r>
      <w:r w:rsidR="00345318" w:rsidRPr="00CD1278">
        <w:rPr>
          <w:color w:val="auto"/>
        </w:rPr>
        <w:t>ie</w:t>
      </w:r>
      <w:r w:rsidRPr="00CD1278">
        <w:rPr>
          <w:color w:val="auto"/>
        </w:rPr>
        <w:t xml:space="preserve">s in the MOP preceding the year of assessment based on a draft Decision presented to the MOP in accordance with paragraph 2 in Annex 1 to the report of MOP16.   </w:t>
      </w:r>
    </w:p>
    <w:p w14:paraId="75037E61" w14:textId="70AC0DB2" w:rsidR="000D36A0" w:rsidRPr="00CD1278" w:rsidRDefault="00655D62" w:rsidP="005A552B">
      <w:pPr>
        <w:pStyle w:val="Heading1"/>
        <w:rPr>
          <w:rStyle w:val="Heading1Char3"/>
          <w:bCs/>
          <w:color w:val="auto"/>
        </w:rPr>
      </w:pPr>
      <w:bookmarkStart w:id="14" w:name="_Toc102710546"/>
      <w:bookmarkStart w:id="15" w:name="_Toc321116331"/>
      <w:bookmarkStart w:id="16" w:name="_Toc323048860"/>
      <w:bookmarkStart w:id="17" w:name="_Toc323049024"/>
      <w:bookmarkStart w:id="18" w:name="_Toc453277805"/>
      <w:r w:rsidRPr="00CD1278">
        <w:rPr>
          <w:rStyle w:val="Heading1Char3"/>
          <w:bCs/>
          <w:color w:val="auto"/>
        </w:rPr>
        <w:t>1</w:t>
      </w:r>
      <w:r w:rsidR="00CA50CD" w:rsidRPr="00CD1278">
        <w:rPr>
          <w:rStyle w:val="Heading1Char3"/>
          <w:bCs/>
          <w:color w:val="auto"/>
        </w:rPr>
        <w:t>.2</w:t>
      </w:r>
      <w:r w:rsidR="008D5F24" w:rsidRPr="00CD1278">
        <w:rPr>
          <w:rStyle w:val="Heading1Char3"/>
          <w:bCs/>
          <w:color w:val="auto"/>
        </w:rPr>
        <w:t xml:space="preserve"> </w:t>
      </w:r>
      <w:r w:rsidR="008D5F24" w:rsidRPr="00CD1278">
        <w:rPr>
          <w:rStyle w:val="Heading1Char3"/>
          <w:bCs/>
          <w:color w:val="auto"/>
        </w:rPr>
        <w:tab/>
        <w:t>Critical Use Nominations for Methyl Bromide</w:t>
      </w:r>
      <w:bookmarkEnd w:id="14"/>
      <w:bookmarkEnd w:id="15"/>
      <w:bookmarkEnd w:id="16"/>
      <w:bookmarkEnd w:id="17"/>
      <w:bookmarkEnd w:id="18"/>
    </w:p>
    <w:p w14:paraId="22144780" w14:textId="1AE1442B" w:rsidR="008D5F24" w:rsidRPr="00CD1278" w:rsidRDefault="00655D62" w:rsidP="005A552B">
      <w:pPr>
        <w:pStyle w:val="Heading5"/>
        <w:rPr>
          <w:rStyle w:val="IntenseEmphasis1"/>
          <w:color w:val="auto"/>
          <w:sz w:val="22"/>
        </w:rPr>
      </w:pPr>
      <w:bookmarkStart w:id="19" w:name="_Toc102710547"/>
      <w:bookmarkStart w:id="20" w:name="_Toc321116332"/>
      <w:bookmarkStart w:id="21" w:name="_Toc323048861"/>
      <w:bookmarkStart w:id="22" w:name="_Toc323049025"/>
      <w:bookmarkStart w:id="23" w:name="_Toc293054733"/>
      <w:bookmarkStart w:id="24" w:name="_Toc453277806"/>
      <w:r w:rsidRPr="00CD1278">
        <w:rPr>
          <w:rStyle w:val="IntenseEmphasis1"/>
          <w:color w:val="auto"/>
          <w:sz w:val="22"/>
        </w:rPr>
        <w:t>1</w:t>
      </w:r>
      <w:r w:rsidR="00CA50CD" w:rsidRPr="00CD1278">
        <w:rPr>
          <w:rStyle w:val="IntenseEmphasis1"/>
          <w:color w:val="auto"/>
          <w:sz w:val="22"/>
        </w:rPr>
        <w:t>.2.1</w:t>
      </w:r>
      <w:r w:rsidR="008D5F24" w:rsidRPr="00CD1278">
        <w:rPr>
          <w:rStyle w:val="IntenseEmphasis1"/>
          <w:color w:val="auto"/>
          <w:sz w:val="22"/>
        </w:rPr>
        <w:tab/>
        <w:t>Mandate</w:t>
      </w:r>
      <w:bookmarkEnd w:id="19"/>
      <w:bookmarkEnd w:id="20"/>
      <w:bookmarkEnd w:id="21"/>
      <w:bookmarkEnd w:id="22"/>
      <w:bookmarkEnd w:id="23"/>
      <w:bookmarkEnd w:id="24"/>
    </w:p>
    <w:p w14:paraId="7F07C181" w14:textId="0D90BE14" w:rsidR="004362E0" w:rsidRPr="00CD1278" w:rsidRDefault="008D5F24" w:rsidP="005A552B">
      <w:pPr>
        <w:spacing w:after="120"/>
        <w:rPr>
          <w:color w:val="auto"/>
        </w:rPr>
      </w:pPr>
      <w:r w:rsidRPr="00CD1278">
        <w:rPr>
          <w:color w:val="auto"/>
        </w:rPr>
        <w:t xml:space="preserve">Under Article 2H of the Montreal Protocol, Parties not operating under Article 5(1) </w:t>
      </w:r>
      <w:r w:rsidR="00EA1A47" w:rsidRPr="00CD1278">
        <w:rPr>
          <w:color w:val="auto"/>
        </w:rPr>
        <w:t xml:space="preserve">(non-A5 Parties) </w:t>
      </w:r>
      <w:r w:rsidR="00234175" w:rsidRPr="00CD1278">
        <w:rPr>
          <w:color w:val="auto"/>
        </w:rPr>
        <w:t xml:space="preserve">were </w:t>
      </w:r>
      <w:r w:rsidRPr="00CD1278">
        <w:rPr>
          <w:color w:val="auto"/>
        </w:rPr>
        <w:t>required to phase-out all production and consumption (defined as production plus imports minus exports) of MB after 1</w:t>
      </w:r>
      <w:r w:rsidR="00127D9F" w:rsidRPr="00CD1278">
        <w:rPr>
          <w:color w:val="auto"/>
          <w:vertAlign w:val="superscript"/>
        </w:rPr>
        <w:t>st</w:t>
      </w:r>
      <w:r w:rsidRPr="00CD1278">
        <w:rPr>
          <w:color w:val="auto"/>
        </w:rPr>
        <w:t>January 2005</w:t>
      </w:r>
      <w:r w:rsidR="00E360CC" w:rsidRPr="00CD1278">
        <w:rPr>
          <w:color w:val="auto"/>
        </w:rPr>
        <w:t xml:space="preserve">. The same requirements </w:t>
      </w:r>
      <w:r w:rsidR="00234175" w:rsidRPr="00CD1278">
        <w:rPr>
          <w:color w:val="auto"/>
        </w:rPr>
        <w:t xml:space="preserve">applied </w:t>
      </w:r>
      <w:r w:rsidR="00E360CC" w:rsidRPr="00CD1278">
        <w:rPr>
          <w:color w:val="auto"/>
        </w:rPr>
        <w:t>to</w:t>
      </w:r>
      <w:r w:rsidR="004D6151" w:rsidRPr="00CD1278">
        <w:rPr>
          <w:color w:val="auto"/>
        </w:rPr>
        <w:t xml:space="preserve"> Parties operating under Article 5(1)</w:t>
      </w:r>
      <w:r w:rsidR="00EA1A47" w:rsidRPr="00CD1278">
        <w:rPr>
          <w:color w:val="auto"/>
        </w:rPr>
        <w:t xml:space="preserve"> (A5 Parties)</w:t>
      </w:r>
      <w:r w:rsidR="00E360CC" w:rsidRPr="00CD1278">
        <w:rPr>
          <w:color w:val="auto"/>
        </w:rPr>
        <w:t xml:space="preserve"> after 1</w:t>
      </w:r>
      <w:r w:rsidR="00127D9F" w:rsidRPr="00CD1278">
        <w:rPr>
          <w:color w:val="auto"/>
          <w:vertAlign w:val="superscript"/>
        </w:rPr>
        <w:t>st</w:t>
      </w:r>
      <w:r w:rsidR="00E360CC" w:rsidRPr="00CD1278">
        <w:rPr>
          <w:color w:val="auto"/>
        </w:rPr>
        <w:t>January 2015</w:t>
      </w:r>
      <w:r w:rsidRPr="00CD1278">
        <w:rPr>
          <w:color w:val="auto"/>
        </w:rPr>
        <w:t xml:space="preserve">.  However, the Parties agreed to a provision enabling exemptions for those uses of MB that qualify as critical.  </w:t>
      </w:r>
      <w:r w:rsidR="00234175" w:rsidRPr="00CD1278">
        <w:rPr>
          <w:color w:val="auto"/>
        </w:rPr>
        <w:t xml:space="preserve">Under Decision IX/6 of the Protocol </w:t>
      </w:r>
      <w:r w:rsidRPr="00CD1278">
        <w:rPr>
          <w:color w:val="auto"/>
        </w:rPr>
        <w:t>Parties established criteria,</w:t>
      </w:r>
      <w:r w:rsidR="00234175" w:rsidRPr="00CD1278">
        <w:rPr>
          <w:color w:val="auto"/>
        </w:rPr>
        <w:t xml:space="preserve"> </w:t>
      </w:r>
      <w:r w:rsidRPr="00CD1278">
        <w:rPr>
          <w:color w:val="auto"/>
        </w:rPr>
        <w:t>which all</w:t>
      </w:r>
      <w:r w:rsidR="009765F6" w:rsidRPr="00CD1278">
        <w:rPr>
          <w:color w:val="auto"/>
        </w:rPr>
        <w:t xml:space="preserve"> </w:t>
      </w:r>
      <w:r w:rsidRPr="00CD1278">
        <w:rPr>
          <w:color w:val="auto"/>
        </w:rPr>
        <w:t>critical uses need to meet in order to qualify for an exemption</w:t>
      </w:r>
      <w:r w:rsidR="008D18C1" w:rsidRPr="00CD1278">
        <w:rPr>
          <w:color w:val="auto"/>
        </w:rPr>
        <w:t xml:space="preserve"> </w:t>
      </w:r>
      <w:r w:rsidR="000F22AA" w:rsidRPr="00CD1278">
        <w:rPr>
          <w:color w:val="auto"/>
        </w:rPr>
        <w:t xml:space="preserve">(see Annex </w:t>
      </w:r>
      <w:r w:rsidR="00310FF5" w:rsidRPr="00CD1278">
        <w:rPr>
          <w:color w:val="auto"/>
        </w:rPr>
        <w:t>I</w:t>
      </w:r>
      <w:r w:rsidR="000F22AA" w:rsidRPr="00CD1278">
        <w:rPr>
          <w:color w:val="auto"/>
        </w:rPr>
        <w:t xml:space="preserve"> of this report)</w:t>
      </w:r>
      <w:r w:rsidRPr="00CD1278">
        <w:rPr>
          <w:color w:val="auto"/>
        </w:rPr>
        <w:t xml:space="preserve">. TEAP and its MBTOC </w:t>
      </w:r>
      <w:r w:rsidR="00A5733D" w:rsidRPr="00CD1278">
        <w:rPr>
          <w:color w:val="auto"/>
        </w:rPr>
        <w:t xml:space="preserve">have </w:t>
      </w:r>
      <w:r w:rsidRPr="00CD1278">
        <w:rPr>
          <w:color w:val="auto"/>
        </w:rPr>
        <w:t>provided guidance to the Parties</w:t>
      </w:r>
      <w:r w:rsidR="00A5733D" w:rsidRPr="00CD1278">
        <w:rPr>
          <w:color w:val="auto"/>
        </w:rPr>
        <w:t xml:space="preserve"> on recommendations </w:t>
      </w:r>
      <w:r w:rsidR="003E553C" w:rsidRPr="00CD1278">
        <w:rPr>
          <w:color w:val="auto"/>
        </w:rPr>
        <w:t>regarding</w:t>
      </w:r>
      <w:r w:rsidRPr="00CD1278">
        <w:rPr>
          <w:color w:val="auto"/>
        </w:rPr>
        <w:t xml:space="preserve"> critical use exemptions in accordance with Decisions IX/6, Annex I of Decision XVI/2 and a number of subsequent decisions (</w:t>
      </w:r>
      <w:hyperlink r:id="rId34" w:history="1">
        <w:r w:rsidRPr="00CD1278">
          <w:rPr>
            <w:color w:val="auto"/>
          </w:rPr>
          <w:t>XVI/2</w:t>
        </w:r>
      </w:hyperlink>
      <w:r w:rsidRPr="00CD1278">
        <w:rPr>
          <w:color w:val="auto"/>
        </w:rPr>
        <w:t xml:space="preserve">; </w:t>
      </w:r>
      <w:hyperlink r:id="rId35" w:history="1">
        <w:r w:rsidRPr="00CD1278">
          <w:rPr>
            <w:color w:val="auto"/>
          </w:rPr>
          <w:t>XVII/9</w:t>
        </w:r>
      </w:hyperlink>
      <w:r w:rsidRPr="00CD1278">
        <w:rPr>
          <w:color w:val="auto"/>
        </w:rPr>
        <w:t>, XVIII/13, XIX/9, XX/5, XXI/11, XXII/6</w:t>
      </w:r>
      <w:r w:rsidR="00832DD5" w:rsidRPr="00CD1278">
        <w:rPr>
          <w:color w:val="auto"/>
        </w:rPr>
        <w:t xml:space="preserve">, </w:t>
      </w:r>
      <w:r w:rsidRPr="00CD1278">
        <w:rPr>
          <w:color w:val="auto"/>
        </w:rPr>
        <w:t>XXIII/4</w:t>
      </w:r>
      <w:r w:rsidR="00EB18D0" w:rsidRPr="00CD1278">
        <w:rPr>
          <w:color w:val="auto"/>
        </w:rPr>
        <w:t>,</w:t>
      </w:r>
      <w:r w:rsidR="00832DD5" w:rsidRPr="00CD1278">
        <w:rPr>
          <w:color w:val="auto"/>
        </w:rPr>
        <w:t>XXIV/5</w:t>
      </w:r>
      <w:r w:rsidR="00EB18D0" w:rsidRPr="00CD1278">
        <w:rPr>
          <w:color w:val="auto"/>
        </w:rPr>
        <w:t xml:space="preserve"> XXV/4</w:t>
      </w:r>
      <w:r w:rsidR="00B44D41" w:rsidRPr="00CD1278">
        <w:rPr>
          <w:color w:val="auto"/>
        </w:rPr>
        <w:t>, XXVI/2</w:t>
      </w:r>
      <w:r w:rsidR="00FA1BB3" w:rsidRPr="00CD1278">
        <w:rPr>
          <w:color w:val="auto"/>
        </w:rPr>
        <w:t xml:space="preserve">, </w:t>
      </w:r>
      <w:r w:rsidR="00B44D41" w:rsidRPr="00CD1278">
        <w:rPr>
          <w:color w:val="auto"/>
        </w:rPr>
        <w:t>XXVII/3</w:t>
      </w:r>
      <w:r w:rsidR="003D6F4A" w:rsidRPr="00CD1278">
        <w:rPr>
          <w:color w:val="auto"/>
        </w:rPr>
        <w:t>,</w:t>
      </w:r>
      <w:r w:rsidR="00FA1BB3" w:rsidRPr="00CD1278">
        <w:rPr>
          <w:color w:val="auto"/>
        </w:rPr>
        <w:t xml:space="preserve"> XXVIII/7</w:t>
      </w:r>
      <w:r w:rsidR="003D6F4A" w:rsidRPr="00CD1278">
        <w:rPr>
          <w:color w:val="auto"/>
        </w:rPr>
        <w:t xml:space="preserve"> and XXIX/</w:t>
      </w:r>
      <w:r w:rsidR="007139AD" w:rsidRPr="00CD1278">
        <w:rPr>
          <w:color w:val="auto"/>
        </w:rPr>
        <w:t>6</w:t>
      </w:r>
      <w:r w:rsidRPr="00CD1278">
        <w:rPr>
          <w:color w:val="auto"/>
        </w:rPr>
        <w:t>).</w:t>
      </w:r>
    </w:p>
    <w:p w14:paraId="2232C40B" w14:textId="77777777" w:rsidR="008928BE" w:rsidRPr="00CD1278" w:rsidRDefault="00A5733D" w:rsidP="005A552B">
      <w:pPr>
        <w:tabs>
          <w:tab w:val="left" w:pos="624"/>
        </w:tabs>
        <w:autoSpaceDE w:val="0"/>
        <w:autoSpaceDN w:val="0"/>
        <w:adjustRightInd w:val="0"/>
        <w:spacing w:after="120"/>
        <w:rPr>
          <w:color w:val="auto"/>
          <w:szCs w:val="22"/>
        </w:rPr>
      </w:pPr>
      <w:r w:rsidRPr="00CD1278">
        <w:rPr>
          <w:color w:val="auto"/>
          <w:szCs w:val="22"/>
        </w:rPr>
        <w:t xml:space="preserve">MBTOC considers that </w:t>
      </w:r>
      <w:r w:rsidR="00F3578E" w:rsidRPr="00CD1278">
        <w:rPr>
          <w:color w:val="auto"/>
          <w:szCs w:val="22"/>
        </w:rPr>
        <w:t xml:space="preserve">any </w:t>
      </w:r>
      <w:r w:rsidRPr="00CD1278">
        <w:rPr>
          <w:color w:val="auto"/>
          <w:szCs w:val="22"/>
        </w:rPr>
        <w:t>chemical</w:t>
      </w:r>
      <w:r w:rsidR="009765F6" w:rsidRPr="00CD1278">
        <w:rPr>
          <w:color w:val="auto"/>
          <w:szCs w:val="22"/>
        </w:rPr>
        <w:t xml:space="preserve"> </w:t>
      </w:r>
      <w:r w:rsidRPr="00CD1278">
        <w:rPr>
          <w:color w:val="auto"/>
          <w:szCs w:val="22"/>
        </w:rPr>
        <w:t xml:space="preserve">or product registered for </w:t>
      </w:r>
      <w:r w:rsidR="00304B87" w:rsidRPr="00CD1278">
        <w:rPr>
          <w:color w:val="auto"/>
          <w:szCs w:val="22"/>
        </w:rPr>
        <w:t xml:space="preserve">a particular </w:t>
      </w:r>
      <w:r w:rsidRPr="00CD1278">
        <w:rPr>
          <w:color w:val="auto"/>
          <w:szCs w:val="22"/>
        </w:rPr>
        <w:t xml:space="preserve">use has been through the rigours of the </w:t>
      </w:r>
      <w:r w:rsidR="006939EE" w:rsidRPr="00CD1278">
        <w:rPr>
          <w:color w:val="auto"/>
          <w:szCs w:val="22"/>
        </w:rPr>
        <w:t xml:space="preserve">national </w:t>
      </w:r>
      <w:r w:rsidRPr="00CD1278">
        <w:rPr>
          <w:color w:val="auto"/>
          <w:szCs w:val="22"/>
        </w:rPr>
        <w:t xml:space="preserve">local regulatory authorities and </w:t>
      </w:r>
      <w:r w:rsidR="00304B87" w:rsidRPr="00CD1278">
        <w:rPr>
          <w:color w:val="auto"/>
          <w:szCs w:val="22"/>
        </w:rPr>
        <w:t xml:space="preserve">accepts that these fall within guidelines for health effects and environmental acceptability. MBTOC </w:t>
      </w:r>
      <w:r w:rsidRPr="00CD1278">
        <w:rPr>
          <w:color w:val="auto"/>
          <w:szCs w:val="22"/>
        </w:rPr>
        <w:t>particularly takes note of those products</w:t>
      </w:r>
      <w:r w:rsidR="003E553C" w:rsidRPr="00CD1278">
        <w:rPr>
          <w:color w:val="auto"/>
          <w:szCs w:val="22"/>
        </w:rPr>
        <w:t>,</w:t>
      </w:r>
      <w:r w:rsidRPr="00CD1278">
        <w:rPr>
          <w:color w:val="auto"/>
          <w:szCs w:val="22"/>
        </w:rPr>
        <w:t xml:space="preserve"> which are </w:t>
      </w:r>
      <w:r w:rsidR="00304B87" w:rsidRPr="00CD1278">
        <w:rPr>
          <w:color w:val="auto"/>
          <w:szCs w:val="22"/>
        </w:rPr>
        <w:t xml:space="preserve">generally listed </w:t>
      </w:r>
      <w:r w:rsidRPr="00CD1278">
        <w:rPr>
          <w:color w:val="auto"/>
          <w:szCs w:val="22"/>
        </w:rPr>
        <w:t xml:space="preserve">in any CUN application. </w:t>
      </w:r>
    </w:p>
    <w:p w14:paraId="670B950B" w14:textId="2D60EF9F" w:rsidR="00FD4AFF" w:rsidRPr="00CD1278" w:rsidRDefault="00FD4AFF" w:rsidP="005A552B">
      <w:pPr>
        <w:tabs>
          <w:tab w:val="left" w:pos="624"/>
        </w:tabs>
        <w:autoSpaceDE w:val="0"/>
        <w:autoSpaceDN w:val="0"/>
        <w:adjustRightInd w:val="0"/>
        <w:spacing w:after="120"/>
        <w:rPr>
          <w:color w:val="auto"/>
          <w:sz w:val="24"/>
          <w:szCs w:val="22"/>
        </w:rPr>
      </w:pPr>
      <w:r w:rsidRPr="00CD1278">
        <w:rPr>
          <w:color w:val="auto"/>
        </w:rPr>
        <w:t>Under Decision Ex I/4 it is stated that amounts of MB applied for in subsequent CUNs should ‘</w:t>
      </w:r>
      <w:r w:rsidRPr="00CD1278">
        <w:rPr>
          <w:i/>
          <w:color w:val="auto"/>
        </w:rPr>
        <w:t>avoid any increase in methyl bromide consumption except for unforeseen circumstances</w:t>
      </w:r>
      <w:r w:rsidRPr="00CD1278">
        <w:rPr>
          <w:color w:val="auto"/>
          <w:sz w:val="24"/>
        </w:rPr>
        <w:t>’</w:t>
      </w:r>
    </w:p>
    <w:p w14:paraId="23DE4CD1" w14:textId="77777777" w:rsidR="008D5F24" w:rsidRPr="00CD1278" w:rsidRDefault="00655D62" w:rsidP="005A552B">
      <w:pPr>
        <w:pStyle w:val="Heading2"/>
        <w:rPr>
          <w:lang w:val="en-GB"/>
        </w:rPr>
      </w:pPr>
      <w:bookmarkStart w:id="25" w:name="_Toc102710548"/>
      <w:bookmarkStart w:id="26" w:name="_Toc321116333"/>
      <w:bookmarkStart w:id="27" w:name="_Toc323048862"/>
      <w:bookmarkStart w:id="28" w:name="_Toc323049026"/>
      <w:bookmarkStart w:id="29" w:name="_Toc293054734"/>
      <w:bookmarkStart w:id="30" w:name="_Toc453277807"/>
      <w:r w:rsidRPr="00CD1278">
        <w:rPr>
          <w:lang w:val="en-GB"/>
        </w:rPr>
        <w:t>1</w:t>
      </w:r>
      <w:r w:rsidR="008D5F24" w:rsidRPr="00CD1278">
        <w:rPr>
          <w:lang w:val="en-GB"/>
        </w:rPr>
        <w:t>.2.2</w:t>
      </w:r>
      <w:r w:rsidR="008D5F24" w:rsidRPr="00CD1278">
        <w:rPr>
          <w:lang w:val="en-GB"/>
        </w:rPr>
        <w:tab/>
        <w:t>Fulfilment of Decision IX/6</w:t>
      </w:r>
      <w:bookmarkEnd w:id="25"/>
      <w:bookmarkEnd w:id="26"/>
      <w:bookmarkEnd w:id="27"/>
      <w:bookmarkEnd w:id="28"/>
      <w:bookmarkEnd w:id="29"/>
      <w:bookmarkEnd w:id="30"/>
    </w:p>
    <w:p w14:paraId="2235B6FC" w14:textId="0FA1422A" w:rsidR="004362E0" w:rsidRPr="00CD1278" w:rsidRDefault="008D5F24" w:rsidP="005A552B">
      <w:pPr>
        <w:rPr>
          <w:color w:val="auto"/>
        </w:rPr>
      </w:pPr>
      <w:r w:rsidRPr="00CD1278">
        <w:rPr>
          <w:color w:val="auto"/>
        </w:rPr>
        <w:t>Decision</w:t>
      </w:r>
      <w:r w:rsidR="00EA1A47" w:rsidRPr="00CD1278">
        <w:rPr>
          <w:color w:val="auto"/>
        </w:rPr>
        <w:t>s</w:t>
      </w:r>
      <w:r w:rsidRPr="00CD1278">
        <w:rPr>
          <w:color w:val="auto"/>
        </w:rPr>
        <w:t xml:space="preserve"> XVI/2 and XXI/11 directed MBTOC to indicate whether all CUNs fully met the requirements of Decision IX/6.  When the requirements of Decision IX/6 are met, MBTOC can recommend critical uses of MB. </w:t>
      </w:r>
      <w:r w:rsidR="00127D9F" w:rsidRPr="00CD1278">
        <w:rPr>
          <w:color w:val="auto"/>
        </w:rPr>
        <w:t>When the requirements of Decision IX/6 are not met, MBTOC does not recommend critical uses of MB.</w:t>
      </w:r>
      <w:r w:rsidR="00D72537" w:rsidRPr="00CD1278">
        <w:rPr>
          <w:color w:val="auto"/>
        </w:rPr>
        <w:t xml:space="preserve"> </w:t>
      </w:r>
      <w:r w:rsidRPr="00CD1278">
        <w:rPr>
          <w:color w:val="auto"/>
        </w:rPr>
        <w:t xml:space="preserve">Where some of the conditions are not fully met, MBTOC can recommend a decreased amount depending on its technical and economic evaluation, or determine the CUN as “unable to assess” and request further information from the Party.  When the information is submitted, MBTOC is required to re-assess the nomination, following the procedures defined in Annex 1 of the </w:t>
      </w:r>
      <w:r w:rsidR="00544677" w:rsidRPr="00CD1278">
        <w:rPr>
          <w:color w:val="auto"/>
        </w:rPr>
        <w:t>16</w:t>
      </w:r>
      <w:r w:rsidR="00544677" w:rsidRPr="00CD1278">
        <w:rPr>
          <w:color w:val="auto"/>
          <w:vertAlign w:val="superscript"/>
        </w:rPr>
        <w:t>th</w:t>
      </w:r>
      <w:r w:rsidR="00832DD5" w:rsidRPr="00CD1278">
        <w:rPr>
          <w:color w:val="auto"/>
        </w:rPr>
        <w:t xml:space="preserve">Meeting of the Parties.  </w:t>
      </w:r>
    </w:p>
    <w:p w14:paraId="01B998D9" w14:textId="72DB1510" w:rsidR="00400A4D" w:rsidRPr="00CD1278" w:rsidRDefault="00400A4D" w:rsidP="005A552B">
      <w:pPr>
        <w:rPr>
          <w:color w:val="auto"/>
        </w:rPr>
      </w:pPr>
      <w:bookmarkStart w:id="31" w:name="_Toc323048863"/>
      <w:bookmarkStart w:id="32" w:name="_Toc323049027"/>
      <w:bookmarkStart w:id="33" w:name="_Toc321116334"/>
      <w:r w:rsidRPr="00CD1278">
        <w:rPr>
          <w:color w:val="auto"/>
        </w:rPr>
        <w:t>MBTOC recommended less MB than requested in a CUN when technically and economically feasible alternatives were considered to be available</w:t>
      </w:r>
      <w:r w:rsidR="00F52E7E" w:rsidRPr="00CD1278">
        <w:rPr>
          <w:color w:val="auto"/>
        </w:rPr>
        <w:t>, in the sense of Decision IX/6</w:t>
      </w:r>
      <w:r w:rsidR="0039397B" w:rsidRPr="00CD1278">
        <w:rPr>
          <w:color w:val="auto"/>
        </w:rPr>
        <w:t>, or</w:t>
      </w:r>
      <w:r w:rsidR="00F52E7E" w:rsidRPr="00CD1278">
        <w:rPr>
          <w:color w:val="auto"/>
        </w:rPr>
        <w:t>,</w:t>
      </w:r>
      <w:r w:rsidRPr="00CD1278">
        <w:rPr>
          <w:color w:val="auto"/>
        </w:rPr>
        <w:t xml:space="preserve"> when the Party </w:t>
      </w:r>
      <w:r w:rsidR="0074417D" w:rsidRPr="00CD1278">
        <w:rPr>
          <w:color w:val="auto"/>
        </w:rPr>
        <w:t>did not</w:t>
      </w:r>
      <w:r w:rsidRPr="00CD1278">
        <w:rPr>
          <w:color w:val="auto"/>
        </w:rPr>
        <w:t xml:space="preserve"> show that there was no technically and economically feasible alternative for part of the nomination. </w:t>
      </w:r>
      <w:r w:rsidR="00B10CF8" w:rsidRPr="00CD1278">
        <w:rPr>
          <w:color w:val="auto"/>
        </w:rPr>
        <w:t>MBTO</w:t>
      </w:r>
      <w:r w:rsidR="00183910" w:rsidRPr="00CD1278">
        <w:rPr>
          <w:color w:val="auto"/>
        </w:rPr>
        <w:t>C</w:t>
      </w:r>
      <w:r w:rsidR="00B10CF8" w:rsidRPr="00CD1278">
        <w:rPr>
          <w:color w:val="auto"/>
        </w:rPr>
        <w:t xml:space="preserve"> may have accepted that some allocation was appropriate to permit timely phase out of MB.</w:t>
      </w:r>
      <w:r w:rsidRPr="00CD1278">
        <w:rPr>
          <w:color w:val="auto"/>
        </w:rPr>
        <w:t xml:space="preserve"> In this round of CUNs, as in previous rounds, MBTOC considered all information provided by the Parties, including answers to questions from MBTOC and all additional information submitted by the Parties up to the date of the evaluation. </w:t>
      </w:r>
    </w:p>
    <w:p w14:paraId="48297241" w14:textId="4071F7B1" w:rsidR="00400A4D" w:rsidRPr="00CD1278" w:rsidRDefault="005978A3" w:rsidP="005A552B">
      <w:pPr>
        <w:tabs>
          <w:tab w:val="left" w:pos="1080"/>
        </w:tabs>
        <w:rPr>
          <w:color w:val="auto"/>
        </w:rPr>
      </w:pPr>
      <w:r w:rsidRPr="00CD1278">
        <w:rPr>
          <w:color w:val="auto"/>
        </w:rPr>
        <w:t xml:space="preserve">In view of the large numbers of sectors which have moved effectively to alternatives, it was considered particularly important in this round for the Parties, and particularly for A5 Parties submitting CUNs, to clearly identify why MB is considered critical for the specific circumstances of the nomination.  </w:t>
      </w:r>
      <w:r w:rsidR="00400A4D" w:rsidRPr="00CD1278">
        <w:rPr>
          <w:color w:val="auto"/>
        </w:rPr>
        <w:t>Now that technically and economically feasible alternatives have been identified for virtually</w:t>
      </w:r>
      <w:r w:rsidRPr="00CD1278">
        <w:rPr>
          <w:color w:val="auto"/>
        </w:rPr>
        <w:t xml:space="preserve"> </w:t>
      </w:r>
      <w:r w:rsidR="00400A4D" w:rsidRPr="00CD1278">
        <w:rPr>
          <w:color w:val="auto"/>
        </w:rPr>
        <w:t xml:space="preserve">all applications of MB, regulations </w:t>
      </w:r>
      <w:r w:rsidRPr="00CD1278">
        <w:rPr>
          <w:color w:val="auto"/>
        </w:rPr>
        <w:t xml:space="preserve">(either national or local) </w:t>
      </w:r>
      <w:r w:rsidR="00400A4D" w:rsidRPr="00CD1278">
        <w:rPr>
          <w:color w:val="auto"/>
        </w:rPr>
        <w:t xml:space="preserve">on the use of these alternatives </w:t>
      </w:r>
      <w:r w:rsidRPr="00CD1278">
        <w:rPr>
          <w:color w:val="auto"/>
        </w:rPr>
        <w:t xml:space="preserve">often affect the feasibility of using these alternatives by the </w:t>
      </w:r>
      <w:r w:rsidR="00400A4D" w:rsidRPr="00CD1278">
        <w:rPr>
          <w:color w:val="auto"/>
        </w:rPr>
        <w:t xml:space="preserve">end users. Comparative information on the economic feasibility/infeasibility of the use of alternatives </w:t>
      </w:r>
      <w:r w:rsidR="003C33A3" w:rsidRPr="00CD1278">
        <w:rPr>
          <w:color w:val="auto"/>
        </w:rPr>
        <w:t>with respect to</w:t>
      </w:r>
      <w:r w:rsidR="00400A4D" w:rsidRPr="00CD1278">
        <w:rPr>
          <w:color w:val="auto"/>
        </w:rPr>
        <w:t xml:space="preserve"> MB is also becoming more critical to the outcomes of present and future CUNs. </w:t>
      </w:r>
      <w:r w:rsidRPr="00CD1278">
        <w:rPr>
          <w:color w:val="auto"/>
        </w:rPr>
        <w:t xml:space="preserve"> </w:t>
      </w:r>
      <w:r w:rsidR="00400A4D" w:rsidRPr="00CD1278">
        <w:rPr>
          <w:color w:val="auto"/>
        </w:rPr>
        <w:t>In particular, MBTOC needs annual updates of the economics information evaluating the costs of alternatives</w:t>
      </w:r>
      <w:r w:rsidRPr="00CD1278">
        <w:rPr>
          <w:color w:val="auto"/>
        </w:rPr>
        <w:t xml:space="preserve"> in comparison to those with present MB usage.</w:t>
      </w:r>
      <w:r w:rsidR="00400A4D" w:rsidRPr="00CD1278">
        <w:rPr>
          <w:color w:val="auto"/>
        </w:rPr>
        <w:t xml:space="preserve"> </w:t>
      </w:r>
    </w:p>
    <w:p w14:paraId="79111502" w14:textId="13BF79DF" w:rsidR="008D5F24" w:rsidRPr="00CD1278" w:rsidRDefault="00655D62" w:rsidP="005A552B">
      <w:pPr>
        <w:pStyle w:val="Heading2"/>
        <w:rPr>
          <w:lang w:val="en-GB"/>
        </w:rPr>
      </w:pPr>
      <w:bookmarkStart w:id="34" w:name="_Toc293054735"/>
      <w:bookmarkStart w:id="35" w:name="_Toc453277808"/>
      <w:r w:rsidRPr="00CD1278">
        <w:rPr>
          <w:lang w:val="en-GB"/>
        </w:rPr>
        <w:t>1</w:t>
      </w:r>
      <w:r w:rsidR="008D5F24" w:rsidRPr="00CD1278">
        <w:rPr>
          <w:lang w:val="en-GB"/>
        </w:rPr>
        <w:t>.2.3</w:t>
      </w:r>
      <w:r w:rsidR="008D5F24" w:rsidRPr="00CD1278" w:rsidDel="00A500C9">
        <w:rPr>
          <w:lang w:val="en-GB"/>
        </w:rPr>
        <w:tab/>
      </w:r>
      <w:r w:rsidR="006514F2" w:rsidRPr="00CD1278">
        <w:rPr>
          <w:lang w:val="en-GB"/>
        </w:rPr>
        <w:t>Accounting Frameworks</w:t>
      </w:r>
      <w:r w:rsidR="003E4043" w:rsidRPr="00CD1278">
        <w:rPr>
          <w:lang w:val="en-GB"/>
        </w:rPr>
        <w:t xml:space="preserve"> </w:t>
      </w:r>
      <w:r w:rsidR="008D5F24" w:rsidRPr="00CD1278">
        <w:rPr>
          <w:lang w:val="en-GB"/>
        </w:rPr>
        <w:t>for Critical Use</w:t>
      </w:r>
      <w:bookmarkEnd w:id="31"/>
      <w:bookmarkEnd w:id="32"/>
      <w:bookmarkEnd w:id="34"/>
      <w:bookmarkEnd w:id="35"/>
    </w:p>
    <w:bookmarkEnd w:id="33"/>
    <w:p w14:paraId="57D66EE7" w14:textId="1FC629AF" w:rsidR="00A74B8C" w:rsidRPr="00CD1278" w:rsidRDefault="00A74B8C" w:rsidP="005A552B">
      <w:pPr>
        <w:pStyle w:val="Style10ptAfter6pt1"/>
        <w:rPr>
          <w:color w:val="auto"/>
        </w:rPr>
      </w:pPr>
      <w:r w:rsidRPr="00CD1278">
        <w:rPr>
          <w:color w:val="auto"/>
        </w:rPr>
        <w:t>Under the Dec</w:t>
      </w:r>
      <w:r w:rsidR="00BB21D7" w:rsidRPr="00CD1278">
        <w:rPr>
          <w:color w:val="auto"/>
        </w:rPr>
        <w:t xml:space="preserve"> Ex</w:t>
      </w:r>
      <w:r w:rsidR="00BE549E" w:rsidRPr="00CD1278">
        <w:rPr>
          <w:color w:val="auto"/>
        </w:rPr>
        <w:t xml:space="preserve"> 1/4 9(f)</w:t>
      </w:r>
      <w:r w:rsidR="00BB21D7" w:rsidRPr="00CD1278">
        <w:rPr>
          <w:color w:val="auto"/>
        </w:rPr>
        <w:t xml:space="preserve"> </w:t>
      </w:r>
      <w:r w:rsidRPr="00CD1278">
        <w:rPr>
          <w:color w:val="auto"/>
        </w:rPr>
        <w:t xml:space="preserve">Parties previously </w:t>
      </w:r>
      <w:r w:rsidR="00507126" w:rsidRPr="00CD1278">
        <w:rPr>
          <w:color w:val="auto"/>
        </w:rPr>
        <w:t xml:space="preserve">applying </w:t>
      </w:r>
      <w:r w:rsidRPr="00CD1278">
        <w:rPr>
          <w:color w:val="auto"/>
        </w:rPr>
        <w:t xml:space="preserve">for Critical Uses are required to continue to submit Accounting Frameworks. MBTOC suggests that </w:t>
      </w:r>
      <w:r w:rsidR="00443C56" w:rsidRPr="00CD1278">
        <w:rPr>
          <w:color w:val="auto"/>
        </w:rPr>
        <w:t xml:space="preserve">Parties </w:t>
      </w:r>
      <w:r w:rsidR="00BA3171" w:rsidRPr="00CD1278">
        <w:rPr>
          <w:color w:val="auto"/>
        </w:rPr>
        <w:t xml:space="preserve">may wish to consider a revision to submission of frameworks </w:t>
      </w:r>
      <w:r w:rsidR="00FA1BB3" w:rsidRPr="00CD1278">
        <w:rPr>
          <w:color w:val="auto"/>
        </w:rPr>
        <w:t xml:space="preserve">to </w:t>
      </w:r>
      <w:r w:rsidR="000F2026" w:rsidRPr="00CD1278">
        <w:rPr>
          <w:color w:val="auto"/>
        </w:rPr>
        <w:t xml:space="preserve">complete and accurate </w:t>
      </w:r>
      <w:r w:rsidR="00FA1BB3" w:rsidRPr="00CD1278">
        <w:rPr>
          <w:color w:val="auto"/>
        </w:rPr>
        <w:t>supply information on stocks.  MBTOC suggest</w:t>
      </w:r>
      <w:r w:rsidR="00A601B0" w:rsidRPr="00CD1278">
        <w:rPr>
          <w:color w:val="auto"/>
        </w:rPr>
        <w:t>s that accounting frameworks</w:t>
      </w:r>
      <w:r w:rsidR="00FA1BB3" w:rsidRPr="00CD1278">
        <w:rPr>
          <w:color w:val="auto"/>
        </w:rPr>
        <w:t xml:space="preserve"> </w:t>
      </w:r>
      <w:r w:rsidR="000F2026" w:rsidRPr="00CD1278">
        <w:rPr>
          <w:color w:val="auto"/>
        </w:rPr>
        <w:t xml:space="preserve">would be improved by information </w:t>
      </w:r>
      <w:r w:rsidR="00BA3171" w:rsidRPr="00CD1278">
        <w:rPr>
          <w:color w:val="auto"/>
        </w:rPr>
        <w:t xml:space="preserve">provided </w:t>
      </w:r>
      <w:r w:rsidR="00443C56" w:rsidRPr="00CD1278">
        <w:rPr>
          <w:color w:val="auto"/>
        </w:rPr>
        <w:t>from those Parties</w:t>
      </w:r>
      <w:r w:rsidR="00A601B0" w:rsidRPr="00CD1278">
        <w:rPr>
          <w:color w:val="auto"/>
        </w:rPr>
        <w:t xml:space="preserve"> which either hold any stocks of methyl bromide for controlled uses or </w:t>
      </w:r>
      <w:r w:rsidR="00443C56" w:rsidRPr="00CD1278">
        <w:rPr>
          <w:color w:val="auto"/>
        </w:rPr>
        <w:t>have been granted critical uses</w:t>
      </w:r>
      <w:r w:rsidR="001B5456" w:rsidRPr="00CD1278">
        <w:rPr>
          <w:color w:val="auto"/>
        </w:rPr>
        <w:t xml:space="preserve"> </w:t>
      </w:r>
      <w:r w:rsidR="00A601B0" w:rsidRPr="00CD1278">
        <w:rPr>
          <w:color w:val="auto"/>
        </w:rPr>
        <w:t xml:space="preserve">of methyl bromide and still hold stocks. </w:t>
      </w:r>
      <w:r w:rsidR="00FA1BB3" w:rsidRPr="00CD1278">
        <w:rPr>
          <w:color w:val="auto"/>
        </w:rPr>
        <w:t xml:space="preserve">  These stocks</w:t>
      </w:r>
      <w:r w:rsidR="000F2026" w:rsidRPr="00CD1278">
        <w:rPr>
          <w:color w:val="auto"/>
        </w:rPr>
        <w:t xml:space="preserve"> would</w:t>
      </w:r>
      <w:r w:rsidR="00FA1BB3" w:rsidRPr="00CD1278">
        <w:rPr>
          <w:color w:val="auto"/>
        </w:rPr>
        <w:t xml:space="preserve"> need to be reported as of</w:t>
      </w:r>
      <w:r w:rsidR="00443C56" w:rsidRPr="00CD1278">
        <w:rPr>
          <w:color w:val="auto"/>
        </w:rPr>
        <w:t xml:space="preserve"> the end of the year prior to the year of reporting</w:t>
      </w:r>
      <w:r w:rsidR="00443C56" w:rsidRPr="00CD1278">
        <w:rPr>
          <w:b/>
          <w:color w:val="auto"/>
        </w:rPr>
        <w:t>.</w:t>
      </w:r>
      <w:r w:rsidR="000F2026" w:rsidRPr="00CD1278">
        <w:rPr>
          <w:color w:val="auto"/>
        </w:rPr>
        <w:t xml:space="preserve"> MBTOC is concerned that existing stocks may not be reported from A5 parties applying for CUNs and also in parties not applying for CUNs.  </w:t>
      </w:r>
    </w:p>
    <w:p w14:paraId="10AED380" w14:textId="12B117F6" w:rsidR="005978A3" w:rsidRPr="00CD1278" w:rsidRDefault="00167392" w:rsidP="005A552B">
      <w:pPr>
        <w:pStyle w:val="Style10ptAfter6pt1"/>
        <w:rPr>
          <w:color w:val="auto"/>
        </w:rPr>
      </w:pPr>
      <w:r w:rsidRPr="00CD1278">
        <w:rPr>
          <w:noProof/>
          <w:color w:val="auto"/>
          <w:lang w:val="en-US" w:eastAsia="en-US"/>
        </w:rPr>
        <mc:AlternateContent>
          <mc:Choice Requires="wps">
            <w:drawing>
              <wp:anchor distT="45720" distB="45720" distL="114300" distR="114300" simplePos="0" relativeHeight="251659264" behindDoc="0" locked="0" layoutInCell="1" allowOverlap="1" wp14:anchorId="32BA6EF2" wp14:editId="10407CAB">
                <wp:simplePos x="0" y="0"/>
                <wp:positionH relativeFrom="margin">
                  <wp:align>right</wp:align>
                </wp:positionH>
                <wp:positionV relativeFrom="paragraph">
                  <wp:posOffset>636905</wp:posOffset>
                </wp:positionV>
                <wp:extent cx="5719445" cy="743585"/>
                <wp:effectExtent l="0" t="0" r="1460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743585"/>
                        </a:xfrm>
                        <a:prstGeom prst="rect">
                          <a:avLst/>
                        </a:prstGeom>
                        <a:solidFill>
                          <a:schemeClr val="bg1">
                            <a:lumMod val="85000"/>
                          </a:schemeClr>
                        </a:solidFill>
                        <a:ln w="9525">
                          <a:solidFill>
                            <a:srgbClr val="000000"/>
                          </a:solidFill>
                          <a:miter lim="800000"/>
                          <a:headEnd/>
                          <a:tailEnd/>
                        </a:ln>
                      </wps:spPr>
                      <wps:txbx>
                        <w:txbxContent>
                          <w:p w14:paraId="4A4CD4DC" w14:textId="4550BE6F" w:rsidR="00AB6262" w:rsidRDefault="00AB6262">
                            <w:r>
                              <w:rPr>
                                <w:color w:val="auto"/>
                              </w:rPr>
                              <w:t xml:space="preserve">Note: The accounting information in this report does not accurately show the stocks of MB held globally for controlled uses by A5 parties as there is no requirement for parties to report pre 2015 stocks under the decisions of the Montreal Protocol.  MBTOC estimates these stocks may be substantial (&gt;2,000 tonnes)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A6EF2" id="_x0000_t202" coordsize="21600,21600" o:spt="202" path="m,l,21600r21600,l21600,xe">
                <v:stroke joinstyle="miter"/>
                <v:path gradientshapeok="t" o:connecttype="rect"/>
              </v:shapetype>
              <v:shape id="Text Box 2" o:spid="_x0000_s1026" type="#_x0000_t202" style="position:absolute;margin-left:399.15pt;margin-top:50.15pt;width:450.35pt;height:58.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" fillcolor="#d8d8d8 [2732]">
                <v:textbox>
                  <w:txbxContent>
                    <w:p w14:paraId="4A4CD4DC" w14:textId="4550BE6F" w:rsidR="00AB6262" w:rsidRDefault="00AB6262">
                      <w:r>
                        <w:rPr>
                          <w:color w:val="auto"/>
                        </w:rPr>
                        <w:t xml:space="preserve">Note: The accounting information in this report does not accurately show the stocks of MB held globally for controlled uses by A5 parties as there is no requirement for parties to report pre 2015 stocks under the decisions of the Montreal Protocol.  MBTOC estimates these stocks may be substantial (&gt;2,000 tonnes)  </w:t>
                      </w:r>
                    </w:p>
                  </w:txbxContent>
                </v:textbox>
                <w10:wrap type="square" anchorx="margin"/>
              </v:shape>
            </w:pict>
          </mc:Fallback>
        </mc:AlternateContent>
      </w:r>
      <w:r w:rsidR="00400BFA" w:rsidRPr="00CD1278">
        <w:rPr>
          <w:color w:val="auto"/>
        </w:rPr>
        <w:t xml:space="preserve">For this </w:t>
      </w:r>
      <w:r w:rsidR="00A601B0" w:rsidRPr="00CD1278">
        <w:rPr>
          <w:color w:val="auto"/>
        </w:rPr>
        <w:t xml:space="preserve">2018 </w:t>
      </w:r>
      <w:r w:rsidR="00400BFA" w:rsidRPr="00CD1278">
        <w:rPr>
          <w:color w:val="auto"/>
        </w:rPr>
        <w:t xml:space="preserve">round, </w:t>
      </w:r>
      <w:r w:rsidR="00E06E66" w:rsidRPr="00CD1278">
        <w:rPr>
          <w:color w:val="auto"/>
        </w:rPr>
        <w:t>all</w:t>
      </w:r>
      <w:r w:rsidR="001B5456" w:rsidRPr="00CD1278">
        <w:rPr>
          <w:color w:val="auto"/>
        </w:rPr>
        <w:t xml:space="preserve"> </w:t>
      </w:r>
      <w:r w:rsidR="006166CF" w:rsidRPr="00CD1278">
        <w:rPr>
          <w:color w:val="auto"/>
        </w:rPr>
        <w:t>P</w:t>
      </w:r>
      <w:r w:rsidR="00E06E66" w:rsidRPr="00CD1278">
        <w:rPr>
          <w:color w:val="auto"/>
        </w:rPr>
        <w:t>arties</w:t>
      </w:r>
      <w:r w:rsidR="006166CF" w:rsidRPr="00CD1278">
        <w:rPr>
          <w:color w:val="auto"/>
        </w:rPr>
        <w:t xml:space="preserve"> nominating CUEs</w:t>
      </w:r>
      <w:r w:rsidR="00E06E66" w:rsidRPr="00CD1278">
        <w:rPr>
          <w:color w:val="auto"/>
        </w:rPr>
        <w:t xml:space="preserve"> submitted </w:t>
      </w:r>
      <w:r w:rsidR="00400BFA" w:rsidRPr="00CD1278">
        <w:rPr>
          <w:color w:val="auto"/>
        </w:rPr>
        <w:t>Accounting Frameworks</w:t>
      </w:r>
      <w:r w:rsidR="00E06E66" w:rsidRPr="00CD1278">
        <w:rPr>
          <w:color w:val="auto"/>
        </w:rPr>
        <w:t xml:space="preserve">.  </w:t>
      </w:r>
      <w:r w:rsidR="00476610" w:rsidRPr="00CD1278">
        <w:rPr>
          <w:color w:val="auto"/>
        </w:rPr>
        <w:t>The Frameworks showed that there were</w:t>
      </w:r>
      <w:r w:rsidR="005D18D1" w:rsidRPr="00CD1278">
        <w:rPr>
          <w:color w:val="auto"/>
        </w:rPr>
        <w:t xml:space="preserve"> approximately </w:t>
      </w:r>
      <w:r w:rsidR="00E54A8D" w:rsidRPr="00CD1278">
        <w:rPr>
          <w:color w:val="auto"/>
        </w:rPr>
        <w:t>6</w:t>
      </w:r>
      <w:r w:rsidR="00476610" w:rsidRPr="00CD1278">
        <w:rPr>
          <w:color w:val="auto"/>
        </w:rPr>
        <w:t xml:space="preserve"> </w:t>
      </w:r>
      <w:r w:rsidR="00E54A8D" w:rsidRPr="00CD1278">
        <w:rPr>
          <w:color w:val="auto"/>
        </w:rPr>
        <w:t xml:space="preserve">tonnes </w:t>
      </w:r>
      <w:r w:rsidR="00B74566" w:rsidRPr="00CD1278">
        <w:rPr>
          <w:color w:val="auto"/>
        </w:rPr>
        <w:t>of</w:t>
      </w:r>
      <w:r w:rsidR="00476610" w:rsidRPr="00CD1278">
        <w:rPr>
          <w:color w:val="auto"/>
        </w:rPr>
        <w:t xml:space="preserve"> stocks</w:t>
      </w:r>
      <w:r w:rsidR="00E54A8D" w:rsidRPr="00CD1278">
        <w:rPr>
          <w:color w:val="auto"/>
        </w:rPr>
        <w:t xml:space="preserve"> for those parties required to report stocks</w:t>
      </w:r>
      <w:r w:rsidR="005978A3" w:rsidRPr="00CD1278">
        <w:rPr>
          <w:color w:val="auto"/>
        </w:rPr>
        <w:t xml:space="preserve">.  </w:t>
      </w:r>
    </w:p>
    <w:p w14:paraId="1F5FE610" w14:textId="4054DD0D" w:rsidR="00400A4D" w:rsidRPr="00CD1278" w:rsidRDefault="00400A4D" w:rsidP="00F97A8E">
      <w:pPr>
        <w:pStyle w:val="Style10ptAfter6pt1"/>
        <w:spacing w:before="120"/>
        <w:rPr>
          <w:i/>
          <w:color w:val="auto"/>
          <w:szCs w:val="22"/>
        </w:rPr>
      </w:pPr>
      <w:r w:rsidRPr="00CD1278">
        <w:rPr>
          <w:color w:val="auto"/>
        </w:rPr>
        <w:t>A number of decisions (</w:t>
      </w:r>
      <w:hyperlink r:id="rId36" w:history="1">
        <w:r w:rsidRPr="00CD1278">
          <w:rPr>
            <w:color w:val="auto"/>
          </w:rPr>
          <w:t>Ex.I/</w:t>
        </w:r>
        <w:r w:rsidR="00BE549E" w:rsidRPr="00CD1278">
          <w:rPr>
            <w:color w:val="auto"/>
          </w:rPr>
          <w:t xml:space="preserve">4 </w:t>
        </w:r>
        <w:r w:rsidRPr="00CD1278">
          <w:rPr>
            <w:color w:val="auto"/>
          </w:rPr>
          <w:t>(</w:t>
        </w:r>
        <w:r w:rsidR="00BE549E" w:rsidRPr="00CD1278">
          <w:rPr>
            <w:color w:val="auto"/>
          </w:rPr>
          <w:t>9f</w:t>
        </w:r>
        <w:r w:rsidRPr="00CD1278">
          <w:rPr>
            <w:color w:val="auto"/>
          </w:rPr>
          <w:t>)</w:t>
        </w:r>
      </w:hyperlink>
      <w:r w:rsidRPr="00CD1278">
        <w:rPr>
          <w:color w:val="auto"/>
        </w:rPr>
        <w:t xml:space="preserve">; </w:t>
      </w:r>
      <w:hyperlink r:id="rId37" w:history="1">
        <w:r w:rsidRPr="00CD1278">
          <w:rPr>
            <w:color w:val="auto"/>
          </w:rPr>
          <w:t>XVI/2(4)</w:t>
        </w:r>
      </w:hyperlink>
      <w:r w:rsidRPr="00CD1278">
        <w:rPr>
          <w:color w:val="auto"/>
        </w:rPr>
        <w:t xml:space="preserve">; </w:t>
      </w:r>
      <w:hyperlink r:id="rId38" w:history="1">
        <w:r w:rsidRPr="00CD1278">
          <w:rPr>
            <w:color w:val="auto"/>
          </w:rPr>
          <w:t>XVII/9(5)</w:t>
        </w:r>
      </w:hyperlink>
      <w:r w:rsidR="003E4043" w:rsidRPr="00CD1278">
        <w:rPr>
          <w:color w:val="auto"/>
        </w:rPr>
        <w:t xml:space="preserve"> and subsequent ‘Critical Use’ Decisions </w:t>
      </w:r>
      <w:r w:rsidRPr="00CD1278">
        <w:rPr>
          <w:color w:val="auto"/>
        </w:rPr>
        <w:t xml:space="preserve">set out provisions which request Parties to submit </w:t>
      </w:r>
      <w:r w:rsidR="006514F2" w:rsidRPr="00CD1278">
        <w:rPr>
          <w:color w:val="auto"/>
        </w:rPr>
        <w:t xml:space="preserve">in </w:t>
      </w:r>
      <w:r w:rsidR="003E4043" w:rsidRPr="00CD1278">
        <w:rPr>
          <w:color w:val="auto"/>
        </w:rPr>
        <w:t xml:space="preserve">Accounting Frameworks </w:t>
      </w:r>
      <w:r w:rsidRPr="00CD1278">
        <w:rPr>
          <w:color w:val="auto"/>
        </w:rPr>
        <w:t>by 1</w:t>
      </w:r>
      <w:r w:rsidRPr="00CD1278">
        <w:rPr>
          <w:color w:val="auto"/>
          <w:vertAlign w:val="superscript"/>
        </w:rPr>
        <w:t xml:space="preserve">st </w:t>
      </w:r>
      <w:r w:rsidRPr="00CD1278">
        <w:rPr>
          <w:color w:val="auto"/>
        </w:rPr>
        <w:t xml:space="preserve">February each year information on how criteria in IX/6(1) </w:t>
      </w:r>
      <w:r w:rsidR="00544677" w:rsidRPr="00CD1278">
        <w:rPr>
          <w:color w:val="auto"/>
        </w:rPr>
        <w:t>are</w:t>
      </w:r>
      <w:r w:rsidR="00C3272D" w:rsidRPr="00CD1278">
        <w:rPr>
          <w:color w:val="auto"/>
        </w:rPr>
        <w:t xml:space="preserve"> </w:t>
      </w:r>
      <w:r w:rsidRPr="00CD1278">
        <w:rPr>
          <w:color w:val="auto"/>
        </w:rPr>
        <w:t>met when licensing permitting or authoriz</w:t>
      </w:r>
      <w:r w:rsidRPr="00CD1278">
        <w:rPr>
          <w:color w:val="auto"/>
          <w:szCs w:val="22"/>
        </w:rPr>
        <w:t>ing CUEs.   Decision XVII/9 of the 17</w:t>
      </w:r>
      <w:r w:rsidRPr="00CD1278">
        <w:rPr>
          <w:color w:val="auto"/>
          <w:szCs w:val="22"/>
          <w:vertAlign w:val="superscript"/>
        </w:rPr>
        <w:t>th</w:t>
      </w:r>
      <w:r w:rsidRPr="00CD1278">
        <w:rPr>
          <w:color w:val="auto"/>
          <w:szCs w:val="22"/>
        </w:rPr>
        <w:t xml:space="preserve"> MOP </w:t>
      </w:r>
      <w:r w:rsidR="003E4043" w:rsidRPr="00CD1278">
        <w:rPr>
          <w:color w:val="auto"/>
          <w:szCs w:val="22"/>
        </w:rPr>
        <w:t xml:space="preserve">sets the timeline for reporting and also </w:t>
      </w:r>
      <w:r w:rsidRPr="00CD1278">
        <w:rPr>
          <w:color w:val="auto"/>
          <w:szCs w:val="22"/>
        </w:rPr>
        <w:t>specifically requests TEAP and its MBTOC to “</w:t>
      </w:r>
      <w:r w:rsidRPr="00CD1278">
        <w:rPr>
          <w:i/>
          <w:color w:val="auto"/>
          <w:szCs w:val="22"/>
        </w:rPr>
        <w:t xml:space="preserve">report for 2005 and annually thereafter, for each agreed critical use category, the amount of MB nominated by a Party, the amount of the agreed critical use and either: </w:t>
      </w:r>
    </w:p>
    <w:p w14:paraId="3D09C2DD" w14:textId="77777777" w:rsidR="00400A4D" w:rsidRPr="00CD1278" w:rsidRDefault="00400A4D" w:rsidP="005A552B">
      <w:pPr>
        <w:spacing w:after="0"/>
        <w:ind w:firstLine="550"/>
        <w:rPr>
          <w:i/>
          <w:color w:val="auto"/>
        </w:rPr>
      </w:pPr>
      <w:r w:rsidRPr="00CD1278">
        <w:rPr>
          <w:i/>
          <w:color w:val="auto"/>
        </w:rPr>
        <w:t>(a)</w:t>
      </w:r>
      <w:r w:rsidRPr="00CD1278">
        <w:rPr>
          <w:i/>
          <w:color w:val="auto"/>
        </w:rPr>
        <w:tab/>
        <w:t xml:space="preserve"> The amount licensed, permitted or authorised; or </w:t>
      </w:r>
    </w:p>
    <w:p w14:paraId="3A8563F7" w14:textId="77777777" w:rsidR="00400A4D" w:rsidRPr="00CD1278" w:rsidRDefault="00400A4D" w:rsidP="005A552B">
      <w:pPr>
        <w:pStyle w:val="Style1"/>
        <w:numPr>
          <w:ilvl w:val="0"/>
          <w:numId w:val="3"/>
        </w:numPr>
        <w:tabs>
          <w:tab w:val="num" w:pos="1100"/>
          <w:tab w:val="num" w:pos="2127"/>
        </w:tabs>
        <w:spacing w:before="0" w:after="0" w:line="240" w:lineRule="auto"/>
        <w:ind w:left="0" w:firstLine="567"/>
        <w:rPr>
          <w:rFonts w:ascii="Times New Roman" w:hAnsi="Times New Roman"/>
          <w:i/>
          <w:lang w:val="en-GB" w:eastAsia="en-AU"/>
        </w:rPr>
      </w:pPr>
      <w:r w:rsidRPr="00CD1278">
        <w:rPr>
          <w:rFonts w:ascii="Times New Roman" w:hAnsi="Times New Roman"/>
          <w:i/>
          <w:lang w:val="en-GB" w:eastAsia="en-AU"/>
        </w:rPr>
        <w:t>The amount used</w:t>
      </w:r>
    </w:p>
    <w:p w14:paraId="2A58BFBE" w14:textId="77777777" w:rsidR="00066BB2" w:rsidRPr="00CD1278" w:rsidRDefault="00066BB2" w:rsidP="005A552B">
      <w:pPr>
        <w:pStyle w:val="Style1"/>
        <w:tabs>
          <w:tab w:val="num" w:pos="1100"/>
          <w:tab w:val="num" w:pos="2127"/>
        </w:tabs>
        <w:spacing w:before="0" w:after="0" w:line="240" w:lineRule="auto"/>
        <w:ind w:left="567"/>
        <w:rPr>
          <w:rFonts w:ascii="Times New Roman" w:hAnsi="Times New Roman"/>
          <w:i/>
          <w:lang w:val="en-GB" w:eastAsia="en-AU"/>
        </w:rPr>
      </w:pPr>
    </w:p>
    <w:p w14:paraId="29C09AAA" w14:textId="7E16AC40" w:rsidR="00400A4D" w:rsidRPr="00CD1278" w:rsidRDefault="00400A4D" w:rsidP="005A552B">
      <w:pPr>
        <w:rPr>
          <w:color w:val="auto"/>
        </w:rPr>
      </w:pPr>
      <w:r w:rsidRPr="00CD1278">
        <w:rPr>
          <w:color w:val="auto"/>
        </w:rPr>
        <w:t>Since the start of the CUN reviews in 2003, MBTOC has provided tables of the historic amounts of MB nominated and agreed for each critical use (Annexes III and IV). Additionally</w:t>
      </w:r>
      <w:r w:rsidR="000F2026" w:rsidRPr="00CD1278">
        <w:rPr>
          <w:color w:val="auto"/>
        </w:rPr>
        <w:t>,</w:t>
      </w:r>
      <w:r w:rsidRPr="00CD1278">
        <w:rPr>
          <w:color w:val="auto"/>
        </w:rPr>
        <w:t xml:space="preserve"> Parties provide accounting frameworks on amounts used for critical uses and stocks as</w:t>
      </w:r>
      <w:r w:rsidR="00310FF5" w:rsidRPr="00CD1278">
        <w:rPr>
          <w:color w:val="auto"/>
        </w:rPr>
        <w:t xml:space="preserve"> required under Dec Ex.1/4 (9f)</w:t>
      </w:r>
      <w:r w:rsidRPr="00CD1278">
        <w:rPr>
          <w:color w:val="auto"/>
        </w:rPr>
        <w:t xml:space="preserve"> (Table1-3).</w:t>
      </w:r>
      <w:r w:rsidR="00544677" w:rsidRPr="00CD1278">
        <w:rPr>
          <w:color w:val="auto"/>
        </w:rPr>
        <w:t xml:space="preserve"> The same requirements apply to A5</w:t>
      </w:r>
      <w:r w:rsidR="008F7174" w:rsidRPr="00CD1278">
        <w:rPr>
          <w:color w:val="auto"/>
        </w:rPr>
        <w:t xml:space="preserve"> Parties after 20</w:t>
      </w:r>
      <w:r w:rsidR="00127D9F" w:rsidRPr="00CD1278">
        <w:rPr>
          <w:color w:val="auto"/>
        </w:rPr>
        <w:t>1</w:t>
      </w:r>
      <w:r w:rsidR="008F7174" w:rsidRPr="00CD1278">
        <w:rPr>
          <w:color w:val="auto"/>
        </w:rPr>
        <w:t>5.</w:t>
      </w:r>
    </w:p>
    <w:p w14:paraId="5CFA3FE7" w14:textId="68592454" w:rsidR="00F45586" w:rsidRPr="00CD1278" w:rsidRDefault="00120719" w:rsidP="005A552B">
      <w:pPr>
        <w:pStyle w:val="Footer"/>
      </w:pPr>
      <w:r w:rsidRPr="00CD1278">
        <w:t>For</w:t>
      </w:r>
      <w:r w:rsidR="00C3272D" w:rsidRPr="00CD1278">
        <w:t xml:space="preserve"> </w:t>
      </w:r>
      <w:r w:rsidR="00A601B0" w:rsidRPr="00CD1278">
        <w:t>2017</w:t>
      </w:r>
      <w:r w:rsidR="006E0BB6" w:rsidRPr="00CD1278">
        <w:t>, t</w:t>
      </w:r>
      <w:r w:rsidR="008D5F24" w:rsidRPr="00CD1278">
        <w:t xml:space="preserve">he Meeting of the Parties </w:t>
      </w:r>
      <w:r w:rsidR="00C3272D" w:rsidRPr="00CD1278">
        <w:t xml:space="preserve">(MOP) </w:t>
      </w:r>
      <w:r w:rsidR="008D5F24" w:rsidRPr="00CD1278">
        <w:t xml:space="preserve">authorised </w:t>
      </w:r>
      <w:r w:rsidR="0057107C" w:rsidRPr="00CD1278">
        <w:t>Australia</w:t>
      </w:r>
      <w:r w:rsidR="008C7BF1" w:rsidRPr="00CD1278">
        <w:t xml:space="preserve"> to </w:t>
      </w:r>
      <w:r w:rsidR="008D5F24" w:rsidRPr="00CD1278">
        <w:t xml:space="preserve">use </w:t>
      </w:r>
      <w:r w:rsidR="008B51B5" w:rsidRPr="00CD1278">
        <w:t>29.76</w:t>
      </w:r>
      <w:r w:rsidR="00A601B0" w:rsidRPr="00CD1278">
        <w:t xml:space="preserve"> </w:t>
      </w:r>
      <w:r w:rsidR="008D5F24" w:rsidRPr="00CD1278">
        <w:t xml:space="preserve">t </w:t>
      </w:r>
      <w:r w:rsidR="006E0BB6" w:rsidRPr="00CD1278">
        <w:t>of MB</w:t>
      </w:r>
      <w:r w:rsidR="000646DF" w:rsidRPr="00CD1278">
        <w:t xml:space="preserve"> (Table 1.3)</w:t>
      </w:r>
      <w:r w:rsidR="00BC52CE" w:rsidRPr="00CD1278">
        <w:t>.</w:t>
      </w:r>
      <w:r w:rsidR="00C3272D" w:rsidRPr="00CD1278">
        <w:t xml:space="preserve"> </w:t>
      </w:r>
      <w:r w:rsidR="00400A4D" w:rsidRPr="00CD1278">
        <w:t xml:space="preserve">The Party reported that </w:t>
      </w:r>
      <w:r w:rsidR="008B51B5" w:rsidRPr="00CD1278">
        <w:t>29.75</w:t>
      </w:r>
      <w:r w:rsidR="005155CF" w:rsidRPr="00CD1278">
        <w:t xml:space="preserve"> </w:t>
      </w:r>
      <w:r w:rsidR="00400A4D" w:rsidRPr="00CD1278">
        <w:t>t</w:t>
      </w:r>
      <w:r w:rsidR="00F16A73" w:rsidRPr="00CD1278">
        <w:t xml:space="preserve"> were</w:t>
      </w:r>
      <w:r w:rsidR="00400A4D" w:rsidRPr="00CD1278">
        <w:t xml:space="preserve"> used for the critical uses in </w:t>
      </w:r>
      <w:r w:rsidR="00A601B0" w:rsidRPr="00CD1278">
        <w:t xml:space="preserve">2017 </w:t>
      </w:r>
      <w:r w:rsidR="00D329CD" w:rsidRPr="00CD1278">
        <w:t xml:space="preserve">and 0.01 </w:t>
      </w:r>
      <w:r w:rsidR="001B5456" w:rsidRPr="00CD1278">
        <w:t xml:space="preserve">t </w:t>
      </w:r>
      <w:r w:rsidR="00D329CD" w:rsidRPr="00CD1278">
        <w:t>authorised but not used</w:t>
      </w:r>
      <w:r w:rsidR="00400A4D" w:rsidRPr="00CD1278">
        <w:t xml:space="preserve">. </w:t>
      </w:r>
      <w:r w:rsidR="008D5F24" w:rsidRPr="00CD1278">
        <w:t>For Canada</w:t>
      </w:r>
      <w:r w:rsidR="00C3272D" w:rsidRPr="00CD1278">
        <w:t xml:space="preserve"> in 201</w:t>
      </w:r>
      <w:r w:rsidR="008B51B5" w:rsidRPr="00CD1278">
        <w:t>7</w:t>
      </w:r>
      <w:r w:rsidR="008D5F24" w:rsidRPr="00CD1278">
        <w:t xml:space="preserve">, the </w:t>
      </w:r>
      <w:r w:rsidR="00C3272D" w:rsidRPr="00CD1278">
        <w:t>MOP</w:t>
      </w:r>
      <w:r w:rsidR="008D5F24" w:rsidRPr="00CD1278">
        <w:t xml:space="preserve"> authorised </w:t>
      </w:r>
      <w:r w:rsidR="00400A4D" w:rsidRPr="00CD1278">
        <w:t>5.261</w:t>
      </w:r>
      <w:r w:rsidR="008B741B" w:rsidRPr="00CD1278">
        <w:t xml:space="preserve"> t </w:t>
      </w:r>
      <w:r w:rsidR="00400A4D" w:rsidRPr="00CD1278">
        <w:t>for st</w:t>
      </w:r>
      <w:r w:rsidR="008D5F24" w:rsidRPr="00CD1278">
        <w:t>rawberry runners</w:t>
      </w:r>
      <w:r w:rsidR="00400A4D" w:rsidRPr="00CD1278">
        <w:t xml:space="preserve"> </w:t>
      </w:r>
      <w:r w:rsidR="00D23F72" w:rsidRPr="00CD1278">
        <w:t>and</w:t>
      </w:r>
      <w:r w:rsidR="00400A4D" w:rsidRPr="00CD1278">
        <w:t xml:space="preserve"> the Party reported that</w:t>
      </w:r>
      <w:r w:rsidR="008B51B5" w:rsidRPr="00CD1278">
        <w:t xml:space="preserve"> 5.166 t was used for the critical use from </w:t>
      </w:r>
      <w:r w:rsidR="006E05AE" w:rsidRPr="00CD1278">
        <w:t xml:space="preserve">new imports </w:t>
      </w:r>
      <w:r w:rsidR="008B51B5" w:rsidRPr="00CD1278">
        <w:t xml:space="preserve">of MB </w:t>
      </w:r>
      <w:r w:rsidR="006E05AE" w:rsidRPr="00CD1278">
        <w:t>and stocks from the previous year</w:t>
      </w:r>
      <w:r w:rsidR="008B51B5" w:rsidRPr="00CD1278">
        <w:t xml:space="preserve">.  </w:t>
      </w:r>
      <w:r w:rsidR="006365B7" w:rsidRPr="00CD1278">
        <w:t xml:space="preserve">For A5 critical uses, the Parties authorized </w:t>
      </w:r>
      <w:r w:rsidR="00B54539" w:rsidRPr="00CD1278">
        <w:t>38.84</w:t>
      </w:r>
      <w:r w:rsidR="006365B7" w:rsidRPr="00CD1278">
        <w:t xml:space="preserve"> t for strawberry fruit and </w:t>
      </w:r>
      <w:r w:rsidR="00B54539" w:rsidRPr="00CD1278">
        <w:t>64.10</w:t>
      </w:r>
      <w:r w:rsidR="006365B7" w:rsidRPr="00CD1278">
        <w:t xml:space="preserve"> t for tomatoes in Argentina; </w:t>
      </w:r>
      <w:r w:rsidR="000D1B2E" w:rsidRPr="00CD1278">
        <w:t>74.617</w:t>
      </w:r>
      <w:r w:rsidR="006365B7" w:rsidRPr="00CD1278">
        <w:t xml:space="preserve"> t </w:t>
      </w:r>
      <w:r w:rsidR="000D1B2E" w:rsidRPr="00CD1278">
        <w:t xml:space="preserve">and 18.360 t </w:t>
      </w:r>
      <w:r w:rsidR="006365B7" w:rsidRPr="00CD1278">
        <w:t xml:space="preserve">for open fields </w:t>
      </w:r>
      <w:r w:rsidR="000D1B2E" w:rsidRPr="00CD1278">
        <w:t>and in protected cropping</w:t>
      </w:r>
      <w:r w:rsidR="00A601B0" w:rsidRPr="00CD1278">
        <w:t xml:space="preserve"> of ginger</w:t>
      </w:r>
      <w:r w:rsidR="000D1B2E" w:rsidRPr="00CD1278">
        <w:t xml:space="preserve"> </w:t>
      </w:r>
      <w:r w:rsidR="006365B7" w:rsidRPr="00CD1278">
        <w:t>in China</w:t>
      </w:r>
      <w:r w:rsidR="000D1B2E" w:rsidRPr="00CD1278">
        <w:t xml:space="preserve"> respectively</w:t>
      </w:r>
      <w:r w:rsidR="006365B7" w:rsidRPr="00CD1278">
        <w:t xml:space="preserve"> and </w:t>
      </w:r>
      <w:r w:rsidR="000D1B2E" w:rsidRPr="00CD1278">
        <w:t>59.1</w:t>
      </w:r>
      <w:r w:rsidR="006365B7" w:rsidRPr="00CD1278">
        <w:t xml:space="preserve"> t for Mills </w:t>
      </w:r>
      <w:r w:rsidR="007C34EA" w:rsidRPr="00CD1278">
        <w:t xml:space="preserve">(55 t) </w:t>
      </w:r>
      <w:r w:rsidR="006365B7" w:rsidRPr="00CD1278">
        <w:t>and structures</w:t>
      </w:r>
      <w:r w:rsidR="007C34EA" w:rsidRPr="00CD1278">
        <w:t xml:space="preserve"> (4.1 t)</w:t>
      </w:r>
      <w:r w:rsidR="006365B7" w:rsidRPr="00CD1278">
        <w:t xml:space="preserve"> in South Africa</w:t>
      </w:r>
      <w:r w:rsidR="00B54539" w:rsidRPr="00CD1278">
        <w:t xml:space="preserve"> and all was reportedly used by the Party</w:t>
      </w:r>
      <w:r w:rsidR="006365B7" w:rsidRPr="00CD1278">
        <w:t>.</w:t>
      </w:r>
      <w:r w:rsidR="009D75BD" w:rsidRPr="00CD1278">
        <w:t xml:space="preserve"> </w:t>
      </w:r>
    </w:p>
    <w:p w14:paraId="678E0556" w14:textId="5C16237D" w:rsidR="003C670B" w:rsidRPr="00CD1278" w:rsidRDefault="00F45586" w:rsidP="005A552B">
      <w:pPr>
        <w:rPr>
          <w:color w:val="auto"/>
        </w:rPr>
      </w:pPr>
      <w:r w:rsidRPr="00CD1278">
        <w:rPr>
          <w:color w:val="auto"/>
        </w:rPr>
        <w:t xml:space="preserve">This is the </w:t>
      </w:r>
      <w:r w:rsidR="00215CE4" w:rsidRPr="00CD1278">
        <w:rPr>
          <w:color w:val="auto"/>
        </w:rPr>
        <w:t>f</w:t>
      </w:r>
      <w:r w:rsidR="00A601B0" w:rsidRPr="00CD1278">
        <w:rPr>
          <w:color w:val="auto"/>
        </w:rPr>
        <w:t>i</w:t>
      </w:r>
      <w:r w:rsidR="006166CF" w:rsidRPr="00CD1278">
        <w:rPr>
          <w:color w:val="auto"/>
        </w:rPr>
        <w:t>fth</w:t>
      </w:r>
      <w:r w:rsidR="006365B7" w:rsidRPr="00CD1278">
        <w:rPr>
          <w:color w:val="auto"/>
        </w:rPr>
        <w:t xml:space="preserve"> </w:t>
      </w:r>
      <w:r w:rsidRPr="00CD1278">
        <w:rPr>
          <w:color w:val="auto"/>
        </w:rPr>
        <w:t xml:space="preserve">year that A5 Parties </w:t>
      </w:r>
      <w:r w:rsidR="00ED2184" w:rsidRPr="00CD1278">
        <w:rPr>
          <w:color w:val="auto"/>
        </w:rPr>
        <w:t>have submitted</w:t>
      </w:r>
      <w:r w:rsidRPr="00CD1278">
        <w:rPr>
          <w:color w:val="auto"/>
        </w:rPr>
        <w:t xml:space="preserve"> CUNs.</w:t>
      </w:r>
      <w:r w:rsidR="009765F6" w:rsidRPr="00CD1278">
        <w:rPr>
          <w:color w:val="auto"/>
        </w:rPr>
        <w:t xml:space="preserve"> </w:t>
      </w:r>
      <w:r w:rsidR="003850A4" w:rsidRPr="00CD1278">
        <w:rPr>
          <w:color w:val="auto"/>
        </w:rPr>
        <w:t>Under Decision Ex1/4 (</w:t>
      </w:r>
      <w:r w:rsidR="000345AD" w:rsidRPr="00CD1278">
        <w:rPr>
          <w:color w:val="auto"/>
        </w:rPr>
        <w:t>9f</w:t>
      </w:r>
      <w:r w:rsidR="003850A4" w:rsidRPr="00CD1278">
        <w:rPr>
          <w:color w:val="auto"/>
        </w:rPr>
        <w:t>) those A5 Parties which are granted critical use</w:t>
      </w:r>
      <w:r w:rsidR="008F7174" w:rsidRPr="00CD1278">
        <w:rPr>
          <w:color w:val="auto"/>
        </w:rPr>
        <w:t>s</w:t>
      </w:r>
      <w:r w:rsidR="003850A4" w:rsidRPr="00CD1278">
        <w:rPr>
          <w:color w:val="auto"/>
        </w:rPr>
        <w:t xml:space="preserve"> need to provide accounting frameworks </w:t>
      </w:r>
      <w:r w:rsidR="006E05AE" w:rsidRPr="00CD1278">
        <w:rPr>
          <w:color w:val="auto"/>
        </w:rPr>
        <w:t xml:space="preserve">annually, </w:t>
      </w:r>
      <w:r w:rsidR="008F7174" w:rsidRPr="00CD1278">
        <w:rPr>
          <w:color w:val="auto"/>
        </w:rPr>
        <w:t xml:space="preserve">if </w:t>
      </w:r>
      <w:r w:rsidR="00EE5FCF" w:rsidRPr="00CD1278">
        <w:rPr>
          <w:color w:val="auto"/>
        </w:rPr>
        <w:t xml:space="preserve">CUNs are </w:t>
      </w:r>
      <w:r w:rsidR="003C33A3" w:rsidRPr="00CD1278">
        <w:rPr>
          <w:color w:val="auto"/>
        </w:rPr>
        <w:t xml:space="preserve">again </w:t>
      </w:r>
      <w:r w:rsidR="00EE5FCF" w:rsidRPr="00CD1278">
        <w:rPr>
          <w:color w:val="auto"/>
        </w:rPr>
        <w:t>submitted</w:t>
      </w:r>
      <w:r w:rsidR="003850A4" w:rsidRPr="00CD1278">
        <w:rPr>
          <w:color w:val="auto"/>
        </w:rPr>
        <w:t>.</w:t>
      </w:r>
      <w:r w:rsidR="006365B7" w:rsidRPr="00CD1278">
        <w:rPr>
          <w:color w:val="auto"/>
        </w:rPr>
        <w:t xml:space="preserve"> Additionally</w:t>
      </w:r>
      <w:r w:rsidR="000F2026" w:rsidRPr="00CD1278">
        <w:rPr>
          <w:color w:val="auto"/>
        </w:rPr>
        <w:t>,</w:t>
      </w:r>
      <w:r w:rsidR="006365B7" w:rsidRPr="00CD1278">
        <w:rPr>
          <w:color w:val="auto"/>
        </w:rPr>
        <w:t xml:space="preserve"> Parties </w:t>
      </w:r>
      <w:r w:rsidR="006E05AE" w:rsidRPr="00CD1278">
        <w:rPr>
          <w:color w:val="auto"/>
        </w:rPr>
        <w:t>wer</w:t>
      </w:r>
      <w:r w:rsidR="006365B7" w:rsidRPr="00CD1278">
        <w:rPr>
          <w:color w:val="auto"/>
        </w:rPr>
        <w:t>e requ</w:t>
      </w:r>
      <w:r w:rsidR="00FA3475" w:rsidRPr="00CD1278">
        <w:rPr>
          <w:color w:val="auto"/>
        </w:rPr>
        <w:t>ested</w:t>
      </w:r>
      <w:r w:rsidR="006166CF" w:rsidRPr="00CD1278">
        <w:rPr>
          <w:color w:val="auto"/>
        </w:rPr>
        <w:t xml:space="preserve"> </w:t>
      </w:r>
      <w:r w:rsidR="006365B7" w:rsidRPr="00CD1278">
        <w:rPr>
          <w:color w:val="auto"/>
        </w:rPr>
        <w:t>to submit National Manag</w:t>
      </w:r>
      <w:r w:rsidR="009D75BD" w:rsidRPr="00CD1278">
        <w:rPr>
          <w:color w:val="auto"/>
        </w:rPr>
        <w:t>e</w:t>
      </w:r>
      <w:r w:rsidR="006365B7" w:rsidRPr="00CD1278">
        <w:rPr>
          <w:color w:val="auto"/>
        </w:rPr>
        <w:t xml:space="preserve">ment Plans as required </w:t>
      </w:r>
      <w:r w:rsidR="00F52E7E" w:rsidRPr="00CD1278">
        <w:rPr>
          <w:color w:val="auto"/>
        </w:rPr>
        <w:t>under</w:t>
      </w:r>
      <w:r w:rsidR="006365B7" w:rsidRPr="00CD1278">
        <w:rPr>
          <w:color w:val="auto"/>
        </w:rPr>
        <w:t xml:space="preserve"> Decision </w:t>
      </w:r>
      <w:r w:rsidR="00CA3FD2" w:rsidRPr="00CD1278">
        <w:rPr>
          <w:color w:val="auto"/>
        </w:rPr>
        <w:t>Ex. I/4(3)</w:t>
      </w:r>
      <w:r w:rsidR="00F85FD5" w:rsidRPr="00CD1278">
        <w:rPr>
          <w:color w:val="auto"/>
        </w:rPr>
        <w:t xml:space="preserve">. </w:t>
      </w:r>
    </w:p>
    <w:p w14:paraId="07725A16" w14:textId="34F2F42C" w:rsidR="008D5F24" w:rsidRPr="00CD1278" w:rsidRDefault="003C670B" w:rsidP="005A552B">
      <w:pPr>
        <w:rPr>
          <w:color w:val="auto"/>
        </w:rPr>
      </w:pPr>
      <w:r w:rsidRPr="00CD1278">
        <w:rPr>
          <w:color w:val="auto"/>
        </w:rPr>
        <w:t>MBTOC notes that n</w:t>
      </w:r>
      <w:r w:rsidR="006E05AE" w:rsidRPr="00CD1278">
        <w:rPr>
          <w:color w:val="auto"/>
        </w:rPr>
        <w:t xml:space="preserve">o detailed plans were received </w:t>
      </w:r>
      <w:r w:rsidR="00FA3475" w:rsidRPr="00CD1278">
        <w:rPr>
          <w:color w:val="auto"/>
        </w:rPr>
        <w:t>from Arge</w:t>
      </w:r>
      <w:r w:rsidR="006166CF" w:rsidRPr="00CD1278">
        <w:rPr>
          <w:color w:val="auto"/>
        </w:rPr>
        <w:t>n</w:t>
      </w:r>
      <w:r w:rsidR="00FA3475" w:rsidRPr="00CD1278">
        <w:rPr>
          <w:color w:val="auto"/>
        </w:rPr>
        <w:t xml:space="preserve">tina or South Africa. </w:t>
      </w:r>
    </w:p>
    <w:p w14:paraId="48F6B750" w14:textId="609DD9E7" w:rsidR="008D5F24" w:rsidRPr="00CD1278" w:rsidRDefault="00655D62" w:rsidP="005A552B">
      <w:pPr>
        <w:pStyle w:val="Heading2"/>
        <w:rPr>
          <w:lang w:val="en-GB"/>
        </w:rPr>
      </w:pPr>
      <w:bookmarkStart w:id="36" w:name="_Toc102710551"/>
      <w:bookmarkStart w:id="37" w:name="_Toc321116335"/>
      <w:bookmarkStart w:id="38" w:name="_Toc323048864"/>
      <w:bookmarkStart w:id="39" w:name="_Toc323049028"/>
      <w:bookmarkStart w:id="40" w:name="_Toc293054736"/>
      <w:bookmarkStart w:id="41" w:name="_Toc453277809"/>
      <w:r w:rsidRPr="00CD1278">
        <w:rPr>
          <w:lang w:val="en-GB"/>
        </w:rPr>
        <w:t>1</w:t>
      </w:r>
      <w:r w:rsidR="00C906C1" w:rsidRPr="00CD1278">
        <w:rPr>
          <w:lang w:val="en-GB"/>
        </w:rPr>
        <w:t>.2.4</w:t>
      </w:r>
      <w:r w:rsidR="00C906C1" w:rsidRPr="00CD1278">
        <w:rPr>
          <w:lang w:val="en-GB"/>
        </w:rPr>
        <w:tab/>
      </w:r>
      <w:r w:rsidR="008D5F24" w:rsidRPr="00CD1278">
        <w:rPr>
          <w:lang w:val="en-GB"/>
        </w:rPr>
        <w:t>Trends in Methyl Bromide Use for CUEs since 2005</w:t>
      </w:r>
      <w:bookmarkEnd w:id="36"/>
      <w:bookmarkEnd w:id="37"/>
      <w:bookmarkEnd w:id="38"/>
      <w:bookmarkEnd w:id="39"/>
      <w:bookmarkEnd w:id="40"/>
      <w:bookmarkEnd w:id="41"/>
    </w:p>
    <w:p w14:paraId="3BE3502E" w14:textId="3FAE952D" w:rsidR="00EE5FCF" w:rsidRPr="00CD1278" w:rsidRDefault="00EE5FCF" w:rsidP="005A552B">
      <w:pPr>
        <w:rPr>
          <w:color w:val="auto"/>
        </w:rPr>
      </w:pPr>
      <w:bookmarkStart w:id="42" w:name="_Toc323048865"/>
      <w:bookmarkStart w:id="43" w:name="_Toc323049029"/>
      <w:r w:rsidRPr="00CD1278">
        <w:rPr>
          <w:color w:val="auto"/>
        </w:rPr>
        <w:t xml:space="preserve">Decision XVII/9 requires TEAP to show trends in the phase out of the critical uses of MB (Fig 1-1 </w:t>
      </w:r>
      <w:r w:rsidR="00E417DF" w:rsidRPr="00CD1278">
        <w:rPr>
          <w:color w:val="auto"/>
        </w:rPr>
        <w:t>to</w:t>
      </w:r>
      <w:r w:rsidRPr="00CD1278">
        <w:rPr>
          <w:color w:val="auto"/>
        </w:rPr>
        <w:t xml:space="preserve"> Fig 1-</w:t>
      </w:r>
      <w:r w:rsidR="007C34EA" w:rsidRPr="00CD1278">
        <w:rPr>
          <w:color w:val="auto"/>
        </w:rPr>
        <w:t>4</w:t>
      </w:r>
      <w:r w:rsidRPr="00CD1278">
        <w:rPr>
          <w:color w:val="auto"/>
        </w:rPr>
        <w:t xml:space="preserve">, Annexes III and IV).  Since 2005, there has been a progressive downward trend in the </w:t>
      </w:r>
      <w:r w:rsidR="00CF2ABD" w:rsidRPr="00CD1278">
        <w:rPr>
          <w:color w:val="auto"/>
        </w:rPr>
        <w:t xml:space="preserve">officially reported </w:t>
      </w:r>
      <w:r w:rsidRPr="00CD1278">
        <w:rPr>
          <w:color w:val="auto"/>
        </w:rPr>
        <w:t>amounts of</w:t>
      </w:r>
      <w:r w:rsidR="009765F6" w:rsidRPr="00CD1278">
        <w:rPr>
          <w:color w:val="auto"/>
        </w:rPr>
        <w:t xml:space="preserve"> </w:t>
      </w:r>
      <w:r w:rsidRPr="00CD1278">
        <w:rPr>
          <w:color w:val="auto"/>
        </w:rPr>
        <w:t xml:space="preserve">MB requested for CUNs by all Parties for both soil and post- harvest uses, although this has occurred at different rates.  Fig 1-1 </w:t>
      </w:r>
      <w:r w:rsidR="00026505" w:rsidRPr="00CD1278">
        <w:rPr>
          <w:color w:val="auto"/>
        </w:rPr>
        <w:t xml:space="preserve">and Tables </w:t>
      </w:r>
      <w:r w:rsidR="00190CAC" w:rsidRPr="00CD1278">
        <w:rPr>
          <w:color w:val="auto"/>
        </w:rPr>
        <w:t>1.</w:t>
      </w:r>
      <w:r w:rsidR="00026505" w:rsidRPr="00CD1278">
        <w:rPr>
          <w:color w:val="auto"/>
        </w:rPr>
        <w:t>4a-</w:t>
      </w:r>
      <w:r w:rsidR="00190CAC" w:rsidRPr="00CD1278">
        <w:rPr>
          <w:color w:val="auto"/>
        </w:rPr>
        <w:t>1.</w:t>
      </w:r>
      <w:r w:rsidR="00026505" w:rsidRPr="00CD1278">
        <w:rPr>
          <w:color w:val="auto"/>
        </w:rPr>
        <w:t xml:space="preserve">4c </w:t>
      </w:r>
      <w:r w:rsidRPr="00CD1278">
        <w:rPr>
          <w:color w:val="auto"/>
        </w:rPr>
        <w:t>show</w:t>
      </w:r>
      <w:r w:rsidR="00E417DF" w:rsidRPr="00CD1278">
        <w:rPr>
          <w:color w:val="auto"/>
        </w:rPr>
        <w:t>s</w:t>
      </w:r>
      <w:r w:rsidRPr="00CD1278">
        <w:rPr>
          <w:color w:val="auto"/>
        </w:rPr>
        <w:t xml:space="preserve"> reduction trends in amounts approved/nominated by Parties for ‘Critical Use’ from 2005 to </w:t>
      </w:r>
      <w:r w:rsidR="00127D9F" w:rsidRPr="00CD1278">
        <w:rPr>
          <w:color w:val="auto"/>
        </w:rPr>
        <w:t>201</w:t>
      </w:r>
      <w:r w:rsidR="00215CE4" w:rsidRPr="00CD1278">
        <w:rPr>
          <w:color w:val="auto"/>
        </w:rPr>
        <w:t>7</w:t>
      </w:r>
      <w:r w:rsidR="00C3272D" w:rsidRPr="00CD1278">
        <w:rPr>
          <w:color w:val="auto"/>
        </w:rPr>
        <w:t xml:space="preserve"> </w:t>
      </w:r>
      <w:r w:rsidRPr="00CD1278">
        <w:rPr>
          <w:color w:val="auto"/>
        </w:rPr>
        <w:t xml:space="preserve">for all </w:t>
      </w:r>
      <w:r w:rsidR="0011618B" w:rsidRPr="00CD1278">
        <w:rPr>
          <w:color w:val="auto"/>
        </w:rPr>
        <w:t xml:space="preserve">uses.  Fig 1-2 shows </w:t>
      </w:r>
      <w:r w:rsidRPr="00CD1278">
        <w:rPr>
          <w:color w:val="auto"/>
        </w:rPr>
        <w:t xml:space="preserve">the </w:t>
      </w:r>
      <w:r w:rsidR="0011618B" w:rsidRPr="00CD1278">
        <w:rPr>
          <w:color w:val="auto"/>
        </w:rPr>
        <w:t xml:space="preserve">reduction trend for the </w:t>
      </w:r>
      <w:r w:rsidRPr="00CD1278">
        <w:rPr>
          <w:color w:val="auto"/>
        </w:rPr>
        <w:t xml:space="preserve">remaining soil uses in </w:t>
      </w:r>
      <w:r w:rsidR="00E417DF" w:rsidRPr="00CD1278">
        <w:rPr>
          <w:color w:val="auto"/>
        </w:rPr>
        <w:t xml:space="preserve">both </w:t>
      </w:r>
      <w:r w:rsidR="00153F40" w:rsidRPr="00CD1278">
        <w:rPr>
          <w:color w:val="auto"/>
        </w:rPr>
        <w:t>non-</w:t>
      </w:r>
      <w:r w:rsidRPr="00CD1278">
        <w:rPr>
          <w:color w:val="auto"/>
        </w:rPr>
        <w:t>A5 Parties</w:t>
      </w:r>
      <w:r w:rsidR="00535889" w:rsidRPr="00CD1278">
        <w:rPr>
          <w:color w:val="auto"/>
        </w:rPr>
        <w:t xml:space="preserve"> (strawberry runners, Canada and Australia)</w:t>
      </w:r>
      <w:r w:rsidR="00E417DF" w:rsidRPr="00CD1278">
        <w:rPr>
          <w:color w:val="auto"/>
        </w:rPr>
        <w:t xml:space="preserve"> and Figs 1-</w:t>
      </w:r>
      <w:r w:rsidR="0011618B" w:rsidRPr="00CD1278">
        <w:rPr>
          <w:color w:val="auto"/>
        </w:rPr>
        <w:t xml:space="preserve">3 </w:t>
      </w:r>
      <w:r w:rsidR="00E417DF" w:rsidRPr="00CD1278">
        <w:rPr>
          <w:color w:val="auto"/>
        </w:rPr>
        <w:t>and 1-</w:t>
      </w:r>
      <w:r w:rsidR="0011618B" w:rsidRPr="00CD1278">
        <w:rPr>
          <w:color w:val="auto"/>
        </w:rPr>
        <w:t xml:space="preserve">4 </w:t>
      </w:r>
      <w:r w:rsidR="00E417DF" w:rsidRPr="00CD1278">
        <w:rPr>
          <w:color w:val="auto"/>
        </w:rPr>
        <w:t xml:space="preserve">the current </w:t>
      </w:r>
      <w:r w:rsidR="00FA3475" w:rsidRPr="00CD1278">
        <w:rPr>
          <w:color w:val="auto"/>
        </w:rPr>
        <w:t xml:space="preserve">and past </w:t>
      </w:r>
      <w:r w:rsidR="00E417DF" w:rsidRPr="00CD1278">
        <w:rPr>
          <w:color w:val="auto"/>
        </w:rPr>
        <w:t>pre</w:t>
      </w:r>
      <w:r w:rsidR="000D1B2E" w:rsidRPr="00CD1278">
        <w:rPr>
          <w:color w:val="auto"/>
        </w:rPr>
        <w:t>-</w:t>
      </w:r>
      <w:r w:rsidR="00E417DF" w:rsidRPr="00CD1278">
        <w:rPr>
          <w:color w:val="auto"/>
        </w:rPr>
        <w:t>plant soil and commodity uses in A5 Parties (Argentina, China</w:t>
      </w:r>
      <w:r w:rsidR="00FA3475" w:rsidRPr="00CD1278">
        <w:rPr>
          <w:color w:val="auto"/>
        </w:rPr>
        <w:t>, Mexico</w:t>
      </w:r>
      <w:r w:rsidR="00E417DF" w:rsidRPr="00CD1278">
        <w:rPr>
          <w:color w:val="auto"/>
        </w:rPr>
        <w:t xml:space="preserve"> and Republic of South Africa) since 2015. </w:t>
      </w:r>
      <w:r w:rsidRPr="00CD1278">
        <w:rPr>
          <w:color w:val="auto"/>
        </w:rPr>
        <w:t xml:space="preserve"> The complete trends in phase out of MB by country, as indicated by change in CUE, are shown in Annexes III and IV.</w:t>
      </w:r>
    </w:p>
    <w:p w14:paraId="1A87BF91" w14:textId="4E82272C" w:rsidR="00EE5FCF" w:rsidRPr="00CD1278" w:rsidRDefault="00EE5FCF" w:rsidP="005A552B">
      <w:pPr>
        <w:rPr>
          <w:b/>
          <w:color w:val="auto"/>
        </w:rPr>
      </w:pPr>
      <w:r w:rsidRPr="00CD1278">
        <w:rPr>
          <w:color w:val="auto"/>
        </w:rPr>
        <w:t>The nominated amounts and the apparent rate of reduction in MB or adoption of alternatives achieved by Parties are shown in Table 1-</w:t>
      </w:r>
      <w:r w:rsidR="0011618B" w:rsidRPr="00CD1278">
        <w:rPr>
          <w:color w:val="auto"/>
        </w:rPr>
        <w:t>5</w:t>
      </w:r>
      <w:r w:rsidRPr="00CD1278">
        <w:rPr>
          <w:color w:val="auto"/>
        </w:rPr>
        <w:t xml:space="preserve">, as well as Figures 1-1 </w:t>
      </w:r>
      <w:r w:rsidR="00E417DF" w:rsidRPr="00CD1278">
        <w:rPr>
          <w:color w:val="auto"/>
        </w:rPr>
        <w:t>to 1-</w:t>
      </w:r>
      <w:r w:rsidR="0011618B" w:rsidRPr="00CD1278">
        <w:rPr>
          <w:color w:val="auto"/>
        </w:rPr>
        <w:t>4</w:t>
      </w:r>
      <w:r w:rsidR="00190CAC" w:rsidRPr="00CD1278">
        <w:rPr>
          <w:color w:val="auto"/>
        </w:rPr>
        <w:t>(a) to 1-4(c)</w:t>
      </w:r>
      <w:r w:rsidRPr="00CD1278">
        <w:rPr>
          <w:color w:val="auto"/>
        </w:rPr>
        <w:t>. It is noted that for those non-A5 countries that have pre-2005 stocks of MB that are being drawn down, the reductions in CUEs from year to year cannot be taken directly as evidence of adoption of alternatives since pre-2005</w:t>
      </w:r>
      <w:r w:rsidR="00F85FD5" w:rsidRPr="00CD1278">
        <w:rPr>
          <w:color w:val="auto"/>
        </w:rPr>
        <w:t>/2015</w:t>
      </w:r>
      <w:r w:rsidRPr="00CD1278">
        <w:rPr>
          <w:color w:val="auto"/>
        </w:rPr>
        <w:t xml:space="preserve"> stocks may have been used (or may still be used) in the same sectors.</w:t>
      </w:r>
    </w:p>
    <w:p w14:paraId="64CCE2C2" w14:textId="5A30D460" w:rsidR="008D5F24" w:rsidRPr="00CD1278" w:rsidRDefault="00655D62" w:rsidP="005A552B">
      <w:pPr>
        <w:pStyle w:val="Heading2"/>
        <w:rPr>
          <w:lang w:val="en-GB"/>
        </w:rPr>
      </w:pPr>
      <w:bookmarkStart w:id="44" w:name="_Toc293054737"/>
      <w:bookmarkStart w:id="45" w:name="_Toc453277810"/>
      <w:r w:rsidRPr="00CD1278">
        <w:rPr>
          <w:lang w:val="en-GB"/>
        </w:rPr>
        <w:t>1</w:t>
      </w:r>
      <w:r w:rsidR="008D5F24" w:rsidRPr="00CD1278">
        <w:rPr>
          <w:lang w:val="en-GB"/>
        </w:rPr>
        <w:t xml:space="preserve">.2.5 </w:t>
      </w:r>
      <w:r w:rsidR="008D5F24" w:rsidRPr="00CD1278">
        <w:rPr>
          <w:lang w:val="en-GB"/>
        </w:rPr>
        <w:tab/>
        <w:t>Disclosure of Interest</w:t>
      </w:r>
      <w:bookmarkEnd w:id="42"/>
      <w:bookmarkEnd w:id="43"/>
      <w:bookmarkEnd w:id="44"/>
      <w:bookmarkEnd w:id="45"/>
    </w:p>
    <w:p w14:paraId="23241873" w14:textId="0A13663F" w:rsidR="008D5F24" w:rsidRPr="00CD1278" w:rsidRDefault="008D5F24" w:rsidP="005A552B">
      <w:pPr>
        <w:rPr>
          <w:color w:val="auto"/>
        </w:rPr>
      </w:pPr>
      <w:r w:rsidRPr="00CD1278">
        <w:rPr>
          <w:color w:val="auto"/>
        </w:rPr>
        <w:t xml:space="preserve">As in past </w:t>
      </w:r>
      <w:r w:rsidR="002E3C7F" w:rsidRPr="00CD1278">
        <w:rPr>
          <w:color w:val="auto"/>
        </w:rPr>
        <w:t>assessments</w:t>
      </w:r>
      <w:r w:rsidRPr="00CD1278">
        <w:rPr>
          <w:color w:val="auto"/>
        </w:rPr>
        <w:t xml:space="preserve">, MBTOC members were requested to update their disclosure of interest forms relating specifically to their level of national, regional or enterprise involvement for the </w:t>
      </w:r>
      <w:r w:rsidR="00AE42EC" w:rsidRPr="00CD1278">
        <w:rPr>
          <w:color w:val="auto"/>
        </w:rPr>
        <w:t>201</w:t>
      </w:r>
      <w:r w:rsidR="000D1B2E" w:rsidRPr="00CD1278">
        <w:rPr>
          <w:color w:val="auto"/>
        </w:rPr>
        <w:t>7</w:t>
      </w:r>
      <w:r w:rsidR="00AE42EC" w:rsidRPr="00CD1278">
        <w:rPr>
          <w:color w:val="auto"/>
        </w:rPr>
        <w:t xml:space="preserve"> CUN </w:t>
      </w:r>
      <w:r w:rsidRPr="00CD1278">
        <w:rPr>
          <w:color w:val="auto"/>
        </w:rPr>
        <w:t xml:space="preserve">process. The Disclosure of Interest declarations for </w:t>
      </w:r>
      <w:r w:rsidR="00D70754" w:rsidRPr="00CD1278">
        <w:rPr>
          <w:color w:val="auto"/>
        </w:rPr>
        <w:t>2018</w:t>
      </w:r>
      <w:r w:rsidRPr="00CD1278">
        <w:rPr>
          <w:color w:val="auto"/>
        </w:rPr>
        <w:t xml:space="preserve">, updated in </w:t>
      </w:r>
      <w:r w:rsidR="00AE42EC" w:rsidRPr="00CD1278">
        <w:rPr>
          <w:color w:val="auto"/>
        </w:rPr>
        <w:t xml:space="preserve">February </w:t>
      </w:r>
      <w:r w:rsidR="00D70754" w:rsidRPr="00CD1278">
        <w:rPr>
          <w:color w:val="auto"/>
        </w:rPr>
        <w:t xml:space="preserve">2018 </w:t>
      </w:r>
      <w:r w:rsidR="00AE42EC" w:rsidRPr="00CD1278">
        <w:rPr>
          <w:color w:val="auto"/>
        </w:rPr>
        <w:t xml:space="preserve">can </w:t>
      </w:r>
      <w:r w:rsidRPr="00CD1278">
        <w:rPr>
          <w:color w:val="auto"/>
        </w:rPr>
        <w:t xml:space="preserve">be found on the </w:t>
      </w:r>
      <w:r w:rsidR="00507126" w:rsidRPr="00CD1278">
        <w:rPr>
          <w:color w:val="auto"/>
        </w:rPr>
        <w:t xml:space="preserve">Ozone Secretariat website </w:t>
      </w:r>
      <w:r w:rsidRPr="00CD1278">
        <w:rPr>
          <w:color w:val="auto"/>
        </w:rPr>
        <w:t>at</w:t>
      </w:r>
      <w:r w:rsidR="00AE42EC" w:rsidRPr="00CD1278">
        <w:rPr>
          <w:color w:val="auto"/>
        </w:rPr>
        <w:t>:</w:t>
      </w:r>
      <w:r w:rsidR="00CB2226" w:rsidRPr="00CD1278">
        <w:rPr>
          <w:color w:val="auto"/>
        </w:rPr>
        <w:t xml:space="preserve"> </w:t>
      </w:r>
      <w:hyperlink r:id="rId39" w:history="1">
        <w:r w:rsidR="00507126" w:rsidRPr="00CD1278">
          <w:rPr>
            <w:rStyle w:val="Hyperlink"/>
            <w:color w:val="auto"/>
          </w:rPr>
          <w:t>http://ozone.unep.org/en/assessment-panels/383/disclosure-interest?field_subsidiary_body=391</w:t>
        </w:r>
      </w:hyperlink>
      <w:r w:rsidR="00507126" w:rsidRPr="00CD1278">
        <w:rPr>
          <w:color w:val="auto"/>
        </w:rPr>
        <w:t xml:space="preserve"> </w:t>
      </w:r>
      <w:r w:rsidRPr="00CD1278">
        <w:rPr>
          <w:color w:val="auto"/>
        </w:rPr>
        <w:t xml:space="preserve">and a list of members </w:t>
      </w:r>
      <w:r w:rsidR="009A5726" w:rsidRPr="00CD1278">
        <w:rPr>
          <w:color w:val="auto"/>
        </w:rPr>
        <w:t xml:space="preserve">at the end of </w:t>
      </w:r>
      <w:r w:rsidR="003C4D11" w:rsidRPr="00CD1278">
        <w:rPr>
          <w:color w:val="auto"/>
        </w:rPr>
        <w:t>this report</w:t>
      </w:r>
      <w:r w:rsidRPr="00CD1278">
        <w:rPr>
          <w:color w:val="auto"/>
        </w:rPr>
        <w:t>.  As in previous rounds, some member</w:t>
      </w:r>
      <w:r w:rsidR="00D77708" w:rsidRPr="00CD1278">
        <w:rPr>
          <w:color w:val="auto"/>
        </w:rPr>
        <w:t>s</w:t>
      </w:r>
      <w:r w:rsidRPr="00CD1278">
        <w:rPr>
          <w:color w:val="auto"/>
        </w:rPr>
        <w:t xml:space="preserve"> </w:t>
      </w:r>
      <w:r w:rsidR="009A5726" w:rsidRPr="00CD1278">
        <w:rPr>
          <w:color w:val="auto"/>
        </w:rPr>
        <w:t xml:space="preserve">recused </w:t>
      </w:r>
      <w:r w:rsidR="00D77708" w:rsidRPr="00CD1278">
        <w:rPr>
          <w:color w:val="auto"/>
        </w:rPr>
        <w:t>from or abstained to participate</w:t>
      </w:r>
      <w:r w:rsidR="008E4D58" w:rsidRPr="00CD1278">
        <w:rPr>
          <w:color w:val="auto"/>
        </w:rPr>
        <w:t xml:space="preserve"> </w:t>
      </w:r>
      <w:r w:rsidR="00D77708" w:rsidRPr="00CD1278">
        <w:rPr>
          <w:color w:val="auto"/>
        </w:rPr>
        <w:t>in</w:t>
      </w:r>
      <w:r w:rsidRPr="00CD1278">
        <w:rPr>
          <w:color w:val="auto"/>
        </w:rPr>
        <w:t xml:space="preserve"> a particular CUN assessment or only provided technical advice on request</w:t>
      </w:r>
      <w:r w:rsidR="00834414" w:rsidRPr="00CD1278">
        <w:rPr>
          <w:color w:val="auto"/>
        </w:rPr>
        <w:t>,</w:t>
      </w:r>
      <w:r w:rsidRPr="00CD1278">
        <w:rPr>
          <w:color w:val="auto"/>
        </w:rPr>
        <w:t xml:space="preserve"> for those nominations where a potential conflict of interest was declared. </w:t>
      </w:r>
      <w:r w:rsidR="00807F4D" w:rsidRPr="00CD1278">
        <w:rPr>
          <w:color w:val="auto"/>
        </w:rPr>
        <w:t>Details of recusals can be found in section 1.3.2.</w:t>
      </w:r>
      <w:r w:rsidRPr="00CD1278">
        <w:rPr>
          <w:color w:val="auto"/>
        </w:rPr>
        <w:t xml:space="preserve">  </w:t>
      </w:r>
    </w:p>
    <w:p w14:paraId="7AC66117" w14:textId="3CCFB379" w:rsidR="0011618B" w:rsidRPr="00CD1278" w:rsidRDefault="0011618B" w:rsidP="005A552B">
      <w:pPr>
        <w:ind w:left="1170" w:hanging="1170"/>
        <w:rPr>
          <w:b/>
          <w:bCs/>
          <w:i/>
          <w:noProof/>
          <w:color w:val="auto"/>
        </w:rPr>
      </w:pPr>
      <w:bookmarkStart w:id="46" w:name="_Toc324255702"/>
      <w:r w:rsidRPr="00CD1278">
        <w:rPr>
          <w:b/>
          <w:bCs/>
          <w:i/>
          <w:noProof/>
          <w:color w:val="auto"/>
        </w:rPr>
        <w:t xml:space="preserve">Figure 1.1.  Amounts of MB nominated and exempted for CUE uses in nominated  preplant soil and commodities sectors from 2005 to </w:t>
      </w:r>
      <w:r w:rsidR="000B4C33" w:rsidRPr="00CD1278">
        <w:rPr>
          <w:b/>
          <w:bCs/>
          <w:i/>
          <w:noProof/>
          <w:color w:val="auto"/>
        </w:rPr>
        <w:t xml:space="preserve">2020 </w:t>
      </w:r>
      <w:r w:rsidRPr="00CD1278">
        <w:rPr>
          <w:b/>
          <w:bCs/>
          <w:i/>
          <w:noProof/>
          <w:color w:val="auto"/>
        </w:rPr>
        <w:t xml:space="preserve">by </w:t>
      </w:r>
      <w:r w:rsidR="002E3C7F" w:rsidRPr="00CD1278">
        <w:rPr>
          <w:b/>
          <w:bCs/>
          <w:i/>
          <w:noProof/>
          <w:color w:val="auto"/>
        </w:rPr>
        <w:t>non-</w:t>
      </w:r>
      <w:r w:rsidRPr="00CD1278">
        <w:rPr>
          <w:b/>
          <w:bCs/>
          <w:i/>
          <w:noProof/>
          <w:color w:val="auto"/>
        </w:rPr>
        <w:t>A5</w:t>
      </w:r>
      <w:r w:rsidR="007A75E5" w:rsidRPr="00CD1278">
        <w:rPr>
          <w:b/>
          <w:bCs/>
          <w:i/>
          <w:noProof/>
          <w:color w:val="auto"/>
        </w:rPr>
        <w:t xml:space="preserve"> and A5</w:t>
      </w:r>
      <w:r w:rsidRPr="00CD1278">
        <w:rPr>
          <w:b/>
          <w:bCs/>
          <w:i/>
          <w:noProof/>
          <w:color w:val="auto"/>
        </w:rPr>
        <w:t xml:space="preserve"> countries</w:t>
      </w:r>
    </w:p>
    <w:p w14:paraId="27879662" w14:textId="77777777" w:rsidR="0011618B" w:rsidRPr="00CD1278" w:rsidRDefault="0011618B" w:rsidP="005A552B">
      <w:pPr>
        <w:rPr>
          <w:color w:val="auto"/>
        </w:rPr>
      </w:pPr>
    </w:p>
    <w:p w14:paraId="17A0FE27" w14:textId="10D4D1AB" w:rsidR="0011618B" w:rsidRPr="00CD1278" w:rsidRDefault="006755E1" w:rsidP="005A552B">
      <w:pPr>
        <w:rPr>
          <w:color w:val="auto"/>
        </w:rPr>
      </w:pPr>
      <w:r w:rsidRPr="00CD1278">
        <w:rPr>
          <w:noProof/>
          <w:color w:val="auto"/>
          <w:lang w:val="en-US" w:eastAsia="en-US"/>
        </w:rPr>
        <w:drawing>
          <wp:inline distT="0" distB="0" distL="0" distR="0" wp14:anchorId="5D41899D" wp14:editId="1EA3BF86">
            <wp:extent cx="5733415" cy="3863340"/>
            <wp:effectExtent l="0" t="0" r="635"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1642DBC3" w14:textId="77777777" w:rsidR="0011618B" w:rsidRPr="00CD1278" w:rsidRDefault="0011618B" w:rsidP="005A552B">
      <w:pPr>
        <w:rPr>
          <w:color w:val="auto"/>
        </w:rPr>
      </w:pPr>
    </w:p>
    <w:p w14:paraId="0253F2AE" w14:textId="77777777" w:rsidR="00215CE4" w:rsidRPr="00CD1278" w:rsidRDefault="00215CE4" w:rsidP="005A552B">
      <w:pPr>
        <w:spacing w:after="0"/>
        <w:rPr>
          <w:b/>
          <w:bCs/>
          <w:i/>
          <w:noProof/>
          <w:color w:val="auto"/>
        </w:rPr>
      </w:pPr>
      <w:r w:rsidRPr="00CD1278">
        <w:rPr>
          <w:b/>
          <w:bCs/>
          <w:i/>
          <w:noProof/>
          <w:color w:val="auto"/>
        </w:rPr>
        <w:br w:type="page"/>
      </w:r>
    </w:p>
    <w:p w14:paraId="6A8F4FF1" w14:textId="1748AAAB" w:rsidR="00AA225A" w:rsidRPr="00CD1278" w:rsidRDefault="00EE5FCF" w:rsidP="00896422">
      <w:pPr>
        <w:rPr>
          <w:b/>
          <w:bCs/>
          <w:noProof/>
          <w:color w:val="auto"/>
        </w:rPr>
      </w:pPr>
      <w:r w:rsidRPr="00CD1278">
        <w:rPr>
          <w:b/>
          <w:bCs/>
          <w:i/>
          <w:noProof/>
          <w:color w:val="auto"/>
        </w:rPr>
        <w:t>Figure 1</w:t>
      </w:r>
      <w:r w:rsidR="00695E9C" w:rsidRPr="00CD1278">
        <w:rPr>
          <w:b/>
          <w:bCs/>
          <w:i/>
          <w:noProof/>
          <w:color w:val="auto"/>
        </w:rPr>
        <w:t>.</w:t>
      </w:r>
      <w:r w:rsidR="00C77CBA" w:rsidRPr="00CD1278">
        <w:rPr>
          <w:b/>
          <w:bCs/>
          <w:i/>
          <w:noProof/>
          <w:color w:val="auto"/>
        </w:rPr>
        <w:t>2</w:t>
      </w:r>
      <w:r w:rsidRPr="00CD1278">
        <w:rPr>
          <w:b/>
          <w:bCs/>
          <w:i/>
          <w:noProof/>
          <w:color w:val="auto"/>
        </w:rPr>
        <w:t>.  Amounts of MB nominated and exempted for CUE uses in nominated  preplant soil sectors from 2005 to</w:t>
      </w:r>
      <w:r w:rsidR="00AD2CA3" w:rsidRPr="00CD1278">
        <w:rPr>
          <w:b/>
          <w:bCs/>
          <w:i/>
          <w:noProof/>
          <w:color w:val="auto"/>
        </w:rPr>
        <w:t xml:space="preserve"> 2020 or</w:t>
      </w:r>
      <w:r w:rsidRPr="00CD1278">
        <w:rPr>
          <w:b/>
          <w:bCs/>
          <w:i/>
          <w:noProof/>
          <w:color w:val="auto"/>
        </w:rPr>
        <w:t xml:space="preserve"> </w:t>
      </w:r>
      <w:r w:rsidR="00F42D06" w:rsidRPr="00CD1278">
        <w:rPr>
          <w:b/>
          <w:bCs/>
          <w:i/>
          <w:noProof/>
          <w:color w:val="auto"/>
        </w:rPr>
        <w:t>20</w:t>
      </w:r>
      <w:r w:rsidR="00AD2CA3" w:rsidRPr="00CD1278">
        <w:rPr>
          <w:b/>
          <w:bCs/>
          <w:i/>
          <w:noProof/>
          <w:color w:val="auto"/>
        </w:rPr>
        <w:t>19</w:t>
      </w:r>
      <w:r w:rsidR="001975FE" w:rsidRPr="00CD1278">
        <w:rPr>
          <w:b/>
          <w:bCs/>
          <w:i/>
          <w:noProof/>
          <w:color w:val="auto"/>
        </w:rPr>
        <w:t xml:space="preserve"> by non A5 countries: Australia and Canada</w:t>
      </w:r>
      <w:r w:rsidR="00AD2CA3" w:rsidRPr="00CD1278">
        <w:rPr>
          <w:b/>
          <w:bCs/>
          <w:i/>
          <w:noProof/>
          <w:color w:val="auto"/>
        </w:rPr>
        <w:t xml:space="preserve"> respectively</w:t>
      </w:r>
      <w:r w:rsidRPr="00CD1278">
        <w:rPr>
          <w:b/>
          <w:bCs/>
          <w:i/>
          <w:noProof/>
          <w:color w:val="auto"/>
        </w:rPr>
        <w:t xml:space="preserve">.  Blue lines indicate the trend in MB nominated </w:t>
      </w:r>
      <w:r w:rsidR="00C17D19" w:rsidRPr="00CD1278">
        <w:rPr>
          <w:b/>
          <w:bCs/>
          <w:i/>
          <w:noProof/>
          <w:color w:val="auto"/>
        </w:rPr>
        <w:t xml:space="preserve">in the CUN </w:t>
      </w:r>
      <w:r w:rsidRPr="00CD1278">
        <w:rPr>
          <w:b/>
          <w:bCs/>
          <w:i/>
          <w:noProof/>
          <w:color w:val="auto"/>
        </w:rPr>
        <w:t xml:space="preserve">and the red lines the amount of MB approved </w:t>
      </w:r>
      <w:r w:rsidR="00C17D19" w:rsidRPr="00CD1278">
        <w:rPr>
          <w:b/>
          <w:bCs/>
          <w:i/>
          <w:noProof/>
          <w:color w:val="auto"/>
        </w:rPr>
        <w:t xml:space="preserve">as a CUE </w:t>
      </w:r>
      <w:r w:rsidRPr="00CD1278">
        <w:rPr>
          <w:b/>
          <w:bCs/>
          <w:i/>
          <w:noProof/>
          <w:color w:val="auto"/>
        </w:rPr>
        <w:t>by the Parties</w:t>
      </w:r>
    </w:p>
    <w:p w14:paraId="705F292C" w14:textId="03FD48A3" w:rsidR="004670E0" w:rsidRPr="00CD1278" w:rsidRDefault="00177F1F" w:rsidP="00177F1F">
      <w:pPr>
        <w:jc w:val="center"/>
        <w:rPr>
          <w:b/>
          <w:bCs/>
          <w:noProof/>
          <w:color w:val="auto"/>
          <w:sz w:val="18"/>
        </w:rPr>
      </w:pPr>
      <w:r w:rsidRPr="00CD1278">
        <w:rPr>
          <w:noProof/>
          <w:color w:val="auto"/>
          <w:lang w:eastAsia="en-AU"/>
        </w:rPr>
        <w:t xml:space="preserve"> </w:t>
      </w:r>
      <w:r w:rsidR="007400D0" w:rsidRPr="00CD1278">
        <w:rPr>
          <w:noProof/>
          <w:color w:val="auto"/>
          <w:lang w:val="en-US" w:eastAsia="en-US"/>
        </w:rPr>
        <w:drawing>
          <wp:inline distT="0" distB="0" distL="0" distR="0" wp14:anchorId="26D85701" wp14:editId="595A1633">
            <wp:extent cx="5733415" cy="2993390"/>
            <wp:effectExtent l="0" t="0" r="635"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8844FE3" w14:textId="589EDF85" w:rsidR="005F38BD" w:rsidRPr="00CD1278" w:rsidRDefault="007400D0" w:rsidP="00E417DF">
      <w:pPr>
        <w:jc w:val="center"/>
        <w:rPr>
          <w:color w:val="auto"/>
        </w:rPr>
      </w:pPr>
      <w:r w:rsidRPr="00CD1278">
        <w:rPr>
          <w:noProof/>
          <w:color w:val="auto"/>
          <w:lang w:val="en-US" w:eastAsia="en-US"/>
        </w:rPr>
        <w:drawing>
          <wp:inline distT="0" distB="0" distL="0" distR="0" wp14:anchorId="61F1E8E6" wp14:editId="523AF6B3">
            <wp:extent cx="5733415" cy="2817341"/>
            <wp:effectExtent l="0" t="0" r="635"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31C62E9" w14:textId="77777777" w:rsidR="005F38BD" w:rsidRPr="00CD1278" w:rsidRDefault="005F38BD" w:rsidP="00E417DF">
      <w:pPr>
        <w:ind w:firstLine="1080"/>
        <w:rPr>
          <w:color w:val="auto"/>
        </w:rPr>
      </w:pPr>
      <w:r w:rsidRPr="00CD1278">
        <w:rPr>
          <w:color w:val="auto"/>
        </w:rPr>
        <w:t>* Prince Edward Island</w:t>
      </w:r>
    </w:p>
    <w:p w14:paraId="28A0B2BB" w14:textId="77777777" w:rsidR="005D1109" w:rsidRPr="00CD1278" w:rsidRDefault="005D1109">
      <w:pPr>
        <w:spacing w:after="0"/>
        <w:rPr>
          <w:b/>
          <w:bCs/>
          <w:i/>
          <w:noProof/>
          <w:color w:val="auto"/>
        </w:rPr>
      </w:pPr>
      <w:r w:rsidRPr="00CD1278">
        <w:rPr>
          <w:b/>
          <w:bCs/>
          <w:i/>
          <w:noProof/>
          <w:color w:val="auto"/>
        </w:rPr>
        <w:br w:type="page"/>
      </w:r>
    </w:p>
    <w:p w14:paraId="49B77440" w14:textId="55E45EE7" w:rsidR="00EE5FCF" w:rsidRPr="00CD1278" w:rsidRDefault="001975FE" w:rsidP="003600DC">
      <w:pPr>
        <w:spacing w:after="0"/>
        <w:rPr>
          <w:b/>
          <w:bCs/>
          <w:i/>
          <w:noProof/>
          <w:color w:val="auto"/>
        </w:rPr>
      </w:pPr>
      <w:r w:rsidRPr="00CD1278">
        <w:rPr>
          <w:b/>
          <w:bCs/>
          <w:i/>
          <w:noProof/>
          <w:color w:val="auto"/>
        </w:rPr>
        <w:t>Figure 1</w:t>
      </w:r>
      <w:r w:rsidR="00695E9C" w:rsidRPr="00CD1278">
        <w:rPr>
          <w:b/>
          <w:bCs/>
          <w:i/>
          <w:noProof/>
          <w:color w:val="auto"/>
        </w:rPr>
        <w:t>.</w:t>
      </w:r>
      <w:r w:rsidR="00C77CBA" w:rsidRPr="00CD1278">
        <w:rPr>
          <w:b/>
          <w:bCs/>
          <w:i/>
          <w:noProof/>
          <w:color w:val="auto"/>
        </w:rPr>
        <w:t>3</w:t>
      </w:r>
      <w:r w:rsidRPr="00CD1278">
        <w:rPr>
          <w:b/>
          <w:bCs/>
          <w:i/>
          <w:noProof/>
          <w:color w:val="auto"/>
        </w:rPr>
        <w:t xml:space="preserve">.  Amounts of MB nominated and exempted for CUE uses in nominated  preplant soil sectors </w:t>
      </w:r>
      <w:r w:rsidR="00E417DF" w:rsidRPr="00CD1278">
        <w:rPr>
          <w:b/>
          <w:bCs/>
          <w:i/>
          <w:noProof/>
          <w:color w:val="auto"/>
        </w:rPr>
        <w:t>from 2015</w:t>
      </w:r>
      <w:r w:rsidR="001B6C52" w:rsidRPr="00CD1278">
        <w:rPr>
          <w:b/>
          <w:bCs/>
          <w:i/>
          <w:noProof/>
          <w:color w:val="auto"/>
        </w:rPr>
        <w:t xml:space="preserve"> to </w:t>
      </w:r>
      <w:r w:rsidR="00D70754" w:rsidRPr="00CD1278">
        <w:rPr>
          <w:b/>
          <w:bCs/>
          <w:i/>
          <w:noProof/>
          <w:color w:val="auto"/>
        </w:rPr>
        <w:t xml:space="preserve">2019 </w:t>
      </w:r>
      <w:r w:rsidRPr="00CD1278">
        <w:rPr>
          <w:b/>
          <w:bCs/>
          <w:i/>
          <w:noProof/>
          <w:color w:val="auto"/>
        </w:rPr>
        <w:t>by A5 countries: Argentin</w:t>
      </w:r>
      <w:r w:rsidR="00A948BA" w:rsidRPr="00CD1278">
        <w:rPr>
          <w:b/>
          <w:bCs/>
          <w:i/>
          <w:noProof/>
          <w:color w:val="auto"/>
        </w:rPr>
        <w:t>a</w:t>
      </w:r>
      <w:r w:rsidR="002573BD" w:rsidRPr="00CD1278">
        <w:rPr>
          <w:b/>
          <w:bCs/>
          <w:i/>
          <w:noProof/>
          <w:color w:val="auto"/>
        </w:rPr>
        <w:t xml:space="preserve"> and</w:t>
      </w:r>
      <w:r w:rsidR="00A948BA" w:rsidRPr="00CD1278">
        <w:rPr>
          <w:b/>
          <w:bCs/>
          <w:i/>
          <w:noProof/>
          <w:color w:val="auto"/>
        </w:rPr>
        <w:t xml:space="preserve"> China</w:t>
      </w:r>
      <w:r w:rsidR="002573BD" w:rsidRPr="00CD1278">
        <w:rPr>
          <w:b/>
          <w:bCs/>
          <w:i/>
          <w:noProof/>
          <w:color w:val="auto"/>
        </w:rPr>
        <w:t>.</w:t>
      </w:r>
      <w:r w:rsidR="00EE5FCF" w:rsidRPr="00CD1278">
        <w:rPr>
          <w:b/>
          <w:bCs/>
          <w:i/>
          <w:noProof/>
          <w:color w:val="auto"/>
        </w:rPr>
        <w:t xml:space="preserve">  Blue lines indicate the trend in MB </w:t>
      </w:r>
      <w:r w:rsidR="00D34227" w:rsidRPr="00CD1278">
        <w:rPr>
          <w:b/>
          <w:bCs/>
          <w:i/>
          <w:noProof/>
          <w:color w:val="auto"/>
        </w:rPr>
        <w:t xml:space="preserve">amounts </w:t>
      </w:r>
      <w:r w:rsidR="00EE5FCF" w:rsidRPr="00CD1278">
        <w:rPr>
          <w:b/>
          <w:bCs/>
          <w:i/>
          <w:noProof/>
          <w:color w:val="auto"/>
        </w:rPr>
        <w:t xml:space="preserve">nominated </w:t>
      </w:r>
      <w:r w:rsidR="008A4B18" w:rsidRPr="00CD1278">
        <w:rPr>
          <w:b/>
          <w:bCs/>
          <w:i/>
          <w:noProof/>
          <w:color w:val="auto"/>
        </w:rPr>
        <w:t xml:space="preserve">in the </w:t>
      </w:r>
      <w:r w:rsidR="00D34227" w:rsidRPr="00CD1278">
        <w:rPr>
          <w:b/>
          <w:bCs/>
          <w:i/>
          <w:noProof/>
          <w:color w:val="auto"/>
        </w:rPr>
        <w:t xml:space="preserve">CUN </w:t>
      </w:r>
      <w:r w:rsidR="00EE5FCF" w:rsidRPr="00CD1278">
        <w:rPr>
          <w:b/>
          <w:bCs/>
          <w:i/>
          <w:noProof/>
          <w:color w:val="auto"/>
        </w:rPr>
        <w:t xml:space="preserve">and the red lines the amount of MB approved </w:t>
      </w:r>
      <w:r w:rsidR="008A4B18" w:rsidRPr="00CD1278">
        <w:rPr>
          <w:b/>
          <w:bCs/>
          <w:i/>
          <w:noProof/>
          <w:color w:val="auto"/>
        </w:rPr>
        <w:t xml:space="preserve">as a CUE </w:t>
      </w:r>
      <w:r w:rsidR="00EE5FCF" w:rsidRPr="00CD1278">
        <w:rPr>
          <w:b/>
          <w:bCs/>
          <w:i/>
          <w:noProof/>
          <w:color w:val="auto"/>
        </w:rPr>
        <w:t>by the Parties</w:t>
      </w:r>
    </w:p>
    <w:p w14:paraId="2B20BEA4" w14:textId="77777777" w:rsidR="00591341" w:rsidRPr="00CD1278" w:rsidRDefault="00591341" w:rsidP="00EE5FCF">
      <w:pPr>
        <w:rPr>
          <w:b/>
          <w:i/>
          <w:color w:val="auto"/>
        </w:rPr>
      </w:pPr>
    </w:p>
    <w:p w14:paraId="223E5EE4" w14:textId="497FAA47" w:rsidR="00591341" w:rsidRPr="00CD1278" w:rsidRDefault="007400D0" w:rsidP="00A948BA">
      <w:pPr>
        <w:rPr>
          <w:b/>
          <w:i/>
          <w:color w:val="auto"/>
        </w:rPr>
      </w:pPr>
      <w:r w:rsidRPr="00CD1278">
        <w:rPr>
          <w:noProof/>
          <w:color w:val="auto"/>
          <w:lang w:val="en-US" w:eastAsia="en-US"/>
        </w:rPr>
        <w:drawing>
          <wp:inline distT="0" distB="0" distL="0" distR="0" wp14:anchorId="470AB9C6" wp14:editId="56C99B4A">
            <wp:extent cx="2800350" cy="2654300"/>
            <wp:effectExtent l="0" t="0" r="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00E848B2" w:rsidRPr="00CD1278">
        <w:rPr>
          <w:noProof/>
          <w:color w:val="auto"/>
          <w:lang w:eastAsia="en-AU"/>
        </w:rPr>
        <w:t xml:space="preserve"> </w:t>
      </w:r>
      <w:r w:rsidRPr="00CD1278">
        <w:rPr>
          <w:noProof/>
          <w:color w:val="auto"/>
          <w:lang w:val="en-US" w:eastAsia="en-US"/>
        </w:rPr>
        <w:drawing>
          <wp:inline distT="0" distB="0" distL="0" distR="0" wp14:anchorId="41B431C5" wp14:editId="12C3EBBA">
            <wp:extent cx="2730500" cy="265430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DCA8EAC" w14:textId="77777777" w:rsidR="0067223F" w:rsidRPr="00CD1278" w:rsidRDefault="0067223F" w:rsidP="00A948BA">
      <w:pPr>
        <w:rPr>
          <w:b/>
          <w:i/>
          <w:color w:val="auto"/>
        </w:rPr>
      </w:pPr>
    </w:p>
    <w:p w14:paraId="008AD4D9" w14:textId="2AE14786" w:rsidR="00D4534F" w:rsidRPr="00CD1278" w:rsidRDefault="007400D0" w:rsidP="00A948BA">
      <w:pPr>
        <w:rPr>
          <w:b/>
          <w:i/>
          <w:color w:val="auto"/>
        </w:rPr>
      </w:pPr>
      <w:r w:rsidRPr="00CD1278">
        <w:rPr>
          <w:noProof/>
          <w:color w:val="auto"/>
          <w:lang w:val="en-US" w:eastAsia="en-US"/>
        </w:rPr>
        <w:drawing>
          <wp:inline distT="0" distB="0" distL="0" distR="0" wp14:anchorId="1944C0AC" wp14:editId="5B2C3AC3">
            <wp:extent cx="2759075" cy="2654300"/>
            <wp:effectExtent l="0" t="0" r="3175"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B66C3C" w:rsidRPr="00CD1278">
        <w:rPr>
          <w:b/>
          <w:i/>
          <w:color w:val="auto"/>
        </w:rPr>
        <w:t xml:space="preserve"> </w:t>
      </w:r>
      <w:r w:rsidR="00152D32" w:rsidRPr="00CD1278">
        <w:rPr>
          <w:noProof/>
          <w:color w:val="auto"/>
          <w:lang w:val="en-US" w:eastAsia="en-US"/>
        </w:rPr>
        <w:drawing>
          <wp:inline distT="0" distB="0" distL="0" distR="0" wp14:anchorId="1F81B600" wp14:editId="7F605726">
            <wp:extent cx="2786449" cy="2647950"/>
            <wp:effectExtent l="0" t="0" r="1397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ED05139" w14:textId="77777777" w:rsidR="0067223F" w:rsidRPr="00CD1278" w:rsidRDefault="0067223F" w:rsidP="00A948BA">
      <w:pPr>
        <w:rPr>
          <w:color w:val="auto"/>
        </w:rPr>
      </w:pPr>
    </w:p>
    <w:p w14:paraId="0E35D22A" w14:textId="2833A3ED" w:rsidR="00A915A6" w:rsidRPr="00CD1278" w:rsidRDefault="00A915A6" w:rsidP="00A948BA">
      <w:pPr>
        <w:rPr>
          <w:color w:val="auto"/>
        </w:rPr>
      </w:pPr>
    </w:p>
    <w:p w14:paraId="182772B9" w14:textId="77777777" w:rsidR="00522C61" w:rsidRPr="00CD1278" w:rsidRDefault="00522C61" w:rsidP="00A948BA">
      <w:pPr>
        <w:rPr>
          <w:color w:val="auto"/>
        </w:rPr>
      </w:pPr>
    </w:p>
    <w:p w14:paraId="3C68DF60" w14:textId="77777777" w:rsidR="00522C61" w:rsidRPr="00CD1278" w:rsidRDefault="00522C61" w:rsidP="00A948BA">
      <w:pPr>
        <w:rPr>
          <w:color w:val="auto"/>
        </w:rPr>
      </w:pPr>
    </w:p>
    <w:p w14:paraId="1E4E3A3F" w14:textId="77777777" w:rsidR="00522C61" w:rsidRPr="00CD1278" w:rsidRDefault="00522C61" w:rsidP="00A948BA">
      <w:pPr>
        <w:rPr>
          <w:color w:val="auto"/>
        </w:rPr>
      </w:pPr>
    </w:p>
    <w:p w14:paraId="3A1D4A98" w14:textId="77777777" w:rsidR="00522C61" w:rsidRPr="00CD1278" w:rsidRDefault="00522C61" w:rsidP="00A948BA">
      <w:pPr>
        <w:rPr>
          <w:color w:val="auto"/>
        </w:rPr>
      </w:pPr>
    </w:p>
    <w:p w14:paraId="3C601DE6" w14:textId="148B5E9A" w:rsidR="00A42AB1" w:rsidRPr="00CD1278" w:rsidRDefault="00A42AB1" w:rsidP="00E417DF">
      <w:pPr>
        <w:jc w:val="center"/>
        <w:rPr>
          <w:b/>
          <w:i/>
          <w:color w:val="auto"/>
        </w:rPr>
      </w:pPr>
    </w:p>
    <w:p w14:paraId="77061BE0" w14:textId="513C4098" w:rsidR="00B66C3C" w:rsidRPr="00CD1278" w:rsidRDefault="00B66C3C" w:rsidP="00B66C3C">
      <w:pPr>
        <w:spacing w:after="0"/>
        <w:rPr>
          <w:b/>
          <w:bCs/>
          <w:i/>
          <w:noProof/>
          <w:color w:val="auto"/>
        </w:rPr>
      </w:pPr>
      <w:r w:rsidRPr="00CD1278">
        <w:rPr>
          <w:b/>
          <w:bCs/>
          <w:i/>
          <w:noProof/>
          <w:color w:val="auto"/>
        </w:rPr>
        <w:t>Figure 1.</w:t>
      </w:r>
      <w:r w:rsidR="00C77CBA" w:rsidRPr="00CD1278">
        <w:rPr>
          <w:b/>
          <w:bCs/>
          <w:i/>
          <w:noProof/>
          <w:color w:val="auto"/>
        </w:rPr>
        <w:t>4</w:t>
      </w:r>
      <w:r w:rsidR="000D1B2E" w:rsidRPr="00CD1278">
        <w:rPr>
          <w:b/>
          <w:bCs/>
          <w:i/>
          <w:noProof/>
          <w:color w:val="auto"/>
        </w:rPr>
        <w:t>.</w:t>
      </w:r>
      <w:r w:rsidRPr="00CD1278">
        <w:rPr>
          <w:b/>
          <w:bCs/>
          <w:i/>
          <w:noProof/>
          <w:color w:val="auto"/>
        </w:rPr>
        <w:t xml:space="preserve">  Amounts of MB nominated and exempted for CUE uses in structural and commodity uses from 2015 to 201</w:t>
      </w:r>
      <w:r w:rsidR="00D70754" w:rsidRPr="00CD1278">
        <w:rPr>
          <w:b/>
          <w:bCs/>
          <w:i/>
          <w:noProof/>
          <w:color w:val="auto"/>
        </w:rPr>
        <w:t>9</w:t>
      </w:r>
      <w:r w:rsidRPr="00CD1278">
        <w:rPr>
          <w:b/>
          <w:bCs/>
          <w:i/>
          <w:noProof/>
          <w:color w:val="auto"/>
        </w:rPr>
        <w:t xml:space="preserve"> by A5 countries: South Africa (RSA).  Blue lines indicate the trend in MB amounts nominated in the CUN and the red lines the amount of MB approved as a CUE by the Parties</w:t>
      </w:r>
    </w:p>
    <w:p w14:paraId="1AC84975" w14:textId="77777777" w:rsidR="00873CCA" w:rsidRPr="00CD1278" w:rsidRDefault="00873CCA" w:rsidP="00873CCA">
      <w:pPr>
        <w:spacing w:after="0"/>
        <w:rPr>
          <w:b/>
          <w:bCs/>
          <w:i/>
          <w:noProof/>
          <w:color w:val="auto"/>
        </w:rPr>
      </w:pPr>
    </w:p>
    <w:p w14:paraId="10B6DA3C" w14:textId="341A8B39" w:rsidR="00873CCA" w:rsidRPr="00CD1278" w:rsidRDefault="00152D32" w:rsidP="00873CCA">
      <w:pPr>
        <w:rPr>
          <w:color w:val="auto"/>
        </w:rPr>
      </w:pPr>
      <w:r w:rsidRPr="00CD1278">
        <w:rPr>
          <w:noProof/>
          <w:color w:val="auto"/>
          <w:lang w:val="en-US" w:eastAsia="en-US"/>
        </w:rPr>
        <w:drawing>
          <wp:inline distT="0" distB="0" distL="0" distR="0" wp14:anchorId="47224FC4" wp14:editId="51D372C3">
            <wp:extent cx="2806700" cy="2654300"/>
            <wp:effectExtent l="0" t="0" r="12700" b="127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sidR="00873CCA" w:rsidRPr="00CD1278">
        <w:rPr>
          <w:color w:val="auto"/>
        </w:rPr>
        <w:t xml:space="preserve"> </w:t>
      </w:r>
      <w:r w:rsidR="00744749" w:rsidRPr="00CD1278">
        <w:rPr>
          <w:noProof/>
          <w:color w:val="auto"/>
          <w:lang w:val="en-US" w:eastAsia="en-US"/>
        </w:rPr>
        <w:drawing>
          <wp:inline distT="0" distB="0" distL="0" distR="0" wp14:anchorId="795BCD4A" wp14:editId="5D43AF0A">
            <wp:extent cx="2818765" cy="2662240"/>
            <wp:effectExtent l="0" t="0" r="635" b="50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F9E3DF5" w14:textId="4A866554" w:rsidR="00B66C3C" w:rsidRPr="00CD1278" w:rsidRDefault="00B66C3C" w:rsidP="00A948BA">
      <w:pPr>
        <w:jc w:val="center"/>
        <w:rPr>
          <w:color w:val="auto"/>
        </w:rPr>
      </w:pPr>
    </w:p>
    <w:p w14:paraId="343DD84C" w14:textId="20DC5B93" w:rsidR="008D5F24" w:rsidRPr="00CD1278" w:rsidRDefault="00626B1A" w:rsidP="00BE7C70">
      <w:pPr>
        <w:pStyle w:val="Heading2"/>
        <w:rPr>
          <w:lang w:val="en-GB"/>
        </w:rPr>
      </w:pPr>
      <w:bookmarkStart w:id="47" w:name="_Toc293054738"/>
      <w:bookmarkStart w:id="48" w:name="_Toc453277811"/>
      <w:r w:rsidRPr="00CD1278">
        <w:rPr>
          <w:lang w:val="en-GB"/>
        </w:rPr>
        <w:t xml:space="preserve">1.2.6 </w:t>
      </w:r>
      <w:r w:rsidRPr="00CD1278">
        <w:rPr>
          <w:lang w:val="en-GB"/>
        </w:rPr>
        <w:tab/>
      </w:r>
      <w:r w:rsidR="008D5F24" w:rsidRPr="00CD1278">
        <w:rPr>
          <w:lang w:val="en-GB"/>
        </w:rPr>
        <w:t>Article 5 issues</w:t>
      </w:r>
      <w:bookmarkEnd w:id="46"/>
      <w:bookmarkEnd w:id="47"/>
      <w:bookmarkEnd w:id="48"/>
    </w:p>
    <w:p w14:paraId="439F9FCB" w14:textId="22375708" w:rsidR="00EE5FCF" w:rsidRPr="00CD1278" w:rsidRDefault="00EE5FCF" w:rsidP="005A552B">
      <w:pPr>
        <w:rPr>
          <w:color w:val="auto"/>
        </w:rPr>
      </w:pPr>
      <w:bookmarkStart w:id="49" w:name="_Toc324255704"/>
      <w:r w:rsidRPr="00CD1278">
        <w:rPr>
          <w:color w:val="auto"/>
        </w:rPr>
        <w:t>MB</w:t>
      </w:r>
      <w:r w:rsidR="009765F6" w:rsidRPr="00CD1278">
        <w:rPr>
          <w:color w:val="auto"/>
        </w:rPr>
        <w:t xml:space="preserve"> </w:t>
      </w:r>
      <w:r w:rsidRPr="00CD1278">
        <w:rPr>
          <w:color w:val="auto"/>
        </w:rPr>
        <w:t xml:space="preserve">was due to be fully phased out in A5 Parties by January 1, 2015, 10 years after </w:t>
      </w:r>
      <w:r w:rsidR="004E296C" w:rsidRPr="00CD1278">
        <w:rPr>
          <w:color w:val="auto"/>
        </w:rPr>
        <w:t xml:space="preserve">the </w:t>
      </w:r>
      <w:r w:rsidRPr="00CD1278">
        <w:rPr>
          <w:color w:val="auto"/>
        </w:rPr>
        <w:t>phase</w:t>
      </w:r>
      <w:r w:rsidR="004E296C" w:rsidRPr="00CD1278">
        <w:rPr>
          <w:color w:val="auto"/>
        </w:rPr>
        <w:t xml:space="preserve"> </w:t>
      </w:r>
      <w:r w:rsidRPr="00CD1278">
        <w:rPr>
          <w:color w:val="auto"/>
        </w:rPr>
        <w:t xml:space="preserve">out </w:t>
      </w:r>
      <w:r w:rsidR="00C843CD" w:rsidRPr="00CD1278">
        <w:rPr>
          <w:color w:val="auto"/>
        </w:rPr>
        <w:t xml:space="preserve">date </w:t>
      </w:r>
      <w:r w:rsidR="002D659B" w:rsidRPr="00CD1278">
        <w:rPr>
          <w:color w:val="auto"/>
        </w:rPr>
        <w:t xml:space="preserve">for </w:t>
      </w:r>
      <w:r w:rsidRPr="00CD1278">
        <w:rPr>
          <w:color w:val="auto"/>
        </w:rPr>
        <w:t>non-A5 Parties. In both cases, uses for feedstock and QPS are exempted from phase out under the control measures described in Article 2H. There is also provision for exemption from phase out for uses deemed ‘critical’ according to Article 2H, as complying with Decision IX/6.</w:t>
      </w:r>
    </w:p>
    <w:p w14:paraId="5DC213D3" w14:textId="27D21137" w:rsidR="003C4D11" w:rsidRPr="00CD1278" w:rsidRDefault="008A048B" w:rsidP="005A552B">
      <w:pPr>
        <w:rPr>
          <w:color w:val="auto"/>
        </w:rPr>
      </w:pPr>
      <w:r w:rsidRPr="00CD1278">
        <w:rPr>
          <w:color w:val="auto"/>
        </w:rPr>
        <w:t xml:space="preserve">By end of </w:t>
      </w:r>
      <w:r w:rsidR="002E3C7F" w:rsidRPr="00CD1278">
        <w:rPr>
          <w:color w:val="auto"/>
        </w:rPr>
        <w:t>2017</w:t>
      </w:r>
      <w:r w:rsidR="009F72B8" w:rsidRPr="00CD1278">
        <w:rPr>
          <w:color w:val="auto"/>
        </w:rPr>
        <w:t>,</w:t>
      </w:r>
      <w:r w:rsidR="00EE5FCF" w:rsidRPr="00CD1278">
        <w:rPr>
          <w:color w:val="auto"/>
        </w:rPr>
        <w:t xml:space="preserve"> </w:t>
      </w:r>
      <w:r w:rsidR="002D659B" w:rsidRPr="00CD1278">
        <w:rPr>
          <w:color w:val="auto"/>
        </w:rPr>
        <w:t xml:space="preserve">over </w:t>
      </w:r>
      <w:r w:rsidR="00806BF9" w:rsidRPr="00CD1278">
        <w:rPr>
          <w:color w:val="auto"/>
        </w:rPr>
        <w:t>98</w:t>
      </w:r>
      <w:r w:rsidR="00EE5FCF" w:rsidRPr="00CD1278">
        <w:rPr>
          <w:color w:val="auto"/>
        </w:rPr>
        <w:t>% of the</w:t>
      </w:r>
      <w:r w:rsidR="00806BF9" w:rsidRPr="00CD1278">
        <w:rPr>
          <w:color w:val="auto"/>
        </w:rPr>
        <w:t xml:space="preserve"> global</w:t>
      </w:r>
      <w:r w:rsidR="00EE5FCF" w:rsidRPr="00CD1278">
        <w:rPr>
          <w:color w:val="auto"/>
        </w:rPr>
        <w:t xml:space="preserve"> consumption</w:t>
      </w:r>
      <w:r w:rsidR="00595981" w:rsidRPr="00CD1278">
        <w:rPr>
          <w:color w:val="auto"/>
        </w:rPr>
        <w:t xml:space="preserve"> for non</w:t>
      </w:r>
      <w:r w:rsidR="00B74566" w:rsidRPr="00CD1278">
        <w:rPr>
          <w:color w:val="auto"/>
        </w:rPr>
        <w:t>-</w:t>
      </w:r>
      <w:r w:rsidR="00595981" w:rsidRPr="00CD1278">
        <w:rPr>
          <w:color w:val="auto"/>
        </w:rPr>
        <w:t xml:space="preserve">exempt uses </w:t>
      </w:r>
      <w:r w:rsidR="00806BF9" w:rsidRPr="00CD1278">
        <w:rPr>
          <w:color w:val="auto"/>
        </w:rPr>
        <w:t>ha</w:t>
      </w:r>
      <w:r w:rsidR="00595981" w:rsidRPr="00CD1278">
        <w:rPr>
          <w:color w:val="auto"/>
        </w:rPr>
        <w:t>s</w:t>
      </w:r>
      <w:r w:rsidR="00806BF9" w:rsidRPr="00CD1278">
        <w:rPr>
          <w:color w:val="auto"/>
        </w:rPr>
        <w:t xml:space="preserve"> been phased out.</w:t>
      </w:r>
      <w:r w:rsidR="00EE5FCF" w:rsidRPr="00CD1278">
        <w:rPr>
          <w:color w:val="auto"/>
        </w:rPr>
        <w:t xml:space="preserve"> </w:t>
      </w:r>
      <w:r w:rsidR="00806BF9" w:rsidRPr="00CD1278">
        <w:rPr>
          <w:color w:val="auto"/>
        </w:rPr>
        <w:t xml:space="preserve">In </w:t>
      </w:r>
      <w:r w:rsidR="00EE5FCF" w:rsidRPr="00CD1278">
        <w:rPr>
          <w:color w:val="auto"/>
        </w:rPr>
        <w:t>A5 Parties</w:t>
      </w:r>
      <w:r w:rsidR="00806BF9" w:rsidRPr="00CD1278">
        <w:rPr>
          <w:color w:val="auto"/>
        </w:rPr>
        <w:t>, 91.5% of previous controlled uses</w:t>
      </w:r>
      <w:r w:rsidR="00EE5FCF" w:rsidRPr="00CD1278">
        <w:rPr>
          <w:color w:val="auto"/>
        </w:rPr>
        <w:t xml:space="preserve"> </w:t>
      </w:r>
      <w:r w:rsidRPr="00CD1278">
        <w:rPr>
          <w:color w:val="auto"/>
        </w:rPr>
        <w:t>had</w:t>
      </w:r>
      <w:r w:rsidR="009765F6" w:rsidRPr="00CD1278">
        <w:rPr>
          <w:color w:val="auto"/>
        </w:rPr>
        <w:t xml:space="preserve"> </w:t>
      </w:r>
      <w:r w:rsidR="00EE5FCF" w:rsidRPr="00CD1278">
        <w:rPr>
          <w:color w:val="auto"/>
        </w:rPr>
        <w:t xml:space="preserve">been </w:t>
      </w:r>
      <w:r w:rsidR="00806BF9" w:rsidRPr="00CD1278">
        <w:rPr>
          <w:color w:val="auto"/>
        </w:rPr>
        <w:t>replaced</w:t>
      </w:r>
      <w:r w:rsidR="00EE5FCF" w:rsidRPr="00CD1278">
        <w:rPr>
          <w:color w:val="auto"/>
        </w:rPr>
        <w:t>, ahead</w:t>
      </w:r>
      <w:r w:rsidR="00BC1CDC" w:rsidRPr="00CD1278">
        <w:rPr>
          <w:color w:val="auto"/>
        </w:rPr>
        <w:t xml:space="preserve"> and in time for</w:t>
      </w:r>
      <w:r w:rsidR="00EE5FCF" w:rsidRPr="00CD1278">
        <w:rPr>
          <w:color w:val="auto"/>
        </w:rPr>
        <w:t xml:space="preserve"> the 2015 deadline. This </w:t>
      </w:r>
      <w:r w:rsidRPr="00CD1278">
        <w:rPr>
          <w:color w:val="auto"/>
        </w:rPr>
        <w:t>was</w:t>
      </w:r>
      <w:r w:rsidR="00EE5FCF" w:rsidRPr="00CD1278">
        <w:rPr>
          <w:color w:val="auto"/>
        </w:rPr>
        <w:t xml:space="preserve"> achieved largely as a result of investment projects implemented by the Montreal Protocol agencies with MLF funding, bilateral cooperation and also national funding. MBTOC notes that all A5 Parties submitting CUNs in this round </w:t>
      </w:r>
      <w:r w:rsidR="008B5778" w:rsidRPr="00CD1278">
        <w:rPr>
          <w:color w:val="auto"/>
        </w:rPr>
        <w:t xml:space="preserve">(except South Africa) </w:t>
      </w:r>
      <w:r w:rsidR="00EE5FCF" w:rsidRPr="00CD1278">
        <w:rPr>
          <w:color w:val="auto"/>
        </w:rPr>
        <w:t xml:space="preserve">have received substantial funding from the </w:t>
      </w:r>
      <w:r w:rsidR="000F2026" w:rsidRPr="00CD1278">
        <w:rPr>
          <w:color w:val="auto"/>
        </w:rPr>
        <w:t>Multilateral Fund (</w:t>
      </w:r>
      <w:r w:rsidR="00EE5FCF" w:rsidRPr="00CD1278">
        <w:rPr>
          <w:color w:val="auto"/>
        </w:rPr>
        <w:t>MLF</w:t>
      </w:r>
      <w:r w:rsidR="000F2026" w:rsidRPr="00CD1278">
        <w:rPr>
          <w:color w:val="auto"/>
        </w:rPr>
        <w:t>)</w:t>
      </w:r>
      <w:r w:rsidR="00EE5FCF" w:rsidRPr="00CD1278">
        <w:rPr>
          <w:color w:val="auto"/>
        </w:rPr>
        <w:t xml:space="preserve"> for complete phase-out of MB in their countries by 1</w:t>
      </w:r>
      <w:r w:rsidR="00EE5FCF" w:rsidRPr="00CD1278">
        <w:rPr>
          <w:color w:val="auto"/>
          <w:vertAlign w:val="superscript"/>
        </w:rPr>
        <w:t>st</w:t>
      </w:r>
      <w:r w:rsidR="00EE5FCF" w:rsidRPr="00CD1278">
        <w:rPr>
          <w:color w:val="auto"/>
        </w:rPr>
        <w:t xml:space="preserve"> January 2015 at the latest, </w:t>
      </w:r>
      <w:r w:rsidR="00BC1CDC" w:rsidRPr="00CD1278">
        <w:rPr>
          <w:color w:val="auto"/>
        </w:rPr>
        <w:t xml:space="preserve">in many cases </w:t>
      </w:r>
      <w:r w:rsidR="00EE5FCF" w:rsidRPr="00CD1278">
        <w:rPr>
          <w:color w:val="auto"/>
        </w:rPr>
        <w:t>earlier.</w:t>
      </w:r>
    </w:p>
    <w:p w14:paraId="466B68BC" w14:textId="1CC84224" w:rsidR="003C670B" w:rsidRPr="00CD1278" w:rsidRDefault="00215CE4" w:rsidP="005A552B">
      <w:pPr>
        <w:rPr>
          <w:color w:val="auto"/>
        </w:rPr>
      </w:pPr>
      <w:r w:rsidRPr="00CD1278">
        <w:rPr>
          <w:color w:val="auto"/>
        </w:rPr>
        <w:t xml:space="preserve">MBTOC </w:t>
      </w:r>
      <w:r w:rsidR="000F2026" w:rsidRPr="00CD1278">
        <w:rPr>
          <w:color w:val="auto"/>
        </w:rPr>
        <w:t>continues to be</w:t>
      </w:r>
      <w:r w:rsidR="00D70754" w:rsidRPr="00CD1278">
        <w:rPr>
          <w:color w:val="auto"/>
        </w:rPr>
        <w:t xml:space="preserve"> concerned that there may be </w:t>
      </w:r>
      <w:r w:rsidRPr="00CD1278">
        <w:rPr>
          <w:color w:val="auto"/>
        </w:rPr>
        <w:t xml:space="preserve">uses of MB for which there is no apparent reporting.  </w:t>
      </w:r>
    </w:p>
    <w:p w14:paraId="60E39370" w14:textId="499E22E3" w:rsidR="00B0225A" w:rsidRPr="00CD1278" w:rsidRDefault="00427443" w:rsidP="005A552B">
      <w:pPr>
        <w:rPr>
          <w:color w:val="auto"/>
        </w:rPr>
      </w:pPr>
      <w:r w:rsidRPr="00CD1278">
        <w:rPr>
          <w:color w:val="auto"/>
        </w:rPr>
        <w:t>As previously reported by MBTOC, t</w:t>
      </w:r>
      <w:r w:rsidR="00CD6C55" w:rsidRPr="00CD1278">
        <w:rPr>
          <w:color w:val="auto"/>
        </w:rPr>
        <w:t xml:space="preserve">here </w:t>
      </w:r>
      <w:r w:rsidR="003C670B" w:rsidRPr="00CD1278">
        <w:rPr>
          <w:color w:val="auto"/>
        </w:rPr>
        <w:t xml:space="preserve">appears to be a </w:t>
      </w:r>
      <w:r w:rsidR="00CA26FE" w:rsidRPr="00CD1278">
        <w:rPr>
          <w:color w:val="auto"/>
        </w:rPr>
        <w:t xml:space="preserve">discrepancy, possibly up to </w:t>
      </w:r>
      <w:r w:rsidR="003C670B" w:rsidRPr="00CD1278">
        <w:rPr>
          <w:color w:val="auto"/>
        </w:rPr>
        <w:t>15</w:t>
      </w:r>
      <w:r w:rsidR="00CA26FE" w:rsidRPr="00CD1278">
        <w:rPr>
          <w:color w:val="auto"/>
        </w:rPr>
        <w:t>,000 t in the emissions determined from the natural and reported uses for controlled uses and the global emissions of methyl bromide</w:t>
      </w:r>
      <w:r w:rsidR="00C003A9" w:rsidRPr="00CD1278">
        <w:rPr>
          <w:color w:val="auto"/>
        </w:rPr>
        <w:t xml:space="preserve"> (See TEAP Progress Report, 2017).</w:t>
      </w:r>
      <w:r w:rsidR="00C003A9" w:rsidRPr="00CD1278">
        <w:rPr>
          <w:b/>
          <w:color w:val="auto"/>
        </w:rPr>
        <w:t xml:space="preserve"> </w:t>
      </w:r>
      <w:r w:rsidR="00CA26FE" w:rsidRPr="00CD1278">
        <w:rPr>
          <w:color w:val="auto"/>
        </w:rPr>
        <w:t xml:space="preserve"> If uses are unreported the</w:t>
      </w:r>
      <w:r w:rsidR="00310FF5" w:rsidRPr="00CD1278">
        <w:rPr>
          <w:color w:val="auto"/>
        </w:rPr>
        <w:t>y</w:t>
      </w:r>
      <w:r w:rsidR="00CA26FE" w:rsidRPr="00CD1278">
        <w:rPr>
          <w:color w:val="auto"/>
        </w:rPr>
        <w:t xml:space="preserve"> could impact the number of critical uses nominated in the future.  </w:t>
      </w:r>
    </w:p>
    <w:p w14:paraId="39941C0D" w14:textId="669AEF84" w:rsidR="00215CE4" w:rsidRPr="00CD1278" w:rsidRDefault="00215CE4" w:rsidP="005A552B">
      <w:pPr>
        <w:rPr>
          <w:color w:val="auto"/>
        </w:rPr>
      </w:pPr>
      <w:r w:rsidRPr="00CD1278">
        <w:rPr>
          <w:color w:val="auto"/>
        </w:rPr>
        <w:t xml:space="preserve">MBTOC is </w:t>
      </w:r>
      <w:r w:rsidR="00C003A9" w:rsidRPr="00CD1278">
        <w:rPr>
          <w:color w:val="auto"/>
        </w:rPr>
        <w:t xml:space="preserve">also </w:t>
      </w:r>
      <w:r w:rsidRPr="00CD1278">
        <w:rPr>
          <w:color w:val="auto"/>
        </w:rPr>
        <w:t xml:space="preserve">concerned that not all parties are aware of the need to report all uses (whether controlled or not) under </w:t>
      </w:r>
      <w:r w:rsidR="00CD6C55" w:rsidRPr="00CD1278">
        <w:rPr>
          <w:color w:val="auto"/>
        </w:rPr>
        <w:t xml:space="preserve">Article </w:t>
      </w:r>
      <w:r w:rsidRPr="00CD1278">
        <w:rPr>
          <w:color w:val="auto"/>
        </w:rPr>
        <w:t xml:space="preserve">7 </w:t>
      </w:r>
      <w:r w:rsidR="00CD6C55" w:rsidRPr="00CD1278">
        <w:rPr>
          <w:color w:val="auto"/>
        </w:rPr>
        <w:t xml:space="preserve">of the Protocol </w:t>
      </w:r>
      <w:r w:rsidRPr="00CD1278">
        <w:rPr>
          <w:color w:val="auto"/>
        </w:rPr>
        <w:t>and urge</w:t>
      </w:r>
      <w:r w:rsidR="00CD6C55" w:rsidRPr="00CD1278">
        <w:rPr>
          <w:color w:val="auto"/>
        </w:rPr>
        <w:t>s</w:t>
      </w:r>
      <w:r w:rsidRPr="00CD1278">
        <w:rPr>
          <w:color w:val="auto"/>
        </w:rPr>
        <w:t xml:space="preserve"> the parties to reinforce the mechanisms for reporting and if necessary</w:t>
      </w:r>
      <w:r w:rsidR="00CD6C55" w:rsidRPr="00CD1278">
        <w:rPr>
          <w:color w:val="auto"/>
        </w:rPr>
        <w:t>,</w:t>
      </w:r>
      <w:r w:rsidRPr="00CD1278">
        <w:rPr>
          <w:color w:val="auto"/>
        </w:rPr>
        <w:t xml:space="preserve"> to provide assistance to parties finding </w:t>
      </w:r>
      <w:r w:rsidR="00CD6C55" w:rsidRPr="00CD1278">
        <w:rPr>
          <w:color w:val="auto"/>
        </w:rPr>
        <w:t xml:space="preserve">difficulties with their </w:t>
      </w:r>
      <w:r w:rsidRPr="00CD1278">
        <w:rPr>
          <w:color w:val="auto"/>
        </w:rPr>
        <w:t>reporting</w:t>
      </w:r>
      <w:r w:rsidR="00CD6C55" w:rsidRPr="00CD1278">
        <w:rPr>
          <w:color w:val="auto"/>
        </w:rPr>
        <w:t xml:space="preserve"> obligations</w:t>
      </w:r>
      <w:r w:rsidRPr="00CD1278">
        <w:rPr>
          <w:color w:val="auto"/>
        </w:rPr>
        <w:t>.</w:t>
      </w:r>
    </w:p>
    <w:p w14:paraId="797F60C3" w14:textId="43730442" w:rsidR="008B741B" w:rsidRPr="00CD1278" w:rsidRDefault="004272A1" w:rsidP="005A552B">
      <w:pPr>
        <w:rPr>
          <w:rStyle w:val="Heading311ptBoldChar"/>
          <w:b/>
          <w:i/>
          <w:color w:val="auto"/>
        </w:rPr>
      </w:pPr>
      <w:r w:rsidRPr="00CD1278">
        <w:rPr>
          <w:rStyle w:val="Heading311ptBoldChar"/>
          <w:b/>
          <w:i/>
          <w:color w:val="auto"/>
        </w:rPr>
        <w:t>1</w:t>
      </w:r>
      <w:r w:rsidR="008B741B" w:rsidRPr="00CD1278">
        <w:rPr>
          <w:rStyle w:val="Heading311ptBoldChar"/>
          <w:b/>
          <w:i/>
          <w:color w:val="auto"/>
        </w:rPr>
        <w:t>.2.6.1. Reporting requirements and agreed conditions under Decision Ex.1/4</w:t>
      </w:r>
    </w:p>
    <w:p w14:paraId="26B01440" w14:textId="26BE05A6" w:rsidR="008B741B" w:rsidRPr="00CD1278" w:rsidRDefault="008B741B" w:rsidP="005A552B">
      <w:pPr>
        <w:rPr>
          <w:color w:val="auto"/>
        </w:rPr>
      </w:pPr>
      <w:r w:rsidRPr="00CD1278">
        <w:rPr>
          <w:color w:val="auto"/>
        </w:rPr>
        <w:t>Decision Ex. I/4 taken at the 1</w:t>
      </w:r>
      <w:r w:rsidRPr="00CD1278">
        <w:rPr>
          <w:color w:val="auto"/>
          <w:vertAlign w:val="superscript"/>
        </w:rPr>
        <w:t>st</w:t>
      </w:r>
      <w:r w:rsidRPr="00CD1278">
        <w:rPr>
          <w:color w:val="auto"/>
        </w:rPr>
        <w:t xml:space="preserve"> Extraordinary Meeting of the Parties (2004) set forth a series of requirements from Parties requesting CUNs after the phase</w:t>
      </w:r>
      <w:r w:rsidR="00B74566" w:rsidRPr="00CD1278">
        <w:rPr>
          <w:color w:val="auto"/>
        </w:rPr>
        <w:t xml:space="preserve"> </w:t>
      </w:r>
      <w:r w:rsidRPr="00CD1278">
        <w:rPr>
          <w:color w:val="auto"/>
        </w:rPr>
        <w:t xml:space="preserve">out date, which non-A5 Parties have fulfilled over the past decade and now become relevant for A5 Parties. This Decision also includes some agreed conditions for requesting continuing CUNs. </w:t>
      </w:r>
    </w:p>
    <w:p w14:paraId="4C059505" w14:textId="77777777" w:rsidR="008B741B" w:rsidRPr="00CD1278" w:rsidRDefault="008B741B" w:rsidP="005A552B">
      <w:pPr>
        <w:rPr>
          <w:color w:val="auto"/>
        </w:rPr>
      </w:pPr>
      <w:r w:rsidRPr="00CD1278">
        <w:rPr>
          <w:color w:val="auto"/>
        </w:rPr>
        <w:t>Such requirements are fully considered by MBTOC during its CUN evaluations and also when preparing the ‘Handbook of CUN nominations’. The following list has been prepared to assist A5 Parties with the preparation of CUNs.</w:t>
      </w:r>
    </w:p>
    <w:p w14:paraId="0D32BC62" w14:textId="77777777" w:rsidR="008B741B" w:rsidRPr="00CD1278" w:rsidRDefault="008B741B" w:rsidP="005A552B">
      <w:pPr>
        <w:rPr>
          <w:color w:val="auto"/>
        </w:rPr>
      </w:pPr>
      <w:r w:rsidRPr="00CD1278">
        <w:rPr>
          <w:color w:val="auto"/>
        </w:rPr>
        <w:t>The full text of Dec. Ex.I/4 is included in the Appendix II of this report for reference. In synthesis, Parties for which a CUE has been approved need to submit the following materials to the Ozone Secretariat (dates in brackets have been inserted by MBTOC so they apply to the A5 timeline):</w:t>
      </w:r>
    </w:p>
    <w:p w14:paraId="6E71ADBA" w14:textId="77777777" w:rsidR="008B741B" w:rsidRPr="00CD1278" w:rsidRDefault="008B741B" w:rsidP="005A552B">
      <w:pPr>
        <w:widowControl w:val="0"/>
        <w:numPr>
          <w:ilvl w:val="0"/>
          <w:numId w:val="8"/>
        </w:numPr>
        <w:spacing w:after="120"/>
        <w:ind w:left="284"/>
        <w:rPr>
          <w:color w:val="auto"/>
          <w:sz w:val="20"/>
        </w:rPr>
      </w:pPr>
      <w:r w:rsidRPr="00CD1278">
        <w:rPr>
          <w:i/>
          <w:color w:val="auto"/>
          <w:sz w:val="20"/>
        </w:rPr>
        <w:t>Information before 1 February 2005 [2015] on the alternatives available, listed according to their pre-harvest or post-harvest uses and the possible date of registration, if required, for each alternative;</w:t>
      </w:r>
    </w:p>
    <w:p w14:paraId="1A22A645" w14:textId="35E64CDD" w:rsidR="008B741B" w:rsidRPr="00CD1278" w:rsidRDefault="008B741B" w:rsidP="005A552B">
      <w:pPr>
        <w:widowControl w:val="0"/>
        <w:numPr>
          <w:ilvl w:val="0"/>
          <w:numId w:val="8"/>
        </w:numPr>
        <w:spacing w:after="120"/>
        <w:ind w:left="284"/>
        <w:rPr>
          <w:i/>
          <w:color w:val="auto"/>
          <w:sz w:val="20"/>
        </w:rPr>
      </w:pPr>
      <w:r w:rsidRPr="00CD1278">
        <w:rPr>
          <w:color w:val="auto"/>
          <w:sz w:val="20"/>
        </w:rPr>
        <w:t>A</w:t>
      </w:r>
      <w:r w:rsidRPr="00CD1278">
        <w:rPr>
          <w:b/>
          <w:i/>
          <w:color w:val="auto"/>
          <w:sz w:val="20"/>
        </w:rPr>
        <w:t xml:space="preserve"> national management strategy</w:t>
      </w:r>
      <w:r w:rsidRPr="00CD1278">
        <w:rPr>
          <w:i/>
          <w:color w:val="auto"/>
          <w:sz w:val="20"/>
        </w:rPr>
        <w:t xml:space="preserve"> for phase-out of critical uses of methyl bromide before 1 February </w:t>
      </w:r>
      <w:r w:rsidR="00310FF5" w:rsidRPr="00CD1278">
        <w:rPr>
          <w:i/>
          <w:color w:val="auto"/>
          <w:sz w:val="20"/>
        </w:rPr>
        <w:t>2006 [</w:t>
      </w:r>
      <w:r w:rsidRPr="00CD1278">
        <w:rPr>
          <w:i/>
          <w:color w:val="auto"/>
          <w:sz w:val="20"/>
        </w:rPr>
        <w:t>2016]. The management strategy should aim, among other things:</w:t>
      </w:r>
    </w:p>
    <w:p w14:paraId="3E51558C" w14:textId="77777777" w:rsidR="008B741B" w:rsidRPr="00CD1278" w:rsidRDefault="008B741B" w:rsidP="005A552B">
      <w:pPr>
        <w:widowControl w:val="0"/>
        <w:numPr>
          <w:ilvl w:val="1"/>
          <w:numId w:val="9"/>
        </w:numPr>
        <w:spacing w:after="120"/>
        <w:rPr>
          <w:i/>
          <w:color w:val="auto"/>
          <w:sz w:val="20"/>
        </w:rPr>
      </w:pPr>
      <w:r w:rsidRPr="00CD1278">
        <w:rPr>
          <w:i/>
          <w:color w:val="auto"/>
          <w:sz w:val="20"/>
        </w:rPr>
        <w:t>To avoid any increase in methyl bromide consumption except for unforeseen circumstances;</w:t>
      </w:r>
    </w:p>
    <w:p w14:paraId="514BA357" w14:textId="77777777" w:rsidR="008B741B" w:rsidRPr="00CD1278" w:rsidRDefault="008B741B" w:rsidP="005A552B">
      <w:pPr>
        <w:widowControl w:val="0"/>
        <w:numPr>
          <w:ilvl w:val="1"/>
          <w:numId w:val="9"/>
        </w:numPr>
        <w:spacing w:after="120"/>
        <w:rPr>
          <w:i/>
          <w:color w:val="auto"/>
          <w:sz w:val="20"/>
        </w:rPr>
      </w:pPr>
      <w:r w:rsidRPr="00CD1278">
        <w:rPr>
          <w:i/>
          <w:color w:val="auto"/>
          <w:sz w:val="20"/>
        </w:rPr>
        <w:t>To encourage the use of alternatives through the use of expedited procedures, where possible, to develop, register and deploy technically and economically feasible alternatives;</w:t>
      </w:r>
    </w:p>
    <w:p w14:paraId="5DC62562" w14:textId="77777777" w:rsidR="008B741B" w:rsidRPr="00CD1278" w:rsidRDefault="008B741B" w:rsidP="005A552B">
      <w:pPr>
        <w:widowControl w:val="0"/>
        <w:numPr>
          <w:ilvl w:val="1"/>
          <w:numId w:val="9"/>
        </w:numPr>
        <w:spacing w:after="120"/>
        <w:rPr>
          <w:i/>
          <w:color w:val="auto"/>
          <w:sz w:val="20"/>
        </w:rPr>
      </w:pPr>
      <w:r w:rsidRPr="00CD1278">
        <w:rPr>
          <w:i/>
          <w:color w:val="auto"/>
          <w:sz w:val="20"/>
        </w:rPr>
        <w:t>To provide information, for each current pre-harvest and post-harvest use for which a 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14:paraId="15950635" w14:textId="77777777" w:rsidR="008B741B" w:rsidRPr="00CD1278" w:rsidRDefault="008B741B" w:rsidP="005A552B">
      <w:pPr>
        <w:widowControl w:val="0"/>
        <w:numPr>
          <w:ilvl w:val="1"/>
          <w:numId w:val="9"/>
        </w:numPr>
        <w:spacing w:after="120"/>
        <w:rPr>
          <w:i/>
          <w:color w:val="auto"/>
          <w:sz w:val="20"/>
        </w:rPr>
      </w:pPr>
      <w:r w:rsidRPr="00CD1278">
        <w:rPr>
          <w:i/>
          <w:color w:val="auto"/>
          <w:sz w:val="20"/>
        </w:rPr>
        <w:t>To promote the implementation of measures which ensure that any emissions of methyl bromide are minimized;</w:t>
      </w:r>
    </w:p>
    <w:p w14:paraId="111BDE6C" w14:textId="77777777" w:rsidR="008B741B" w:rsidRPr="00CD1278" w:rsidRDefault="008B741B" w:rsidP="005A552B">
      <w:pPr>
        <w:widowControl w:val="0"/>
        <w:numPr>
          <w:ilvl w:val="1"/>
          <w:numId w:val="9"/>
        </w:numPr>
        <w:spacing w:after="120"/>
        <w:rPr>
          <w:i/>
          <w:color w:val="auto"/>
          <w:sz w:val="20"/>
        </w:rPr>
      </w:pPr>
      <w:r w:rsidRPr="00CD1278">
        <w:rPr>
          <w:i/>
          <w:color w:val="auto"/>
          <w:sz w:val="20"/>
        </w:rPr>
        <w:t>To show how the management strategy will be implemented to promote the phase</w:t>
      </w:r>
      <w:r w:rsidRPr="00CD1278">
        <w:rPr>
          <w:i/>
          <w:color w:val="auto"/>
          <w:sz w:val="20"/>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14:paraId="547894D7" w14:textId="77777777" w:rsidR="00215CE4" w:rsidRPr="00CD1278" w:rsidRDefault="00215CE4" w:rsidP="00F97A8E">
      <w:pPr>
        <w:pStyle w:val="Heading2"/>
        <w:spacing w:after="0"/>
        <w:ind w:left="58"/>
        <w:rPr>
          <w:lang w:val="en-GB"/>
        </w:rPr>
      </w:pPr>
      <w:bookmarkStart w:id="50" w:name="_Toc293054739"/>
      <w:bookmarkStart w:id="51" w:name="_Toc453277812"/>
    </w:p>
    <w:p w14:paraId="62AE97A4" w14:textId="4022BD1F" w:rsidR="008D5F24" w:rsidRPr="00CD1278" w:rsidRDefault="00655D62" w:rsidP="005A552B">
      <w:pPr>
        <w:pStyle w:val="Heading2"/>
        <w:rPr>
          <w:lang w:val="en-GB"/>
        </w:rPr>
      </w:pPr>
      <w:r w:rsidRPr="00CD1278">
        <w:rPr>
          <w:lang w:val="en-GB"/>
        </w:rPr>
        <w:t>1</w:t>
      </w:r>
      <w:r w:rsidR="008D5F24" w:rsidRPr="00CD1278">
        <w:rPr>
          <w:lang w:val="en-GB"/>
        </w:rPr>
        <w:t>.2.7</w:t>
      </w:r>
      <w:r w:rsidR="008D5F24" w:rsidRPr="00CD1278">
        <w:rPr>
          <w:lang w:val="en-GB"/>
        </w:rPr>
        <w:tab/>
        <w:t>Consideration of Stocks, Decision Ex.1/4 (9f)</w:t>
      </w:r>
      <w:bookmarkEnd w:id="49"/>
      <w:bookmarkEnd w:id="50"/>
      <w:bookmarkEnd w:id="51"/>
    </w:p>
    <w:p w14:paraId="34CF1F06" w14:textId="77777777" w:rsidR="00B0225A" w:rsidRPr="00CD1278" w:rsidRDefault="008D5F24" w:rsidP="005A552B">
      <w:pPr>
        <w:rPr>
          <w:color w:val="auto"/>
        </w:rPr>
      </w:pPr>
      <w:r w:rsidRPr="00CD1278">
        <w:rPr>
          <w:color w:val="auto"/>
        </w:rPr>
        <w:t>One criterion for granting a critical use is that MB “</w:t>
      </w:r>
      <w:r w:rsidRPr="00CD1278">
        <w:rPr>
          <w:rFonts w:ascii="TimesNewRomanPSMT" w:hAnsi="TimesNewRomanPSMT"/>
          <w:i/>
          <w:color w:val="auto"/>
        </w:rPr>
        <w:t>is not available in sufficient quantity and quality from existing stocks of banked or recycled methyl bromide</w:t>
      </w:r>
      <w:r w:rsidRPr="00CD1278">
        <w:rPr>
          <w:rFonts w:ascii="TimesNewRomanPSMT" w:hAnsi="TimesNewRomanPSMT"/>
          <w:color w:val="auto"/>
        </w:rPr>
        <w:t xml:space="preserve">” </w:t>
      </w:r>
      <w:r w:rsidRPr="00CD1278">
        <w:rPr>
          <w:color w:val="auto"/>
        </w:rPr>
        <w:t>(paragraph 1 (b) (ii) of Decision IX/6).  Parties nominating critical use exemptions are requested under decision Ex</w:t>
      </w:r>
      <w:r w:rsidR="009F72B8" w:rsidRPr="00CD1278">
        <w:rPr>
          <w:color w:val="auto"/>
        </w:rPr>
        <w:t xml:space="preserve"> </w:t>
      </w:r>
      <w:r w:rsidRPr="00CD1278">
        <w:rPr>
          <w:color w:val="auto"/>
        </w:rPr>
        <w:t xml:space="preserve">I/4(9f) to submit an accounting framework with the information on stocks.  </w:t>
      </w:r>
    </w:p>
    <w:p w14:paraId="2B89E778" w14:textId="77777777" w:rsidR="00B0225A" w:rsidRPr="00CD1278" w:rsidRDefault="00B0225A" w:rsidP="005A552B">
      <w:pPr>
        <w:pBdr>
          <w:top w:val="single" w:sz="4" w:space="1" w:color="auto"/>
          <w:left w:val="single" w:sz="4" w:space="4" w:color="auto"/>
          <w:bottom w:val="single" w:sz="4" w:space="1" w:color="auto"/>
          <w:right w:val="single" w:sz="4" w:space="4" w:color="auto"/>
        </w:pBdr>
        <w:shd w:val="clear" w:color="auto" w:fill="D9D9D9" w:themeFill="background1" w:themeFillShade="D9"/>
        <w:rPr>
          <w:color w:val="auto"/>
        </w:rPr>
      </w:pPr>
      <w:r w:rsidRPr="00CD1278">
        <w:rPr>
          <w:color w:val="auto"/>
        </w:rPr>
        <w:t xml:space="preserve">MBTOC has not reduced its recommended amount of methyl bromide in consideration of stocks held by the Party and has instead relied on Parties to take this into consideration when approving the amounts recommended by TEAP for each nomination.   </w:t>
      </w:r>
    </w:p>
    <w:p w14:paraId="2ECEF1FB" w14:textId="2C3B2C88" w:rsidR="009D53A5" w:rsidRPr="00CD1278" w:rsidRDefault="008D5F24" w:rsidP="005A552B">
      <w:pPr>
        <w:rPr>
          <w:color w:val="auto"/>
        </w:rPr>
      </w:pPr>
      <w:r w:rsidRPr="00CD1278">
        <w:rPr>
          <w:color w:val="auto"/>
        </w:rPr>
        <w:t xml:space="preserve">To assist the Parties with their consideration of stocks, and in accordance with Decision XVIII/13(7), a summary of the data on stocks as reported by </w:t>
      </w:r>
      <w:r w:rsidR="008A048B" w:rsidRPr="00CD1278">
        <w:rPr>
          <w:color w:val="auto"/>
        </w:rPr>
        <w:t>non-A5</w:t>
      </w:r>
      <w:r w:rsidR="0053337D" w:rsidRPr="00CD1278">
        <w:rPr>
          <w:color w:val="auto"/>
        </w:rPr>
        <w:t xml:space="preserve"> </w:t>
      </w:r>
      <w:r w:rsidRPr="00CD1278">
        <w:rPr>
          <w:color w:val="auto"/>
        </w:rPr>
        <w:t xml:space="preserve">Parties in the first year for accounting in 2006, and then reports submitted in </w:t>
      </w:r>
      <w:r w:rsidR="00474259" w:rsidRPr="00CD1278">
        <w:rPr>
          <w:color w:val="auto"/>
        </w:rPr>
        <w:t xml:space="preserve">2016 </w:t>
      </w:r>
      <w:r w:rsidRPr="00CD1278">
        <w:rPr>
          <w:color w:val="auto"/>
        </w:rPr>
        <w:t xml:space="preserve">and </w:t>
      </w:r>
      <w:r w:rsidR="00474259" w:rsidRPr="00CD1278">
        <w:rPr>
          <w:color w:val="auto"/>
        </w:rPr>
        <w:t xml:space="preserve">2017 </w:t>
      </w:r>
      <w:r w:rsidRPr="00CD1278">
        <w:rPr>
          <w:color w:val="auto"/>
        </w:rPr>
        <w:t xml:space="preserve">are summarized in Tables </w:t>
      </w:r>
      <w:r w:rsidR="00655D62" w:rsidRPr="00CD1278">
        <w:rPr>
          <w:color w:val="auto"/>
        </w:rPr>
        <w:t>1</w:t>
      </w:r>
      <w:r w:rsidR="00F01FB5" w:rsidRPr="00CD1278">
        <w:rPr>
          <w:color w:val="auto"/>
        </w:rPr>
        <w:t>.</w:t>
      </w:r>
      <w:r w:rsidRPr="00CD1278">
        <w:rPr>
          <w:color w:val="auto"/>
        </w:rPr>
        <w:t xml:space="preserve">1 to </w:t>
      </w:r>
      <w:r w:rsidR="00655D62" w:rsidRPr="00CD1278">
        <w:rPr>
          <w:color w:val="auto"/>
        </w:rPr>
        <w:t>1</w:t>
      </w:r>
      <w:r w:rsidR="00F01FB5" w:rsidRPr="00CD1278">
        <w:rPr>
          <w:color w:val="auto"/>
        </w:rPr>
        <w:t>.</w:t>
      </w:r>
      <w:r w:rsidRPr="00CD1278">
        <w:rPr>
          <w:color w:val="auto"/>
        </w:rPr>
        <w:t xml:space="preserve">3 below. </w:t>
      </w:r>
    </w:p>
    <w:p w14:paraId="65908F6B" w14:textId="6E8E64DB" w:rsidR="008D5F24" w:rsidRPr="00CD1278" w:rsidRDefault="008D5F24" w:rsidP="005A552B">
      <w:pPr>
        <w:rPr>
          <w:color w:val="auto"/>
        </w:rPr>
      </w:pPr>
      <w:r w:rsidRPr="00CD1278">
        <w:rPr>
          <w:color w:val="auto"/>
        </w:rPr>
        <w:t>Efficient functioning of commerce requires a certain level of available stocks and additional stocks to respond to emergencies.  Additionally, stocks may be held on behalf of other Parties or for exempt</w:t>
      </w:r>
      <w:r w:rsidR="003C33A3" w:rsidRPr="00CD1278">
        <w:rPr>
          <w:color w:val="auto"/>
        </w:rPr>
        <w:t>ed</w:t>
      </w:r>
      <w:r w:rsidRPr="00CD1278">
        <w:rPr>
          <w:color w:val="auto"/>
        </w:rPr>
        <w:t xml:space="preserve"> uses (feedstock and QPS uses).  The correct or optimal level of stocks for virtually every input to production is not zero.  In addition, stocks are privately owned and may not be readily available for critical uses, or there may be national regulations preventing the transfer of stocks.  Despite these restrictions, Parties may wish to ensure that stocks are used wherever possible in order to minimize the quantity of MB that need to be produced each year for critical uses. Tables </w:t>
      </w:r>
      <w:r w:rsidR="00655D62" w:rsidRPr="00CD1278">
        <w:rPr>
          <w:color w:val="auto"/>
        </w:rPr>
        <w:t>1</w:t>
      </w:r>
      <w:r w:rsidRPr="00CD1278">
        <w:rPr>
          <w:color w:val="auto"/>
        </w:rPr>
        <w:t xml:space="preserve">-1 to </w:t>
      </w:r>
      <w:r w:rsidR="00655D62" w:rsidRPr="00CD1278">
        <w:rPr>
          <w:color w:val="auto"/>
        </w:rPr>
        <w:t>1</w:t>
      </w:r>
      <w:r w:rsidR="00086B93" w:rsidRPr="00CD1278">
        <w:rPr>
          <w:color w:val="auto"/>
        </w:rPr>
        <w:t>-</w:t>
      </w:r>
      <w:r w:rsidRPr="00CD1278">
        <w:rPr>
          <w:color w:val="auto"/>
        </w:rPr>
        <w:t>3 report the q</w:t>
      </w:r>
      <w:r w:rsidRPr="00CD1278">
        <w:rPr>
          <w:color w:val="auto"/>
          <w:szCs w:val="22"/>
        </w:rPr>
        <w:t xml:space="preserve">uantities of MB ‘on hand’ at the beginning and end respectively of 2005, </w:t>
      </w:r>
      <w:r w:rsidR="00CD0F4B" w:rsidRPr="00CD1278">
        <w:rPr>
          <w:color w:val="auto"/>
          <w:szCs w:val="22"/>
        </w:rPr>
        <w:t xml:space="preserve">2016 </w:t>
      </w:r>
      <w:r w:rsidRPr="00CD1278">
        <w:rPr>
          <w:color w:val="auto"/>
          <w:szCs w:val="22"/>
        </w:rPr>
        <w:t xml:space="preserve">and </w:t>
      </w:r>
      <w:r w:rsidR="00CD0F4B" w:rsidRPr="00CD1278">
        <w:rPr>
          <w:color w:val="auto"/>
          <w:szCs w:val="22"/>
        </w:rPr>
        <w:t xml:space="preserve">2017 </w:t>
      </w:r>
      <w:r w:rsidR="00215CE4" w:rsidRPr="00CD1278">
        <w:rPr>
          <w:color w:val="auto"/>
          <w:szCs w:val="22"/>
        </w:rPr>
        <w:t>as required under Decision Ex. 1/4 (9f).</w:t>
      </w:r>
      <w:r w:rsidRPr="00CD1278">
        <w:rPr>
          <w:color w:val="auto"/>
          <w:szCs w:val="22"/>
        </w:rPr>
        <w:t xml:space="preserve"> The earlier CUN </w:t>
      </w:r>
      <w:r w:rsidR="000510D9" w:rsidRPr="00CD1278">
        <w:rPr>
          <w:color w:val="auto"/>
          <w:szCs w:val="22"/>
        </w:rPr>
        <w:t>reports identified</w:t>
      </w:r>
      <w:r w:rsidRPr="00CD1278">
        <w:rPr>
          <w:color w:val="auto"/>
          <w:szCs w:val="22"/>
        </w:rPr>
        <w:t xml:space="preserve"> stocks for the other years.</w:t>
      </w:r>
    </w:p>
    <w:p w14:paraId="75DAF4CD" w14:textId="67C011AE" w:rsidR="008D5F24" w:rsidRPr="00CD1278" w:rsidRDefault="008D5F24" w:rsidP="00F97A8E">
      <w:pPr>
        <w:spacing w:after="120"/>
        <w:rPr>
          <w:b/>
          <w:bCs/>
          <w:i/>
          <w:color w:val="auto"/>
        </w:rPr>
      </w:pPr>
      <w:r w:rsidRPr="00CD1278">
        <w:rPr>
          <w:b/>
          <w:bCs/>
          <w:i/>
          <w:color w:val="auto"/>
        </w:rPr>
        <w:t xml:space="preserve">Table </w:t>
      </w:r>
      <w:r w:rsidR="00655D62" w:rsidRPr="00CD1278">
        <w:rPr>
          <w:b/>
          <w:bCs/>
          <w:i/>
          <w:color w:val="auto"/>
        </w:rPr>
        <w:t>1</w:t>
      </w:r>
      <w:r w:rsidR="00F01FB5" w:rsidRPr="00CD1278">
        <w:rPr>
          <w:b/>
          <w:bCs/>
          <w:i/>
          <w:color w:val="auto"/>
        </w:rPr>
        <w:t>.</w:t>
      </w:r>
      <w:r w:rsidRPr="00CD1278">
        <w:rPr>
          <w:b/>
          <w:bCs/>
          <w:i/>
          <w:color w:val="auto"/>
        </w:rPr>
        <w:t>1</w:t>
      </w:r>
      <w:r w:rsidR="00A639C6" w:rsidRPr="00CD1278">
        <w:rPr>
          <w:b/>
          <w:bCs/>
          <w:i/>
          <w:color w:val="auto"/>
        </w:rPr>
        <w:t>.</w:t>
      </w:r>
      <w:r w:rsidRPr="00CD1278">
        <w:rPr>
          <w:b/>
          <w:bCs/>
          <w:i/>
          <w:color w:val="auto"/>
        </w:rPr>
        <w:t xml:space="preserve">  Quantities of MB (metric tonnes) ‘on hand’ at the beginning and end of 2005, as first reported by Parties in 2006/2007 under Decision </w:t>
      </w:r>
      <w:r w:rsidR="00491EF0" w:rsidRPr="00CD1278">
        <w:rPr>
          <w:b/>
          <w:bCs/>
          <w:i/>
          <w:color w:val="auto"/>
        </w:rPr>
        <w:t>Ex 1/4</w:t>
      </w:r>
      <w:r w:rsidRPr="00CD1278">
        <w:rPr>
          <w:b/>
          <w:bCs/>
          <w:i/>
          <w:color w:val="auto"/>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1303"/>
        <w:gridCol w:w="1320"/>
        <w:gridCol w:w="1321"/>
        <w:gridCol w:w="1321"/>
        <w:gridCol w:w="1321"/>
        <w:gridCol w:w="1240"/>
      </w:tblGrid>
      <w:tr w:rsidR="003C102E" w:rsidRPr="00CD1278" w14:paraId="74F2A6C3" w14:textId="77777777" w:rsidTr="00EE3ECC">
        <w:trPr>
          <w:cantSplit/>
        </w:trPr>
        <w:tc>
          <w:tcPr>
            <w:tcW w:w="1388" w:type="dxa"/>
            <w:vMerge w:val="restart"/>
            <w:vAlign w:val="center"/>
          </w:tcPr>
          <w:p w14:paraId="335D5F79" w14:textId="77777777" w:rsidR="008D5F24" w:rsidRPr="00CD1278" w:rsidRDefault="008D5F24" w:rsidP="00A00632">
            <w:pPr>
              <w:spacing w:before="100" w:beforeAutospacing="1" w:after="100"/>
              <w:rPr>
                <w:b/>
                <w:color w:val="auto"/>
                <w:sz w:val="20"/>
              </w:rPr>
            </w:pPr>
            <w:r w:rsidRPr="00CD1278">
              <w:rPr>
                <w:b/>
                <w:color w:val="auto"/>
                <w:sz w:val="20"/>
              </w:rPr>
              <w:t>Party</w:t>
            </w:r>
          </w:p>
        </w:tc>
        <w:tc>
          <w:tcPr>
            <w:tcW w:w="1303" w:type="dxa"/>
            <w:vMerge w:val="restart"/>
            <w:vAlign w:val="center"/>
          </w:tcPr>
          <w:p w14:paraId="20247C40" w14:textId="4E731E3F" w:rsidR="008D5F24" w:rsidRPr="00CD1278" w:rsidRDefault="008D5F24" w:rsidP="006D0E9A">
            <w:pPr>
              <w:spacing w:after="0"/>
              <w:jc w:val="center"/>
              <w:rPr>
                <w:b/>
                <w:color w:val="auto"/>
                <w:sz w:val="20"/>
              </w:rPr>
            </w:pPr>
            <w:r w:rsidRPr="00CD1278">
              <w:rPr>
                <w:b/>
                <w:color w:val="auto"/>
                <w:sz w:val="20"/>
              </w:rPr>
              <w:t>C</w:t>
            </w:r>
            <w:r w:rsidR="00CD6C55" w:rsidRPr="00CD1278">
              <w:rPr>
                <w:b/>
                <w:color w:val="auto"/>
                <w:sz w:val="20"/>
              </w:rPr>
              <w:t>UEs</w:t>
            </w:r>
            <w:r w:rsidRPr="00CD1278">
              <w:rPr>
                <w:b/>
                <w:color w:val="auto"/>
                <w:sz w:val="20"/>
              </w:rPr>
              <w:t xml:space="preserve"> authorized by MOP for 2005</w:t>
            </w:r>
          </w:p>
        </w:tc>
        <w:tc>
          <w:tcPr>
            <w:tcW w:w="6523" w:type="dxa"/>
            <w:gridSpan w:val="5"/>
            <w:vAlign w:val="center"/>
          </w:tcPr>
          <w:p w14:paraId="32BF6E2E" w14:textId="77777777" w:rsidR="008D5F24" w:rsidRPr="00CD1278" w:rsidRDefault="008D5F24" w:rsidP="006D0E9A">
            <w:pPr>
              <w:spacing w:before="40" w:after="40"/>
              <w:jc w:val="center"/>
              <w:rPr>
                <w:b/>
                <w:color w:val="auto"/>
                <w:sz w:val="20"/>
              </w:rPr>
            </w:pPr>
            <w:r w:rsidRPr="00CD1278">
              <w:rPr>
                <w:b/>
                <w:color w:val="auto"/>
                <w:sz w:val="20"/>
              </w:rPr>
              <w:t>Quantity of MB as reported by Parties (metric tonnes)</w:t>
            </w:r>
          </w:p>
        </w:tc>
      </w:tr>
      <w:tr w:rsidR="003C102E" w:rsidRPr="00CD1278" w14:paraId="0E6E9E9D" w14:textId="77777777" w:rsidTr="00EE3ECC">
        <w:trPr>
          <w:cantSplit/>
          <w:trHeight w:val="1131"/>
        </w:trPr>
        <w:tc>
          <w:tcPr>
            <w:tcW w:w="1388" w:type="dxa"/>
            <w:vMerge/>
          </w:tcPr>
          <w:p w14:paraId="1BF46EB1" w14:textId="77777777" w:rsidR="008D5F24" w:rsidRPr="00CD1278" w:rsidRDefault="008D5F24" w:rsidP="00765CCC">
            <w:pPr>
              <w:spacing w:before="100" w:beforeAutospacing="1" w:after="100"/>
              <w:rPr>
                <w:color w:val="auto"/>
                <w:sz w:val="20"/>
              </w:rPr>
            </w:pPr>
          </w:p>
        </w:tc>
        <w:tc>
          <w:tcPr>
            <w:tcW w:w="1303" w:type="dxa"/>
            <w:vMerge/>
            <w:vAlign w:val="center"/>
          </w:tcPr>
          <w:p w14:paraId="0B474CDA" w14:textId="77777777" w:rsidR="008D5F24" w:rsidRPr="00CD1278" w:rsidRDefault="008D5F24" w:rsidP="00A00632">
            <w:pPr>
              <w:spacing w:before="100" w:beforeAutospacing="1" w:after="100"/>
              <w:jc w:val="center"/>
              <w:rPr>
                <w:b/>
                <w:color w:val="auto"/>
                <w:sz w:val="20"/>
              </w:rPr>
            </w:pPr>
          </w:p>
        </w:tc>
        <w:tc>
          <w:tcPr>
            <w:tcW w:w="1320" w:type="dxa"/>
            <w:vAlign w:val="center"/>
          </w:tcPr>
          <w:p w14:paraId="495C04C9" w14:textId="77777777" w:rsidR="008D5F24" w:rsidRPr="00CD1278" w:rsidRDefault="008D5F24" w:rsidP="006D0E9A">
            <w:pPr>
              <w:spacing w:after="0"/>
              <w:jc w:val="center"/>
              <w:rPr>
                <w:b/>
                <w:color w:val="auto"/>
                <w:sz w:val="20"/>
              </w:rPr>
            </w:pPr>
            <w:r w:rsidRPr="00CD1278">
              <w:rPr>
                <w:b/>
                <w:color w:val="auto"/>
                <w:sz w:val="20"/>
              </w:rPr>
              <w:t>Amount on hand at start of 2005</w:t>
            </w:r>
          </w:p>
        </w:tc>
        <w:tc>
          <w:tcPr>
            <w:tcW w:w="1321" w:type="dxa"/>
            <w:vAlign w:val="center"/>
          </w:tcPr>
          <w:p w14:paraId="6A3078B2" w14:textId="315C2F27" w:rsidR="008D5F24" w:rsidRPr="00CD1278" w:rsidRDefault="008D5F24" w:rsidP="006D0E9A">
            <w:pPr>
              <w:spacing w:after="0"/>
              <w:jc w:val="center"/>
              <w:rPr>
                <w:b/>
                <w:color w:val="auto"/>
                <w:sz w:val="20"/>
              </w:rPr>
            </w:pPr>
            <w:r w:rsidRPr="00CD1278">
              <w:rPr>
                <w:b/>
                <w:color w:val="auto"/>
                <w:sz w:val="20"/>
              </w:rPr>
              <w:t>Quantity acquired for CUEs in 2005 (prod</w:t>
            </w:r>
            <w:r w:rsidR="00CD6C55" w:rsidRPr="00CD1278">
              <w:rPr>
                <w:b/>
                <w:color w:val="auto"/>
                <w:sz w:val="20"/>
              </w:rPr>
              <w:t>.</w:t>
            </w:r>
            <w:r w:rsidRPr="00CD1278">
              <w:rPr>
                <w:b/>
                <w:color w:val="auto"/>
                <w:sz w:val="20"/>
              </w:rPr>
              <w:t xml:space="preserve"> +imports)</w:t>
            </w:r>
          </w:p>
        </w:tc>
        <w:tc>
          <w:tcPr>
            <w:tcW w:w="1321" w:type="dxa"/>
            <w:vAlign w:val="center"/>
          </w:tcPr>
          <w:p w14:paraId="60933129" w14:textId="77777777" w:rsidR="008D5F24" w:rsidRPr="00CD1278" w:rsidRDefault="008D5F24" w:rsidP="006D0E9A">
            <w:pPr>
              <w:spacing w:after="0"/>
              <w:jc w:val="center"/>
              <w:rPr>
                <w:b/>
                <w:color w:val="auto"/>
                <w:sz w:val="20"/>
              </w:rPr>
            </w:pPr>
            <w:r w:rsidRPr="00CD1278">
              <w:rPr>
                <w:b/>
                <w:color w:val="auto"/>
                <w:sz w:val="20"/>
              </w:rPr>
              <w:t>Amount available for use in 2005</w:t>
            </w:r>
          </w:p>
        </w:tc>
        <w:tc>
          <w:tcPr>
            <w:tcW w:w="1321" w:type="dxa"/>
            <w:vAlign w:val="center"/>
          </w:tcPr>
          <w:p w14:paraId="09D1CC56" w14:textId="77777777" w:rsidR="008D5F24" w:rsidRPr="00CD1278" w:rsidRDefault="008D5F24" w:rsidP="006D0E9A">
            <w:pPr>
              <w:spacing w:after="0"/>
              <w:jc w:val="center"/>
              <w:rPr>
                <w:b/>
                <w:color w:val="auto"/>
                <w:sz w:val="20"/>
              </w:rPr>
            </w:pPr>
            <w:r w:rsidRPr="00CD1278">
              <w:rPr>
                <w:b/>
                <w:color w:val="auto"/>
                <w:sz w:val="20"/>
              </w:rPr>
              <w:t>Quantity used for CUEs in 2005</w:t>
            </w:r>
          </w:p>
        </w:tc>
        <w:tc>
          <w:tcPr>
            <w:tcW w:w="1240" w:type="dxa"/>
            <w:vAlign w:val="center"/>
          </w:tcPr>
          <w:p w14:paraId="5098BBEF" w14:textId="5A93472F" w:rsidR="008D5F24" w:rsidRPr="00CD1278" w:rsidRDefault="008D5F24" w:rsidP="006D0E9A">
            <w:pPr>
              <w:spacing w:after="0"/>
              <w:jc w:val="center"/>
              <w:rPr>
                <w:b/>
                <w:color w:val="auto"/>
                <w:sz w:val="20"/>
              </w:rPr>
            </w:pPr>
            <w:r w:rsidRPr="00CD1278">
              <w:rPr>
                <w:b/>
                <w:color w:val="auto"/>
                <w:sz w:val="20"/>
              </w:rPr>
              <w:t xml:space="preserve">Amount on hand at </w:t>
            </w:r>
            <w:r w:rsidR="00EE3ECC" w:rsidRPr="00CD1278">
              <w:rPr>
                <w:b/>
                <w:color w:val="auto"/>
                <w:sz w:val="20"/>
              </w:rPr>
              <w:t>the</w:t>
            </w:r>
            <w:r w:rsidRPr="00CD1278">
              <w:rPr>
                <w:b/>
                <w:color w:val="auto"/>
                <w:sz w:val="20"/>
              </w:rPr>
              <w:t xml:space="preserve"> end of 2005</w:t>
            </w:r>
          </w:p>
        </w:tc>
      </w:tr>
      <w:tr w:rsidR="003C102E" w:rsidRPr="00CD1278" w14:paraId="209A6746" w14:textId="77777777" w:rsidTr="00EE3ECC">
        <w:tc>
          <w:tcPr>
            <w:tcW w:w="1388" w:type="dxa"/>
            <w:vAlign w:val="center"/>
          </w:tcPr>
          <w:p w14:paraId="44C797E5" w14:textId="77777777" w:rsidR="008D5F24" w:rsidRPr="00CD1278" w:rsidRDefault="008D5F24" w:rsidP="006D0E9A">
            <w:pPr>
              <w:spacing w:before="60" w:after="60"/>
              <w:rPr>
                <w:color w:val="auto"/>
                <w:sz w:val="20"/>
              </w:rPr>
            </w:pPr>
            <w:r w:rsidRPr="00CD1278">
              <w:rPr>
                <w:color w:val="auto"/>
                <w:sz w:val="20"/>
              </w:rPr>
              <w:t>Australia</w:t>
            </w:r>
          </w:p>
        </w:tc>
        <w:tc>
          <w:tcPr>
            <w:tcW w:w="1303" w:type="dxa"/>
            <w:vAlign w:val="center"/>
          </w:tcPr>
          <w:p w14:paraId="381B0223" w14:textId="77777777" w:rsidR="008D5F24" w:rsidRPr="00CD1278" w:rsidRDefault="008D5F24" w:rsidP="006D0E9A">
            <w:pPr>
              <w:spacing w:before="60" w:after="60"/>
              <w:jc w:val="center"/>
              <w:rPr>
                <w:color w:val="auto"/>
                <w:sz w:val="20"/>
              </w:rPr>
            </w:pPr>
            <w:r w:rsidRPr="00CD1278">
              <w:rPr>
                <w:color w:val="auto"/>
                <w:sz w:val="20"/>
              </w:rPr>
              <w:t>146.6</w:t>
            </w:r>
          </w:p>
        </w:tc>
        <w:tc>
          <w:tcPr>
            <w:tcW w:w="1320" w:type="dxa"/>
            <w:vAlign w:val="center"/>
          </w:tcPr>
          <w:p w14:paraId="7F2DB94D" w14:textId="77777777" w:rsidR="008D5F24" w:rsidRPr="00CD1278" w:rsidRDefault="008D5F24" w:rsidP="006D0E9A">
            <w:pPr>
              <w:spacing w:before="60" w:after="60"/>
              <w:jc w:val="center"/>
              <w:rPr>
                <w:color w:val="auto"/>
                <w:sz w:val="20"/>
              </w:rPr>
            </w:pPr>
            <w:r w:rsidRPr="00CD1278">
              <w:rPr>
                <w:color w:val="auto"/>
                <w:sz w:val="20"/>
              </w:rPr>
              <w:t>0</w:t>
            </w:r>
          </w:p>
        </w:tc>
        <w:tc>
          <w:tcPr>
            <w:tcW w:w="1321" w:type="dxa"/>
            <w:vAlign w:val="center"/>
          </w:tcPr>
          <w:p w14:paraId="182AAED8" w14:textId="77777777" w:rsidR="008D5F24" w:rsidRPr="00CD1278" w:rsidRDefault="008D5F24" w:rsidP="006D0E9A">
            <w:pPr>
              <w:spacing w:before="60" w:after="60"/>
              <w:jc w:val="center"/>
              <w:rPr>
                <w:color w:val="auto"/>
                <w:sz w:val="20"/>
              </w:rPr>
            </w:pPr>
            <w:r w:rsidRPr="00CD1278">
              <w:rPr>
                <w:color w:val="auto"/>
                <w:sz w:val="20"/>
              </w:rPr>
              <w:t>114.912</w:t>
            </w:r>
          </w:p>
        </w:tc>
        <w:tc>
          <w:tcPr>
            <w:tcW w:w="1321" w:type="dxa"/>
            <w:vAlign w:val="center"/>
          </w:tcPr>
          <w:p w14:paraId="38824F4A" w14:textId="77777777" w:rsidR="008D5F24" w:rsidRPr="00CD1278" w:rsidRDefault="008D5F24" w:rsidP="006D0E9A">
            <w:pPr>
              <w:spacing w:before="60" w:after="60"/>
              <w:jc w:val="center"/>
              <w:rPr>
                <w:color w:val="auto"/>
                <w:sz w:val="20"/>
                <w:highlight w:val="yellow"/>
              </w:rPr>
            </w:pPr>
            <w:r w:rsidRPr="00CD1278">
              <w:rPr>
                <w:color w:val="auto"/>
                <w:sz w:val="20"/>
              </w:rPr>
              <w:t>114.912</w:t>
            </w:r>
          </w:p>
        </w:tc>
        <w:tc>
          <w:tcPr>
            <w:tcW w:w="1321" w:type="dxa"/>
            <w:vAlign w:val="center"/>
          </w:tcPr>
          <w:p w14:paraId="7A2893E9" w14:textId="77777777" w:rsidR="008D5F24" w:rsidRPr="00CD1278" w:rsidRDefault="008D5F24" w:rsidP="006D0E9A">
            <w:pPr>
              <w:spacing w:before="60" w:after="60"/>
              <w:jc w:val="center"/>
              <w:rPr>
                <w:color w:val="auto"/>
                <w:sz w:val="20"/>
                <w:highlight w:val="yellow"/>
              </w:rPr>
            </w:pPr>
            <w:r w:rsidRPr="00CD1278">
              <w:rPr>
                <w:color w:val="auto"/>
                <w:sz w:val="20"/>
              </w:rPr>
              <w:t>114.912</w:t>
            </w:r>
          </w:p>
        </w:tc>
        <w:tc>
          <w:tcPr>
            <w:tcW w:w="1240" w:type="dxa"/>
            <w:vAlign w:val="center"/>
          </w:tcPr>
          <w:p w14:paraId="01BF3D2C" w14:textId="77777777" w:rsidR="008D5F24" w:rsidRPr="00CD1278" w:rsidRDefault="008D5F24" w:rsidP="006D0E9A">
            <w:pPr>
              <w:spacing w:before="60" w:after="60"/>
              <w:jc w:val="center"/>
              <w:rPr>
                <w:color w:val="auto"/>
                <w:sz w:val="20"/>
              </w:rPr>
            </w:pPr>
            <w:r w:rsidRPr="00CD1278">
              <w:rPr>
                <w:color w:val="auto"/>
                <w:sz w:val="20"/>
              </w:rPr>
              <w:t>0</w:t>
            </w:r>
          </w:p>
        </w:tc>
      </w:tr>
      <w:tr w:rsidR="003C102E" w:rsidRPr="00CD1278" w14:paraId="50C26F87" w14:textId="77777777" w:rsidTr="00EE3ECC">
        <w:tc>
          <w:tcPr>
            <w:tcW w:w="1388" w:type="dxa"/>
            <w:vAlign w:val="center"/>
          </w:tcPr>
          <w:p w14:paraId="5E78BB4D" w14:textId="77777777" w:rsidR="008D5F24" w:rsidRPr="00CD1278" w:rsidRDefault="008D5F24" w:rsidP="006D0E9A">
            <w:pPr>
              <w:spacing w:before="60" w:after="60"/>
              <w:rPr>
                <w:color w:val="auto"/>
                <w:sz w:val="20"/>
              </w:rPr>
            </w:pPr>
            <w:r w:rsidRPr="00CD1278">
              <w:rPr>
                <w:color w:val="auto"/>
                <w:sz w:val="20"/>
              </w:rPr>
              <w:t>Canada</w:t>
            </w:r>
          </w:p>
        </w:tc>
        <w:tc>
          <w:tcPr>
            <w:tcW w:w="1303" w:type="dxa"/>
            <w:vAlign w:val="center"/>
          </w:tcPr>
          <w:p w14:paraId="58B665C4" w14:textId="77777777" w:rsidR="008D5F24" w:rsidRPr="00CD1278" w:rsidRDefault="008D5F24" w:rsidP="006D0E9A">
            <w:pPr>
              <w:spacing w:before="60" w:after="60"/>
              <w:jc w:val="center"/>
              <w:rPr>
                <w:color w:val="auto"/>
                <w:sz w:val="20"/>
              </w:rPr>
            </w:pPr>
            <w:r w:rsidRPr="00CD1278">
              <w:rPr>
                <w:color w:val="auto"/>
                <w:sz w:val="20"/>
              </w:rPr>
              <w:t>61.792</w:t>
            </w:r>
          </w:p>
        </w:tc>
        <w:tc>
          <w:tcPr>
            <w:tcW w:w="1320" w:type="dxa"/>
            <w:vAlign w:val="center"/>
          </w:tcPr>
          <w:p w14:paraId="686B0683" w14:textId="77777777" w:rsidR="008D5F24" w:rsidRPr="00CD1278" w:rsidRDefault="008D5F24" w:rsidP="006D0E9A">
            <w:pPr>
              <w:spacing w:before="60" w:after="60"/>
              <w:jc w:val="center"/>
              <w:rPr>
                <w:color w:val="auto"/>
                <w:sz w:val="20"/>
              </w:rPr>
            </w:pPr>
            <w:r w:rsidRPr="00CD1278">
              <w:rPr>
                <w:color w:val="auto"/>
                <w:sz w:val="20"/>
              </w:rPr>
              <w:t>0</w:t>
            </w:r>
          </w:p>
        </w:tc>
        <w:tc>
          <w:tcPr>
            <w:tcW w:w="1321" w:type="dxa"/>
            <w:vAlign w:val="center"/>
          </w:tcPr>
          <w:p w14:paraId="6CE5C886" w14:textId="77777777" w:rsidR="008D5F24" w:rsidRPr="00CD1278" w:rsidRDefault="008D5F24" w:rsidP="006D0E9A">
            <w:pPr>
              <w:spacing w:before="60" w:after="60"/>
              <w:jc w:val="center"/>
              <w:rPr>
                <w:color w:val="auto"/>
                <w:sz w:val="20"/>
              </w:rPr>
            </w:pPr>
            <w:r w:rsidRPr="00CD1278">
              <w:rPr>
                <w:color w:val="auto"/>
                <w:sz w:val="20"/>
              </w:rPr>
              <w:t>48.858</w:t>
            </w:r>
          </w:p>
        </w:tc>
        <w:tc>
          <w:tcPr>
            <w:tcW w:w="1321" w:type="dxa"/>
            <w:vAlign w:val="center"/>
          </w:tcPr>
          <w:p w14:paraId="464A9CF6" w14:textId="77777777" w:rsidR="008D5F24" w:rsidRPr="00CD1278" w:rsidRDefault="008D5F24" w:rsidP="006D0E9A">
            <w:pPr>
              <w:spacing w:before="60" w:after="60"/>
              <w:jc w:val="center"/>
              <w:rPr>
                <w:color w:val="auto"/>
                <w:sz w:val="20"/>
              </w:rPr>
            </w:pPr>
            <w:r w:rsidRPr="00CD1278">
              <w:rPr>
                <w:color w:val="auto"/>
                <w:sz w:val="20"/>
              </w:rPr>
              <w:t>48.858</w:t>
            </w:r>
          </w:p>
        </w:tc>
        <w:tc>
          <w:tcPr>
            <w:tcW w:w="1321" w:type="dxa"/>
            <w:vAlign w:val="center"/>
          </w:tcPr>
          <w:p w14:paraId="377472F1" w14:textId="77777777" w:rsidR="008D5F24" w:rsidRPr="00CD1278" w:rsidRDefault="008D5F24" w:rsidP="006D0E9A">
            <w:pPr>
              <w:spacing w:before="60" w:after="60"/>
              <w:jc w:val="center"/>
              <w:rPr>
                <w:color w:val="auto"/>
                <w:sz w:val="20"/>
              </w:rPr>
            </w:pPr>
            <w:r w:rsidRPr="00CD1278">
              <w:rPr>
                <w:color w:val="auto"/>
                <w:sz w:val="20"/>
              </w:rPr>
              <w:t>45.146</w:t>
            </w:r>
          </w:p>
        </w:tc>
        <w:tc>
          <w:tcPr>
            <w:tcW w:w="1240" w:type="dxa"/>
            <w:vAlign w:val="center"/>
          </w:tcPr>
          <w:p w14:paraId="096A5EC5" w14:textId="77777777" w:rsidR="008D5F24" w:rsidRPr="00CD1278" w:rsidRDefault="008D5F24" w:rsidP="006D0E9A">
            <w:pPr>
              <w:spacing w:before="60" w:after="60"/>
              <w:jc w:val="center"/>
              <w:rPr>
                <w:color w:val="auto"/>
                <w:sz w:val="20"/>
              </w:rPr>
            </w:pPr>
            <w:r w:rsidRPr="00CD1278">
              <w:rPr>
                <w:color w:val="auto"/>
                <w:sz w:val="20"/>
              </w:rPr>
              <w:t>3.712</w:t>
            </w:r>
          </w:p>
        </w:tc>
      </w:tr>
      <w:tr w:rsidR="003C102E" w:rsidRPr="00CD1278" w14:paraId="0B745DD0" w14:textId="77777777" w:rsidTr="00EE3ECC">
        <w:tc>
          <w:tcPr>
            <w:tcW w:w="1388" w:type="dxa"/>
            <w:vAlign w:val="center"/>
          </w:tcPr>
          <w:p w14:paraId="4E3D5E37" w14:textId="77777777" w:rsidR="008D5F24" w:rsidRPr="00CD1278" w:rsidRDefault="008D5F24" w:rsidP="006D0E9A">
            <w:pPr>
              <w:spacing w:before="60" w:after="60"/>
              <w:rPr>
                <w:color w:val="auto"/>
                <w:sz w:val="20"/>
              </w:rPr>
            </w:pPr>
            <w:r w:rsidRPr="00CD1278">
              <w:rPr>
                <w:color w:val="auto"/>
                <w:sz w:val="20"/>
              </w:rPr>
              <w:t>EU</w:t>
            </w:r>
          </w:p>
        </w:tc>
        <w:tc>
          <w:tcPr>
            <w:tcW w:w="1303" w:type="dxa"/>
            <w:vAlign w:val="center"/>
          </w:tcPr>
          <w:p w14:paraId="23544B75" w14:textId="77777777" w:rsidR="008D5F24" w:rsidRPr="00CD1278" w:rsidRDefault="008D5F24" w:rsidP="006D0E9A">
            <w:pPr>
              <w:spacing w:before="60" w:after="60"/>
              <w:jc w:val="center"/>
              <w:rPr>
                <w:color w:val="auto"/>
                <w:sz w:val="20"/>
              </w:rPr>
            </w:pPr>
            <w:r w:rsidRPr="00CD1278">
              <w:rPr>
                <w:color w:val="auto"/>
                <w:sz w:val="20"/>
              </w:rPr>
              <w:t>4</w:t>
            </w:r>
            <w:r w:rsidR="00A9351D" w:rsidRPr="00CD1278">
              <w:rPr>
                <w:color w:val="auto"/>
                <w:sz w:val="20"/>
              </w:rPr>
              <w:t>,</w:t>
            </w:r>
            <w:r w:rsidRPr="00CD1278">
              <w:rPr>
                <w:color w:val="auto"/>
                <w:sz w:val="20"/>
              </w:rPr>
              <w:t>392.812</w:t>
            </w:r>
          </w:p>
        </w:tc>
        <w:tc>
          <w:tcPr>
            <w:tcW w:w="1320" w:type="dxa"/>
            <w:vAlign w:val="center"/>
          </w:tcPr>
          <w:p w14:paraId="73DF9B6C" w14:textId="77777777" w:rsidR="008D5F24" w:rsidRPr="00CD1278" w:rsidRDefault="008D5F24" w:rsidP="006D0E9A">
            <w:pPr>
              <w:spacing w:before="60" w:after="60"/>
              <w:jc w:val="center"/>
              <w:rPr>
                <w:color w:val="auto"/>
                <w:sz w:val="20"/>
              </w:rPr>
            </w:pPr>
            <w:r w:rsidRPr="00CD1278">
              <w:rPr>
                <w:color w:val="auto"/>
                <w:sz w:val="20"/>
              </w:rPr>
              <w:t>216.198</w:t>
            </w:r>
          </w:p>
        </w:tc>
        <w:tc>
          <w:tcPr>
            <w:tcW w:w="1321" w:type="dxa"/>
            <w:vAlign w:val="center"/>
          </w:tcPr>
          <w:p w14:paraId="645A68DB" w14:textId="77777777" w:rsidR="008D5F24" w:rsidRPr="00CD1278" w:rsidRDefault="008D5F24" w:rsidP="006D0E9A">
            <w:pPr>
              <w:spacing w:before="60" w:after="60"/>
              <w:jc w:val="center"/>
              <w:rPr>
                <w:color w:val="auto"/>
                <w:sz w:val="20"/>
              </w:rPr>
            </w:pPr>
            <w:r w:rsidRPr="00CD1278">
              <w:rPr>
                <w:color w:val="auto"/>
                <w:sz w:val="20"/>
              </w:rPr>
              <w:t>2</w:t>
            </w:r>
            <w:r w:rsidR="00A9351D" w:rsidRPr="00CD1278">
              <w:rPr>
                <w:color w:val="auto"/>
                <w:sz w:val="20"/>
              </w:rPr>
              <w:t>,</w:t>
            </w:r>
            <w:r w:rsidRPr="00CD1278">
              <w:rPr>
                <w:color w:val="auto"/>
                <w:sz w:val="20"/>
              </w:rPr>
              <w:t>435.319</w:t>
            </w:r>
          </w:p>
        </w:tc>
        <w:tc>
          <w:tcPr>
            <w:tcW w:w="1321" w:type="dxa"/>
            <w:vAlign w:val="center"/>
          </w:tcPr>
          <w:p w14:paraId="7B7585AD" w14:textId="77777777" w:rsidR="008D5F24" w:rsidRPr="00CD1278" w:rsidRDefault="008D5F24" w:rsidP="006D0E9A">
            <w:pPr>
              <w:spacing w:before="60" w:after="60"/>
              <w:jc w:val="center"/>
              <w:rPr>
                <w:color w:val="auto"/>
                <w:sz w:val="20"/>
              </w:rPr>
            </w:pPr>
            <w:r w:rsidRPr="00CD1278">
              <w:rPr>
                <w:color w:val="auto"/>
                <w:sz w:val="20"/>
              </w:rPr>
              <w:t>2</w:t>
            </w:r>
            <w:r w:rsidR="00A9351D" w:rsidRPr="00CD1278">
              <w:rPr>
                <w:color w:val="auto"/>
                <w:sz w:val="20"/>
              </w:rPr>
              <w:t>,</w:t>
            </w:r>
            <w:r w:rsidRPr="00CD1278">
              <w:rPr>
                <w:color w:val="auto"/>
                <w:sz w:val="20"/>
              </w:rPr>
              <w:t>651.517</w:t>
            </w:r>
          </w:p>
        </w:tc>
        <w:tc>
          <w:tcPr>
            <w:tcW w:w="1321" w:type="dxa"/>
            <w:vAlign w:val="center"/>
          </w:tcPr>
          <w:p w14:paraId="6696422B" w14:textId="77777777" w:rsidR="008D5F24" w:rsidRPr="00CD1278" w:rsidRDefault="008D5F24" w:rsidP="006D0E9A">
            <w:pPr>
              <w:spacing w:before="60" w:after="60"/>
              <w:jc w:val="center"/>
              <w:rPr>
                <w:color w:val="auto"/>
                <w:sz w:val="20"/>
              </w:rPr>
            </w:pPr>
            <w:r w:rsidRPr="00CD1278">
              <w:rPr>
                <w:color w:val="auto"/>
                <w:sz w:val="20"/>
              </w:rPr>
              <w:t>2</w:t>
            </w:r>
            <w:r w:rsidR="00A9351D" w:rsidRPr="00CD1278">
              <w:rPr>
                <w:color w:val="auto"/>
                <w:sz w:val="20"/>
              </w:rPr>
              <w:t>,</w:t>
            </w:r>
            <w:r w:rsidRPr="00CD1278">
              <w:rPr>
                <w:color w:val="auto"/>
                <w:sz w:val="20"/>
              </w:rPr>
              <w:t>530.099</w:t>
            </w:r>
          </w:p>
        </w:tc>
        <w:tc>
          <w:tcPr>
            <w:tcW w:w="1240" w:type="dxa"/>
            <w:vAlign w:val="center"/>
          </w:tcPr>
          <w:p w14:paraId="2D75636F" w14:textId="77777777" w:rsidR="008D5F24" w:rsidRPr="00CD1278" w:rsidRDefault="008D5F24" w:rsidP="006D0E9A">
            <w:pPr>
              <w:spacing w:before="60" w:after="60"/>
              <w:jc w:val="center"/>
              <w:rPr>
                <w:color w:val="auto"/>
                <w:sz w:val="20"/>
              </w:rPr>
            </w:pPr>
            <w:r w:rsidRPr="00CD1278">
              <w:rPr>
                <w:color w:val="auto"/>
                <w:sz w:val="20"/>
              </w:rPr>
              <w:t>121.023</w:t>
            </w:r>
          </w:p>
        </w:tc>
      </w:tr>
      <w:tr w:rsidR="003C102E" w:rsidRPr="00CD1278" w14:paraId="63A0CD75" w14:textId="77777777" w:rsidTr="00EE3ECC">
        <w:tc>
          <w:tcPr>
            <w:tcW w:w="1388" w:type="dxa"/>
            <w:vAlign w:val="center"/>
          </w:tcPr>
          <w:p w14:paraId="0A3FA8CB" w14:textId="77777777" w:rsidR="008D5F24" w:rsidRPr="00CD1278" w:rsidRDefault="008D5F24" w:rsidP="006D0E9A">
            <w:pPr>
              <w:spacing w:before="60" w:after="60"/>
              <w:rPr>
                <w:color w:val="auto"/>
                <w:sz w:val="20"/>
              </w:rPr>
            </w:pPr>
            <w:r w:rsidRPr="00CD1278">
              <w:rPr>
                <w:color w:val="auto"/>
                <w:sz w:val="20"/>
              </w:rPr>
              <w:t>Israel</w:t>
            </w:r>
          </w:p>
        </w:tc>
        <w:tc>
          <w:tcPr>
            <w:tcW w:w="1303" w:type="dxa"/>
            <w:vAlign w:val="center"/>
          </w:tcPr>
          <w:p w14:paraId="473B1803" w14:textId="77777777" w:rsidR="008D5F24" w:rsidRPr="00CD1278" w:rsidRDefault="008D5F24" w:rsidP="006D0E9A">
            <w:pPr>
              <w:spacing w:before="60" w:after="60"/>
              <w:jc w:val="center"/>
              <w:rPr>
                <w:color w:val="auto"/>
                <w:sz w:val="20"/>
              </w:rPr>
            </w:pPr>
            <w:r w:rsidRPr="00CD1278">
              <w:rPr>
                <w:color w:val="auto"/>
                <w:sz w:val="20"/>
              </w:rPr>
              <w:t>1</w:t>
            </w:r>
            <w:r w:rsidR="00A9351D" w:rsidRPr="00CD1278">
              <w:rPr>
                <w:color w:val="auto"/>
                <w:sz w:val="20"/>
              </w:rPr>
              <w:t>,</w:t>
            </w:r>
            <w:r w:rsidRPr="00CD1278">
              <w:rPr>
                <w:color w:val="auto"/>
                <w:sz w:val="20"/>
              </w:rPr>
              <w:t>089.306</w:t>
            </w:r>
          </w:p>
        </w:tc>
        <w:tc>
          <w:tcPr>
            <w:tcW w:w="1320" w:type="dxa"/>
            <w:vAlign w:val="center"/>
          </w:tcPr>
          <w:p w14:paraId="411501A2" w14:textId="77777777" w:rsidR="008D5F24" w:rsidRPr="00CD1278" w:rsidRDefault="008D5F24" w:rsidP="006D0E9A">
            <w:pPr>
              <w:spacing w:before="60" w:after="60"/>
              <w:jc w:val="center"/>
              <w:rPr>
                <w:color w:val="auto"/>
                <w:sz w:val="20"/>
              </w:rPr>
            </w:pPr>
            <w:r w:rsidRPr="00CD1278">
              <w:rPr>
                <w:color w:val="auto"/>
                <w:sz w:val="20"/>
              </w:rPr>
              <w:t>16.358</w:t>
            </w:r>
          </w:p>
        </w:tc>
        <w:tc>
          <w:tcPr>
            <w:tcW w:w="1321" w:type="dxa"/>
            <w:vAlign w:val="center"/>
          </w:tcPr>
          <w:p w14:paraId="5DEC75D2" w14:textId="77777777" w:rsidR="008D5F24" w:rsidRPr="00CD1278" w:rsidRDefault="008D5F24" w:rsidP="006D0E9A">
            <w:pPr>
              <w:spacing w:before="60" w:after="60"/>
              <w:jc w:val="center"/>
              <w:rPr>
                <w:color w:val="auto"/>
                <w:sz w:val="20"/>
              </w:rPr>
            </w:pPr>
            <w:r w:rsidRPr="00CD1278">
              <w:rPr>
                <w:color w:val="auto"/>
                <w:sz w:val="20"/>
              </w:rPr>
              <w:t>1</w:t>
            </w:r>
            <w:r w:rsidR="00A9351D" w:rsidRPr="00CD1278">
              <w:rPr>
                <w:color w:val="auto"/>
                <w:sz w:val="20"/>
              </w:rPr>
              <w:t>,</w:t>
            </w:r>
            <w:r w:rsidRPr="00CD1278">
              <w:rPr>
                <w:color w:val="auto"/>
                <w:sz w:val="20"/>
              </w:rPr>
              <w:t>072.35</w:t>
            </w:r>
          </w:p>
        </w:tc>
        <w:tc>
          <w:tcPr>
            <w:tcW w:w="1321" w:type="dxa"/>
            <w:vAlign w:val="center"/>
          </w:tcPr>
          <w:p w14:paraId="5370EE8D" w14:textId="77777777" w:rsidR="008D5F24" w:rsidRPr="00CD1278" w:rsidRDefault="008D5F24" w:rsidP="006D0E9A">
            <w:pPr>
              <w:spacing w:before="60" w:after="60"/>
              <w:jc w:val="center"/>
              <w:rPr>
                <w:color w:val="auto"/>
                <w:sz w:val="20"/>
              </w:rPr>
            </w:pPr>
            <w:r w:rsidRPr="00CD1278">
              <w:rPr>
                <w:color w:val="auto"/>
                <w:sz w:val="20"/>
              </w:rPr>
              <w:t>1</w:t>
            </w:r>
            <w:r w:rsidR="00A9351D" w:rsidRPr="00CD1278">
              <w:rPr>
                <w:color w:val="auto"/>
                <w:sz w:val="20"/>
              </w:rPr>
              <w:t>,</w:t>
            </w:r>
            <w:r w:rsidRPr="00CD1278">
              <w:rPr>
                <w:color w:val="auto"/>
                <w:sz w:val="20"/>
              </w:rPr>
              <w:t>088.708</w:t>
            </w:r>
          </w:p>
        </w:tc>
        <w:tc>
          <w:tcPr>
            <w:tcW w:w="1321" w:type="dxa"/>
            <w:vAlign w:val="center"/>
          </w:tcPr>
          <w:p w14:paraId="2E7C7B54" w14:textId="77777777" w:rsidR="008D5F24" w:rsidRPr="00CD1278" w:rsidRDefault="008D5F24" w:rsidP="006D0E9A">
            <w:pPr>
              <w:spacing w:before="60" w:after="60"/>
              <w:jc w:val="center"/>
              <w:rPr>
                <w:color w:val="auto"/>
                <w:sz w:val="20"/>
              </w:rPr>
            </w:pPr>
            <w:r w:rsidRPr="00CD1278">
              <w:rPr>
                <w:color w:val="auto"/>
                <w:sz w:val="20"/>
              </w:rPr>
              <w:t>1</w:t>
            </w:r>
            <w:r w:rsidR="00A9351D" w:rsidRPr="00CD1278">
              <w:rPr>
                <w:color w:val="auto"/>
                <w:sz w:val="20"/>
              </w:rPr>
              <w:t>,</w:t>
            </w:r>
            <w:r w:rsidRPr="00CD1278">
              <w:rPr>
                <w:color w:val="auto"/>
                <w:sz w:val="20"/>
              </w:rPr>
              <w:t>088.708</w:t>
            </w:r>
          </w:p>
        </w:tc>
        <w:tc>
          <w:tcPr>
            <w:tcW w:w="1240" w:type="dxa"/>
            <w:vAlign w:val="center"/>
          </w:tcPr>
          <w:p w14:paraId="789412C3" w14:textId="77777777" w:rsidR="008D5F24" w:rsidRPr="00CD1278" w:rsidRDefault="008D5F24" w:rsidP="006D0E9A">
            <w:pPr>
              <w:spacing w:before="60" w:after="60"/>
              <w:jc w:val="center"/>
              <w:rPr>
                <w:color w:val="auto"/>
                <w:sz w:val="20"/>
              </w:rPr>
            </w:pPr>
            <w:r w:rsidRPr="00CD1278">
              <w:rPr>
                <w:color w:val="auto"/>
                <w:sz w:val="20"/>
              </w:rPr>
              <w:t>0</w:t>
            </w:r>
          </w:p>
        </w:tc>
      </w:tr>
      <w:tr w:rsidR="003C102E" w:rsidRPr="00CD1278" w14:paraId="2F19D617" w14:textId="77777777" w:rsidTr="00EE3ECC">
        <w:tc>
          <w:tcPr>
            <w:tcW w:w="1388" w:type="dxa"/>
            <w:vAlign w:val="center"/>
          </w:tcPr>
          <w:p w14:paraId="2AF6DCD8" w14:textId="77777777" w:rsidR="008D5F24" w:rsidRPr="00CD1278" w:rsidRDefault="008D5F24" w:rsidP="006D0E9A">
            <w:pPr>
              <w:spacing w:before="60" w:after="60"/>
              <w:rPr>
                <w:color w:val="auto"/>
                <w:sz w:val="20"/>
              </w:rPr>
            </w:pPr>
            <w:r w:rsidRPr="00CD1278">
              <w:rPr>
                <w:color w:val="auto"/>
                <w:sz w:val="20"/>
              </w:rPr>
              <w:t>Japan</w:t>
            </w:r>
          </w:p>
        </w:tc>
        <w:tc>
          <w:tcPr>
            <w:tcW w:w="1303" w:type="dxa"/>
            <w:vAlign w:val="center"/>
          </w:tcPr>
          <w:p w14:paraId="5B830E0D" w14:textId="77777777" w:rsidR="008D5F24" w:rsidRPr="00CD1278" w:rsidRDefault="008D5F24" w:rsidP="006D0E9A">
            <w:pPr>
              <w:spacing w:before="60" w:after="60"/>
              <w:jc w:val="center"/>
              <w:rPr>
                <w:color w:val="auto"/>
                <w:sz w:val="20"/>
              </w:rPr>
            </w:pPr>
            <w:r w:rsidRPr="00CD1278">
              <w:rPr>
                <w:color w:val="auto"/>
                <w:sz w:val="20"/>
              </w:rPr>
              <w:t>748</w:t>
            </w:r>
          </w:p>
        </w:tc>
        <w:tc>
          <w:tcPr>
            <w:tcW w:w="1320" w:type="dxa"/>
            <w:vAlign w:val="center"/>
          </w:tcPr>
          <w:p w14:paraId="4DBF02C8" w14:textId="77777777" w:rsidR="008D5F24" w:rsidRPr="00CD1278" w:rsidRDefault="008D5F24" w:rsidP="006D0E9A">
            <w:pPr>
              <w:spacing w:before="60" w:after="60"/>
              <w:jc w:val="center"/>
              <w:rPr>
                <w:color w:val="auto"/>
                <w:sz w:val="20"/>
              </w:rPr>
            </w:pPr>
            <w:r w:rsidRPr="00CD1278">
              <w:rPr>
                <w:color w:val="auto"/>
                <w:sz w:val="20"/>
              </w:rPr>
              <w:t>0</w:t>
            </w:r>
          </w:p>
        </w:tc>
        <w:tc>
          <w:tcPr>
            <w:tcW w:w="1321" w:type="dxa"/>
            <w:vAlign w:val="center"/>
          </w:tcPr>
          <w:p w14:paraId="33DA8860" w14:textId="77777777" w:rsidR="008D5F24" w:rsidRPr="00CD1278" w:rsidRDefault="008D5F24" w:rsidP="006D0E9A">
            <w:pPr>
              <w:spacing w:before="60" w:after="60"/>
              <w:jc w:val="center"/>
              <w:rPr>
                <w:color w:val="auto"/>
                <w:sz w:val="20"/>
              </w:rPr>
            </w:pPr>
            <w:r w:rsidRPr="00CD1278">
              <w:rPr>
                <w:color w:val="auto"/>
                <w:sz w:val="20"/>
              </w:rPr>
              <w:t>594.995</w:t>
            </w:r>
          </w:p>
        </w:tc>
        <w:tc>
          <w:tcPr>
            <w:tcW w:w="1321" w:type="dxa"/>
            <w:vAlign w:val="center"/>
          </w:tcPr>
          <w:p w14:paraId="61AE9CEB" w14:textId="77777777" w:rsidR="008D5F24" w:rsidRPr="00CD1278" w:rsidRDefault="008D5F24" w:rsidP="006D0E9A">
            <w:pPr>
              <w:spacing w:before="60" w:after="60"/>
              <w:jc w:val="center"/>
              <w:rPr>
                <w:color w:val="auto"/>
                <w:sz w:val="20"/>
              </w:rPr>
            </w:pPr>
            <w:r w:rsidRPr="00CD1278">
              <w:rPr>
                <w:color w:val="auto"/>
                <w:sz w:val="20"/>
              </w:rPr>
              <w:t>594.995</w:t>
            </w:r>
          </w:p>
        </w:tc>
        <w:tc>
          <w:tcPr>
            <w:tcW w:w="1321" w:type="dxa"/>
            <w:vAlign w:val="center"/>
          </w:tcPr>
          <w:p w14:paraId="02C6DF9B" w14:textId="77777777" w:rsidR="008D5F24" w:rsidRPr="00CD1278" w:rsidRDefault="008D5F24" w:rsidP="006D0E9A">
            <w:pPr>
              <w:spacing w:before="60" w:after="60"/>
              <w:jc w:val="center"/>
              <w:rPr>
                <w:color w:val="auto"/>
                <w:sz w:val="20"/>
              </w:rPr>
            </w:pPr>
            <w:r w:rsidRPr="00CD1278">
              <w:rPr>
                <w:color w:val="auto"/>
                <w:sz w:val="20"/>
              </w:rPr>
              <w:t>546.861</w:t>
            </w:r>
          </w:p>
        </w:tc>
        <w:tc>
          <w:tcPr>
            <w:tcW w:w="1240" w:type="dxa"/>
            <w:vAlign w:val="center"/>
          </w:tcPr>
          <w:p w14:paraId="227CF6EE" w14:textId="77777777" w:rsidR="008D5F24" w:rsidRPr="00CD1278" w:rsidRDefault="008D5F24" w:rsidP="006D0E9A">
            <w:pPr>
              <w:spacing w:before="60" w:after="60"/>
              <w:jc w:val="center"/>
              <w:rPr>
                <w:color w:val="auto"/>
                <w:sz w:val="20"/>
              </w:rPr>
            </w:pPr>
            <w:r w:rsidRPr="00CD1278">
              <w:rPr>
                <w:color w:val="auto"/>
                <w:sz w:val="20"/>
              </w:rPr>
              <w:t>48.134</w:t>
            </w:r>
          </w:p>
        </w:tc>
      </w:tr>
      <w:tr w:rsidR="003C102E" w:rsidRPr="00CD1278" w14:paraId="64AE1D32" w14:textId="77777777" w:rsidTr="00EE3ECC">
        <w:tc>
          <w:tcPr>
            <w:tcW w:w="1388" w:type="dxa"/>
            <w:vAlign w:val="center"/>
          </w:tcPr>
          <w:p w14:paraId="0D3701BB" w14:textId="77777777" w:rsidR="008D5F24" w:rsidRPr="00CD1278" w:rsidRDefault="008D5F24" w:rsidP="006D0E9A">
            <w:pPr>
              <w:spacing w:before="60" w:after="60"/>
              <w:rPr>
                <w:color w:val="auto"/>
                <w:sz w:val="20"/>
              </w:rPr>
            </w:pPr>
            <w:r w:rsidRPr="00CD1278">
              <w:rPr>
                <w:color w:val="auto"/>
                <w:sz w:val="20"/>
              </w:rPr>
              <w:t>New Zealand</w:t>
            </w:r>
          </w:p>
        </w:tc>
        <w:tc>
          <w:tcPr>
            <w:tcW w:w="1303" w:type="dxa"/>
            <w:vAlign w:val="center"/>
          </w:tcPr>
          <w:p w14:paraId="124A2074" w14:textId="77777777" w:rsidR="008D5F24" w:rsidRPr="00CD1278" w:rsidRDefault="008D5F24" w:rsidP="006D0E9A">
            <w:pPr>
              <w:spacing w:before="60" w:after="60"/>
              <w:jc w:val="center"/>
              <w:rPr>
                <w:color w:val="auto"/>
                <w:sz w:val="20"/>
              </w:rPr>
            </w:pPr>
            <w:r w:rsidRPr="00CD1278">
              <w:rPr>
                <w:color w:val="auto"/>
                <w:sz w:val="20"/>
              </w:rPr>
              <w:t>50</w:t>
            </w:r>
          </w:p>
        </w:tc>
        <w:tc>
          <w:tcPr>
            <w:tcW w:w="1320" w:type="dxa"/>
            <w:vAlign w:val="center"/>
          </w:tcPr>
          <w:p w14:paraId="40CBBA7D" w14:textId="77777777" w:rsidR="008D5F24" w:rsidRPr="00CD1278" w:rsidRDefault="008D5F24" w:rsidP="006D0E9A">
            <w:pPr>
              <w:spacing w:before="60" w:after="60"/>
              <w:jc w:val="center"/>
              <w:rPr>
                <w:color w:val="auto"/>
                <w:sz w:val="20"/>
              </w:rPr>
            </w:pPr>
            <w:r w:rsidRPr="00CD1278">
              <w:rPr>
                <w:color w:val="auto"/>
                <w:sz w:val="20"/>
              </w:rPr>
              <w:t>6.9</w:t>
            </w:r>
          </w:p>
        </w:tc>
        <w:tc>
          <w:tcPr>
            <w:tcW w:w="1321" w:type="dxa"/>
            <w:vAlign w:val="center"/>
          </w:tcPr>
          <w:p w14:paraId="62BE17AA" w14:textId="77777777" w:rsidR="008D5F24" w:rsidRPr="00CD1278" w:rsidRDefault="008D5F24" w:rsidP="006D0E9A">
            <w:pPr>
              <w:spacing w:before="60" w:after="60"/>
              <w:jc w:val="center"/>
              <w:rPr>
                <w:color w:val="auto"/>
                <w:sz w:val="20"/>
              </w:rPr>
            </w:pPr>
            <w:r w:rsidRPr="00CD1278">
              <w:rPr>
                <w:color w:val="auto"/>
                <w:sz w:val="20"/>
              </w:rPr>
              <w:t>40.5</w:t>
            </w:r>
          </w:p>
        </w:tc>
        <w:tc>
          <w:tcPr>
            <w:tcW w:w="1321" w:type="dxa"/>
            <w:vAlign w:val="center"/>
          </w:tcPr>
          <w:p w14:paraId="319EAED3" w14:textId="77777777" w:rsidR="008D5F24" w:rsidRPr="00CD1278" w:rsidRDefault="008D5F24" w:rsidP="006D0E9A">
            <w:pPr>
              <w:spacing w:before="60" w:after="60"/>
              <w:jc w:val="center"/>
              <w:rPr>
                <w:color w:val="auto"/>
                <w:sz w:val="20"/>
              </w:rPr>
            </w:pPr>
            <w:r w:rsidRPr="00CD1278">
              <w:rPr>
                <w:color w:val="auto"/>
                <w:sz w:val="20"/>
              </w:rPr>
              <w:t>47.4</w:t>
            </w:r>
          </w:p>
        </w:tc>
        <w:tc>
          <w:tcPr>
            <w:tcW w:w="1321" w:type="dxa"/>
            <w:vAlign w:val="center"/>
          </w:tcPr>
          <w:p w14:paraId="2FA594DE" w14:textId="77777777" w:rsidR="008D5F24" w:rsidRPr="00CD1278" w:rsidRDefault="008D5F24" w:rsidP="006D0E9A">
            <w:pPr>
              <w:spacing w:before="60" w:after="60"/>
              <w:jc w:val="center"/>
              <w:rPr>
                <w:color w:val="auto"/>
                <w:sz w:val="20"/>
              </w:rPr>
            </w:pPr>
            <w:r w:rsidRPr="00CD1278">
              <w:rPr>
                <w:color w:val="auto"/>
                <w:sz w:val="20"/>
              </w:rPr>
              <w:t>44.58</w:t>
            </w:r>
          </w:p>
        </w:tc>
        <w:tc>
          <w:tcPr>
            <w:tcW w:w="1240" w:type="dxa"/>
            <w:vAlign w:val="center"/>
          </w:tcPr>
          <w:p w14:paraId="7E4CD5AC" w14:textId="77777777" w:rsidR="008D5F24" w:rsidRPr="00CD1278" w:rsidRDefault="008D5F24" w:rsidP="006D0E9A">
            <w:pPr>
              <w:spacing w:before="60" w:after="60"/>
              <w:jc w:val="center"/>
              <w:rPr>
                <w:color w:val="auto"/>
                <w:sz w:val="20"/>
              </w:rPr>
            </w:pPr>
            <w:r w:rsidRPr="00CD1278">
              <w:rPr>
                <w:color w:val="auto"/>
                <w:sz w:val="20"/>
              </w:rPr>
              <w:t>2.81</w:t>
            </w:r>
          </w:p>
        </w:tc>
      </w:tr>
      <w:tr w:rsidR="003C102E" w:rsidRPr="00CD1278" w14:paraId="45803B57" w14:textId="77777777" w:rsidTr="00EE3ECC">
        <w:tc>
          <w:tcPr>
            <w:tcW w:w="1388" w:type="dxa"/>
            <w:vAlign w:val="center"/>
          </w:tcPr>
          <w:p w14:paraId="06A2EECB" w14:textId="77777777" w:rsidR="008D5F24" w:rsidRPr="00CD1278" w:rsidRDefault="008D5F24" w:rsidP="001D2F3F">
            <w:pPr>
              <w:spacing w:before="60" w:after="0"/>
              <w:rPr>
                <w:color w:val="auto"/>
                <w:sz w:val="20"/>
              </w:rPr>
            </w:pPr>
            <w:r w:rsidRPr="00CD1278">
              <w:rPr>
                <w:color w:val="auto"/>
                <w:sz w:val="20"/>
              </w:rPr>
              <w:t>USA(a)</w:t>
            </w:r>
          </w:p>
        </w:tc>
        <w:tc>
          <w:tcPr>
            <w:tcW w:w="1303" w:type="dxa"/>
            <w:vAlign w:val="center"/>
          </w:tcPr>
          <w:p w14:paraId="33AF9D3E" w14:textId="77777777" w:rsidR="008D5F24" w:rsidRPr="00CD1278" w:rsidRDefault="008D5F24" w:rsidP="001D2F3F">
            <w:pPr>
              <w:spacing w:before="60" w:after="0"/>
              <w:jc w:val="center"/>
              <w:rPr>
                <w:color w:val="auto"/>
                <w:sz w:val="20"/>
              </w:rPr>
            </w:pPr>
            <w:r w:rsidRPr="00CD1278">
              <w:rPr>
                <w:color w:val="auto"/>
                <w:sz w:val="20"/>
              </w:rPr>
              <w:t>9</w:t>
            </w:r>
            <w:r w:rsidR="00A9351D" w:rsidRPr="00CD1278">
              <w:rPr>
                <w:color w:val="auto"/>
                <w:sz w:val="20"/>
              </w:rPr>
              <w:t>,</w:t>
            </w:r>
            <w:r w:rsidRPr="00CD1278">
              <w:rPr>
                <w:color w:val="auto"/>
                <w:sz w:val="20"/>
              </w:rPr>
              <w:t>552.879</w:t>
            </w:r>
          </w:p>
        </w:tc>
        <w:tc>
          <w:tcPr>
            <w:tcW w:w="1320" w:type="dxa"/>
            <w:vAlign w:val="center"/>
          </w:tcPr>
          <w:p w14:paraId="73300F8A" w14:textId="77777777" w:rsidR="008D5F24" w:rsidRPr="00CD1278" w:rsidRDefault="008D5F24" w:rsidP="001D2F3F">
            <w:pPr>
              <w:spacing w:before="60" w:after="0"/>
              <w:jc w:val="center"/>
              <w:rPr>
                <w:color w:val="auto"/>
                <w:sz w:val="20"/>
              </w:rPr>
            </w:pPr>
          </w:p>
        </w:tc>
        <w:tc>
          <w:tcPr>
            <w:tcW w:w="1321" w:type="dxa"/>
            <w:vAlign w:val="center"/>
          </w:tcPr>
          <w:p w14:paraId="15D10DEE" w14:textId="77777777" w:rsidR="008D5F24" w:rsidRPr="00CD1278" w:rsidRDefault="008D5F24" w:rsidP="001D2F3F">
            <w:pPr>
              <w:spacing w:before="60" w:after="0"/>
              <w:jc w:val="center"/>
              <w:rPr>
                <w:color w:val="auto"/>
                <w:sz w:val="20"/>
              </w:rPr>
            </w:pPr>
            <w:r w:rsidRPr="00CD1278">
              <w:rPr>
                <w:color w:val="auto"/>
                <w:sz w:val="20"/>
              </w:rPr>
              <w:t>7</w:t>
            </w:r>
            <w:r w:rsidR="00A9351D" w:rsidRPr="00CD1278">
              <w:rPr>
                <w:color w:val="auto"/>
                <w:sz w:val="20"/>
              </w:rPr>
              <w:t>,</w:t>
            </w:r>
            <w:r w:rsidRPr="00CD1278">
              <w:rPr>
                <w:color w:val="auto"/>
                <w:sz w:val="20"/>
              </w:rPr>
              <w:t>613</w:t>
            </w:r>
          </w:p>
        </w:tc>
        <w:tc>
          <w:tcPr>
            <w:tcW w:w="1321" w:type="dxa"/>
            <w:vAlign w:val="center"/>
          </w:tcPr>
          <w:p w14:paraId="1010336A" w14:textId="77777777" w:rsidR="008D5F24" w:rsidRPr="00CD1278" w:rsidRDefault="008D5F24" w:rsidP="001D2F3F">
            <w:pPr>
              <w:spacing w:before="60" w:after="0"/>
              <w:jc w:val="center"/>
              <w:rPr>
                <w:color w:val="auto"/>
                <w:sz w:val="20"/>
              </w:rPr>
            </w:pPr>
            <w:r w:rsidRPr="00CD1278">
              <w:rPr>
                <w:color w:val="auto"/>
                <w:sz w:val="20"/>
              </w:rPr>
              <w:t>not reported</w:t>
            </w:r>
          </w:p>
        </w:tc>
        <w:tc>
          <w:tcPr>
            <w:tcW w:w="1321" w:type="dxa"/>
            <w:vAlign w:val="center"/>
          </w:tcPr>
          <w:p w14:paraId="589115B7" w14:textId="77777777" w:rsidR="008D5F24" w:rsidRPr="00CD1278" w:rsidRDefault="008D5F24" w:rsidP="001D2F3F">
            <w:pPr>
              <w:spacing w:before="60" w:after="0"/>
              <w:jc w:val="center"/>
              <w:rPr>
                <w:color w:val="auto"/>
                <w:sz w:val="20"/>
              </w:rPr>
            </w:pPr>
            <w:r w:rsidRPr="00CD1278">
              <w:rPr>
                <w:color w:val="auto"/>
                <w:sz w:val="20"/>
              </w:rPr>
              <w:t>7</w:t>
            </w:r>
            <w:r w:rsidR="00A9351D" w:rsidRPr="00CD1278">
              <w:rPr>
                <w:color w:val="auto"/>
                <w:sz w:val="20"/>
              </w:rPr>
              <w:t>,</w:t>
            </w:r>
            <w:r w:rsidRPr="00CD1278">
              <w:rPr>
                <w:color w:val="auto"/>
                <w:sz w:val="20"/>
              </w:rPr>
              <w:t>170</w:t>
            </w:r>
          </w:p>
        </w:tc>
        <w:tc>
          <w:tcPr>
            <w:tcW w:w="1240" w:type="dxa"/>
            <w:vAlign w:val="center"/>
          </w:tcPr>
          <w:p w14:paraId="50FAEDC3" w14:textId="77777777" w:rsidR="008D5F24" w:rsidRPr="00CD1278" w:rsidRDefault="008D5F24" w:rsidP="001D2F3F">
            <w:pPr>
              <w:spacing w:before="60" w:after="0"/>
              <w:jc w:val="center"/>
              <w:rPr>
                <w:color w:val="auto"/>
                <w:sz w:val="20"/>
              </w:rPr>
            </w:pPr>
            <w:r w:rsidRPr="00CD1278">
              <w:rPr>
                <w:color w:val="auto"/>
                <w:sz w:val="20"/>
              </w:rPr>
              <w:t>443</w:t>
            </w:r>
          </w:p>
        </w:tc>
      </w:tr>
    </w:tbl>
    <w:p w14:paraId="637148DA" w14:textId="77777777" w:rsidR="008D5F24" w:rsidRPr="00CD1278" w:rsidRDefault="008A048B" w:rsidP="001D2F3F">
      <w:pPr>
        <w:rPr>
          <w:color w:val="auto"/>
          <w:sz w:val="18"/>
          <w:szCs w:val="18"/>
        </w:rPr>
      </w:pPr>
      <w:r w:rsidRPr="00CD1278">
        <w:rPr>
          <w:color w:val="auto"/>
          <w:sz w:val="18"/>
          <w:szCs w:val="18"/>
        </w:rPr>
        <w:t xml:space="preserve">(a) </w:t>
      </w:r>
      <w:r w:rsidR="008D5F24" w:rsidRPr="00CD1278">
        <w:rPr>
          <w:color w:val="auto"/>
          <w:sz w:val="18"/>
          <w:szCs w:val="18"/>
        </w:rPr>
        <w:t>Additional information on stocks was reported on US EPA website, September 2006: MB inventory held by USA companies: 2004 = 12,994 tonnes; 2005 = 9,974 tonnes.</w:t>
      </w:r>
    </w:p>
    <w:p w14:paraId="6329E7B4" w14:textId="121FDBA4" w:rsidR="00215CE4" w:rsidRPr="00CD1278" w:rsidRDefault="00215CE4" w:rsidP="00EE3ECC">
      <w:pPr>
        <w:pStyle w:val="Tableheading0"/>
        <w:spacing w:before="240" w:after="120"/>
        <w:ind w:left="1077" w:right="-329" w:hanging="1077"/>
        <w:rPr>
          <w:b/>
          <w:szCs w:val="22"/>
        </w:rPr>
      </w:pPr>
      <w:r w:rsidRPr="00CD1278">
        <w:rPr>
          <w:b/>
          <w:szCs w:val="22"/>
        </w:rPr>
        <w:t>Table 1.</w:t>
      </w:r>
      <w:r w:rsidR="00751FD0" w:rsidRPr="00CD1278">
        <w:rPr>
          <w:b/>
          <w:szCs w:val="22"/>
        </w:rPr>
        <w:t>2</w:t>
      </w:r>
      <w:r w:rsidRPr="00CD1278">
        <w:rPr>
          <w:b/>
          <w:szCs w:val="22"/>
        </w:rPr>
        <w:t>. Quantities of MB ‘on hand’ at the beginning and end of 2016, as reported by Parties in</w:t>
      </w:r>
      <w:r w:rsidR="00CD6C55" w:rsidRPr="00CD1278">
        <w:rPr>
          <w:b/>
          <w:szCs w:val="22"/>
        </w:rPr>
        <w:t xml:space="preserve"> </w:t>
      </w:r>
      <w:r w:rsidRPr="00CD1278">
        <w:rPr>
          <w:b/>
          <w:szCs w:val="22"/>
        </w:rPr>
        <w:t>201</w:t>
      </w:r>
      <w:r w:rsidR="00491EF0" w:rsidRPr="00CD1278">
        <w:rPr>
          <w:b/>
          <w:szCs w:val="22"/>
        </w:rPr>
        <w:t>7</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8"/>
        <w:gridCol w:w="1395"/>
        <w:gridCol w:w="1446"/>
        <w:gridCol w:w="1701"/>
        <w:gridCol w:w="1418"/>
        <w:gridCol w:w="1134"/>
        <w:gridCol w:w="1276"/>
      </w:tblGrid>
      <w:tr w:rsidR="003C102E" w:rsidRPr="00CD1278" w14:paraId="1489ECEE" w14:textId="77777777" w:rsidTr="003C102E">
        <w:trPr>
          <w:cantSplit/>
        </w:trPr>
        <w:tc>
          <w:tcPr>
            <w:tcW w:w="1128" w:type="dxa"/>
            <w:vMerge w:val="restart"/>
            <w:vAlign w:val="center"/>
          </w:tcPr>
          <w:p w14:paraId="59AACD10" w14:textId="77777777" w:rsidR="00215CE4" w:rsidRPr="00CD1278" w:rsidRDefault="00215CE4" w:rsidP="00EE3ECC">
            <w:pPr>
              <w:tabs>
                <w:tab w:val="left" w:pos="720"/>
              </w:tabs>
              <w:autoSpaceDE w:val="0"/>
              <w:autoSpaceDN w:val="0"/>
              <w:adjustRightInd w:val="0"/>
              <w:spacing w:after="0"/>
              <w:rPr>
                <w:b/>
                <w:color w:val="auto"/>
                <w:sz w:val="20"/>
              </w:rPr>
            </w:pPr>
            <w:r w:rsidRPr="00CD1278">
              <w:rPr>
                <w:b/>
                <w:color w:val="auto"/>
                <w:sz w:val="20"/>
              </w:rPr>
              <w:t>Party</w:t>
            </w:r>
          </w:p>
        </w:tc>
        <w:tc>
          <w:tcPr>
            <w:tcW w:w="1395" w:type="dxa"/>
            <w:vMerge w:val="restart"/>
            <w:vAlign w:val="center"/>
          </w:tcPr>
          <w:p w14:paraId="2AD05E8D" w14:textId="59C37830" w:rsidR="00215CE4" w:rsidRPr="00CD1278" w:rsidRDefault="00215CE4" w:rsidP="00EE3ECC">
            <w:pPr>
              <w:tabs>
                <w:tab w:val="left" w:pos="720"/>
              </w:tabs>
              <w:autoSpaceDE w:val="0"/>
              <w:autoSpaceDN w:val="0"/>
              <w:adjustRightInd w:val="0"/>
              <w:spacing w:after="0"/>
              <w:jc w:val="center"/>
              <w:rPr>
                <w:b/>
                <w:color w:val="auto"/>
                <w:sz w:val="20"/>
              </w:rPr>
            </w:pPr>
            <w:r w:rsidRPr="00CD1278">
              <w:rPr>
                <w:b/>
                <w:color w:val="auto"/>
                <w:sz w:val="20"/>
              </w:rPr>
              <w:t>Critical use exemption authorized by MOP for 201</w:t>
            </w:r>
            <w:r w:rsidR="00491EF0" w:rsidRPr="00CD1278">
              <w:rPr>
                <w:b/>
                <w:color w:val="auto"/>
                <w:sz w:val="20"/>
              </w:rPr>
              <w:t>6</w:t>
            </w:r>
          </w:p>
        </w:tc>
        <w:tc>
          <w:tcPr>
            <w:tcW w:w="6975" w:type="dxa"/>
            <w:gridSpan w:val="5"/>
            <w:vAlign w:val="center"/>
          </w:tcPr>
          <w:p w14:paraId="16C812E7" w14:textId="77777777" w:rsidR="00215CE4" w:rsidRPr="00CD1278" w:rsidRDefault="00215CE4" w:rsidP="00EE3ECC">
            <w:pPr>
              <w:tabs>
                <w:tab w:val="left" w:pos="720"/>
              </w:tabs>
              <w:autoSpaceDE w:val="0"/>
              <w:autoSpaceDN w:val="0"/>
              <w:adjustRightInd w:val="0"/>
              <w:spacing w:after="0"/>
              <w:jc w:val="center"/>
              <w:rPr>
                <w:b/>
                <w:color w:val="auto"/>
                <w:sz w:val="20"/>
              </w:rPr>
            </w:pPr>
            <w:r w:rsidRPr="00CD1278">
              <w:rPr>
                <w:b/>
                <w:color w:val="auto"/>
                <w:sz w:val="20"/>
              </w:rPr>
              <w:t>Quantity of MB as reported by Parties (metric tonnes)</w:t>
            </w:r>
          </w:p>
        </w:tc>
      </w:tr>
      <w:tr w:rsidR="003C102E" w:rsidRPr="00CD1278" w14:paraId="73547BEE" w14:textId="77777777" w:rsidTr="003C102E">
        <w:trPr>
          <w:cantSplit/>
          <w:trHeight w:val="978"/>
        </w:trPr>
        <w:tc>
          <w:tcPr>
            <w:tcW w:w="1128" w:type="dxa"/>
            <w:vMerge/>
            <w:vAlign w:val="center"/>
          </w:tcPr>
          <w:p w14:paraId="0A53251B" w14:textId="77777777" w:rsidR="00215CE4" w:rsidRPr="00CD1278" w:rsidRDefault="00215CE4" w:rsidP="00EE3ECC">
            <w:pPr>
              <w:spacing w:after="0"/>
              <w:rPr>
                <w:b/>
                <w:color w:val="auto"/>
                <w:sz w:val="20"/>
              </w:rPr>
            </w:pPr>
          </w:p>
        </w:tc>
        <w:tc>
          <w:tcPr>
            <w:tcW w:w="1395" w:type="dxa"/>
            <w:vMerge/>
            <w:vAlign w:val="center"/>
          </w:tcPr>
          <w:p w14:paraId="32C32A97" w14:textId="77777777" w:rsidR="00215CE4" w:rsidRPr="00CD1278" w:rsidRDefault="00215CE4" w:rsidP="00EE3ECC">
            <w:pPr>
              <w:spacing w:after="0"/>
              <w:jc w:val="center"/>
              <w:rPr>
                <w:b/>
                <w:color w:val="auto"/>
                <w:sz w:val="20"/>
              </w:rPr>
            </w:pPr>
          </w:p>
        </w:tc>
        <w:tc>
          <w:tcPr>
            <w:tcW w:w="1446" w:type="dxa"/>
            <w:vAlign w:val="center"/>
          </w:tcPr>
          <w:p w14:paraId="0445BC06" w14:textId="3FB06E55" w:rsidR="00215CE4" w:rsidRPr="00CD1278" w:rsidRDefault="00215CE4" w:rsidP="00EE3ECC">
            <w:pPr>
              <w:tabs>
                <w:tab w:val="left" w:pos="720"/>
              </w:tabs>
              <w:autoSpaceDE w:val="0"/>
              <w:autoSpaceDN w:val="0"/>
              <w:adjustRightInd w:val="0"/>
              <w:spacing w:after="0"/>
              <w:jc w:val="center"/>
              <w:rPr>
                <w:b/>
                <w:color w:val="auto"/>
                <w:sz w:val="20"/>
              </w:rPr>
            </w:pPr>
            <w:r w:rsidRPr="00CD1278">
              <w:rPr>
                <w:b/>
                <w:color w:val="auto"/>
                <w:sz w:val="20"/>
              </w:rPr>
              <w:t>Amount on hand at start of 201</w:t>
            </w:r>
            <w:r w:rsidR="00491EF0" w:rsidRPr="00CD1278">
              <w:rPr>
                <w:b/>
                <w:color w:val="auto"/>
                <w:sz w:val="20"/>
              </w:rPr>
              <w:t>6</w:t>
            </w:r>
          </w:p>
        </w:tc>
        <w:tc>
          <w:tcPr>
            <w:tcW w:w="1701" w:type="dxa"/>
            <w:vAlign w:val="center"/>
          </w:tcPr>
          <w:p w14:paraId="024AEB81" w14:textId="12D01C5B" w:rsidR="00215CE4" w:rsidRPr="00CD1278" w:rsidRDefault="00EE3ECC" w:rsidP="00391519">
            <w:pPr>
              <w:tabs>
                <w:tab w:val="left" w:pos="720"/>
              </w:tabs>
              <w:autoSpaceDE w:val="0"/>
              <w:autoSpaceDN w:val="0"/>
              <w:adjustRightInd w:val="0"/>
              <w:spacing w:after="0"/>
              <w:jc w:val="center"/>
              <w:rPr>
                <w:b/>
                <w:color w:val="auto"/>
                <w:sz w:val="20"/>
              </w:rPr>
            </w:pPr>
            <w:r w:rsidRPr="00CD1278">
              <w:rPr>
                <w:b/>
                <w:color w:val="auto"/>
                <w:sz w:val="20"/>
              </w:rPr>
              <w:t>A</w:t>
            </w:r>
            <w:r w:rsidR="00215CE4" w:rsidRPr="00CD1278">
              <w:rPr>
                <w:b/>
                <w:color w:val="auto"/>
                <w:sz w:val="20"/>
              </w:rPr>
              <w:t>cquired for CUEs in 201</w:t>
            </w:r>
            <w:r w:rsidR="00491EF0" w:rsidRPr="00CD1278">
              <w:rPr>
                <w:b/>
                <w:color w:val="auto"/>
                <w:sz w:val="20"/>
              </w:rPr>
              <w:t>6</w:t>
            </w:r>
            <w:r w:rsidR="00215CE4" w:rsidRPr="00CD1278">
              <w:rPr>
                <w:b/>
                <w:color w:val="auto"/>
                <w:sz w:val="20"/>
              </w:rPr>
              <w:t xml:space="preserve"> (prod</w:t>
            </w:r>
            <w:r w:rsidR="00391519" w:rsidRPr="00CD1278">
              <w:rPr>
                <w:b/>
                <w:color w:val="auto"/>
                <w:sz w:val="20"/>
              </w:rPr>
              <w:t>.</w:t>
            </w:r>
            <w:r w:rsidR="00215CE4" w:rsidRPr="00CD1278">
              <w:rPr>
                <w:b/>
                <w:color w:val="auto"/>
                <w:sz w:val="20"/>
              </w:rPr>
              <w:t>+imports)</w:t>
            </w:r>
          </w:p>
        </w:tc>
        <w:tc>
          <w:tcPr>
            <w:tcW w:w="1418" w:type="dxa"/>
            <w:vAlign w:val="center"/>
          </w:tcPr>
          <w:p w14:paraId="0F39659E" w14:textId="2B2106CF" w:rsidR="00215CE4" w:rsidRPr="00CD1278" w:rsidRDefault="00215CE4" w:rsidP="00EE3ECC">
            <w:pPr>
              <w:tabs>
                <w:tab w:val="left" w:pos="720"/>
              </w:tabs>
              <w:autoSpaceDE w:val="0"/>
              <w:autoSpaceDN w:val="0"/>
              <w:adjustRightInd w:val="0"/>
              <w:spacing w:after="0"/>
              <w:jc w:val="center"/>
              <w:rPr>
                <w:b/>
                <w:color w:val="auto"/>
                <w:sz w:val="20"/>
              </w:rPr>
            </w:pPr>
            <w:r w:rsidRPr="00CD1278">
              <w:rPr>
                <w:b/>
                <w:color w:val="auto"/>
                <w:sz w:val="20"/>
              </w:rPr>
              <w:t>Amount available for use in 201</w:t>
            </w:r>
            <w:r w:rsidR="00491EF0" w:rsidRPr="00CD1278">
              <w:rPr>
                <w:b/>
                <w:color w:val="auto"/>
                <w:sz w:val="20"/>
              </w:rPr>
              <w:t>6</w:t>
            </w:r>
          </w:p>
        </w:tc>
        <w:tc>
          <w:tcPr>
            <w:tcW w:w="1134" w:type="dxa"/>
            <w:vAlign w:val="center"/>
          </w:tcPr>
          <w:p w14:paraId="27FC2942" w14:textId="2CCA5973" w:rsidR="00215CE4" w:rsidRPr="00CD1278" w:rsidRDefault="00391519" w:rsidP="00EE3ECC">
            <w:pPr>
              <w:tabs>
                <w:tab w:val="left" w:pos="720"/>
              </w:tabs>
              <w:autoSpaceDE w:val="0"/>
              <w:autoSpaceDN w:val="0"/>
              <w:adjustRightInd w:val="0"/>
              <w:spacing w:after="0"/>
              <w:jc w:val="center"/>
              <w:rPr>
                <w:b/>
                <w:color w:val="auto"/>
                <w:sz w:val="20"/>
              </w:rPr>
            </w:pPr>
            <w:r w:rsidRPr="00CD1278">
              <w:rPr>
                <w:b/>
                <w:color w:val="auto"/>
                <w:sz w:val="20"/>
              </w:rPr>
              <w:t>U</w:t>
            </w:r>
            <w:r w:rsidR="00215CE4" w:rsidRPr="00CD1278">
              <w:rPr>
                <w:b/>
                <w:color w:val="auto"/>
                <w:sz w:val="20"/>
              </w:rPr>
              <w:t>sed for CUEs in 201</w:t>
            </w:r>
            <w:r w:rsidR="00491EF0" w:rsidRPr="00CD1278">
              <w:rPr>
                <w:b/>
                <w:color w:val="auto"/>
                <w:sz w:val="20"/>
              </w:rPr>
              <w:t>6</w:t>
            </w:r>
          </w:p>
        </w:tc>
        <w:tc>
          <w:tcPr>
            <w:tcW w:w="1276" w:type="dxa"/>
            <w:vAlign w:val="center"/>
          </w:tcPr>
          <w:p w14:paraId="0FC77EB4" w14:textId="156E9406" w:rsidR="00215CE4" w:rsidRPr="00CD1278" w:rsidRDefault="00215CE4" w:rsidP="00EE3ECC">
            <w:pPr>
              <w:tabs>
                <w:tab w:val="left" w:pos="720"/>
              </w:tabs>
              <w:autoSpaceDE w:val="0"/>
              <w:autoSpaceDN w:val="0"/>
              <w:adjustRightInd w:val="0"/>
              <w:spacing w:after="0"/>
              <w:jc w:val="center"/>
              <w:rPr>
                <w:b/>
                <w:color w:val="auto"/>
                <w:sz w:val="20"/>
              </w:rPr>
            </w:pPr>
            <w:r w:rsidRPr="00CD1278">
              <w:rPr>
                <w:b/>
                <w:color w:val="auto"/>
                <w:sz w:val="20"/>
              </w:rPr>
              <w:t>Amount on hand at the end of 201</w:t>
            </w:r>
            <w:r w:rsidR="00491EF0" w:rsidRPr="00CD1278">
              <w:rPr>
                <w:b/>
                <w:color w:val="auto"/>
                <w:sz w:val="20"/>
              </w:rPr>
              <w:t>6</w:t>
            </w:r>
          </w:p>
        </w:tc>
      </w:tr>
      <w:tr w:rsidR="003C102E" w:rsidRPr="00CD1278" w14:paraId="073DAFBD" w14:textId="77777777" w:rsidTr="003C102E">
        <w:tc>
          <w:tcPr>
            <w:tcW w:w="1128" w:type="dxa"/>
          </w:tcPr>
          <w:p w14:paraId="0B2350AD" w14:textId="77777777" w:rsidR="00BE0008" w:rsidRPr="00CD1278" w:rsidRDefault="00BE0008" w:rsidP="00EE3ECC">
            <w:pPr>
              <w:tabs>
                <w:tab w:val="left" w:pos="720"/>
              </w:tabs>
              <w:spacing w:before="40" w:afterLines="40" w:after="96"/>
              <w:rPr>
                <w:color w:val="auto"/>
                <w:sz w:val="20"/>
              </w:rPr>
            </w:pPr>
            <w:r w:rsidRPr="00CD1278">
              <w:rPr>
                <w:color w:val="auto"/>
                <w:sz w:val="20"/>
              </w:rPr>
              <w:t>Australia</w:t>
            </w:r>
          </w:p>
        </w:tc>
        <w:tc>
          <w:tcPr>
            <w:tcW w:w="1395" w:type="dxa"/>
            <w:vAlign w:val="center"/>
          </w:tcPr>
          <w:p w14:paraId="64DAB006" w14:textId="68C9E44C" w:rsidR="00BE0008" w:rsidRPr="00CD1278" w:rsidRDefault="00BE0008" w:rsidP="00EE3ECC">
            <w:pPr>
              <w:tabs>
                <w:tab w:val="left" w:pos="720"/>
              </w:tabs>
              <w:spacing w:before="40" w:afterLines="40" w:after="96"/>
              <w:jc w:val="center"/>
              <w:rPr>
                <w:color w:val="auto"/>
                <w:sz w:val="20"/>
              </w:rPr>
            </w:pPr>
            <w:r w:rsidRPr="00CD1278">
              <w:rPr>
                <w:color w:val="auto"/>
                <w:sz w:val="20"/>
              </w:rPr>
              <w:t>29.7</w:t>
            </w:r>
            <w:r w:rsidR="00D329CD" w:rsidRPr="00CD1278">
              <w:rPr>
                <w:color w:val="auto"/>
                <w:sz w:val="20"/>
              </w:rPr>
              <w:t>6</w:t>
            </w:r>
          </w:p>
        </w:tc>
        <w:tc>
          <w:tcPr>
            <w:tcW w:w="1446" w:type="dxa"/>
            <w:vAlign w:val="center"/>
          </w:tcPr>
          <w:p w14:paraId="349FB258" w14:textId="75727F53" w:rsidR="00BE0008" w:rsidRPr="00CD1278" w:rsidRDefault="00BE0008" w:rsidP="00EE3ECC">
            <w:pPr>
              <w:tabs>
                <w:tab w:val="left" w:pos="720"/>
              </w:tabs>
              <w:spacing w:before="40" w:afterLines="40" w:after="96"/>
              <w:jc w:val="center"/>
              <w:rPr>
                <w:color w:val="auto"/>
                <w:sz w:val="20"/>
              </w:rPr>
            </w:pPr>
            <w:r w:rsidRPr="00CD1278">
              <w:rPr>
                <w:color w:val="auto"/>
                <w:sz w:val="20"/>
              </w:rPr>
              <w:t>0</w:t>
            </w:r>
          </w:p>
        </w:tc>
        <w:tc>
          <w:tcPr>
            <w:tcW w:w="1701" w:type="dxa"/>
            <w:vAlign w:val="center"/>
          </w:tcPr>
          <w:p w14:paraId="6D899D7A" w14:textId="394A40DF" w:rsidR="00BE0008" w:rsidRPr="00CD1278" w:rsidRDefault="00BE0008" w:rsidP="00EE3ECC">
            <w:pPr>
              <w:tabs>
                <w:tab w:val="left" w:pos="720"/>
              </w:tabs>
              <w:spacing w:before="40" w:afterLines="40" w:after="96"/>
              <w:jc w:val="center"/>
              <w:rPr>
                <w:color w:val="auto"/>
                <w:sz w:val="20"/>
              </w:rPr>
            </w:pPr>
            <w:r w:rsidRPr="00CD1278">
              <w:rPr>
                <w:color w:val="auto"/>
                <w:sz w:val="20"/>
              </w:rPr>
              <w:t>29.75</w:t>
            </w:r>
          </w:p>
        </w:tc>
        <w:tc>
          <w:tcPr>
            <w:tcW w:w="1418" w:type="dxa"/>
            <w:vAlign w:val="center"/>
          </w:tcPr>
          <w:p w14:paraId="536B4469" w14:textId="70A78A05" w:rsidR="00BE0008" w:rsidRPr="00CD1278" w:rsidRDefault="00BE0008" w:rsidP="00EE3ECC">
            <w:pPr>
              <w:tabs>
                <w:tab w:val="left" w:pos="720"/>
              </w:tabs>
              <w:spacing w:before="40" w:afterLines="40" w:after="96"/>
              <w:jc w:val="center"/>
              <w:rPr>
                <w:color w:val="auto"/>
                <w:sz w:val="20"/>
              </w:rPr>
            </w:pPr>
            <w:r w:rsidRPr="00CD1278">
              <w:rPr>
                <w:color w:val="auto"/>
                <w:sz w:val="20"/>
              </w:rPr>
              <w:t>29.75</w:t>
            </w:r>
          </w:p>
        </w:tc>
        <w:tc>
          <w:tcPr>
            <w:tcW w:w="1134" w:type="dxa"/>
            <w:vAlign w:val="center"/>
          </w:tcPr>
          <w:p w14:paraId="552C49FC" w14:textId="6666C7F1" w:rsidR="00BE0008" w:rsidRPr="00CD1278" w:rsidRDefault="00BE0008" w:rsidP="00EE3ECC">
            <w:pPr>
              <w:tabs>
                <w:tab w:val="left" w:pos="720"/>
              </w:tabs>
              <w:spacing w:before="40" w:afterLines="40" w:after="96"/>
              <w:jc w:val="center"/>
              <w:rPr>
                <w:color w:val="auto"/>
                <w:sz w:val="20"/>
              </w:rPr>
            </w:pPr>
            <w:r w:rsidRPr="00CD1278">
              <w:rPr>
                <w:color w:val="auto"/>
                <w:sz w:val="20"/>
              </w:rPr>
              <w:t>29.75</w:t>
            </w:r>
          </w:p>
        </w:tc>
        <w:tc>
          <w:tcPr>
            <w:tcW w:w="1276" w:type="dxa"/>
            <w:vAlign w:val="center"/>
          </w:tcPr>
          <w:p w14:paraId="1F1F1A39" w14:textId="10115892" w:rsidR="00BE0008" w:rsidRPr="00CD1278" w:rsidRDefault="00BE0008" w:rsidP="00EE3ECC">
            <w:pPr>
              <w:tabs>
                <w:tab w:val="left" w:pos="720"/>
              </w:tabs>
              <w:spacing w:before="40" w:afterLines="40" w:after="96"/>
              <w:jc w:val="center"/>
              <w:rPr>
                <w:color w:val="auto"/>
                <w:sz w:val="20"/>
              </w:rPr>
            </w:pPr>
            <w:r w:rsidRPr="00CD1278">
              <w:rPr>
                <w:color w:val="auto"/>
                <w:sz w:val="20"/>
              </w:rPr>
              <w:t>0</w:t>
            </w:r>
          </w:p>
        </w:tc>
      </w:tr>
      <w:tr w:rsidR="003C102E" w:rsidRPr="00CD1278" w14:paraId="2618D3A2" w14:textId="77777777" w:rsidTr="003C102E">
        <w:tc>
          <w:tcPr>
            <w:tcW w:w="1128" w:type="dxa"/>
          </w:tcPr>
          <w:p w14:paraId="648B8D85" w14:textId="77777777" w:rsidR="00BE0008" w:rsidRPr="00CD1278" w:rsidRDefault="00BE0008" w:rsidP="00EE3ECC">
            <w:pPr>
              <w:tabs>
                <w:tab w:val="left" w:pos="720"/>
              </w:tabs>
              <w:spacing w:before="40" w:afterLines="40" w:after="96"/>
              <w:rPr>
                <w:color w:val="auto"/>
                <w:sz w:val="20"/>
              </w:rPr>
            </w:pPr>
            <w:r w:rsidRPr="00CD1278">
              <w:rPr>
                <w:color w:val="auto"/>
                <w:sz w:val="20"/>
              </w:rPr>
              <w:t>Canada</w:t>
            </w:r>
          </w:p>
        </w:tc>
        <w:tc>
          <w:tcPr>
            <w:tcW w:w="1395" w:type="dxa"/>
            <w:vAlign w:val="center"/>
          </w:tcPr>
          <w:p w14:paraId="58C1196E" w14:textId="24F6C838" w:rsidR="00BE0008" w:rsidRPr="00CD1278" w:rsidRDefault="00BE0008" w:rsidP="00EE3ECC">
            <w:pPr>
              <w:tabs>
                <w:tab w:val="left" w:pos="720"/>
              </w:tabs>
              <w:spacing w:before="40" w:afterLines="40" w:after="96"/>
              <w:jc w:val="center"/>
              <w:rPr>
                <w:color w:val="auto"/>
                <w:sz w:val="20"/>
              </w:rPr>
            </w:pPr>
            <w:r w:rsidRPr="00CD1278">
              <w:rPr>
                <w:color w:val="auto"/>
                <w:sz w:val="20"/>
              </w:rPr>
              <w:t>5.261</w:t>
            </w:r>
          </w:p>
        </w:tc>
        <w:tc>
          <w:tcPr>
            <w:tcW w:w="1446" w:type="dxa"/>
            <w:vAlign w:val="center"/>
          </w:tcPr>
          <w:p w14:paraId="02F9834E" w14:textId="448B97C7" w:rsidR="00BE0008" w:rsidRPr="00CD1278" w:rsidRDefault="00BE0008" w:rsidP="00EE3ECC">
            <w:pPr>
              <w:tabs>
                <w:tab w:val="left" w:pos="720"/>
              </w:tabs>
              <w:spacing w:before="40" w:afterLines="40" w:after="96"/>
              <w:jc w:val="center"/>
              <w:rPr>
                <w:color w:val="auto"/>
                <w:sz w:val="20"/>
              </w:rPr>
            </w:pPr>
            <w:r w:rsidRPr="00CD1278">
              <w:rPr>
                <w:color w:val="auto"/>
                <w:sz w:val="20"/>
              </w:rPr>
              <w:t>1.349</w:t>
            </w:r>
          </w:p>
        </w:tc>
        <w:tc>
          <w:tcPr>
            <w:tcW w:w="1701" w:type="dxa"/>
            <w:vAlign w:val="center"/>
          </w:tcPr>
          <w:p w14:paraId="392F01DB" w14:textId="047FA1B9" w:rsidR="00BE0008" w:rsidRPr="00CD1278" w:rsidRDefault="00BE0008" w:rsidP="00EE3ECC">
            <w:pPr>
              <w:tabs>
                <w:tab w:val="left" w:pos="720"/>
              </w:tabs>
              <w:spacing w:before="40" w:afterLines="40" w:after="96"/>
              <w:jc w:val="center"/>
              <w:rPr>
                <w:color w:val="auto"/>
                <w:sz w:val="20"/>
              </w:rPr>
            </w:pPr>
            <w:r w:rsidRPr="00CD1278">
              <w:rPr>
                <w:color w:val="auto"/>
                <w:sz w:val="20"/>
              </w:rPr>
              <w:t>4.349</w:t>
            </w:r>
          </w:p>
        </w:tc>
        <w:tc>
          <w:tcPr>
            <w:tcW w:w="1418" w:type="dxa"/>
            <w:vAlign w:val="center"/>
          </w:tcPr>
          <w:p w14:paraId="5B670314" w14:textId="2F6BF107" w:rsidR="00BE0008" w:rsidRPr="00CD1278" w:rsidRDefault="00BE0008" w:rsidP="00EE3ECC">
            <w:pPr>
              <w:tabs>
                <w:tab w:val="left" w:pos="720"/>
              </w:tabs>
              <w:spacing w:before="40" w:afterLines="40" w:after="96"/>
              <w:jc w:val="center"/>
              <w:rPr>
                <w:color w:val="auto"/>
                <w:sz w:val="20"/>
              </w:rPr>
            </w:pPr>
            <w:r w:rsidRPr="00CD1278">
              <w:rPr>
                <w:color w:val="auto"/>
                <w:sz w:val="20"/>
              </w:rPr>
              <w:t>5.598</w:t>
            </w:r>
          </w:p>
        </w:tc>
        <w:tc>
          <w:tcPr>
            <w:tcW w:w="1134" w:type="dxa"/>
            <w:vAlign w:val="center"/>
          </w:tcPr>
          <w:p w14:paraId="19EE02EA" w14:textId="5B0A6392" w:rsidR="00BE0008" w:rsidRPr="00CD1278" w:rsidRDefault="00BE0008" w:rsidP="00EE3ECC">
            <w:pPr>
              <w:tabs>
                <w:tab w:val="left" w:pos="720"/>
              </w:tabs>
              <w:spacing w:before="40" w:afterLines="40" w:after="96"/>
              <w:jc w:val="center"/>
              <w:rPr>
                <w:color w:val="auto"/>
                <w:sz w:val="20"/>
              </w:rPr>
            </w:pPr>
            <w:r w:rsidRPr="00CD1278">
              <w:rPr>
                <w:color w:val="auto"/>
                <w:sz w:val="20"/>
              </w:rPr>
              <w:t>4.844</w:t>
            </w:r>
          </w:p>
        </w:tc>
        <w:tc>
          <w:tcPr>
            <w:tcW w:w="1276" w:type="dxa"/>
            <w:vAlign w:val="center"/>
          </w:tcPr>
          <w:p w14:paraId="5AF28D05" w14:textId="565C7468" w:rsidR="00BE0008" w:rsidRPr="00CD1278" w:rsidRDefault="00BE0008" w:rsidP="00EE3ECC">
            <w:pPr>
              <w:tabs>
                <w:tab w:val="left" w:pos="720"/>
              </w:tabs>
              <w:spacing w:before="40" w:afterLines="40" w:after="96"/>
              <w:jc w:val="center"/>
              <w:rPr>
                <w:color w:val="auto"/>
                <w:sz w:val="20"/>
              </w:rPr>
            </w:pPr>
            <w:r w:rsidRPr="00CD1278">
              <w:rPr>
                <w:color w:val="auto"/>
                <w:sz w:val="20"/>
              </w:rPr>
              <w:t>0.8</w:t>
            </w:r>
            <w:r w:rsidR="001D2F3F" w:rsidRPr="00CD1278">
              <w:rPr>
                <w:color w:val="auto"/>
                <w:sz w:val="20"/>
              </w:rPr>
              <w:t>5</w:t>
            </w:r>
            <w:r w:rsidRPr="00CD1278">
              <w:rPr>
                <w:color w:val="auto"/>
                <w:sz w:val="20"/>
              </w:rPr>
              <w:t>4</w:t>
            </w:r>
          </w:p>
        </w:tc>
      </w:tr>
      <w:tr w:rsidR="003C102E" w:rsidRPr="00CD1278" w14:paraId="14CB1559" w14:textId="77777777" w:rsidTr="003C102E">
        <w:tc>
          <w:tcPr>
            <w:tcW w:w="1128" w:type="dxa"/>
            <w:vAlign w:val="center"/>
          </w:tcPr>
          <w:p w14:paraId="217BA706" w14:textId="7E8ED43A" w:rsidR="00BE0008" w:rsidRPr="00CD1278" w:rsidRDefault="00BE0008" w:rsidP="00EE3ECC">
            <w:pPr>
              <w:tabs>
                <w:tab w:val="left" w:pos="720"/>
              </w:tabs>
              <w:spacing w:before="40" w:afterLines="40" w:after="96"/>
              <w:rPr>
                <w:color w:val="auto"/>
                <w:sz w:val="20"/>
              </w:rPr>
            </w:pPr>
            <w:r w:rsidRPr="00CD1278">
              <w:rPr>
                <w:color w:val="auto"/>
                <w:sz w:val="20"/>
              </w:rPr>
              <w:t>Argentina</w:t>
            </w:r>
          </w:p>
        </w:tc>
        <w:tc>
          <w:tcPr>
            <w:tcW w:w="1395" w:type="dxa"/>
            <w:vAlign w:val="center"/>
          </w:tcPr>
          <w:p w14:paraId="1FC35B5C" w14:textId="389291D4" w:rsidR="00BE0008" w:rsidRPr="00CD1278" w:rsidRDefault="00D329CD" w:rsidP="00EE3ECC">
            <w:pPr>
              <w:tabs>
                <w:tab w:val="left" w:pos="720"/>
              </w:tabs>
              <w:spacing w:before="40" w:afterLines="40" w:after="96"/>
              <w:jc w:val="center"/>
              <w:rPr>
                <w:color w:val="auto"/>
                <w:sz w:val="20"/>
              </w:rPr>
            </w:pPr>
            <w:r w:rsidRPr="00CD1278">
              <w:rPr>
                <w:color w:val="auto"/>
                <w:sz w:val="20"/>
              </w:rPr>
              <w:t>129.25</w:t>
            </w:r>
          </w:p>
        </w:tc>
        <w:tc>
          <w:tcPr>
            <w:tcW w:w="1446" w:type="dxa"/>
            <w:vAlign w:val="center"/>
          </w:tcPr>
          <w:p w14:paraId="2494AB85" w14:textId="7CED9657" w:rsidR="00BE0008" w:rsidRPr="00CD1278" w:rsidRDefault="00F0356C" w:rsidP="00EE3ECC">
            <w:pPr>
              <w:tabs>
                <w:tab w:val="left" w:pos="720"/>
              </w:tabs>
              <w:spacing w:before="40" w:afterLines="40" w:after="96"/>
              <w:jc w:val="center"/>
              <w:rPr>
                <w:color w:val="auto"/>
                <w:sz w:val="20"/>
              </w:rPr>
            </w:pPr>
            <w:r w:rsidRPr="00CD1278">
              <w:rPr>
                <w:color w:val="auto"/>
                <w:sz w:val="20"/>
              </w:rPr>
              <w:t>0</w:t>
            </w:r>
          </w:p>
        </w:tc>
        <w:tc>
          <w:tcPr>
            <w:tcW w:w="1701" w:type="dxa"/>
            <w:vAlign w:val="center"/>
          </w:tcPr>
          <w:p w14:paraId="7684D1A6" w14:textId="41AD9525" w:rsidR="00BE0008" w:rsidRPr="00CD1278" w:rsidRDefault="00F0356C" w:rsidP="00EE3ECC">
            <w:pPr>
              <w:tabs>
                <w:tab w:val="left" w:pos="720"/>
              </w:tabs>
              <w:spacing w:before="40" w:afterLines="40" w:after="96"/>
              <w:jc w:val="center"/>
              <w:rPr>
                <w:color w:val="auto"/>
                <w:sz w:val="20"/>
              </w:rPr>
            </w:pPr>
            <w:r w:rsidRPr="00CD1278">
              <w:rPr>
                <w:color w:val="auto"/>
                <w:sz w:val="20"/>
              </w:rPr>
              <w:t>129.15</w:t>
            </w:r>
          </w:p>
        </w:tc>
        <w:tc>
          <w:tcPr>
            <w:tcW w:w="1418" w:type="dxa"/>
            <w:vAlign w:val="center"/>
          </w:tcPr>
          <w:p w14:paraId="606BC051" w14:textId="3B3F8AED" w:rsidR="00BE0008" w:rsidRPr="00CD1278" w:rsidRDefault="00F0356C" w:rsidP="00EE3ECC">
            <w:pPr>
              <w:tabs>
                <w:tab w:val="left" w:pos="720"/>
              </w:tabs>
              <w:spacing w:before="40" w:afterLines="40" w:after="96"/>
              <w:jc w:val="center"/>
              <w:rPr>
                <w:color w:val="auto"/>
                <w:sz w:val="20"/>
              </w:rPr>
            </w:pPr>
            <w:r w:rsidRPr="00CD1278">
              <w:rPr>
                <w:color w:val="auto"/>
                <w:sz w:val="20"/>
              </w:rPr>
              <w:t>129.15</w:t>
            </w:r>
          </w:p>
        </w:tc>
        <w:tc>
          <w:tcPr>
            <w:tcW w:w="1134" w:type="dxa"/>
            <w:vAlign w:val="center"/>
          </w:tcPr>
          <w:p w14:paraId="20BDDCBD" w14:textId="0FC181D0" w:rsidR="00BE0008" w:rsidRPr="00CD1278" w:rsidRDefault="00F0356C" w:rsidP="00EE3ECC">
            <w:pPr>
              <w:tabs>
                <w:tab w:val="left" w:pos="720"/>
              </w:tabs>
              <w:spacing w:before="40" w:afterLines="40" w:after="96"/>
              <w:jc w:val="center"/>
              <w:rPr>
                <w:color w:val="auto"/>
                <w:sz w:val="20"/>
              </w:rPr>
            </w:pPr>
            <w:r w:rsidRPr="00CD1278">
              <w:rPr>
                <w:color w:val="auto"/>
                <w:sz w:val="20"/>
              </w:rPr>
              <w:t>129.15</w:t>
            </w:r>
          </w:p>
        </w:tc>
        <w:tc>
          <w:tcPr>
            <w:tcW w:w="1276" w:type="dxa"/>
            <w:vAlign w:val="center"/>
          </w:tcPr>
          <w:p w14:paraId="2EC9F50F" w14:textId="0D9DC8A1" w:rsidR="00BE0008" w:rsidRPr="00CD1278" w:rsidRDefault="00F0356C" w:rsidP="00EE3ECC">
            <w:pPr>
              <w:tabs>
                <w:tab w:val="left" w:pos="720"/>
              </w:tabs>
              <w:spacing w:before="40" w:afterLines="40" w:after="96"/>
              <w:jc w:val="center"/>
              <w:rPr>
                <w:color w:val="auto"/>
                <w:sz w:val="20"/>
              </w:rPr>
            </w:pPr>
            <w:r w:rsidRPr="00CD1278">
              <w:rPr>
                <w:color w:val="auto"/>
                <w:sz w:val="20"/>
              </w:rPr>
              <w:t>0</w:t>
            </w:r>
          </w:p>
        </w:tc>
      </w:tr>
      <w:tr w:rsidR="003C102E" w:rsidRPr="00CD1278" w14:paraId="31BB7E4F" w14:textId="77777777" w:rsidTr="003C102E">
        <w:tc>
          <w:tcPr>
            <w:tcW w:w="1128" w:type="dxa"/>
            <w:vAlign w:val="center"/>
          </w:tcPr>
          <w:p w14:paraId="4DFEA317" w14:textId="354F9AE4" w:rsidR="00BE0008" w:rsidRPr="00CD1278" w:rsidRDefault="00BE0008" w:rsidP="00EE3ECC">
            <w:pPr>
              <w:tabs>
                <w:tab w:val="left" w:pos="720"/>
              </w:tabs>
              <w:spacing w:before="40" w:afterLines="40" w:after="96"/>
              <w:rPr>
                <w:color w:val="auto"/>
                <w:sz w:val="20"/>
              </w:rPr>
            </w:pPr>
            <w:r w:rsidRPr="00CD1278">
              <w:rPr>
                <w:color w:val="auto"/>
                <w:sz w:val="20"/>
              </w:rPr>
              <w:t>China</w:t>
            </w:r>
          </w:p>
        </w:tc>
        <w:tc>
          <w:tcPr>
            <w:tcW w:w="1395" w:type="dxa"/>
            <w:vAlign w:val="center"/>
          </w:tcPr>
          <w:p w14:paraId="3CC38631" w14:textId="3AAAE396" w:rsidR="00BE0008" w:rsidRPr="00CD1278" w:rsidRDefault="00D329CD" w:rsidP="00EE3ECC">
            <w:pPr>
              <w:tabs>
                <w:tab w:val="left" w:pos="720"/>
              </w:tabs>
              <w:spacing w:before="40" w:afterLines="40" w:after="96"/>
              <w:jc w:val="center"/>
              <w:rPr>
                <w:color w:val="auto"/>
                <w:sz w:val="20"/>
              </w:rPr>
            </w:pPr>
            <w:r w:rsidRPr="00CD1278">
              <w:rPr>
                <w:color w:val="auto"/>
                <w:sz w:val="20"/>
              </w:rPr>
              <w:t>99.75</w:t>
            </w:r>
          </w:p>
        </w:tc>
        <w:tc>
          <w:tcPr>
            <w:tcW w:w="1446" w:type="dxa"/>
            <w:vAlign w:val="center"/>
          </w:tcPr>
          <w:p w14:paraId="33FFE1AA" w14:textId="5554D5DF" w:rsidR="00BE0008" w:rsidRPr="00CD1278" w:rsidRDefault="00BE0008" w:rsidP="00EE3ECC">
            <w:pPr>
              <w:tabs>
                <w:tab w:val="left" w:pos="720"/>
              </w:tabs>
              <w:spacing w:before="40" w:afterLines="40" w:after="96"/>
              <w:jc w:val="center"/>
              <w:rPr>
                <w:color w:val="auto"/>
                <w:sz w:val="20"/>
              </w:rPr>
            </w:pPr>
            <w:r w:rsidRPr="00CD1278">
              <w:rPr>
                <w:color w:val="auto"/>
                <w:sz w:val="20"/>
              </w:rPr>
              <w:t>0</w:t>
            </w:r>
          </w:p>
        </w:tc>
        <w:tc>
          <w:tcPr>
            <w:tcW w:w="1701" w:type="dxa"/>
            <w:vAlign w:val="center"/>
          </w:tcPr>
          <w:p w14:paraId="7A8104C1" w14:textId="25678C4D" w:rsidR="00BE0008" w:rsidRPr="00CD1278" w:rsidRDefault="00BE0008" w:rsidP="00EE3ECC">
            <w:pPr>
              <w:tabs>
                <w:tab w:val="left" w:pos="720"/>
              </w:tabs>
              <w:spacing w:before="40" w:afterLines="40" w:after="96"/>
              <w:jc w:val="center"/>
              <w:rPr>
                <w:color w:val="auto"/>
                <w:sz w:val="20"/>
              </w:rPr>
            </w:pPr>
            <w:r w:rsidRPr="00CD1278">
              <w:rPr>
                <w:color w:val="auto"/>
                <w:sz w:val="20"/>
              </w:rPr>
              <w:t>99.75</w:t>
            </w:r>
          </w:p>
        </w:tc>
        <w:tc>
          <w:tcPr>
            <w:tcW w:w="1418" w:type="dxa"/>
            <w:vAlign w:val="center"/>
          </w:tcPr>
          <w:p w14:paraId="42A063B0" w14:textId="107E3B9E" w:rsidR="00BE0008" w:rsidRPr="00CD1278" w:rsidRDefault="00BE0008" w:rsidP="00EE3ECC">
            <w:pPr>
              <w:tabs>
                <w:tab w:val="left" w:pos="720"/>
              </w:tabs>
              <w:spacing w:before="40" w:afterLines="40" w:after="96"/>
              <w:jc w:val="center"/>
              <w:rPr>
                <w:color w:val="auto"/>
                <w:sz w:val="20"/>
              </w:rPr>
            </w:pPr>
            <w:r w:rsidRPr="00CD1278">
              <w:rPr>
                <w:color w:val="auto"/>
                <w:sz w:val="20"/>
              </w:rPr>
              <w:t>99.75</w:t>
            </w:r>
          </w:p>
        </w:tc>
        <w:tc>
          <w:tcPr>
            <w:tcW w:w="1134" w:type="dxa"/>
            <w:vAlign w:val="center"/>
          </w:tcPr>
          <w:p w14:paraId="1E1D2F48" w14:textId="55C1E77A" w:rsidR="00BE0008" w:rsidRPr="00CD1278" w:rsidRDefault="00BE0008" w:rsidP="00EE3ECC">
            <w:pPr>
              <w:tabs>
                <w:tab w:val="left" w:pos="720"/>
              </w:tabs>
              <w:spacing w:before="40" w:afterLines="40" w:after="96"/>
              <w:jc w:val="center"/>
              <w:rPr>
                <w:color w:val="auto"/>
                <w:sz w:val="20"/>
              </w:rPr>
            </w:pPr>
            <w:r w:rsidRPr="00CD1278">
              <w:rPr>
                <w:color w:val="auto"/>
                <w:sz w:val="20"/>
              </w:rPr>
              <w:t>99.75</w:t>
            </w:r>
          </w:p>
        </w:tc>
        <w:tc>
          <w:tcPr>
            <w:tcW w:w="1276" w:type="dxa"/>
            <w:vAlign w:val="center"/>
          </w:tcPr>
          <w:p w14:paraId="60AB968D" w14:textId="0ADA0D50" w:rsidR="00BE0008" w:rsidRPr="00CD1278" w:rsidRDefault="00BE0008" w:rsidP="00EE3ECC">
            <w:pPr>
              <w:tabs>
                <w:tab w:val="left" w:pos="720"/>
              </w:tabs>
              <w:spacing w:before="40" w:afterLines="40" w:after="96"/>
              <w:jc w:val="center"/>
              <w:rPr>
                <w:color w:val="auto"/>
                <w:sz w:val="20"/>
              </w:rPr>
            </w:pPr>
            <w:r w:rsidRPr="00CD1278">
              <w:rPr>
                <w:color w:val="auto"/>
                <w:sz w:val="20"/>
              </w:rPr>
              <w:t>0</w:t>
            </w:r>
          </w:p>
        </w:tc>
      </w:tr>
      <w:tr w:rsidR="003C102E" w:rsidRPr="00CD1278" w14:paraId="7B58D049" w14:textId="77777777" w:rsidTr="003C102E">
        <w:tc>
          <w:tcPr>
            <w:tcW w:w="1128" w:type="dxa"/>
            <w:vAlign w:val="center"/>
          </w:tcPr>
          <w:p w14:paraId="7C6DD5B8" w14:textId="23F6B172" w:rsidR="00BE0008" w:rsidRPr="00CD1278" w:rsidRDefault="00BE0008" w:rsidP="00EE3ECC">
            <w:pPr>
              <w:tabs>
                <w:tab w:val="left" w:pos="720"/>
              </w:tabs>
              <w:spacing w:before="40" w:afterLines="40" w:after="96"/>
              <w:rPr>
                <w:color w:val="auto"/>
                <w:sz w:val="20"/>
              </w:rPr>
            </w:pPr>
            <w:r w:rsidRPr="00CD1278">
              <w:rPr>
                <w:color w:val="auto"/>
                <w:sz w:val="20"/>
              </w:rPr>
              <w:t>RSA</w:t>
            </w:r>
          </w:p>
        </w:tc>
        <w:tc>
          <w:tcPr>
            <w:tcW w:w="1395" w:type="dxa"/>
            <w:vAlign w:val="center"/>
          </w:tcPr>
          <w:p w14:paraId="1CACEDAE" w14:textId="47D4FB78" w:rsidR="00BE0008" w:rsidRPr="00CD1278" w:rsidRDefault="00D329CD" w:rsidP="00EE3ECC">
            <w:pPr>
              <w:tabs>
                <w:tab w:val="left" w:pos="720"/>
              </w:tabs>
              <w:spacing w:before="40" w:afterLines="40" w:after="96"/>
              <w:jc w:val="center"/>
              <w:rPr>
                <w:color w:val="auto"/>
                <w:sz w:val="20"/>
              </w:rPr>
            </w:pPr>
            <w:r w:rsidRPr="00CD1278">
              <w:rPr>
                <w:color w:val="auto"/>
                <w:sz w:val="20"/>
              </w:rPr>
              <w:t>74</w:t>
            </w:r>
            <w:r w:rsidR="00BE0008" w:rsidRPr="00CD1278">
              <w:rPr>
                <w:color w:val="auto"/>
                <w:sz w:val="20"/>
              </w:rPr>
              <w:t>.</w:t>
            </w:r>
            <w:r w:rsidRPr="00CD1278">
              <w:rPr>
                <w:color w:val="auto"/>
                <w:sz w:val="20"/>
              </w:rPr>
              <w:t>062</w:t>
            </w:r>
          </w:p>
        </w:tc>
        <w:tc>
          <w:tcPr>
            <w:tcW w:w="1446" w:type="dxa"/>
            <w:vAlign w:val="center"/>
          </w:tcPr>
          <w:p w14:paraId="3126ED06" w14:textId="550A0595" w:rsidR="00BE0008" w:rsidRPr="00CD1278" w:rsidRDefault="008A26E8" w:rsidP="00EE3ECC">
            <w:pPr>
              <w:tabs>
                <w:tab w:val="left" w:pos="720"/>
              </w:tabs>
              <w:spacing w:before="40" w:afterLines="40" w:after="96"/>
              <w:jc w:val="center"/>
              <w:rPr>
                <w:color w:val="auto"/>
                <w:sz w:val="20"/>
              </w:rPr>
            </w:pPr>
            <w:r w:rsidRPr="00CD1278">
              <w:rPr>
                <w:color w:val="auto"/>
                <w:sz w:val="20"/>
              </w:rPr>
              <w:t>32</w:t>
            </w:r>
          </w:p>
        </w:tc>
        <w:tc>
          <w:tcPr>
            <w:tcW w:w="1701" w:type="dxa"/>
            <w:vAlign w:val="center"/>
          </w:tcPr>
          <w:p w14:paraId="3D5FDD97" w14:textId="5D85D597" w:rsidR="00BE0008" w:rsidRPr="00CD1278" w:rsidRDefault="008A26E8" w:rsidP="00EE3ECC">
            <w:pPr>
              <w:tabs>
                <w:tab w:val="left" w:pos="720"/>
              </w:tabs>
              <w:spacing w:before="40" w:afterLines="40" w:after="96"/>
              <w:jc w:val="center"/>
              <w:rPr>
                <w:color w:val="auto"/>
                <w:sz w:val="20"/>
              </w:rPr>
            </w:pPr>
            <w:r w:rsidRPr="00CD1278">
              <w:rPr>
                <w:color w:val="auto"/>
                <w:sz w:val="20"/>
              </w:rPr>
              <w:t>74.062</w:t>
            </w:r>
          </w:p>
        </w:tc>
        <w:tc>
          <w:tcPr>
            <w:tcW w:w="1418" w:type="dxa"/>
            <w:vAlign w:val="center"/>
          </w:tcPr>
          <w:p w14:paraId="21C4BE9A" w14:textId="1B1EEF60" w:rsidR="00BE0008" w:rsidRPr="00CD1278" w:rsidRDefault="008A26E8" w:rsidP="00EE3ECC">
            <w:pPr>
              <w:tabs>
                <w:tab w:val="left" w:pos="720"/>
              </w:tabs>
              <w:spacing w:before="40" w:afterLines="40" w:after="96"/>
              <w:jc w:val="center"/>
              <w:rPr>
                <w:color w:val="auto"/>
                <w:sz w:val="20"/>
              </w:rPr>
            </w:pPr>
            <w:r w:rsidRPr="00CD1278">
              <w:rPr>
                <w:color w:val="auto"/>
                <w:sz w:val="20"/>
              </w:rPr>
              <w:t>106.062</w:t>
            </w:r>
          </w:p>
        </w:tc>
        <w:tc>
          <w:tcPr>
            <w:tcW w:w="1134" w:type="dxa"/>
            <w:vAlign w:val="center"/>
          </w:tcPr>
          <w:p w14:paraId="13D0DE22" w14:textId="737C59EF" w:rsidR="00BE0008" w:rsidRPr="00CD1278" w:rsidRDefault="008A26E8" w:rsidP="00EE3ECC">
            <w:pPr>
              <w:tabs>
                <w:tab w:val="left" w:pos="720"/>
              </w:tabs>
              <w:spacing w:before="40" w:afterLines="40" w:after="96"/>
              <w:jc w:val="center"/>
              <w:rPr>
                <w:color w:val="auto"/>
                <w:sz w:val="20"/>
              </w:rPr>
            </w:pPr>
            <w:r w:rsidRPr="00CD1278">
              <w:rPr>
                <w:color w:val="auto"/>
                <w:sz w:val="20"/>
              </w:rPr>
              <w:t>65.94</w:t>
            </w:r>
          </w:p>
        </w:tc>
        <w:tc>
          <w:tcPr>
            <w:tcW w:w="1276" w:type="dxa"/>
            <w:vAlign w:val="center"/>
          </w:tcPr>
          <w:p w14:paraId="4EE67D11" w14:textId="69D65376" w:rsidR="00BE0008" w:rsidRPr="00CD1278" w:rsidRDefault="00EE3ECC" w:rsidP="00391519">
            <w:pPr>
              <w:tabs>
                <w:tab w:val="left" w:pos="720"/>
              </w:tabs>
              <w:spacing w:before="40" w:afterLines="40" w:after="96"/>
              <w:jc w:val="center"/>
              <w:rPr>
                <w:color w:val="auto"/>
                <w:sz w:val="20"/>
              </w:rPr>
            </w:pPr>
            <w:r w:rsidRPr="00CD1278">
              <w:rPr>
                <w:color w:val="auto"/>
                <w:sz w:val="20"/>
              </w:rPr>
              <w:t>26*</w:t>
            </w:r>
          </w:p>
        </w:tc>
      </w:tr>
      <w:tr w:rsidR="003C102E" w:rsidRPr="00CD1278" w14:paraId="1C009F72" w14:textId="77777777" w:rsidTr="003C102E">
        <w:tc>
          <w:tcPr>
            <w:tcW w:w="1128" w:type="dxa"/>
            <w:vAlign w:val="center"/>
          </w:tcPr>
          <w:p w14:paraId="0DAA3052" w14:textId="5EF19C4D" w:rsidR="00E06E66" w:rsidRPr="00CD1278" w:rsidRDefault="00E06E66" w:rsidP="00EE3ECC">
            <w:pPr>
              <w:tabs>
                <w:tab w:val="left" w:pos="720"/>
              </w:tabs>
              <w:spacing w:before="40" w:afterLines="40" w:after="96"/>
              <w:rPr>
                <w:color w:val="auto"/>
                <w:sz w:val="20"/>
              </w:rPr>
            </w:pPr>
            <w:r w:rsidRPr="00CD1278">
              <w:rPr>
                <w:color w:val="auto"/>
                <w:sz w:val="20"/>
              </w:rPr>
              <w:t>USA</w:t>
            </w:r>
          </w:p>
        </w:tc>
        <w:tc>
          <w:tcPr>
            <w:tcW w:w="1395" w:type="dxa"/>
            <w:vAlign w:val="center"/>
          </w:tcPr>
          <w:p w14:paraId="550C8265" w14:textId="0ECC9DB5" w:rsidR="00E06E66" w:rsidRPr="00CD1278" w:rsidRDefault="00E06E66" w:rsidP="00EE3ECC">
            <w:pPr>
              <w:tabs>
                <w:tab w:val="left" w:pos="720"/>
              </w:tabs>
              <w:spacing w:before="40" w:afterLines="40" w:after="96"/>
              <w:jc w:val="center"/>
              <w:rPr>
                <w:color w:val="auto"/>
                <w:sz w:val="20"/>
              </w:rPr>
            </w:pPr>
            <w:r w:rsidRPr="00CD1278">
              <w:rPr>
                <w:color w:val="auto"/>
                <w:sz w:val="20"/>
              </w:rPr>
              <w:t>141</w:t>
            </w:r>
          </w:p>
        </w:tc>
        <w:tc>
          <w:tcPr>
            <w:tcW w:w="1446" w:type="dxa"/>
            <w:vAlign w:val="center"/>
          </w:tcPr>
          <w:p w14:paraId="5BF336E7" w14:textId="73D4AFF7" w:rsidR="00E06E66" w:rsidRPr="00CD1278" w:rsidRDefault="00E06E66" w:rsidP="00EE3ECC">
            <w:pPr>
              <w:tabs>
                <w:tab w:val="left" w:pos="720"/>
              </w:tabs>
              <w:spacing w:before="40" w:afterLines="40" w:after="96"/>
              <w:jc w:val="center"/>
              <w:rPr>
                <w:color w:val="auto"/>
                <w:sz w:val="20"/>
              </w:rPr>
            </w:pPr>
            <w:r w:rsidRPr="00CD1278">
              <w:rPr>
                <w:color w:val="auto"/>
                <w:sz w:val="20"/>
              </w:rPr>
              <w:t>137</w:t>
            </w:r>
            <w:r w:rsidRPr="00CD1278">
              <w:rPr>
                <w:color w:val="auto"/>
                <w:sz w:val="20"/>
                <w:vertAlign w:val="superscript"/>
              </w:rPr>
              <w:t>#</w:t>
            </w:r>
          </w:p>
        </w:tc>
        <w:tc>
          <w:tcPr>
            <w:tcW w:w="1701" w:type="dxa"/>
            <w:vAlign w:val="center"/>
          </w:tcPr>
          <w:p w14:paraId="1C8E306F" w14:textId="628DC53D" w:rsidR="00E06E66" w:rsidRPr="00CD1278" w:rsidRDefault="00E06E66" w:rsidP="00EE3ECC">
            <w:pPr>
              <w:tabs>
                <w:tab w:val="left" w:pos="720"/>
              </w:tabs>
              <w:spacing w:before="40" w:afterLines="40" w:after="96"/>
              <w:jc w:val="center"/>
              <w:rPr>
                <w:color w:val="auto"/>
                <w:sz w:val="20"/>
              </w:rPr>
            </w:pPr>
            <w:r w:rsidRPr="00CD1278">
              <w:rPr>
                <w:color w:val="auto"/>
                <w:sz w:val="20"/>
              </w:rPr>
              <w:t>130</w:t>
            </w:r>
          </w:p>
        </w:tc>
        <w:tc>
          <w:tcPr>
            <w:tcW w:w="1418" w:type="dxa"/>
            <w:vAlign w:val="center"/>
          </w:tcPr>
          <w:p w14:paraId="15E4D71C" w14:textId="18D2E0B0" w:rsidR="00E06E66" w:rsidRPr="00CD1278" w:rsidRDefault="00E06E66" w:rsidP="00EE3ECC">
            <w:pPr>
              <w:tabs>
                <w:tab w:val="left" w:pos="720"/>
              </w:tabs>
              <w:spacing w:before="40" w:afterLines="40" w:after="96"/>
              <w:jc w:val="center"/>
              <w:rPr>
                <w:color w:val="auto"/>
                <w:sz w:val="20"/>
              </w:rPr>
            </w:pPr>
            <w:r w:rsidRPr="00CD1278">
              <w:rPr>
                <w:color w:val="auto"/>
                <w:sz w:val="20"/>
              </w:rPr>
              <w:t>267</w:t>
            </w:r>
          </w:p>
        </w:tc>
        <w:tc>
          <w:tcPr>
            <w:tcW w:w="1134" w:type="dxa"/>
            <w:vAlign w:val="center"/>
          </w:tcPr>
          <w:p w14:paraId="071D1D46" w14:textId="6D0279B4" w:rsidR="00E06E66" w:rsidRPr="00CD1278" w:rsidRDefault="00E06E66" w:rsidP="00EE3ECC">
            <w:pPr>
              <w:tabs>
                <w:tab w:val="left" w:pos="720"/>
              </w:tabs>
              <w:spacing w:before="40" w:afterLines="40" w:after="96"/>
              <w:jc w:val="center"/>
              <w:rPr>
                <w:color w:val="auto"/>
                <w:sz w:val="20"/>
              </w:rPr>
            </w:pPr>
            <w:r w:rsidRPr="00CD1278">
              <w:rPr>
                <w:color w:val="auto"/>
                <w:sz w:val="20"/>
              </w:rPr>
              <w:t>130</w:t>
            </w:r>
          </w:p>
        </w:tc>
        <w:tc>
          <w:tcPr>
            <w:tcW w:w="1276" w:type="dxa"/>
            <w:vAlign w:val="center"/>
          </w:tcPr>
          <w:p w14:paraId="02F8C094" w14:textId="1303F052" w:rsidR="00E06E66" w:rsidRPr="00CD1278" w:rsidRDefault="00E06E66" w:rsidP="00EE3ECC">
            <w:pPr>
              <w:tabs>
                <w:tab w:val="left" w:pos="720"/>
              </w:tabs>
              <w:spacing w:before="40" w:afterLines="40" w:after="96"/>
              <w:jc w:val="center"/>
              <w:rPr>
                <w:color w:val="auto"/>
                <w:sz w:val="20"/>
              </w:rPr>
            </w:pPr>
            <w:r w:rsidRPr="00CD1278">
              <w:rPr>
                <w:color w:val="auto"/>
                <w:sz w:val="20"/>
              </w:rPr>
              <w:t>50.0</w:t>
            </w:r>
          </w:p>
        </w:tc>
      </w:tr>
    </w:tbl>
    <w:p w14:paraId="7D55C620" w14:textId="37C5F208" w:rsidR="00EE3ECC" w:rsidRPr="00CD1278" w:rsidRDefault="00EE3ECC" w:rsidP="00EE3ECC">
      <w:pPr>
        <w:pStyle w:val="Tableheading0"/>
        <w:spacing w:before="0" w:after="0"/>
        <w:ind w:left="0" w:firstLine="0"/>
        <w:rPr>
          <w:sz w:val="20"/>
          <w:szCs w:val="18"/>
          <w:lang w:eastAsia="en-US"/>
        </w:rPr>
      </w:pPr>
      <w:r w:rsidRPr="00CD1278">
        <w:rPr>
          <w:sz w:val="20"/>
          <w:szCs w:val="18"/>
          <w:lang w:eastAsia="en-US"/>
        </w:rPr>
        <w:t xml:space="preserve">*RSA </w:t>
      </w:r>
      <w:r w:rsidR="003476A2" w:rsidRPr="00CD1278">
        <w:rPr>
          <w:sz w:val="20"/>
          <w:szCs w:val="18"/>
          <w:lang w:eastAsia="en-US"/>
        </w:rPr>
        <w:t xml:space="preserve">MB stock </w:t>
      </w:r>
      <w:r w:rsidRPr="00CD1278">
        <w:rPr>
          <w:sz w:val="20"/>
          <w:szCs w:val="18"/>
          <w:lang w:eastAsia="en-US"/>
        </w:rPr>
        <w:t xml:space="preserve">amount at end of 2016 </w:t>
      </w:r>
      <w:r w:rsidR="00391519" w:rsidRPr="00CD1278">
        <w:rPr>
          <w:sz w:val="20"/>
          <w:szCs w:val="18"/>
          <w:lang w:eastAsia="en-US"/>
        </w:rPr>
        <w:t>being clarified</w:t>
      </w:r>
    </w:p>
    <w:p w14:paraId="4904AD62" w14:textId="6B6AE517" w:rsidR="00EE3ECC" w:rsidRPr="00CD1278" w:rsidRDefault="00EE3ECC" w:rsidP="00EE3ECC">
      <w:pPr>
        <w:pStyle w:val="Tableheading0"/>
        <w:spacing w:before="0" w:after="0"/>
        <w:ind w:left="0" w:firstLine="0"/>
        <w:rPr>
          <w:sz w:val="20"/>
          <w:szCs w:val="18"/>
          <w:lang w:eastAsia="en-US"/>
        </w:rPr>
      </w:pPr>
    </w:p>
    <w:p w14:paraId="127EF8A8" w14:textId="77777777" w:rsidR="00EE3ECC" w:rsidRPr="00CD1278" w:rsidRDefault="00EE3ECC" w:rsidP="00EE3ECC">
      <w:pPr>
        <w:spacing w:after="0"/>
        <w:ind w:right="-471"/>
        <w:rPr>
          <w:b/>
          <w:i/>
          <w:iCs/>
          <w:color w:val="auto"/>
          <w:szCs w:val="22"/>
        </w:rPr>
      </w:pPr>
      <w:r w:rsidRPr="00CD1278">
        <w:rPr>
          <w:b/>
          <w:i/>
          <w:iCs/>
          <w:color w:val="auto"/>
          <w:szCs w:val="22"/>
        </w:rPr>
        <w:t xml:space="preserve">Table 1.3. Quantities of MB ‘on hand’ at the beginning and end of 2017, as reported by Parties in 2018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418"/>
        <w:gridCol w:w="1446"/>
        <w:gridCol w:w="1672"/>
        <w:gridCol w:w="1305"/>
        <w:gridCol w:w="1269"/>
        <w:gridCol w:w="7"/>
        <w:gridCol w:w="1247"/>
      </w:tblGrid>
      <w:tr w:rsidR="003C102E" w:rsidRPr="00CD1278" w14:paraId="0B4892AD" w14:textId="77777777" w:rsidTr="003C102E">
        <w:trPr>
          <w:cantSplit/>
        </w:trPr>
        <w:tc>
          <w:tcPr>
            <w:tcW w:w="1134" w:type="dxa"/>
            <w:vMerge w:val="restart"/>
            <w:vAlign w:val="center"/>
          </w:tcPr>
          <w:p w14:paraId="2C15F151" w14:textId="77777777" w:rsidR="00EE3ECC" w:rsidRPr="00CD1278" w:rsidRDefault="00EE3ECC" w:rsidP="00EE3ECC">
            <w:pPr>
              <w:tabs>
                <w:tab w:val="left" w:pos="720"/>
              </w:tabs>
              <w:autoSpaceDE w:val="0"/>
              <w:autoSpaceDN w:val="0"/>
              <w:adjustRightInd w:val="0"/>
              <w:rPr>
                <w:b/>
                <w:color w:val="auto"/>
                <w:sz w:val="20"/>
              </w:rPr>
            </w:pPr>
            <w:r w:rsidRPr="00CD1278">
              <w:rPr>
                <w:b/>
                <w:color w:val="auto"/>
                <w:sz w:val="20"/>
              </w:rPr>
              <w:t>Party</w:t>
            </w:r>
          </w:p>
        </w:tc>
        <w:tc>
          <w:tcPr>
            <w:tcW w:w="1418" w:type="dxa"/>
            <w:vMerge w:val="restart"/>
            <w:vAlign w:val="center"/>
          </w:tcPr>
          <w:p w14:paraId="60D77150" w14:textId="77777777" w:rsidR="00EE3ECC" w:rsidRPr="00CD1278" w:rsidRDefault="00EE3ECC" w:rsidP="00EE3ECC">
            <w:pPr>
              <w:tabs>
                <w:tab w:val="left" w:pos="720"/>
              </w:tabs>
              <w:autoSpaceDE w:val="0"/>
              <w:autoSpaceDN w:val="0"/>
              <w:adjustRightInd w:val="0"/>
              <w:spacing w:before="40" w:after="40"/>
              <w:jc w:val="center"/>
              <w:rPr>
                <w:b/>
                <w:color w:val="auto"/>
                <w:sz w:val="20"/>
              </w:rPr>
            </w:pPr>
            <w:r w:rsidRPr="00CD1278">
              <w:rPr>
                <w:b/>
                <w:color w:val="auto"/>
                <w:sz w:val="20"/>
              </w:rPr>
              <w:t>Critical use exemption authorized by MOP for 2017</w:t>
            </w:r>
          </w:p>
        </w:tc>
        <w:tc>
          <w:tcPr>
            <w:tcW w:w="6946" w:type="dxa"/>
            <w:gridSpan w:val="6"/>
            <w:vAlign w:val="center"/>
          </w:tcPr>
          <w:p w14:paraId="4422EF71" w14:textId="77777777" w:rsidR="00EE3ECC" w:rsidRPr="00CD1278" w:rsidRDefault="00EE3ECC" w:rsidP="00EE3ECC">
            <w:pPr>
              <w:tabs>
                <w:tab w:val="left" w:pos="720"/>
              </w:tabs>
              <w:autoSpaceDE w:val="0"/>
              <w:autoSpaceDN w:val="0"/>
              <w:adjustRightInd w:val="0"/>
              <w:spacing w:before="40" w:after="40"/>
              <w:jc w:val="center"/>
              <w:rPr>
                <w:b/>
                <w:color w:val="auto"/>
                <w:sz w:val="20"/>
              </w:rPr>
            </w:pPr>
            <w:r w:rsidRPr="00CD1278">
              <w:rPr>
                <w:b/>
                <w:color w:val="auto"/>
                <w:sz w:val="20"/>
              </w:rPr>
              <w:t>Quantity of MB as reported by Parties (metric tonnes)</w:t>
            </w:r>
          </w:p>
        </w:tc>
      </w:tr>
      <w:tr w:rsidR="003C102E" w:rsidRPr="00CD1278" w14:paraId="74AB4B7E" w14:textId="77777777" w:rsidTr="003C102E">
        <w:trPr>
          <w:cantSplit/>
        </w:trPr>
        <w:tc>
          <w:tcPr>
            <w:tcW w:w="1134" w:type="dxa"/>
            <w:vMerge/>
            <w:vAlign w:val="center"/>
          </w:tcPr>
          <w:p w14:paraId="7A2FBB67" w14:textId="77777777" w:rsidR="00EE3ECC" w:rsidRPr="00CD1278" w:rsidRDefault="00EE3ECC" w:rsidP="00EE3ECC">
            <w:pPr>
              <w:spacing w:after="0"/>
              <w:rPr>
                <w:b/>
                <w:color w:val="auto"/>
                <w:sz w:val="20"/>
              </w:rPr>
            </w:pPr>
          </w:p>
        </w:tc>
        <w:tc>
          <w:tcPr>
            <w:tcW w:w="1418" w:type="dxa"/>
            <w:vMerge/>
            <w:vAlign w:val="center"/>
          </w:tcPr>
          <w:p w14:paraId="14356657" w14:textId="77777777" w:rsidR="00EE3ECC" w:rsidRPr="00CD1278" w:rsidRDefault="00EE3ECC" w:rsidP="00EE3ECC">
            <w:pPr>
              <w:spacing w:before="40" w:after="40"/>
              <w:jc w:val="center"/>
              <w:rPr>
                <w:b/>
                <w:color w:val="auto"/>
                <w:sz w:val="20"/>
              </w:rPr>
            </w:pPr>
          </w:p>
        </w:tc>
        <w:tc>
          <w:tcPr>
            <w:tcW w:w="1446" w:type="dxa"/>
            <w:vAlign w:val="center"/>
          </w:tcPr>
          <w:p w14:paraId="5FA3DE43" w14:textId="77777777" w:rsidR="00EE3ECC" w:rsidRPr="00CD1278" w:rsidRDefault="00EE3ECC" w:rsidP="00EE3ECC">
            <w:pPr>
              <w:tabs>
                <w:tab w:val="left" w:pos="720"/>
              </w:tabs>
              <w:autoSpaceDE w:val="0"/>
              <w:autoSpaceDN w:val="0"/>
              <w:adjustRightInd w:val="0"/>
              <w:spacing w:before="40" w:after="40"/>
              <w:jc w:val="center"/>
              <w:rPr>
                <w:b/>
                <w:color w:val="auto"/>
                <w:sz w:val="20"/>
              </w:rPr>
            </w:pPr>
            <w:r w:rsidRPr="00CD1278">
              <w:rPr>
                <w:b/>
                <w:color w:val="auto"/>
                <w:sz w:val="20"/>
              </w:rPr>
              <w:t>Amount on hand at start of 2017</w:t>
            </w:r>
          </w:p>
        </w:tc>
        <w:tc>
          <w:tcPr>
            <w:tcW w:w="1672" w:type="dxa"/>
            <w:vAlign w:val="center"/>
          </w:tcPr>
          <w:p w14:paraId="2C929532" w14:textId="011DEF31" w:rsidR="00EE3ECC" w:rsidRPr="00CD1278" w:rsidRDefault="00391519">
            <w:pPr>
              <w:tabs>
                <w:tab w:val="left" w:pos="720"/>
              </w:tabs>
              <w:autoSpaceDE w:val="0"/>
              <w:autoSpaceDN w:val="0"/>
              <w:adjustRightInd w:val="0"/>
              <w:spacing w:before="40" w:after="40"/>
              <w:jc w:val="center"/>
              <w:rPr>
                <w:b/>
                <w:color w:val="auto"/>
                <w:sz w:val="20"/>
              </w:rPr>
            </w:pPr>
            <w:r w:rsidRPr="00CD1278">
              <w:rPr>
                <w:b/>
                <w:color w:val="auto"/>
                <w:sz w:val="20"/>
              </w:rPr>
              <w:t>A</w:t>
            </w:r>
            <w:r w:rsidR="00EE3ECC" w:rsidRPr="00CD1278">
              <w:rPr>
                <w:b/>
                <w:color w:val="auto"/>
                <w:sz w:val="20"/>
              </w:rPr>
              <w:t>cquired for CUEs in 2017 (prod. +imports)</w:t>
            </w:r>
          </w:p>
        </w:tc>
        <w:tc>
          <w:tcPr>
            <w:tcW w:w="1305" w:type="dxa"/>
            <w:vAlign w:val="center"/>
          </w:tcPr>
          <w:p w14:paraId="0E726560" w14:textId="77777777" w:rsidR="00EE3ECC" w:rsidRPr="00CD1278" w:rsidRDefault="00EE3ECC" w:rsidP="00EE3ECC">
            <w:pPr>
              <w:tabs>
                <w:tab w:val="left" w:pos="720"/>
              </w:tabs>
              <w:autoSpaceDE w:val="0"/>
              <w:autoSpaceDN w:val="0"/>
              <w:adjustRightInd w:val="0"/>
              <w:spacing w:before="40" w:after="40"/>
              <w:jc w:val="center"/>
              <w:rPr>
                <w:b/>
                <w:color w:val="auto"/>
                <w:sz w:val="20"/>
              </w:rPr>
            </w:pPr>
            <w:r w:rsidRPr="00CD1278">
              <w:rPr>
                <w:b/>
                <w:color w:val="auto"/>
                <w:sz w:val="20"/>
              </w:rPr>
              <w:t>Amount available for use in 2017</w:t>
            </w:r>
          </w:p>
        </w:tc>
        <w:tc>
          <w:tcPr>
            <w:tcW w:w="1269" w:type="dxa"/>
            <w:vAlign w:val="center"/>
          </w:tcPr>
          <w:p w14:paraId="55A7CEEB" w14:textId="3681F521" w:rsidR="00EE3ECC" w:rsidRPr="00CD1278" w:rsidRDefault="00391519">
            <w:pPr>
              <w:tabs>
                <w:tab w:val="left" w:pos="720"/>
              </w:tabs>
              <w:autoSpaceDE w:val="0"/>
              <w:autoSpaceDN w:val="0"/>
              <w:adjustRightInd w:val="0"/>
              <w:spacing w:before="40" w:after="40"/>
              <w:jc w:val="center"/>
              <w:rPr>
                <w:b/>
                <w:color w:val="auto"/>
                <w:sz w:val="20"/>
              </w:rPr>
            </w:pPr>
            <w:r w:rsidRPr="00CD1278">
              <w:rPr>
                <w:b/>
                <w:color w:val="auto"/>
                <w:sz w:val="20"/>
              </w:rPr>
              <w:t>U</w:t>
            </w:r>
            <w:r w:rsidR="00EE3ECC" w:rsidRPr="00CD1278">
              <w:rPr>
                <w:b/>
                <w:color w:val="auto"/>
                <w:sz w:val="20"/>
              </w:rPr>
              <w:t>sed for CUEs in 2017</w:t>
            </w:r>
          </w:p>
        </w:tc>
        <w:tc>
          <w:tcPr>
            <w:tcW w:w="1254" w:type="dxa"/>
            <w:gridSpan w:val="2"/>
            <w:vAlign w:val="center"/>
          </w:tcPr>
          <w:p w14:paraId="21B9EC4F" w14:textId="77777777" w:rsidR="00EE3ECC" w:rsidRPr="00CD1278" w:rsidRDefault="00EE3ECC" w:rsidP="00EE3ECC">
            <w:pPr>
              <w:tabs>
                <w:tab w:val="left" w:pos="720"/>
              </w:tabs>
              <w:autoSpaceDE w:val="0"/>
              <w:autoSpaceDN w:val="0"/>
              <w:adjustRightInd w:val="0"/>
              <w:spacing w:before="40" w:after="40"/>
              <w:jc w:val="center"/>
              <w:rPr>
                <w:b/>
                <w:color w:val="auto"/>
                <w:sz w:val="20"/>
              </w:rPr>
            </w:pPr>
            <w:r w:rsidRPr="00CD1278">
              <w:rPr>
                <w:b/>
                <w:color w:val="auto"/>
                <w:sz w:val="20"/>
              </w:rPr>
              <w:t>Amount on hand at the end of 2017</w:t>
            </w:r>
          </w:p>
        </w:tc>
      </w:tr>
      <w:tr w:rsidR="003C102E" w:rsidRPr="00CD1278" w14:paraId="66755A86" w14:textId="77777777" w:rsidTr="003C102E">
        <w:tc>
          <w:tcPr>
            <w:tcW w:w="1134" w:type="dxa"/>
            <w:vAlign w:val="center"/>
          </w:tcPr>
          <w:p w14:paraId="6A7C14D6" w14:textId="77777777" w:rsidR="00EE3ECC" w:rsidRPr="00CD1278" w:rsidRDefault="00EE3ECC" w:rsidP="00EE3ECC">
            <w:pPr>
              <w:tabs>
                <w:tab w:val="left" w:pos="720"/>
              </w:tabs>
              <w:spacing w:before="60" w:after="60"/>
              <w:rPr>
                <w:color w:val="auto"/>
                <w:sz w:val="20"/>
              </w:rPr>
            </w:pPr>
            <w:r w:rsidRPr="00CD1278">
              <w:rPr>
                <w:color w:val="auto"/>
                <w:sz w:val="20"/>
              </w:rPr>
              <w:t>Australia</w:t>
            </w:r>
          </w:p>
        </w:tc>
        <w:tc>
          <w:tcPr>
            <w:tcW w:w="1418" w:type="dxa"/>
            <w:vAlign w:val="center"/>
          </w:tcPr>
          <w:p w14:paraId="35383D85" w14:textId="77777777" w:rsidR="00EE3ECC" w:rsidRPr="00CD1278" w:rsidRDefault="00EE3ECC" w:rsidP="00EE3ECC">
            <w:pPr>
              <w:tabs>
                <w:tab w:val="left" w:pos="720"/>
              </w:tabs>
              <w:spacing w:before="60" w:after="60"/>
              <w:jc w:val="center"/>
              <w:rPr>
                <w:color w:val="auto"/>
                <w:sz w:val="20"/>
              </w:rPr>
            </w:pPr>
            <w:r w:rsidRPr="00CD1278">
              <w:rPr>
                <w:color w:val="auto"/>
                <w:sz w:val="20"/>
              </w:rPr>
              <w:t xml:space="preserve">29.76 </w:t>
            </w:r>
          </w:p>
        </w:tc>
        <w:tc>
          <w:tcPr>
            <w:tcW w:w="1446" w:type="dxa"/>
            <w:vAlign w:val="center"/>
          </w:tcPr>
          <w:p w14:paraId="499CE0BF" w14:textId="77777777" w:rsidR="00EE3ECC" w:rsidRPr="00CD1278" w:rsidRDefault="00EE3ECC" w:rsidP="00EE3ECC">
            <w:pPr>
              <w:tabs>
                <w:tab w:val="left" w:pos="720"/>
              </w:tabs>
              <w:spacing w:before="60" w:after="60"/>
              <w:jc w:val="center"/>
              <w:rPr>
                <w:color w:val="auto"/>
                <w:sz w:val="20"/>
              </w:rPr>
            </w:pPr>
            <w:r w:rsidRPr="00CD1278">
              <w:rPr>
                <w:color w:val="auto"/>
                <w:sz w:val="20"/>
              </w:rPr>
              <w:t xml:space="preserve">0 </w:t>
            </w:r>
          </w:p>
        </w:tc>
        <w:tc>
          <w:tcPr>
            <w:tcW w:w="1672" w:type="dxa"/>
            <w:vAlign w:val="center"/>
          </w:tcPr>
          <w:p w14:paraId="2266D987" w14:textId="77777777" w:rsidR="00EE3ECC" w:rsidRPr="00CD1278" w:rsidRDefault="00EE3ECC" w:rsidP="00EE3ECC">
            <w:pPr>
              <w:tabs>
                <w:tab w:val="left" w:pos="720"/>
              </w:tabs>
              <w:spacing w:before="60" w:after="60"/>
              <w:jc w:val="center"/>
              <w:rPr>
                <w:color w:val="auto"/>
                <w:sz w:val="20"/>
              </w:rPr>
            </w:pPr>
            <w:r w:rsidRPr="00CD1278">
              <w:rPr>
                <w:color w:val="auto"/>
                <w:sz w:val="20"/>
              </w:rPr>
              <w:t>29.75</w:t>
            </w:r>
          </w:p>
        </w:tc>
        <w:tc>
          <w:tcPr>
            <w:tcW w:w="1305" w:type="dxa"/>
            <w:vAlign w:val="center"/>
          </w:tcPr>
          <w:p w14:paraId="5EB3D739" w14:textId="77777777" w:rsidR="00EE3ECC" w:rsidRPr="00CD1278" w:rsidRDefault="00EE3ECC" w:rsidP="00EE3ECC">
            <w:pPr>
              <w:tabs>
                <w:tab w:val="left" w:pos="720"/>
              </w:tabs>
              <w:spacing w:before="60" w:after="60"/>
              <w:jc w:val="center"/>
              <w:rPr>
                <w:color w:val="auto"/>
                <w:sz w:val="20"/>
              </w:rPr>
            </w:pPr>
            <w:r w:rsidRPr="00CD1278">
              <w:rPr>
                <w:color w:val="auto"/>
                <w:sz w:val="20"/>
              </w:rPr>
              <w:t>29.75</w:t>
            </w:r>
          </w:p>
        </w:tc>
        <w:tc>
          <w:tcPr>
            <w:tcW w:w="1269" w:type="dxa"/>
            <w:vAlign w:val="center"/>
          </w:tcPr>
          <w:p w14:paraId="345494FA" w14:textId="77777777" w:rsidR="00EE3ECC" w:rsidRPr="00CD1278" w:rsidRDefault="00EE3ECC" w:rsidP="00EE3ECC">
            <w:pPr>
              <w:tabs>
                <w:tab w:val="left" w:pos="720"/>
              </w:tabs>
              <w:spacing w:before="60" w:after="60"/>
              <w:jc w:val="center"/>
              <w:rPr>
                <w:color w:val="auto"/>
                <w:sz w:val="20"/>
              </w:rPr>
            </w:pPr>
            <w:r w:rsidRPr="00CD1278">
              <w:rPr>
                <w:color w:val="auto"/>
                <w:sz w:val="20"/>
              </w:rPr>
              <w:t>29.75</w:t>
            </w:r>
          </w:p>
        </w:tc>
        <w:tc>
          <w:tcPr>
            <w:tcW w:w="1254" w:type="dxa"/>
            <w:gridSpan w:val="2"/>
            <w:vAlign w:val="center"/>
          </w:tcPr>
          <w:p w14:paraId="2BE40A8C" w14:textId="77777777" w:rsidR="00EE3ECC" w:rsidRPr="00CD1278" w:rsidRDefault="00EE3ECC" w:rsidP="00EE3ECC">
            <w:pPr>
              <w:tabs>
                <w:tab w:val="left" w:pos="720"/>
              </w:tabs>
              <w:spacing w:before="60" w:after="60"/>
              <w:jc w:val="center"/>
              <w:rPr>
                <w:color w:val="auto"/>
                <w:sz w:val="20"/>
              </w:rPr>
            </w:pPr>
            <w:r w:rsidRPr="00CD1278">
              <w:rPr>
                <w:color w:val="auto"/>
                <w:sz w:val="20"/>
              </w:rPr>
              <w:t>0</w:t>
            </w:r>
          </w:p>
        </w:tc>
      </w:tr>
      <w:tr w:rsidR="003C102E" w:rsidRPr="00CD1278" w14:paraId="26273F38" w14:textId="77777777" w:rsidTr="003C102E">
        <w:tc>
          <w:tcPr>
            <w:tcW w:w="1134" w:type="dxa"/>
            <w:vAlign w:val="center"/>
          </w:tcPr>
          <w:p w14:paraId="3F1EB353" w14:textId="77777777" w:rsidR="00EE3ECC" w:rsidRPr="00CD1278" w:rsidRDefault="00EE3ECC" w:rsidP="00EE3ECC">
            <w:pPr>
              <w:tabs>
                <w:tab w:val="left" w:pos="720"/>
              </w:tabs>
              <w:spacing w:before="60" w:after="60"/>
              <w:rPr>
                <w:color w:val="auto"/>
                <w:sz w:val="20"/>
              </w:rPr>
            </w:pPr>
            <w:r w:rsidRPr="00CD1278">
              <w:rPr>
                <w:color w:val="auto"/>
                <w:sz w:val="20"/>
              </w:rPr>
              <w:t>Canada</w:t>
            </w:r>
          </w:p>
        </w:tc>
        <w:tc>
          <w:tcPr>
            <w:tcW w:w="1418" w:type="dxa"/>
            <w:vAlign w:val="center"/>
          </w:tcPr>
          <w:p w14:paraId="17D25F88" w14:textId="77777777" w:rsidR="00EE3ECC" w:rsidRPr="00CD1278" w:rsidRDefault="00EE3ECC" w:rsidP="00EE3ECC">
            <w:pPr>
              <w:tabs>
                <w:tab w:val="left" w:pos="720"/>
              </w:tabs>
              <w:spacing w:before="60" w:after="60"/>
              <w:jc w:val="center"/>
              <w:rPr>
                <w:color w:val="auto"/>
                <w:sz w:val="20"/>
              </w:rPr>
            </w:pPr>
            <w:r w:rsidRPr="00CD1278">
              <w:rPr>
                <w:color w:val="auto"/>
                <w:sz w:val="20"/>
              </w:rPr>
              <w:t>5.261</w:t>
            </w:r>
          </w:p>
        </w:tc>
        <w:tc>
          <w:tcPr>
            <w:tcW w:w="1446" w:type="dxa"/>
            <w:vAlign w:val="center"/>
          </w:tcPr>
          <w:p w14:paraId="7CA798DA" w14:textId="77777777" w:rsidR="00EE3ECC" w:rsidRPr="00CD1278" w:rsidRDefault="00EE3ECC" w:rsidP="00EE3ECC">
            <w:pPr>
              <w:tabs>
                <w:tab w:val="left" w:pos="720"/>
              </w:tabs>
              <w:spacing w:before="60" w:after="60"/>
              <w:jc w:val="center"/>
              <w:rPr>
                <w:color w:val="auto"/>
                <w:sz w:val="20"/>
              </w:rPr>
            </w:pPr>
            <w:r w:rsidRPr="00CD1278">
              <w:rPr>
                <w:color w:val="auto"/>
                <w:sz w:val="20"/>
              </w:rPr>
              <w:t>0.854</w:t>
            </w:r>
          </w:p>
        </w:tc>
        <w:tc>
          <w:tcPr>
            <w:tcW w:w="1672" w:type="dxa"/>
            <w:vAlign w:val="center"/>
          </w:tcPr>
          <w:p w14:paraId="449FE918" w14:textId="77777777" w:rsidR="00EE3ECC" w:rsidRPr="00CD1278" w:rsidRDefault="00EE3ECC" w:rsidP="00EE3ECC">
            <w:pPr>
              <w:tabs>
                <w:tab w:val="left" w:pos="720"/>
              </w:tabs>
              <w:spacing w:before="60" w:after="60"/>
              <w:jc w:val="center"/>
              <w:rPr>
                <w:color w:val="auto"/>
                <w:sz w:val="20"/>
              </w:rPr>
            </w:pPr>
            <w:r w:rsidRPr="00CD1278">
              <w:rPr>
                <w:color w:val="auto"/>
                <w:sz w:val="20"/>
              </w:rPr>
              <w:t>5.177</w:t>
            </w:r>
          </w:p>
        </w:tc>
        <w:tc>
          <w:tcPr>
            <w:tcW w:w="1305" w:type="dxa"/>
            <w:vAlign w:val="center"/>
          </w:tcPr>
          <w:p w14:paraId="45BE07F9" w14:textId="77777777" w:rsidR="00EE3ECC" w:rsidRPr="00CD1278" w:rsidRDefault="00EE3ECC" w:rsidP="00EE3ECC">
            <w:pPr>
              <w:tabs>
                <w:tab w:val="left" w:pos="720"/>
              </w:tabs>
              <w:spacing w:before="60" w:after="60"/>
              <w:jc w:val="center"/>
              <w:rPr>
                <w:color w:val="auto"/>
                <w:sz w:val="20"/>
              </w:rPr>
            </w:pPr>
            <w:r w:rsidRPr="00CD1278">
              <w:rPr>
                <w:color w:val="auto"/>
                <w:sz w:val="20"/>
              </w:rPr>
              <w:t>6.031</w:t>
            </w:r>
          </w:p>
        </w:tc>
        <w:tc>
          <w:tcPr>
            <w:tcW w:w="1269" w:type="dxa"/>
            <w:vAlign w:val="center"/>
          </w:tcPr>
          <w:p w14:paraId="2644B586" w14:textId="77777777" w:rsidR="00EE3ECC" w:rsidRPr="00CD1278" w:rsidRDefault="00EE3ECC" w:rsidP="00EE3ECC">
            <w:pPr>
              <w:tabs>
                <w:tab w:val="left" w:pos="720"/>
              </w:tabs>
              <w:spacing w:before="60" w:after="60"/>
              <w:jc w:val="center"/>
              <w:rPr>
                <w:color w:val="auto"/>
                <w:sz w:val="20"/>
              </w:rPr>
            </w:pPr>
            <w:r w:rsidRPr="00CD1278">
              <w:rPr>
                <w:color w:val="auto"/>
                <w:sz w:val="20"/>
              </w:rPr>
              <w:t>5.166</w:t>
            </w:r>
          </w:p>
        </w:tc>
        <w:tc>
          <w:tcPr>
            <w:tcW w:w="1254" w:type="dxa"/>
            <w:gridSpan w:val="2"/>
            <w:vAlign w:val="center"/>
          </w:tcPr>
          <w:p w14:paraId="34F495E5" w14:textId="77777777" w:rsidR="00EE3ECC" w:rsidRPr="00CD1278" w:rsidRDefault="00EE3ECC" w:rsidP="00EE3ECC">
            <w:pPr>
              <w:tabs>
                <w:tab w:val="left" w:pos="720"/>
              </w:tabs>
              <w:spacing w:before="60" w:after="60"/>
              <w:jc w:val="center"/>
              <w:rPr>
                <w:color w:val="auto"/>
                <w:sz w:val="20"/>
              </w:rPr>
            </w:pPr>
            <w:r w:rsidRPr="00CD1278">
              <w:rPr>
                <w:color w:val="auto"/>
                <w:sz w:val="20"/>
              </w:rPr>
              <w:t>0.865</w:t>
            </w:r>
          </w:p>
        </w:tc>
      </w:tr>
      <w:tr w:rsidR="003C102E" w:rsidRPr="00CD1278" w14:paraId="23E94012" w14:textId="77777777" w:rsidTr="003C102E">
        <w:tc>
          <w:tcPr>
            <w:tcW w:w="1134" w:type="dxa"/>
            <w:vAlign w:val="center"/>
          </w:tcPr>
          <w:p w14:paraId="4AB116B1" w14:textId="77777777" w:rsidR="00EE3ECC" w:rsidRPr="00CD1278" w:rsidRDefault="00EE3ECC" w:rsidP="00EE3ECC">
            <w:pPr>
              <w:tabs>
                <w:tab w:val="left" w:pos="720"/>
              </w:tabs>
              <w:spacing w:before="60" w:after="60"/>
              <w:rPr>
                <w:color w:val="auto"/>
                <w:sz w:val="20"/>
              </w:rPr>
            </w:pPr>
            <w:r w:rsidRPr="00CD1278">
              <w:rPr>
                <w:color w:val="auto"/>
                <w:sz w:val="20"/>
              </w:rPr>
              <w:t>Argentina</w:t>
            </w:r>
          </w:p>
        </w:tc>
        <w:tc>
          <w:tcPr>
            <w:tcW w:w="1418" w:type="dxa"/>
            <w:vAlign w:val="center"/>
          </w:tcPr>
          <w:p w14:paraId="06C06BDB" w14:textId="77777777" w:rsidR="00EE3ECC" w:rsidRPr="00CD1278" w:rsidRDefault="00EE3ECC" w:rsidP="00EE3ECC">
            <w:pPr>
              <w:tabs>
                <w:tab w:val="left" w:pos="720"/>
              </w:tabs>
              <w:spacing w:before="60" w:after="60"/>
              <w:jc w:val="center"/>
              <w:rPr>
                <w:color w:val="auto"/>
                <w:sz w:val="20"/>
              </w:rPr>
            </w:pPr>
            <w:r w:rsidRPr="00CD1278">
              <w:rPr>
                <w:color w:val="auto"/>
                <w:sz w:val="16"/>
              </w:rPr>
              <w:t>102.94</w:t>
            </w:r>
          </w:p>
        </w:tc>
        <w:tc>
          <w:tcPr>
            <w:tcW w:w="1446" w:type="dxa"/>
            <w:vAlign w:val="center"/>
          </w:tcPr>
          <w:p w14:paraId="1EF66516" w14:textId="77777777" w:rsidR="00EE3ECC" w:rsidRPr="00CD1278" w:rsidRDefault="00EE3ECC" w:rsidP="00EE3ECC">
            <w:pPr>
              <w:tabs>
                <w:tab w:val="left" w:pos="720"/>
              </w:tabs>
              <w:spacing w:before="60" w:after="60"/>
              <w:jc w:val="center"/>
              <w:rPr>
                <w:color w:val="auto"/>
                <w:sz w:val="20"/>
              </w:rPr>
            </w:pPr>
            <w:r w:rsidRPr="00CD1278">
              <w:rPr>
                <w:color w:val="auto"/>
                <w:sz w:val="20"/>
              </w:rPr>
              <w:t>0</w:t>
            </w:r>
          </w:p>
        </w:tc>
        <w:tc>
          <w:tcPr>
            <w:tcW w:w="1672" w:type="dxa"/>
            <w:vAlign w:val="center"/>
          </w:tcPr>
          <w:p w14:paraId="6D90BD21" w14:textId="77777777" w:rsidR="00EE3ECC" w:rsidRPr="00CD1278" w:rsidRDefault="00EE3ECC" w:rsidP="00EE3ECC">
            <w:pPr>
              <w:tabs>
                <w:tab w:val="left" w:pos="720"/>
              </w:tabs>
              <w:spacing w:before="60" w:after="60"/>
              <w:jc w:val="center"/>
              <w:rPr>
                <w:color w:val="auto"/>
                <w:sz w:val="20"/>
              </w:rPr>
            </w:pPr>
            <w:r w:rsidRPr="00CD1278">
              <w:rPr>
                <w:color w:val="auto"/>
                <w:sz w:val="20"/>
              </w:rPr>
              <w:t>95.06</w:t>
            </w:r>
          </w:p>
        </w:tc>
        <w:tc>
          <w:tcPr>
            <w:tcW w:w="1305" w:type="dxa"/>
            <w:vAlign w:val="center"/>
          </w:tcPr>
          <w:p w14:paraId="64B48768" w14:textId="77777777" w:rsidR="00EE3ECC" w:rsidRPr="00CD1278" w:rsidRDefault="00EE3ECC" w:rsidP="00EE3ECC">
            <w:pPr>
              <w:tabs>
                <w:tab w:val="left" w:pos="720"/>
              </w:tabs>
              <w:spacing w:before="60" w:after="60"/>
              <w:jc w:val="center"/>
              <w:rPr>
                <w:color w:val="auto"/>
                <w:sz w:val="20"/>
              </w:rPr>
            </w:pPr>
            <w:r w:rsidRPr="00CD1278">
              <w:rPr>
                <w:color w:val="auto"/>
                <w:sz w:val="20"/>
              </w:rPr>
              <w:t>95.06</w:t>
            </w:r>
          </w:p>
        </w:tc>
        <w:tc>
          <w:tcPr>
            <w:tcW w:w="1269" w:type="dxa"/>
            <w:vAlign w:val="center"/>
          </w:tcPr>
          <w:p w14:paraId="7CBB9AB0" w14:textId="77777777" w:rsidR="00EE3ECC" w:rsidRPr="00CD1278" w:rsidRDefault="00EE3ECC" w:rsidP="00EE3ECC">
            <w:pPr>
              <w:tabs>
                <w:tab w:val="left" w:pos="720"/>
              </w:tabs>
              <w:spacing w:before="60" w:after="60"/>
              <w:jc w:val="center"/>
              <w:rPr>
                <w:color w:val="auto"/>
                <w:sz w:val="20"/>
              </w:rPr>
            </w:pPr>
            <w:r w:rsidRPr="00CD1278">
              <w:rPr>
                <w:color w:val="auto"/>
                <w:sz w:val="20"/>
              </w:rPr>
              <w:t>95.06</w:t>
            </w:r>
          </w:p>
        </w:tc>
        <w:tc>
          <w:tcPr>
            <w:tcW w:w="1254" w:type="dxa"/>
            <w:gridSpan w:val="2"/>
            <w:vAlign w:val="center"/>
          </w:tcPr>
          <w:p w14:paraId="442A4015" w14:textId="77777777" w:rsidR="00EE3ECC" w:rsidRPr="00CD1278" w:rsidRDefault="00EE3ECC" w:rsidP="00EE3ECC">
            <w:pPr>
              <w:tabs>
                <w:tab w:val="left" w:pos="720"/>
              </w:tabs>
              <w:spacing w:before="60" w:after="60"/>
              <w:jc w:val="center"/>
              <w:rPr>
                <w:color w:val="auto"/>
                <w:sz w:val="20"/>
              </w:rPr>
            </w:pPr>
            <w:r w:rsidRPr="00CD1278">
              <w:rPr>
                <w:color w:val="auto"/>
                <w:sz w:val="20"/>
              </w:rPr>
              <w:t>0</w:t>
            </w:r>
          </w:p>
        </w:tc>
      </w:tr>
      <w:tr w:rsidR="003C102E" w:rsidRPr="00CD1278" w14:paraId="2CE81D47" w14:textId="77777777" w:rsidTr="003C102E">
        <w:tc>
          <w:tcPr>
            <w:tcW w:w="1134" w:type="dxa"/>
            <w:vAlign w:val="center"/>
          </w:tcPr>
          <w:p w14:paraId="464BAF3B" w14:textId="77777777" w:rsidR="00EE3ECC" w:rsidRPr="00CD1278" w:rsidRDefault="00EE3ECC" w:rsidP="00EE3ECC">
            <w:pPr>
              <w:tabs>
                <w:tab w:val="left" w:pos="720"/>
              </w:tabs>
              <w:spacing w:before="60" w:after="60"/>
              <w:rPr>
                <w:color w:val="auto"/>
                <w:sz w:val="20"/>
              </w:rPr>
            </w:pPr>
            <w:r w:rsidRPr="00CD1278">
              <w:rPr>
                <w:color w:val="auto"/>
                <w:sz w:val="20"/>
              </w:rPr>
              <w:t>China</w:t>
            </w:r>
          </w:p>
        </w:tc>
        <w:tc>
          <w:tcPr>
            <w:tcW w:w="1418" w:type="dxa"/>
            <w:vAlign w:val="center"/>
          </w:tcPr>
          <w:p w14:paraId="608E4937" w14:textId="77777777" w:rsidR="00EE3ECC" w:rsidRPr="00CD1278" w:rsidRDefault="00EE3ECC" w:rsidP="00EE3ECC">
            <w:pPr>
              <w:tabs>
                <w:tab w:val="left" w:pos="720"/>
              </w:tabs>
              <w:spacing w:before="60" w:after="60"/>
              <w:jc w:val="center"/>
              <w:rPr>
                <w:color w:val="auto"/>
                <w:sz w:val="20"/>
              </w:rPr>
            </w:pPr>
            <w:r w:rsidRPr="00CD1278">
              <w:rPr>
                <w:color w:val="auto"/>
                <w:sz w:val="20"/>
              </w:rPr>
              <w:t>92.977</w:t>
            </w:r>
          </w:p>
        </w:tc>
        <w:tc>
          <w:tcPr>
            <w:tcW w:w="1446" w:type="dxa"/>
            <w:vAlign w:val="center"/>
          </w:tcPr>
          <w:p w14:paraId="4D9BBA91" w14:textId="77777777" w:rsidR="00EE3ECC" w:rsidRPr="00CD1278" w:rsidRDefault="00EE3ECC" w:rsidP="00EE3ECC">
            <w:pPr>
              <w:tabs>
                <w:tab w:val="left" w:pos="720"/>
              </w:tabs>
              <w:spacing w:before="60" w:after="60"/>
              <w:jc w:val="center"/>
              <w:rPr>
                <w:color w:val="auto"/>
                <w:sz w:val="20"/>
              </w:rPr>
            </w:pPr>
            <w:r w:rsidRPr="00CD1278">
              <w:rPr>
                <w:color w:val="auto"/>
                <w:sz w:val="20"/>
              </w:rPr>
              <w:t>0</w:t>
            </w:r>
          </w:p>
        </w:tc>
        <w:tc>
          <w:tcPr>
            <w:tcW w:w="1672" w:type="dxa"/>
            <w:vAlign w:val="center"/>
          </w:tcPr>
          <w:p w14:paraId="6A51229E" w14:textId="77777777" w:rsidR="00EE3ECC" w:rsidRPr="00CD1278" w:rsidRDefault="00EE3ECC" w:rsidP="00EE3ECC">
            <w:pPr>
              <w:tabs>
                <w:tab w:val="left" w:pos="720"/>
              </w:tabs>
              <w:spacing w:before="60" w:after="60"/>
              <w:jc w:val="center"/>
              <w:rPr>
                <w:color w:val="auto"/>
                <w:sz w:val="20"/>
              </w:rPr>
            </w:pPr>
            <w:r w:rsidRPr="00CD1278">
              <w:rPr>
                <w:color w:val="auto"/>
                <w:sz w:val="20"/>
              </w:rPr>
              <w:t>92.977</w:t>
            </w:r>
          </w:p>
        </w:tc>
        <w:tc>
          <w:tcPr>
            <w:tcW w:w="1305" w:type="dxa"/>
            <w:vAlign w:val="center"/>
          </w:tcPr>
          <w:p w14:paraId="45A9EE5A" w14:textId="77777777" w:rsidR="00EE3ECC" w:rsidRPr="00CD1278" w:rsidRDefault="00EE3ECC" w:rsidP="00EE3ECC">
            <w:pPr>
              <w:tabs>
                <w:tab w:val="left" w:pos="720"/>
              </w:tabs>
              <w:spacing w:before="60" w:after="60"/>
              <w:jc w:val="center"/>
              <w:rPr>
                <w:color w:val="auto"/>
                <w:sz w:val="20"/>
              </w:rPr>
            </w:pPr>
            <w:r w:rsidRPr="00CD1278">
              <w:rPr>
                <w:color w:val="auto"/>
                <w:sz w:val="20"/>
              </w:rPr>
              <w:t>92.977</w:t>
            </w:r>
          </w:p>
        </w:tc>
        <w:tc>
          <w:tcPr>
            <w:tcW w:w="1269" w:type="dxa"/>
            <w:vAlign w:val="center"/>
          </w:tcPr>
          <w:p w14:paraId="2329BC34" w14:textId="77777777" w:rsidR="00EE3ECC" w:rsidRPr="00CD1278" w:rsidRDefault="00EE3ECC" w:rsidP="00EE3ECC">
            <w:pPr>
              <w:tabs>
                <w:tab w:val="left" w:pos="720"/>
              </w:tabs>
              <w:spacing w:before="60" w:after="60"/>
              <w:jc w:val="center"/>
              <w:rPr>
                <w:color w:val="auto"/>
                <w:sz w:val="20"/>
              </w:rPr>
            </w:pPr>
            <w:r w:rsidRPr="00CD1278">
              <w:rPr>
                <w:color w:val="auto"/>
                <w:sz w:val="20"/>
              </w:rPr>
              <w:t>92.977</w:t>
            </w:r>
          </w:p>
        </w:tc>
        <w:tc>
          <w:tcPr>
            <w:tcW w:w="1254" w:type="dxa"/>
            <w:gridSpan w:val="2"/>
            <w:vAlign w:val="center"/>
          </w:tcPr>
          <w:p w14:paraId="1325D1A3" w14:textId="77777777" w:rsidR="00EE3ECC" w:rsidRPr="00CD1278" w:rsidRDefault="00EE3ECC" w:rsidP="00EE3ECC">
            <w:pPr>
              <w:tabs>
                <w:tab w:val="left" w:pos="720"/>
              </w:tabs>
              <w:spacing w:before="60" w:after="60"/>
              <w:jc w:val="center"/>
              <w:rPr>
                <w:color w:val="auto"/>
                <w:sz w:val="20"/>
              </w:rPr>
            </w:pPr>
            <w:r w:rsidRPr="00CD1278">
              <w:rPr>
                <w:color w:val="auto"/>
                <w:sz w:val="20"/>
              </w:rPr>
              <w:t>0</w:t>
            </w:r>
          </w:p>
        </w:tc>
      </w:tr>
      <w:tr w:rsidR="003C102E" w:rsidRPr="00CD1278" w14:paraId="748F4E8F" w14:textId="77777777" w:rsidTr="003C102E">
        <w:trPr>
          <w:trHeight w:val="291"/>
        </w:trPr>
        <w:tc>
          <w:tcPr>
            <w:tcW w:w="1134" w:type="dxa"/>
            <w:vAlign w:val="center"/>
          </w:tcPr>
          <w:p w14:paraId="5FB7F612" w14:textId="77777777" w:rsidR="00EE3ECC" w:rsidRPr="00CD1278" w:rsidRDefault="00EE3ECC" w:rsidP="00EE3ECC">
            <w:pPr>
              <w:tabs>
                <w:tab w:val="left" w:pos="720"/>
              </w:tabs>
              <w:spacing w:before="60" w:after="60"/>
              <w:rPr>
                <w:color w:val="auto"/>
                <w:sz w:val="20"/>
              </w:rPr>
            </w:pPr>
            <w:r w:rsidRPr="00CD1278">
              <w:rPr>
                <w:color w:val="auto"/>
                <w:sz w:val="20"/>
              </w:rPr>
              <w:t>RSA</w:t>
            </w:r>
          </w:p>
        </w:tc>
        <w:tc>
          <w:tcPr>
            <w:tcW w:w="1418" w:type="dxa"/>
            <w:vAlign w:val="center"/>
          </w:tcPr>
          <w:p w14:paraId="2F68031B" w14:textId="77777777" w:rsidR="00EE3ECC" w:rsidRPr="00CD1278" w:rsidRDefault="00EE3ECC" w:rsidP="00EE3ECC">
            <w:pPr>
              <w:tabs>
                <w:tab w:val="left" w:pos="720"/>
              </w:tabs>
              <w:spacing w:before="60" w:after="60"/>
              <w:jc w:val="center"/>
              <w:rPr>
                <w:color w:val="auto"/>
                <w:sz w:val="20"/>
              </w:rPr>
            </w:pPr>
            <w:r w:rsidRPr="00CD1278">
              <w:rPr>
                <w:color w:val="auto"/>
                <w:sz w:val="20"/>
              </w:rPr>
              <w:t>59.1</w:t>
            </w:r>
          </w:p>
        </w:tc>
        <w:tc>
          <w:tcPr>
            <w:tcW w:w="1446" w:type="dxa"/>
            <w:vAlign w:val="center"/>
          </w:tcPr>
          <w:p w14:paraId="444BF23C" w14:textId="77777777" w:rsidR="00EE3ECC" w:rsidRPr="00CD1278" w:rsidRDefault="00EE3ECC" w:rsidP="00EE3ECC">
            <w:pPr>
              <w:tabs>
                <w:tab w:val="left" w:pos="720"/>
              </w:tabs>
              <w:spacing w:before="60" w:after="60"/>
              <w:jc w:val="center"/>
              <w:rPr>
                <w:color w:val="auto"/>
                <w:sz w:val="20"/>
              </w:rPr>
            </w:pPr>
            <w:r w:rsidRPr="00CD1278">
              <w:rPr>
                <w:color w:val="auto"/>
                <w:sz w:val="20"/>
              </w:rPr>
              <w:t>26</w:t>
            </w:r>
          </w:p>
        </w:tc>
        <w:tc>
          <w:tcPr>
            <w:tcW w:w="1672" w:type="dxa"/>
            <w:vAlign w:val="center"/>
          </w:tcPr>
          <w:p w14:paraId="3098AFF4" w14:textId="77777777" w:rsidR="00EE3ECC" w:rsidRPr="00CD1278" w:rsidRDefault="00EE3ECC" w:rsidP="00EE3ECC">
            <w:pPr>
              <w:tabs>
                <w:tab w:val="left" w:pos="720"/>
              </w:tabs>
              <w:spacing w:before="60" w:after="60"/>
              <w:jc w:val="center"/>
              <w:rPr>
                <w:color w:val="auto"/>
                <w:sz w:val="20"/>
              </w:rPr>
            </w:pPr>
            <w:r w:rsidRPr="00CD1278">
              <w:rPr>
                <w:color w:val="auto"/>
                <w:sz w:val="20"/>
              </w:rPr>
              <w:t>55</w:t>
            </w:r>
          </w:p>
        </w:tc>
        <w:tc>
          <w:tcPr>
            <w:tcW w:w="1305" w:type="dxa"/>
            <w:vAlign w:val="center"/>
          </w:tcPr>
          <w:p w14:paraId="6CA2FA68" w14:textId="32A5CDE1" w:rsidR="00EE3ECC" w:rsidRPr="00CD1278" w:rsidRDefault="00391519" w:rsidP="00EE3ECC">
            <w:pPr>
              <w:tabs>
                <w:tab w:val="left" w:pos="720"/>
              </w:tabs>
              <w:spacing w:before="60" w:after="60"/>
              <w:jc w:val="center"/>
              <w:rPr>
                <w:color w:val="auto"/>
                <w:sz w:val="20"/>
              </w:rPr>
            </w:pPr>
            <w:r w:rsidRPr="00CD1278">
              <w:rPr>
                <w:color w:val="auto"/>
                <w:sz w:val="20"/>
              </w:rPr>
              <w:t>81.0</w:t>
            </w:r>
          </w:p>
        </w:tc>
        <w:tc>
          <w:tcPr>
            <w:tcW w:w="1276" w:type="dxa"/>
            <w:gridSpan w:val="2"/>
            <w:vAlign w:val="center"/>
          </w:tcPr>
          <w:p w14:paraId="436D4EA8" w14:textId="77777777" w:rsidR="00EE3ECC" w:rsidRPr="00CD1278" w:rsidRDefault="00EE3ECC" w:rsidP="00EE3ECC">
            <w:pPr>
              <w:tabs>
                <w:tab w:val="left" w:pos="720"/>
              </w:tabs>
              <w:spacing w:before="60" w:after="60"/>
              <w:jc w:val="center"/>
              <w:rPr>
                <w:color w:val="auto"/>
                <w:sz w:val="20"/>
              </w:rPr>
            </w:pPr>
            <w:r w:rsidRPr="00CD1278">
              <w:rPr>
                <w:color w:val="auto"/>
                <w:sz w:val="20"/>
              </w:rPr>
              <w:t>57.56</w:t>
            </w:r>
          </w:p>
        </w:tc>
        <w:tc>
          <w:tcPr>
            <w:tcW w:w="1247" w:type="dxa"/>
            <w:vAlign w:val="center"/>
          </w:tcPr>
          <w:p w14:paraId="536F6C01" w14:textId="1DD7F0E1" w:rsidR="00EE3ECC" w:rsidRPr="00CD1278" w:rsidRDefault="00391519" w:rsidP="00EE3ECC">
            <w:pPr>
              <w:tabs>
                <w:tab w:val="left" w:pos="720"/>
              </w:tabs>
              <w:spacing w:before="60" w:after="60"/>
              <w:jc w:val="center"/>
              <w:rPr>
                <w:color w:val="auto"/>
                <w:sz w:val="20"/>
              </w:rPr>
            </w:pPr>
            <w:r w:rsidRPr="00CD1278">
              <w:rPr>
                <w:color w:val="auto"/>
                <w:sz w:val="20"/>
              </w:rPr>
              <w:t>23.42</w:t>
            </w:r>
          </w:p>
        </w:tc>
      </w:tr>
    </w:tbl>
    <w:p w14:paraId="38C5A8E1" w14:textId="77777777" w:rsidR="00EE3ECC" w:rsidRPr="00CD1278" w:rsidRDefault="00EE3ECC" w:rsidP="00EE3ECC">
      <w:pPr>
        <w:spacing w:after="0"/>
        <w:ind w:left="270"/>
        <w:rPr>
          <w:b/>
          <w:bCs/>
          <w:i/>
          <w:color w:val="auto"/>
          <w:sz w:val="28"/>
          <w:szCs w:val="28"/>
        </w:rPr>
      </w:pPr>
    </w:p>
    <w:p w14:paraId="7EE39C5C" w14:textId="77777777" w:rsidR="00EE3ECC" w:rsidRPr="00CD1278" w:rsidRDefault="00EE3ECC" w:rsidP="00EE3ECC">
      <w:pPr>
        <w:pStyle w:val="Tableheading0"/>
        <w:spacing w:before="0" w:after="0"/>
        <w:ind w:left="0" w:firstLine="0"/>
        <w:rPr>
          <w:sz w:val="20"/>
          <w:szCs w:val="18"/>
          <w:lang w:eastAsia="en-US"/>
        </w:rPr>
        <w:sectPr w:rsidR="00EE3ECC" w:rsidRPr="00CD1278" w:rsidSect="00EE3ECC">
          <w:pgSz w:w="11909" w:h="16834" w:code="9"/>
          <w:pgMar w:top="1440" w:right="1440" w:bottom="1134" w:left="1440" w:header="720" w:footer="720" w:gutter="0"/>
          <w:pgNumType w:start="1"/>
          <w:cols w:space="720"/>
          <w:docGrid w:linePitch="360"/>
        </w:sectPr>
      </w:pPr>
    </w:p>
    <w:p w14:paraId="5762A246" w14:textId="64F902B2" w:rsidR="004B39C7" w:rsidRPr="00CD1278" w:rsidRDefault="004B39C7" w:rsidP="00626B1A">
      <w:pPr>
        <w:spacing w:after="0"/>
        <w:ind w:left="270"/>
        <w:rPr>
          <w:b/>
          <w:bCs/>
          <w:i/>
          <w:color w:val="auto"/>
          <w:sz w:val="28"/>
          <w:szCs w:val="28"/>
        </w:rPr>
      </w:pPr>
      <w:bookmarkStart w:id="52" w:name="_Toc324255705"/>
      <w:bookmarkStart w:id="53" w:name="_Toc293054740"/>
      <w:r w:rsidRPr="00CD1278">
        <w:rPr>
          <w:b/>
          <w:bCs/>
          <w:i/>
          <w:color w:val="auto"/>
          <w:sz w:val="28"/>
          <w:szCs w:val="28"/>
        </w:rPr>
        <w:t>Table 1-</w:t>
      </w:r>
      <w:r w:rsidR="00190CAC" w:rsidRPr="00CD1278">
        <w:rPr>
          <w:b/>
          <w:bCs/>
          <w:i/>
          <w:color w:val="auto"/>
          <w:sz w:val="28"/>
          <w:szCs w:val="28"/>
        </w:rPr>
        <w:t>4</w:t>
      </w:r>
      <w:r w:rsidR="00301429" w:rsidRPr="00CD1278">
        <w:rPr>
          <w:b/>
          <w:bCs/>
          <w:i/>
          <w:color w:val="auto"/>
          <w:sz w:val="28"/>
          <w:szCs w:val="28"/>
        </w:rPr>
        <w:t>a</w:t>
      </w:r>
      <w:r w:rsidRPr="00CD1278">
        <w:rPr>
          <w:b/>
          <w:bCs/>
          <w:i/>
          <w:color w:val="auto"/>
          <w:sz w:val="28"/>
          <w:szCs w:val="28"/>
        </w:rPr>
        <w:t>.  Summary of Critical Use Nominations of Methyl Bromide (tonnes) for non A5 countries</w:t>
      </w:r>
    </w:p>
    <w:p w14:paraId="590AFD4C" w14:textId="77777777" w:rsidR="002121DB" w:rsidRPr="00CD1278" w:rsidRDefault="002121DB" w:rsidP="002121DB">
      <w:pPr>
        <w:spacing w:after="0"/>
        <w:ind w:left="142"/>
        <w:rPr>
          <w:b/>
          <w:bCs/>
          <w:i/>
          <w:color w:val="auto"/>
          <w:sz w:val="28"/>
          <w:szCs w:val="28"/>
        </w:rPr>
      </w:pPr>
    </w:p>
    <w:tbl>
      <w:tblPr>
        <w:tblW w:w="1470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992"/>
        <w:gridCol w:w="993"/>
        <w:gridCol w:w="850"/>
        <w:gridCol w:w="851"/>
        <w:gridCol w:w="850"/>
        <w:gridCol w:w="992"/>
        <w:gridCol w:w="851"/>
        <w:gridCol w:w="737"/>
        <w:gridCol w:w="851"/>
        <w:gridCol w:w="850"/>
        <w:gridCol w:w="851"/>
        <w:gridCol w:w="709"/>
        <w:gridCol w:w="708"/>
        <w:gridCol w:w="674"/>
        <w:gridCol w:w="675"/>
      </w:tblGrid>
      <w:tr w:rsidR="003C102E" w:rsidRPr="00CD1278" w14:paraId="1755F416" w14:textId="5D957D33" w:rsidTr="005D6B31">
        <w:trPr>
          <w:cantSplit/>
          <w:trHeight w:val="535"/>
          <w:tblHeader/>
        </w:trPr>
        <w:tc>
          <w:tcPr>
            <w:tcW w:w="1276" w:type="dxa"/>
            <w:vMerge w:val="restart"/>
            <w:shd w:val="clear" w:color="auto" w:fill="D9D9D9" w:themeFill="background1" w:themeFillShade="D9"/>
            <w:vAlign w:val="center"/>
          </w:tcPr>
          <w:p w14:paraId="7DF838D5" w14:textId="77777777" w:rsidR="00FD4302" w:rsidRPr="00CD1278" w:rsidRDefault="00FD4302" w:rsidP="004B39C7">
            <w:pPr>
              <w:keepNext/>
              <w:keepLines/>
              <w:spacing w:before="120" w:after="100" w:afterAutospacing="1"/>
              <w:jc w:val="center"/>
              <w:rPr>
                <w:rFonts w:asciiTheme="majorBidi" w:hAnsiTheme="majorBidi" w:cstheme="majorBidi"/>
                <w:b/>
                <w:color w:val="auto"/>
                <w:szCs w:val="22"/>
              </w:rPr>
            </w:pPr>
            <w:r w:rsidRPr="00CD1278">
              <w:rPr>
                <w:rFonts w:asciiTheme="majorBidi" w:hAnsiTheme="majorBidi" w:cstheme="majorBidi"/>
                <w:b/>
                <w:color w:val="auto"/>
                <w:szCs w:val="22"/>
              </w:rPr>
              <w:t>Party</w:t>
            </w:r>
          </w:p>
        </w:tc>
        <w:tc>
          <w:tcPr>
            <w:tcW w:w="13426" w:type="dxa"/>
            <w:gridSpan w:val="16"/>
            <w:shd w:val="clear" w:color="auto" w:fill="D9D9D9" w:themeFill="background1" w:themeFillShade="D9"/>
            <w:vAlign w:val="center"/>
          </w:tcPr>
          <w:p w14:paraId="4AF0FB99" w14:textId="54B43F36" w:rsidR="00FD4302" w:rsidRPr="00CD1278" w:rsidRDefault="000C54E8" w:rsidP="000C54E8">
            <w:pPr>
              <w:keepNext/>
              <w:keepLines/>
              <w:spacing w:after="0"/>
              <w:jc w:val="center"/>
              <w:rPr>
                <w:rFonts w:asciiTheme="majorBidi" w:hAnsiTheme="majorBidi" w:cstheme="majorBidi"/>
                <w:b/>
                <w:color w:val="auto"/>
                <w:szCs w:val="22"/>
              </w:rPr>
            </w:pPr>
            <w:r w:rsidRPr="00CD1278">
              <w:rPr>
                <w:rFonts w:asciiTheme="majorBidi" w:hAnsiTheme="majorBidi" w:cstheme="majorBidi"/>
                <w:b/>
                <w:color w:val="auto"/>
                <w:szCs w:val="22"/>
              </w:rPr>
              <w:t>Q</w:t>
            </w:r>
            <w:r w:rsidR="00FD4302" w:rsidRPr="00CD1278">
              <w:rPr>
                <w:rFonts w:asciiTheme="majorBidi" w:hAnsiTheme="majorBidi" w:cstheme="majorBidi"/>
                <w:b/>
                <w:color w:val="auto"/>
                <w:szCs w:val="22"/>
              </w:rPr>
              <w:t>uantit</w:t>
            </w:r>
            <w:r w:rsidRPr="00CD1278">
              <w:rPr>
                <w:rFonts w:asciiTheme="majorBidi" w:hAnsiTheme="majorBidi" w:cstheme="majorBidi"/>
                <w:b/>
                <w:color w:val="auto"/>
                <w:szCs w:val="22"/>
              </w:rPr>
              <w:t>y of MB</w:t>
            </w:r>
            <w:r w:rsidR="00FD4302" w:rsidRPr="00CD1278">
              <w:rPr>
                <w:rFonts w:asciiTheme="majorBidi" w:hAnsiTheme="majorBidi" w:cstheme="majorBidi"/>
                <w:b/>
                <w:color w:val="auto"/>
                <w:szCs w:val="22"/>
              </w:rPr>
              <w:t xml:space="preserve"> Nominated</w:t>
            </w:r>
          </w:p>
        </w:tc>
      </w:tr>
      <w:tr w:rsidR="003C102E" w:rsidRPr="00CD1278" w14:paraId="76095CA8" w14:textId="19F0EFE8" w:rsidTr="00B5085B">
        <w:trPr>
          <w:cantSplit/>
          <w:trHeight w:val="866"/>
          <w:tblHeader/>
        </w:trPr>
        <w:tc>
          <w:tcPr>
            <w:tcW w:w="1276" w:type="dxa"/>
            <w:vMerge/>
            <w:shd w:val="clear" w:color="auto" w:fill="D9D9D9" w:themeFill="background1" w:themeFillShade="D9"/>
          </w:tcPr>
          <w:p w14:paraId="57819E4C" w14:textId="77777777" w:rsidR="000C77F3" w:rsidRPr="00CD1278" w:rsidRDefault="000C77F3" w:rsidP="004B39C7">
            <w:pPr>
              <w:keepNext/>
              <w:keepLines/>
              <w:spacing w:before="120" w:after="100" w:afterAutospacing="1"/>
              <w:jc w:val="center"/>
              <w:rPr>
                <w:rFonts w:asciiTheme="majorBidi" w:hAnsiTheme="majorBidi" w:cstheme="majorBidi"/>
                <w:b/>
                <w:color w:val="auto"/>
                <w:szCs w:val="22"/>
              </w:rPr>
            </w:pPr>
          </w:p>
        </w:tc>
        <w:tc>
          <w:tcPr>
            <w:tcW w:w="992" w:type="dxa"/>
            <w:vAlign w:val="center"/>
          </w:tcPr>
          <w:p w14:paraId="22A2AD31" w14:textId="77777777" w:rsidR="000C77F3" w:rsidRPr="00CD1278" w:rsidRDefault="000C77F3" w:rsidP="00FD4302">
            <w:pPr>
              <w:keepNext/>
              <w:keepLines/>
              <w:spacing w:before="120" w:after="100" w:afterAutospacing="1"/>
              <w:ind w:left="-107" w:right="-49"/>
              <w:jc w:val="center"/>
              <w:rPr>
                <w:rFonts w:asciiTheme="majorBidi" w:hAnsiTheme="majorBidi" w:cstheme="majorBidi"/>
                <w:b/>
                <w:color w:val="auto"/>
                <w:szCs w:val="22"/>
              </w:rPr>
            </w:pPr>
            <w:r w:rsidRPr="00CD1278">
              <w:rPr>
                <w:rFonts w:asciiTheme="majorBidi" w:hAnsiTheme="majorBidi" w:cstheme="majorBidi"/>
                <w:b/>
                <w:color w:val="auto"/>
                <w:szCs w:val="22"/>
              </w:rPr>
              <w:t>2005</w:t>
            </w:r>
          </w:p>
        </w:tc>
        <w:tc>
          <w:tcPr>
            <w:tcW w:w="992" w:type="dxa"/>
            <w:vAlign w:val="center"/>
          </w:tcPr>
          <w:p w14:paraId="55DAF3A3" w14:textId="77777777" w:rsidR="000C77F3" w:rsidRPr="00CD1278" w:rsidRDefault="000C77F3" w:rsidP="00FD4302">
            <w:pPr>
              <w:keepNext/>
              <w:keepLines/>
              <w:spacing w:before="120" w:after="100" w:afterAutospacing="1"/>
              <w:ind w:left="-107" w:right="-49"/>
              <w:jc w:val="center"/>
              <w:rPr>
                <w:rFonts w:asciiTheme="majorBidi" w:hAnsiTheme="majorBidi" w:cstheme="majorBidi"/>
                <w:b/>
                <w:color w:val="auto"/>
                <w:szCs w:val="22"/>
              </w:rPr>
            </w:pPr>
            <w:r w:rsidRPr="00CD1278">
              <w:rPr>
                <w:rFonts w:asciiTheme="majorBidi" w:hAnsiTheme="majorBidi" w:cstheme="majorBidi"/>
                <w:b/>
                <w:color w:val="auto"/>
                <w:szCs w:val="22"/>
              </w:rPr>
              <w:t>2006</w:t>
            </w:r>
          </w:p>
        </w:tc>
        <w:tc>
          <w:tcPr>
            <w:tcW w:w="993" w:type="dxa"/>
            <w:vAlign w:val="center"/>
          </w:tcPr>
          <w:p w14:paraId="4BC18EF4" w14:textId="77777777" w:rsidR="000C77F3" w:rsidRPr="00CD1278" w:rsidRDefault="000C77F3" w:rsidP="00FD4302">
            <w:pPr>
              <w:keepNext/>
              <w:keepLines/>
              <w:spacing w:before="120" w:after="100" w:afterAutospacing="1"/>
              <w:ind w:left="-107" w:right="-49"/>
              <w:jc w:val="center"/>
              <w:rPr>
                <w:rFonts w:asciiTheme="majorBidi" w:hAnsiTheme="majorBidi" w:cstheme="majorBidi"/>
                <w:b/>
                <w:color w:val="auto"/>
                <w:szCs w:val="22"/>
              </w:rPr>
            </w:pPr>
            <w:r w:rsidRPr="00CD1278">
              <w:rPr>
                <w:rFonts w:asciiTheme="majorBidi" w:hAnsiTheme="majorBidi" w:cstheme="majorBidi"/>
                <w:b/>
                <w:color w:val="auto"/>
                <w:szCs w:val="22"/>
              </w:rPr>
              <w:t>2007</w:t>
            </w:r>
          </w:p>
        </w:tc>
        <w:tc>
          <w:tcPr>
            <w:tcW w:w="850" w:type="dxa"/>
            <w:vAlign w:val="center"/>
          </w:tcPr>
          <w:p w14:paraId="5B95FF34" w14:textId="77777777" w:rsidR="000C77F3" w:rsidRPr="00CD1278" w:rsidRDefault="000C77F3" w:rsidP="00FD4302">
            <w:pPr>
              <w:keepNext/>
              <w:keepLines/>
              <w:spacing w:before="120" w:after="100" w:afterAutospacing="1"/>
              <w:ind w:left="-107" w:right="-49"/>
              <w:jc w:val="center"/>
              <w:rPr>
                <w:rFonts w:asciiTheme="majorBidi" w:hAnsiTheme="majorBidi" w:cstheme="majorBidi"/>
                <w:color w:val="auto"/>
                <w:szCs w:val="22"/>
              </w:rPr>
            </w:pPr>
            <w:r w:rsidRPr="00CD1278">
              <w:rPr>
                <w:rFonts w:asciiTheme="majorBidi" w:hAnsiTheme="majorBidi" w:cstheme="majorBidi"/>
                <w:b/>
                <w:color w:val="auto"/>
                <w:szCs w:val="22"/>
              </w:rPr>
              <w:t>2008</w:t>
            </w:r>
          </w:p>
        </w:tc>
        <w:tc>
          <w:tcPr>
            <w:tcW w:w="851" w:type="dxa"/>
            <w:vAlign w:val="center"/>
          </w:tcPr>
          <w:p w14:paraId="246C628E" w14:textId="77777777" w:rsidR="000C77F3" w:rsidRPr="00CD1278" w:rsidRDefault="000C77F3" w:rsidP="00FD4302">
            <w:pPr>
              <w:keepNext/>
              <w:keepLines/>
              <w:spacing w:before="120" w:after="100" w:afterAutospacing="1"/>
              <w:ind w:left="-107" w:right="-49"/>
              <w:jc w:val="center"/>
              <w:rPr>
                <w:rFonts w:asciiTheme="majorBidi" w:hAnsiTheme="majorBidi" w:cstheme="majorBidi"/>
                <w:color w:val="auto"/>
                <w:szCs w:val="22"/>
              </w:rPr>
            </w:pPr>
            <w:r w:rsidRPr="00CD1278">
              <w:rPr>
                <w:rFonts w:asciiTheme="majorBidi" w:hAnsiTheme="majorBidi" w:cstheme="majorBidi"/>
                <w:b/>
                <w:color w:val="auto"/>
                <w:szCs w:val="22"/>
              </w:rPr>
              <w:t>2009</w:t>
            </w:r>
          </w:p>
        </w:tc>
        <w:tc>
          <w:tcPr>
            <w:tcW w:w="850" w:type="dxa"/>
            <w:vAlign w:val="center"/>
          </w:tcPr>
          <w:p w14:paraId="6D0DB44E" w14:textId="77777777" w:rsidR="000C77F3" w:rsidRPr="00CD1278" w:rsidRDefault="000C77F3" w:rsidP="00FD4302">
            <w:pPr>
              <w:keepNext/>
              <w:keepLines/>
              <w:spacing w:before="120" w:after="100" w:afterAutospacing="1"/>
              <w:ind w:left="-107" w:right="-49"/>
              <w:jc w:val="center"/>
              <w:rPr>
                <w:rFonts w:asciiTheme="majorBidi" w:hAnsiTheme="majorBidi" w:cstheme="majorBidi"/>
                <w:color w:val="auto"/>
                <w:szCs w:val="22"/>
              </w:rPr>
            </w:pPr>
            <w:r w:rsidRPr="00CD1278">
              <w:rPr>
                <w:rFonts w:asciiTheme="majorBidi" w:hAnsiTheme="majorBidi" w:cstheme="majorBidi"/>
                <w:b/>
                <w:color w:val="auto"/>
                <w:szCs w:val="22"/>
              </w:rPr>
              <w:t>2010</w:t>
            </w:r>
          </w:p>
        </w:tc>
        <w:tc>
          <w:tcPr>
            <w:tcW w:w="992" w:type="dxa"/>
            <w:vAlign w:val="center"/>
          </w:tcPr>
          <w:p w14:paraId="41CB028E" w14:textId="77777777" w:rsidR="000C77F3" w:rsidRPr="00CD1278" w:rsidRDefault="000C77F3" w:rsidP="00FD4302">
            <w:pPr>
              <w:keepNext/>
              <w:keepLines/>
              <w:spacing w:before="120" w:after="100" w:afterAutospacing="1"/>
              <w:ind w:left="-107" w:right="-49"/>
              <w:jc w:val="center"/>
              <w:rPr>
                <w:rFonts w:asciiTheme="majorBidi" w:hAnsiTheme="majorBidi" w:cstheme="majorBidi"/>
                <w:b/>
                <w:color w:val="auto"/>
                <w:szCs w:val="22"/>
              </w:rPr>
            </w:pPr>
            <w:r w:rsidRPr="00CD1278">
              <w:rPr>
                <w:rFonts w:asciiTheme="majorBidi" w:hAnsiTheme="majorBidi" w:cstheme="majorBidi"/>
                <w:b/>
                <w:color w:val="auto"/>
                <w:szCs w:val="22"/>
              </w:rPr>
              <w:t>2011</w:t>
            </w:r>
          </w:p>
        </w:tc>
        <w:tc>
          <w:tcPr>
            <w:tcW w:w="851" w:type="dxa"/>
            <w:vAlign w:val="center"/>
          </w:tcPr>
          <w:p w14:paraId="242DE2EB" w14:textId="77777777" w:rsidR="000C77F3" w:rsidRPr="00CD1278" w:rsidRDefault="000C77F3" w:rsidP="00FD4302">
            <w:pPr>
              <w:keepNext/>
              <w:keepLines/>
              <w:spacing w:before="120" w:after="100" w:afterAutospacing="1"/>
              <w:ind w:left="-107" w:right="-49"/>
              <w:jc w:val="center"/>
              <w:rPr>
                <w:rFonts w:asciiTheme="majorBidi" w:hAnsiTheme="majorBidi" w:cstheme="majorBidi"/>
                <w:b/>
                <w:color w:val="auto"/>
                <w:szCs w:val="22"/>
              </w:rPr>
            </w:pPr>
            <w:r w:rsidRPr="00CD1278">
              <w:rPr>
                <w:rFonts w:asciiTheme="majorBidi" w:hAnsiTheme="majorBidi" w:cstheme="majorBidi"/>
                <w:b/>
                <w:color w:val="auto"/>
                <w:szCs w:val="22"/>
              </w:rPr>
              <w:t>2012</w:t>
            </w:r>
          </w:p>
        </w:tc>
        <w:tc>
          <w:tcPr>
            <w:tcW w:w="737" w:type="dxa"/>
            <w:vAlign w:val="center"/>
          </w:tcPr>
          <w:p w14:paraId="0F672957" w14:textId="77777777" w:rsidR="000C77F3" w:rsidRPr="00CD1278" w:rsidRDefault="000C77F3" w:rsidP="00FD4302">
            <w:pPr>
              <w:keepNext/>
              <w:keepLines/>
              <w:spacing w:before="120" w:after="100" w:afterAutospacing="1"/>
              <w:ind w:left="-107" w:right="-49"/>
              <w:jc w:val="center"/>
              <w:rPr>
                <w:rFonts w:asciiTheme="majorBidi" w:hAnsiTheme="majorBidi" w:cstheme="majorBidi"/>
                <w:b/>
                <w:color w:val="auto"/>
                <w:szCs w:val="22"/>
              </w:rPr>
            </w:pPr>
            <w:r w:rsidRPr="00CD1278">
              <w:rPr>
                <w:rFonts w:asciiTheme="majorBidi" w:hAnsiTheme="majorBidi" w:cstheme="majorBidi"/>
                <w:b/>
                <w:color w:val="auto"/>
                <w:szCs w:val="22"/>
              </w:rPr>
              <w:t>2013</w:t>
            </w:r>
          </w:p>
        </w:tc>
        <w:tc>
          <w:tcPr>
            <w:tcW w:w="851" w:type="dxa"/>
            <w:vAlign w:val="center"/>
          </w:tcPr>
          <w:p w14:paraId="03A9AB87" w14:textId="77777777" w:rsidR="000C77F3" w:rsidRPr="00CD1278" w:rsidRDefault="000C77F3" w:rsidP="00FD4302">
            <w:pPr>
              <w:keepNext/>
              <w:keepLines/>
              <w:spacing w:before="120" w:after="100" w:afterAutospacing="1"/>
              <w:ind w:left="-107" w:right="-49"/>
              <w:jc w:val="center"/>
              <w:rPr>
                <w:rFonts w:asciiTheme="majorBidi" w:hAnsiTheme="majorBidi" w:cstheme="majorBidi"/>
                <w:b/>
                <w:color w:val="auto"/>
                <w:szCs w:val="22"/>
              </w:rPr>
            </w:pPr>
            <w:r w:rsidRPr="00CD1278">
              <w:rPr>
                <w:rFonts w:asciiTheme="majorBidi" w:hAnsiTheme="majorBidi" w:cstheme="majorBidi"/>
                <w:b/>
                <w:color w:val="auto"/>
                <w:szCs w:val="22"/>
              </w:rPr>
              <w:t>2014</w:t>
            </w:r>
          </w:p>
        </w:tc>
        <w:tc>
          <w:tcPr>
            <w:tcW w:w="850" w:type="dxa"/>
            <w:vAlign w:val="center"/>
          </w:tcPr>
          <w:p w14:paraId="1F260102" w14:textId="77777777" w:rsidR="000C77F3" w:rsidRPr="00CD1278" w:rsidRDefault="000C77F3" w:rsidP="00FD4302">
            <w:pPr>
              <w:keepNext/>
              <w:keepLines/>
              <w:spacing w:before="120" w:after="100" w:afterAutospacing="1"/>
              <w:ind w:left="-107" w:right="-49"/>
              <w:jc w:val="center"/>
              <w:rPr>
                <w:rFonts w:asciiTheme="majorBidi" w:hAnsiTheme="majorBidi" w:cstheme="majorBidi"/>
                <w:b/>
                <w:color w:val="auto"/>
                <w:szCs w:val="22"/>
              </w:rPr>
            </w:pPr>
            <w:r w:rsidRPr="00CD1278">
              <w:rPr>
                <w:rFonts w:asciiTheme="majorBidi" w:hAnsiTheme="majorBidi" w:cstheme="majorBidi"/>
                <w:b/>
                <w:color w:val="auto"/>
                <w:szCs w:val="22"/>
              </w:rPr>
              <w:t>2015</w:t>
            </w:r>
          </w:p>
        </w:tc>
        <w:tc>
          <w:tcPr>
            <w:tcW w:w="851" w:type="dxa"/>
            <w:vAlign w:val="center"/>
          </w:tcPr>
          <w:p w14:paraId="10016E97" w14:textId="77777777" w:rsidR="000C77F3" w:rsidRPr="00CD1278" w:rsidRDefault="000C77F3" w:rsidP="00FD4302">
            <w:pPr>
              <w:keepNext/>
              <w:keepLines/>
              <w:spacing w:before="120" w:after="100" w:afterAutospacing="1"/>
              <w:ind w:left="-107" w:right="-49"/>
              <w:jc w:val="center"/>
              <w:rPr>
                <w:rFonts w:asciiTheme="majorBidi" w:hAnsiTheme="majorBidi" w:cstheme="majorBidi"/>
                <w:b/>
                <w:color w:val="auto"/>
                <w:szCs w:val="22"/>
              </w:rPr>
            </w:pPr>
            <w:r w:rsidRPr="00CD1278">
              <w:rPr>
                <w:rFonts w:asciiTheme="majorBidi" w:hAnsiTheme="majorBidi" w:cstheme="majorBidi"/>
                <w:b/>
                <w:color w:val="auto"/>
                <w:szCs w:val="22"/>
              </w:rPr>
              <w:t>2016</w:t>
            </w:r>
          </w:p>
        </w:tc>
        <w:tc>
          <w:tcPr>
            <w:tcW w:w="709" w:type="dxa"/>
            <w:vAlign w:val="center"/>
          </w:tcPr>
          <w:p w14:paraId="21FC4790" w14:textId="77777777" w:rsidR="000C77F3" w:rsidRPr="00CD1278" w:rsidRDefault="000C77F3" w:rsidP="00FD4302">
            <w:pPr>
              <w:keepNext/>
              <w:keepLines/>
              <w:spacing w:before="120" w:after="100" w:afterAutospacing="1"/>
              <w:ind w:left="-107" w:right="-49"/>
              <w:jc w:val="center"/>
              <w:rPr>
                <w:rFonts w:asciiTheme="majorBidi" w:hAnsiTheme="majorBidi" w:cstheme="majorBidi"/>
                <w:b/>
                <w:color w:val="auto"/>
                <w:szCs w:val="22"/>
              </w:rPr>
            </w:pPr>
            <w:r w:rsidRPr="00CD1278">
              <w:rPr>
                <w:rFonts w:asciiTheme="majorBidi" w:hAnsiTheme="majorBidi" w:cstheme="majorBidi"/>
                <w:b/>
                <w:color w:val="auto"/>
                <w:szCs w:val="22"/>
              </w:rPr>
              <w:t>2017</w:t>
            </w:r>
          </w:p>
        </w:tc>
        <w:tc>
          <w:tcPr>
            <w:tcW w:w="708" w:type="dxa"/>
            <w:vAlign w:val="center"/>
          </w:tcPr>
          <w:p w14:paraId="66521555" w14:textId="77777777" w:rsidR="000C77F3" w:rsidRPr="00CD1278" w:rsidRDefault="000C77F3" w:rsidP="00FD4302">
            <w:pPr>
              <w:keepNext/>
              <w:keepLines/>
              <w:spacing w:before="120" w:after="100" w:afterAutospacing="1"/>
              <w:ind w:left="-107" w:right="-49"/>
              <w:jc w:val="center"/>
              <w:rPr>
                <w:rFonts w:asciiTheme="majorBidi" w:hAnsiTheme="majorBidi" w:cstheme="majorBidi"/>
                <w:b/>
                <w:color w:val="auto"/>
                <w:szCs w:val="22"/>
              </w:rPr>
            </w:pPr>
            <w:r w:rsidRPr="00CD1278">
              <w:rPr>
                <w:rFonts w:asciiTheme="majorBidi" w:hAnsiTheme="majorBidi" w:cstheme="majorBidi"/>
                <w:b/>
                <w:color w:val="auto"/>
                <w:szCs w:val="22"/>
              </w:rPr>
              <w:t>2018</w:t>
            </w:r>
          </w:p>
        </w:tc>
        <w:tc>
          <w:tcPr>
            <w:tcW w:w="674" w:type="dxa"/>
            <w:vAlign w:val="center"/>
          </w:tcPr>
          <w:p w14:paraId="2995569D" w14:textId="5EBC57DD" w:rsidR="000C77F3" w:rsidRPr="00CD1278" w:rsidRDefault="00294D81" w:rsidP="00B5085B">
            <w:pPr>
              <w:keepNext/>
              <w:keepLines/>
              <w:spacing w:before="120" w:after="100" w:afterAutospacing="1"/>
              <w:ind w:left="-107" w:right="-49"/>
              <w:jc w:val="center"/>
              <w:rPr>
                <w:rFonts w:asciiTheme="majorBidi" w:hAnsiTheme="majorBidi" w:cstheme="majorBidi"/>
                <w:b/>
                <w:color w:val="auto"/>
                <w:szCs w:val="22"/>
              </w:rPr>
            </w:pPr>
            <w:r w:rsidRPr="00CD1278">
              <w:rPr>
                <w:rFonts w:asciiTheme="majorBidi" w:hAnsiTheme="majorBidi" w:cstheme="majorBidi"/>
                <w:b/>
                <w:color w:val="auto"/>
                <w:szCs w:val="22"/>
              </w:rPr>
              <w:t>2019</w:t>
            </w:r>
          </w:p>
        </w:tc>
        <w:tc>
          <w:tcPr>
            <w:tcW w:w="675" w:type="dxa"/>
            <w:vAlign w:val="center"/>
          </w:tcPr>
          <w:p w14:paraId="4B304A28" w14:textId="34CD3710" w:rsidR="000C77F3" w:rsidRPr="00CD1278" w:rsidRDefault="000C77F3" w:rsidP="00E67771">
            <w:pPr>
              <w:keepNext/>
              <w:keepLines/>
              <w:spacing w:before="120" w:after="0"/>
              <w:ind w:left="-108" w:right="-51"/>
              <w:jc w:val="center"/>
              <w:rPr>
                <w:rFonts w:asciiTheme="majorBidi" w:hAnsiTheme="majorBidi" w:cstheme="majorBidi"/>
                <w:b/>
                <w:color w:val="auto"/>
                <w:szCs w:val="22"/>
              </w:rPr>
            </w:pPr>
            <w:r w:rsidRPr="00CD1278">
              <w:rPr>
                <w:rFonts w:asciiTheme="majorBidi" w:hAnsiTheme="majorBidi" w:cstheme="majorBidi"/>
                <w:b/>
                <w:bCs/>
                <w:color w:val="auto"/>
              </w:rPr>
              <w:t>2020</w:t>
            </w:r>
          </w:p>
        </w:tc>
      </w:tr>
      <w:tr w:rsidR="003C102E" w:rsidRPr="00CD1278" w14:paraId="226E3717" w14:textId="1699C730" w:rsidTr="000C77F3">
        <w:tc>
          <w:tcPr>
            <w:tcW w:w="1276" w:type="dxa"/>
            <w:vAlign w:val="center"/>
          </w:tcPr>
          <w:p w14:paraId="60347FC2" w14:textId="77777777" w:rsidR="000C77F3" w:rsidRPr="00CD1278" w:rsidRDefault="000C77F3"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Australia</w:t>
            </w:r>
          </w:p>
        </w:tc>
        <w:tc>
          <w:tcPr>
            <w:tcW w:w="992" w:type="dxa"/>
            <w:vAlign w:val="center"/>
          </w:tcPr>
          <w:p w14:paraId="59161083"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206.950</w:t>
            </w:r>
          </w:p>
        </w:tc>
        <w:tc>
          <w:tcPr>
            <w:tcW w:w="992" w:type="dxa"/>
            <w:vAlign w:val="center"/>
          </w:tcPr>
          <w:p w14:paraId="3E846607"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81.250</w:t>
            </w:r>
          </w:p>
        </w:tc>
        <w:tc>
          <w:tcPr>
            <w:tcW w:w="993" w:type="dxa"/>
            <w:vAlign w:val="center"/>
          </w:tcPr>
          <w:p w14:paraId="784AFEB8"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52.145</w:t>
            </w:r>
          </w:p>
        </w:tc>
        <w:tc>
          <w:tcPr>
            <w:tcW w:w="850" w:type="dxa"/>
            <w:vAlign w:val="center"/>
          </w:tcPr>
          <w:p w14:paraId="701AD36C"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52.900</w:t>
            </w:r>
          </w:p>
        </w:tc>
        <w:tc>
          <w:tcPr>
            <w:tcW w:w="851" w:type="dxa"/>
            <w:vAlign w:val="center"/>
          </w:tcPr>
          <w:p w14:paraId="502DDCBB"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38.990</w:t>
            </w:r>
          </w:p>
        </w:tc>
        <w:tc>
          <w:tcPr>
            <w:tcW w:w="850" w:type="dxa"/>
            <w:vAlign w:val="center"/>
          </w:tcPr>
          <w:p w14:paraId="0A79CD93"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37.610</w:t>
            </w:r>
          </w:p>
        </w:tc>
        <w:tc>
          <w:tcPr>
            <w:tcW w:w="992" w:type="dxa"/>
            <w:vAlign w:val="center"/>
          </w:tcPr>
          <w:p w14:paraId="7DD0397F"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35.450</w:t>
            </w:r>
          </w:p>
        </w:tc>
        <w:tc>
          <w:tcPr>
            <w:tcW w:w="851" w:type="dxa"/>
            <w:vAlign w:val="center"/>
          </w:tcPr>
          <w:p w14:paraId="383AA6B6"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34.660</w:t>
            </w:r>
          </w:p>
        </w:tc>
        <w:tc>
          <w:tcPr>
            <w:tcW w:w="737" w:type="dxa"/>
            <w:vAlign w:val="center"/>
          </w:tcPr>
          <w:p w14:paraId="3D1A6B69"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32.164</w:t>
            </w:r>
          </w:p>
        </w:tc>
        <w:tc>
          <w:tcPr>
            <w:tcW w:w="851" w:type="dxa"/>
            <w:vAlign w:val="center"/>
          </w:tcPr>
          <w:p w14:paraId="39976613"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30.947</w:t>
            </w:r>
          </w:p>
        </w:tc>
        <w:tc>
          <w:tcPr>
            <w:tcW w:w="850" w:type="dxa"/>
            <w:vAlign w:val="center"/>
          </w:tcPr>
          <w:p w14:paraId="0033B2F5"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29.79</w:t>
            </w:r>
          </w:p>
        </w:tc>
        <w:tc>
          <w:tcPr>
            <w:tcW w:w="851" w:type="dxa"/>
            <w:vAlign w:val="center"/>
          </w:tcPr>
          <w:p w14:paraId="5A65227D"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29.79</w:t>
            </w:r>
          </w:p>
        </w:tc>
        <w:tc>
          <w:tcPr>
            <w:tcW w:w="709" w:type="dxa"/>
            <w:vAlign w:val="center"/>
          </w:tcPr>
          <w:p w14:paraId="74E90C2C"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29.79</w:t>
            </w:r>
          </w:p>
        </w:tc>
        <w:tc>
          <w:tcPr>
            <w:tcW w:w="708" w:type="dxa"/>
            <w:vAlign w:val="center"/>
          </w:tcPr>
          <w:p w14:paraId="2B84D864"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29.76</w:t>
            </w:r>
          </w:p>
        </w:tc>
        <w:tc>
          <w:tcPr>
            <w:tcW w:w="674" w:type="dxa"/>
            <w:vAlign w:val="center"/>
          </w:tcPr>
          <w:p w14:paraId="3C055D3C" w14:textId="2AA41965" w:rsidR="000C77F3" w:rsidRPr="00CD1278" w:rsidRDefault="000C77F3" w:rsidP="00D95A63">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28.98</w:t>
            </w:r>
          </w:p>
        </w:tc>
        <w:tc>
          <w:tcPr>
            <w:tcW w:w="675" w:type="dxa"/>
            <w:vAlign w:val="center"/>
          </w:tcPr>
          <w:p w14:paraId="247B2A12" w14:textId="28B5733E" w:rsidR="000C77F3" w:rsidRPr="00CD1278" w:rsidRDefault="00C66F4C" w:rsidP="00D95A63">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28.98</w:t>
            </w:r>
          </w:p>
        </w:tc>
      </w:tr>
      <w:tr w:rsidR="003C102E" w:rsidRPr="00CD1278" w14:paraId="511929CD" w14:textId="2409BFC5" w:rsidTr="000C77F3">
        <w:trPr>
          <w:trHeight w:val="433"/>
        </w:trPr>
        <w:tc>
          <w:tcPr>
            <w:tcW w:w="1276" w:type="dxa"/>
            <w:vAlign w:val="center"/>
          </w:tcPr>
          <w:p w14:paraId="7944411F" w14:textId="77777777" w:rsidR="000C77F3" w:rsidRPr="00CD1278" w:rsidRDefault="000C77F3"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Canada</w:t>
            </w:r>
          </w:p>
        </w:tc>
        <w:tc>
          <w:tcPr>
            <w:tcW w:w="992" w:type="dxa"/>
            <w:vAlign w:val="center"/>
          </w:tcPr>
          <w:p w14:paraId="4A834550"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61.992</w:t>
            </w:r>
          </w:p>
        </w:tc>
        <w:tc>
          <w:tcPr>
            <w:tcW w:w="992" w:type="dxa"/>
            <w:vAlign w:val="center"/>
          </w:tcPr>
          <w:p w14:paraId="2906DC11"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53.897</w:t>
            </w:r>
          </w:p>
        </w:tc>
        <w:tc>
          <w:tcPr>
            <w:tcW w:w="993" w:type="dxa"/>
            <w:vAlign w:val="center"/>
          </w:tcPr>
          <w:p w14:paraId="07352F07"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46.745</w:t>
            </w:r>
          </w:p>
        </w:tc>
        <w:tc>
          <w:tcPr>
            <w:tcW w:w="850" w:type="dxa"/>
            <w:vAlign w:val="center"/>
          </w:tcPr>
          <w:p w14:paraId="1E59D186"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42.241</w:t>
            </w:r>
          </w:p>
        </w:tc>
        <w:tc>
          <w:tcPr>
            <w:tcW w:w="851" w:type="dxa"/>
            <w:vAlign w:val="center"/>
          </w:tcPr>
          <w:p w14:paraId="76C7BB12"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39.115</w:t>
            </w:r>
          </w:p>
        </w:tc>
        <w:tc>
          <w:tcPr>
            <w:tcW w:w="850" w:type="dxa"/>
            <w:vAlign w:val="center"/>
          </w:tcPr>
          <w:p w14:paraId="6760A6FC"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35.080</w:t>
            </w:r>
          </w:p>
        </w:tc>
        <w:tc>
          <w:tcPr>
            <w:tcW w:w="992" w:type="dxa"/>
            <w:vAlign w:val="center"/>
          </w:tcPr>
          <w:p w14:paraId="01F2FEB9" w14:textId="77777777" w:rsidR="000C77F3" w:rsidRPr="00CD1278" w:rsidRDefault="000C77F3" w:rsidP="00FD4302">
            <w:pPr>
              <w:keepNext/>
              <w:keepLines/>
              <w:spacing w:after="0"/>
              <w:ind w:left="-108" w:right="-51"/>
              <w:jc w:val="center"/>
              <w:rPr>
                <w:rFonts w:asciiTheme="majorBidi" w:hAnsiTheme="majorBidi" w:cstheme="majorBidi"/>
                <w:color w:val="auto"/>
                <w:sz w:val="20"/>
              </w:rPr>
            </w:pPr>
            <w:r w:rsidRPr="00CD1278">
              <w:rPr>
                <w:rFonts w:asciiTheme="majorBidi" w:hAnsiTheme="majorBidi" w:cstheme="majorBidi"/>
                <w:color w:val="auto"/>
                <w:sz w:val="20"/>
              </w:rPr>
              <w:t>19.368</w:t>
            </w:r>
            <w:r w:rsidRPr="00CD1278">
              <w:rPr>
                <w:rFonts w:asciiTheme="majorBidi" w:hAnsiTheme="majorBidi" w:cstheme="majorBidi"/>
                <w:color w:val="auto"/>
                <w:sz w:val="20"/>
              </w:rPr>
              <w:br/>
              <w:t>+3.529</w:t>
            </w:r>
          </w:p>
        </w:tc>
        <w:tc>
          <w:tcPr>
            <w:tcW w:w="851" w:type="dxa"/>
            <w:vAlign w:val="center"/>
          </w:tcPr>
          <w:p w14:paraId="6222A545"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16.281</w:t>
            </w:r>
          </w:p>
        </w:tc>
        <w:tc>
          <w:tcPr>
            <w:tcW w:w="737" w:type="dxa"/>
            <w:vAlign w:val="center"/>
          </w:tcPr>
          <w:p w14:paraId="662B2C65"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13.444</w:t>
            </w:r>
          </w:p>
        </w:tc>
        <w:tc>
          <w:tcPr>
            <w:tcW w:w="851" w:type="dxa"/>
            <w:vAlign w:val="center"/>
          </w:tcPr>
          <w:p w14:paraId="215317DA"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10.305</w:t>
            </w:r>
          </w:p>
        </w:tc>
        <w:tc>
          <w:tcPr>
            <w:tcW w:w="850" w:type="dxa"/>
            <w:vAlign w:val="center"/>
          </w:tcPr>
          <w:p w14:paraId="0BC6D506"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5.261</w:t>
            </w:r>
          </w:p>
        </w:tc>
        <w:tc>
          <w:tcPr>
            <w:tcW w:w="851" w:type="dxa"/>
            <w:vAlign w:val="center"/>
          </w:tcPr>
          <w:p w14:paraId="65E6FDF3"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5.261</w:t>
            </w:r>
          </w:p>
        </w:tc>
        <w:tc>
          <w:tcPr>
            <w:tcW w:w="709" w:type="dxa"/>
            <w:vAlign w:val="center"/>
          </w:tcPr>
          <w:p w14:paraId="69A94B03"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5.261</w:t>
            </w:r>
          </w:p>
        </w:tc>
        <w:tc>
          <w:tcPr>
            <w:tcW w:w="708" w:type="dxa"/>
            <w:vAlign w:val="center"/>
          </w:tcPr>
          <w:p w14:paraId="1EAF95F9" w14:textId="77777777" w:rsidR="000C77F3" w:rsidRPr="00CD1278" w:rsidRDefault="000C77F3" w:rsidP="00FD4302">
            <w:pPr>
              <w:keepNext/>
              <w:keepLines/>
              <w:spacing w:after="0"/>
              <w:ind w:left="-107" w:right="-49"/>
              <w:jc w:val="center"/>
              <w:rPr>
                <w:rFonts w:asciiTheme="majorBidi" w:hAnsiTheme="majorBidi" w:cstheme="majorBidi"/>
                <w:color w:val="auto"/>
                <w:sz w:val="20"/>
              </w:rPr>
            </w:pPr>
            <w:r w:rsidRPr="00CD1278">
              <w:rPr>
                <w:rFonts w:asciiTheme="majorBidi" w:hAnsiTheme="majorBidi" w:cstheme="majorBidi"/>
                <w:color w:val="auto"/>
                <w:sz w:val="20"/>
              </w:rPr>
              <w:t>5.261</w:t>
            </w:r>
          </w:p>
        </w:tc>
        <w:tc>
          <w:tcPr>
            <w:tcW w:w="674" w:type="dxa"/>
            <w:vAlign w:val="center"/>
          </w:tcPr>
          <w:p w14:paraId="13F9D396" w14:textId="2AFA2A69" w:rsidR="000C77F3" w:rsidRPr="00CD1278" w:rsidRDefault="00C66F4C" w:rsidP="00D95A63">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5.261</w:t>
            </w:r>
          </w:p>
        </w:tc>
        <w:tc>
          <w:tcPr>
            <w:tcW w:w="675" w:type="dxa"/>
            <w:vAlign w:val="center"/>
          </w:tcPr>
          <w:p w14:paraId="250EAA21" w14:textId="030C8FEB" w:rsidR="000C77F3" w:rsidRPr="00CD1278" w:rsidRDefault="000C77F3" w:rsidP="00D95A63">
            <w:pPr>
              <w:keepNext/>
              <w:keepLines/>
              <w:spacing w:before="120" w:after="120"/>
              <w:ind w:left="-107" w:right="-49"/>
              <w:jc w:val="center"/>
              <w:rPr>
                <w:rFonts w:asciiTheme="majorBidi" w:hAnsiTheme="majorBidi" w:cstheme="majorBidi"/>
                <w:color w:val="auto"/>
                <w:sz w:val="20"/>
              </w:rPr>
            </w:pPr>
          </w:p>
        </w:tc>
      </w:tr>
      <w:tr w:rsidR="003C102E" w:rsidRPr="00CD1278" w14:paraId="3432EB46" w14:textId="3EA18B5B" w:rsidTr="000C77F3">
        <w:trPr>
          <w:trHeight w:val="428"/>
        </w:trPr>
        <w:tc>
          <w:tcPr>
            <w:tcW w:w="1276" w:type="dxa"/>
            <w:vAlign w:val="center"/>
          </w:tcPr>
          <w:p w14:paraId="4D658E17" w14:textId="15A431D7" w:rsidR="000C77F3" w:rsidRPr="00CD1278" w:rsidRDefault="000C77F3"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EC</w:t>
            </w:r>
          </w:p>
        </w:tc>
        <w:tc>
          <w:tcPr>
            <w:tcW w:w="992" w:type="dxa"/>
            <w:vAlign w:val="center"/>
          </w:tcPr>
          <w:p w14:paraId="4C08E26B"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5754.361</w:t>
            </w:r>
          </w:p>
        </w:tc>
        <w:tc>
          <w:tcPr>
            <w:tcW w:w="992" w:type="dxa"/>
            <w:vAlign w:val="center"/>
          </w:tcPr>
          <w:p w14:paraId="0BE30974"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4213.47</w:t>
            </w:r>
          </w:p>
        </w:tc>
        <w:tc>
          <w:tcPr>
            <w:tcW w:w="993" w:type="dxa"/>
            <w:vAlign w:val="center"/>
          </w:tcPr>
          <w:p w14:paraId="1FEE4DCE"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1239.873</w:t>
            </w:r>
          </w:p>
        </w:tc>
        <w:tc>
          <w:tcPr>
            <w:tcW w:w="850" w:type="dxa"/>
            <w:vAlign w:val="center"/>
          </w:tcPr>
          <w:p w14:paraId="142BA730"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245.00</w:t>
            </w:r>
          </w:p>
        </w:tc>
        <w:tc>
          <w:tcPr>
            <w:tcW w:w="851" w:type="dxa"/>
            <w:vAlign w:val="center"/>
          </w:tcPr>
          <w:p w14:paraId="69B99D9F"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0" w:type="dxa"/>
            <w:vAlign w:val="center"/>
          </w:tcPr>
          <w:p w14:paraId="10E0DE04"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992" w:type="dxa"/>
            <w:vAlign w:val="center"/>
          </w:tcPr>
          <w:p w14:paraId="1DB1FF98"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50A73047"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37" w:type="dxa"/>
            <w:vAlign w:val="center"/>
          </w:tcPr>
          <w:p w14:paraId="38F3E744"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7FFBDC83"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0" w:type="dxa"/>
            <w:vAlign w:val="center"/>
          </w:tcPr>
          <w:p w14:paraId="60C6CE87"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55DC94CE" w14:textId="53ED054B"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09" w:type="dxa"/>
            <w:vAlign w:val="center"/>
          </w:tcPr>
          <w:p w14:paraId="265F8F70"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08" w:type="dxa"/>
            <w:vAlign w:val="center"/>
          </w:tcPr>
          <w:p w14:paraId="3B0E71DC" w14:textId="00FDF9AA" w:rsidR="000C77F3" w:rsidRPr="00CD1278" w:rsidRDefault="000C77F3" w:rsidP="00FD4302">
            <w:pPr>
              <w:keepNext/>
              <w:keepLines/>
              <w:spacing w:before="120" w:after="120"/>
              <w:ind w:left="-107" w:right="-49"/>
              <w:jc w:val="center"/>
              <w:rPr>
                <w:rFonts w:ascii="Arial" w:hAnsi="Arial"/>
                <w:color w:val="auto"/>
                <w:sz w:val="20"/>
              </w:rPr>
            </w:pPr>
            <w:r w:rsidRPr="00CD1278">
              <w:rPr>
                <w:rFonts w:ascii="Arial" w:hAnsi="Arial"/>
                <w:color w:val="auto"/>
                <w:sz w:val="20"/>
              </w:rPr>
              <w:t>0</w:t>
            </w:r>
          </w:p>
        </w:tc>
        <w:tc>
          <w:tcPr>
            <w:tcW w:w="674" w:type="dxa"/>
            <w:vAlign w:val="center"/>
          </w:tcPr>
          <w:p w14:paraId="1F044D0C" w14:textId="1BF8769A" w:rsidR="000C77F3" w:rsidRPr="00CD1278" w:rsidRDefault="00C66F4C" w:rsidP="00D95A63">
            <w:pPr>
              <w:keepNext/>
              <w:keepLines/>
              <w:spacing w:before="120" w:after="120"/>
              <w:ind w:left="-107" w:right="-49"/>
              <w:jc w:val="center"/>
              <w:rPr>
                <w:rFonts w:ascii="Arial" w:hAnsi="Arial"/>
                <w:color w:val="auto"/>
                <w:sz w:val="20"/>
              </w:rPr>
            </w:pPr>
            <w:r w:rsidRPr="00CD1278">
              <w:rPr>
                <w:rFonts w:ascii="Arial" w:hAnsi="Arial"/>
                <w:color w:val="auto"/>
                <w:sz w:val="20"/>
              </w:rPr>
              <w:t>0</w:t>
            </w:r>
          </w:p>
        </w:tc>
        <w:tc>
          <w:tcPr>
            <w:tcW w:w="675" w:type="dxa"/>
            <w:vAlign w:val="center"/>
          </w:tcPr>
          <w:p w14:paraId="566BF3F4" w14:textId="4E4A9A0A" w:rsidR="000C77F3" w:rsidRPr="00CD1278" w:rsidRDefault="000C77F3" w:rsidP="00D95A63">
            <w:pPr>
              <w:keepNext/>
              <w:keepLines/>
              <w:spacing w:before="120" w:after="120"/>
              <w:ind w:left="-107" w:right="-49"/>
              <w:jc w:val="center"/>
              <w:rPr>
                <w:rFonts w:ascii="Arial" w:hAnsi="Arial"/>
                <w:color w:val="auto"/>
                <w:sz w:val="20"/>
              </w:rPr>
            </w:pPr>
          </w:p>
        </w:tc>
      </w:tr>
      <w:tr w:rsidR="003C102E" w:rsidRPr="00CD1278" w14:paraId="754DE09C" w14:textId="067AC5F0" w:rsidTr="000C77F3">
        <w:tc>
          <w:tcPr>
            <w:tcW w:w="1276" w:type="dxa"/>
            <w:vAlign w:val="center"/>
          </w:tcPr>
          <w:p w14:paraId="2078BAEB" w14:textId="77777777" w:rsidR="000C77F3" w:rsidRPr="00CD1278" w:rsidRDefault="000C77F3"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Israel</w:t>
            </w:r>
          </w:p>
        </w:tc>
        <w:tc>
          <w:tcPr>
            <w:tcW w:w="992" w:type="dxa"/>
            <w:vAlign w:val="center"/>
          </w:tcPr>
          <w:p w14:paraId="52A77EB8"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1117.156</w:t>
            </w:r>
          </w:p>
        </w:tc>
        <w:tc>
          <w:tcPr>
            <w:tcW w:w="992" w:type="dxa"/>
            <w:vAlign w:val="center"/>
          </w:tcPr>
          <w:p w14:paraId="7EB53F44"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1081.506</w:t>
            </w:r>
          </w:p>
        </w:tc>
        <w:tc>
          <w:tcPr>
            <w:tcW w:w="993" w:type="dxa"/>
            <w:vAlign w:val="center"/>
          </w:tcPr>
          <w:p w14:paraId="0A491F86"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1236.517</w:t>
            </w:r>
          </w:p>
        </w:tc>
        <w:tc>
          <w:tcPr>
            <w:tcW w:w="850" w:type="dxa"/>
            <w:vAlign w:val="center"/>
          </w:tcPr>
          <w:p w14:paraId="324B08E9"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952.845</w:t>
            </w:r>
          </w:p>
        </w:tc>
        <w:tc>
          <w:tcPr>
            <w:tcW w:w="851" w:type="dxa"/>
            <w:vAlign w:val="center"/>
          </w:tcPr>
          <w:p w14:paraId="03A19316"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699.448</w:t>
            </w:r>
          </w:p>
        </w:tc>
        <w:tc>
          <w:tcPr>
            <w:tcW w:w="850" w:type="dxa"/>
            <w:vAlign w:val="center"/>
          </w:tcPr>
          <w:p w14:paraId="68946E8F"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383.700</w:t>
            </w:r>
          </w:p>
        </w:tc>
        <w:tc>
          <w:tcPr>
            <w:tcW w:w="992" w:type="dxa"/>
            <w:vAlign w:val="center"/>
          </w:tcPr>
          <w:p w14:paraId="21624D4D"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232.247</w:t>
            </w:r>
          </w:p>
        </w:tc>
        <w:tc>
          <w:tcPr>
            <w:tcW w:w="851" w:type="dxa"/>
            <w:vAlign w:val="center"/>
          </w:tcPr>
          <w:p w14:paraId="533C4549"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37" w:type="dxa"/>
            <w:vAlign w:val="center"/>
          </w:tcPr>
          <w:p w14:paraId="4A3AD1D8"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4D911A85"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0" w:type="dxa"/>
            <w:vAlign w:val="center"/>
          </w:tcPr>
          <w:p w14:paraId="52B32BFE"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3EAB9AA5"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09" w:type="dxa"/>
            <w:vAlign w:val="center"/>
          </w:tcPr>
          <w:p w14:paraId="585890F2"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08" w:type="dxa"/>
            <w:vAlign w:val="center"/>
          </w:tcPr>
          <w:p w14:paraId="58BD680F" w14:textId="2A5F97AC" w:rsidR="000C77F3" w:rsidRPr="00CD1278" w:rsidRDefault="000C77F3" w:rsidP="00FD4302">
            <w:pPr>
              <w:keepNext/>
              <w:keepLines/>
              <w:spacing w:before="120" w:after="120"/>
              <w:ind w:left="-107" w:right="-49"/>
              <w:jc w:val="center"/>
              <w:rPr>
                <w:rFonts w:ascii="Arial" w:hAnsi="Arial"/>
                <w:color w:val="auto"/>
                <w:sz w:val="20"/>
              </w:rPr>
            </w:pPr>
            <w:r w:rsidRPr="00CD1278">
              <w:rPr>
                <w:rFonts w:ascii="Arial" w:hAnsi="Arial"/>
                <w:color w:val="auto"/>
                <w:sz w:val="20"/>
              </w:rPr>
              <w:t>0</w:t>
            </w:r>
          </w:p>
        </w:tc>
        <w:tc>
          <w:tcPr>
            <w:tcW w:w="674" w:type="dxa"/>
            <w:vAlign w:val="center"/>
          </w:tcPr>
          <w:p w14:paraId="2A24512B" w14:textId="210F1E77" w:rsidR="000C77F3" w:rsidRPr="00CD1278" w:rsidRDefault="00C66F4C" w:rsidP="00D95A63">
            <w:pPr>
              <w:keepNext/>
              <w:keepLines/>
              <w:spacing w:before="120" w:after="120"/>
              <w:ind w:left="-107" w:right="-49"/>
              <w:jc w:val="center"/>
              <w:rPr>
                <w:rFonts w:ascii="Arial" w:hAnsi="Arial"/>
                <w:color w:val="auto"/>
                <w:sz w:val="20"/>
              </w:rPr>
            </w:pPr>
            <w:r w:rsidRPr="00CD1278">
              <w:rPr>
                <w:rFonts w:ascii="Arial" w:hAnsi="Arial"/>
                <w:color w:val="auto"/>
                <w:sz w:val="20"/>
              </w:rPr>
              <w:t>0</w:t>
            </w:r>
          </w:p>
        </w:tc>
        <w:tc>
          <w:tcPr>
            <w:tcW w:w="675" w:type="dxa"/>
            <w:vAlign w:val="center"/>
          </w:tcPr>
          <w:p w14:paraId="2F084A0D" w14:textId="04A43224" w:rsidR="000C77F3" w:rsidRPr="00CD1278" w:rsidRDefault="000C77F3" w:rsidP="00D95A63">
            <w:pPr>
              <w:keepNext/>
              <w:keepLines/>
              <w:spacing w:before="120" w:after="120"/>
              <w:ind w:left="-107" w:right="-49"/>
              <w:jc w:val="center"/>
              <w:rPr>
                <w:rFonts w:ascii="Arial" w:hAnsi="Arial"/>
                <w:color w:val="auto"/>
                <w:sz w:val="20"/>
              </w:rPr>
            </w:pPr>
          </w:p>
        </w:tc>
      </w:tr>
      <w:tr w:rsidR="003C102E" w:rsidRPr="00CD1278" w14:paraId="5CA4F87B" w14:textId="6C0DA199" w:rsidTr="000C77F3">
        <w:tc>
          <w:tcPr>
            <w:tcW w:w="1276" w:type="dxa"/>
            <w:vAlign w:val="center"/>
          </w:tcPr>
          <w:p w14:paraId="47AEC6B8" w14:textId="77777777" w:rsidR="000C77F3" w:rsidRPr="00CD1278" w:rsidRDefault="000C77F3"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Japan</w:t>
            </w:r>
          </w:p>
        </w:tc>
        <w:tc>
          <w:tcPr>
            <w:tcW w:w="992" w:type="dxa"/>
            <w:vAlign w:val="center"/>
          </w:tcPr>
          <w:p w14:paraId="170A590A"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748.000</w:t>
            </w:r>
          </w:p>
        </w:tc>
        <w:tc>
          <w:tcPr>
            <w:tcW w:w="992" w:type="dxa"/>
            <w:vAlign w:val="center"/>
          </w:tcPr>
          <w:p w14:paraId="03068018"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741.400</w:t>
            </w:r>
          </w:p>
        </w:tc>
        <w:tc>
          <w:tcPr>
            <w:tcW w:w="993" w:type="dxa"/>
            <w:vAlign w:val="center"/>
          </w:tcPr>
          <w:p w14:paraId="2B6CD9AF"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651.700</w:t>
            </w:r>
          </w:p>
        </w:tc>
        <w:tc>
          <w:tcPr>
            <w:tcW w:w="850" w:type="dxa"/>
            <w:vAlign w:val="center"/>
          </w:tcPr>
          <w:p w14:paraId="09E7D490"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589.600</w:t>
            </w:r>
          </w:p>
        </w:tc>
        <w:tc>
          <w:tcPr>
            <w:tcW w:w="851" w:type="dxa"/>
            <w:vAlign w:val="center"/>
          </w:tcPr>
          <w:p w14:paraId="1DD25575"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508.900</w:t>
            </w:r>
          </w:p>
        </w:tc>
        <w:tc>
          <w:tcPr>
            <w:tcW w:w="850" w:type="dxa"/>
            <w:vAlign w:val="center"/>
          </w:tcPr>
          <w:p w14:paraId="29252560"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288.500</w:t>
            </w:r>
          </w:p>
        </w:tc>
        <w:tc>
          <w:tcPr>
            <w:tcW w:w="992" w:type="dxa"/>
            <w:vAlign w:val="center"/>
          </w:tcPr>
          <w:p w14:paraId="11178C60"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249.420</w:t>
            </w:r>
          </w:p>
        </w:tc>
        <w:tc>
          <w:tcPr>
            <w:tcW w:w="851" w:type="dxa"/>
            <w:vAlign w:val="center"/>
          </w:tcPr>
          <w:p w14:paraId="4F70F0B4"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221.104</w:t>
            </w:r>
          </w:p>
        </w:tc>
        <w:tc>
          <w:tcPr>
            <w:tcW w:w="737" w:type="dxa"/>
            <w:vAlign w:val="center"/>
          </w:tcPr>
          <w:p w14:paraId="3ACEFB37"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3.317</w:t>
            </w:r>
          </w:p>
        </w:tc>
        <w:tc>
          <w:tcPr>
            <w:tcW w:w="851" w:type="dxa"/>
            <w:vAlign w:val="center"/>
          </w:tcPr>
          <w:p w14:paraId="31882DF2"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0" w:type="dxa"/>
            <w:vAlign w:val="center"/>
          </w:tcPr>
          <w:p w14:paraId="505762E5"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4379DE0E"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09" w:type="dxa"/>
            <w:vAlign w:val="center"/>
          </w:tcPr>
          <w:p w14:paraId="3548AA62"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08" w:type="dxa"/>
            <w:vAlign w:val="center"/>
          </w:tcPr>
          <w:p w14:paraId="3FBD4FA3" w14:textId="77777777" w:rsidR="000C77F3" w:rsidRPr="00CD1278" w:rsidRDefault="000C77F3" w:rsidP="00FD4302">
            <w:pPr>
              <w:keepNext/>
              <w:keepLines/>
              <w:spacing w:before="120" w:after="120"/>
              <w:ind w:left="-107" w:right="-49"/>
              <w:jc w:val="center"/>
              <w:rPr>
                <w:rFonts w:ascii="Arial" w:hAnsi="Arial"/>
                <w:color w:val="auto"/>
                <w:sz w:val="20"/>
              </w:rPr>
            </w:pPr>
            <w:r w:rsidRPr="00CD1278">
              <w:rPr>
                <w:rFonts w:ascii="Arial" w:hAnsi="Arial"/>
                <w:color w:val="auto"/>
                <w:sz w:val="20"/>
              </w:rPr>
              <w:t>0</w:t>
            </w:r>
          </w:p>
        </w:tc>
        <w:tc>
          <w:tcPr>
            <w:tcW w:w="674" w:type="dxa"/>
            <w:vAlign w:val="center"/>
          </w:tcPr>
          <w:p w14:paraId="35AB3886" w14:textId="012D0259" w:rsidR="000C77F3" w:rsidRPr="00CD1278" w:rsidRDefault="00C66F4C" w:rsidP="00D95A63">
            <w:pPr>
              <w:keepNext/>
              <w:keepLines/>
              <w:spacing w:before="120" w:after="120"/>
              <w:ind w:left="-107" w:right="-49"/>
              <w:jc w:val="center"/>
              <w:rPr>
                <w:rFonts w:ascii="Arial" w:hAnsi="Arial"/>
                <w:color w:val="auto"/>
                <w:sz w:val="20"/>
              </w:rPr>
            </w:pPr>
            <w:r w:rsidRPr="00CD1278">
              <w:rPr>
                <w:rFonts w:ascii="Arial" w:hAnsi="Arial"/>
                <w:color w:val="auto"/>
                <w:sz w:val="20"/>
              </w:rPr>
              <w:t>0</w:t>
            </w:r>
          </w:p>
        </w:tc>
        <w:tc>
          <w:tcPr>
            <w:tcW w:w="675" w:type="dxa"/>
            <w:vAlign w:val="center"/>
          </w:tcPr>
          <w:p w14:paraId="61FD525B" w14:textId="42684852" w:rsidR="000C77F3" w:rsidRPr="00CD1278" w:rsidRDefault="000C77F3" w:rsidP="00D95A63">
            <w:pPr>
              <w:keepNext/>
              <w:keepLines/>
              <w:spacing w:before="120" w:after="120"/>
              <w:ind w:left="-107" w:right="-49"/>
              <w:jc w:val="center"/>
              <w:rPr>
                <w:rFonts w:ascii="Arial" w:hAnsi="Arial"/>
                <w:color w:val="auto"/>
                <w:sz w:val="20"/>
              </w:rPr>
            </w:pPr>
          </w:p>
        </w:tc>
      </w:tr>
      <w:tr w:rsidR="003C102E" w:rsidRPr="00CD1278" w14:paraId="6041322D" w14:textId="4E4D5CED" w:rsidTr="000C77F3">
        <w:trPr>
          <w:trHeight w:val="566"/>
        </w:trPr>
        <w:tc>
          <w:tcPr>
            <w:tcW w:w="1276" w:type="dxa"/>
            <w:vAlign w:val="center"/>
          </w:tcPr>
          <w:p w14:paraId="3FDD5F79" w14:textId="77777777" w:rsidR="000C77F3" w:rsidRPr="00CD1278" w:rsidRDefault="000C77F3"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New Zealand</w:t>
            </w:r>
          </w:p>
        </w:tc>
        <w:tc>
          <w:tcPr>
            <w:tcW w:w="992" w:type="dxa"/>
            <w:vAlign w:val="center"/>
          </w:tcPr>
          <w:p w14:paraId="2AA4882A"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53.085</w:t>
            </w:r>
          </w:p>
        </w:tc>
        <w:tc>
          <w:tcPr>
            <w:tcW w:w="992" w:type="dxa"/>
            <w:vAlign w:val="center"/>
          </w:tcPr>
          <w:p w14:paraId="0508799F"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53.085</w:t>
            </w:r>
          </w:p>
        </w:tc>
        <w:tc>
          <w:tcPr>
            <w:tcW w:w="993" w:type="dxa"/>
            <w:vAlign w:val="center"/>
          </w:tcPr>
          <w:p w14:paraId="312E6B61"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32.573</w:t>
            </w:r>
          </w:p>
        </w:tc>
        <w:tc>
          <w:tcPr>
            <w:tcW w:w="850" w:type="dxa"/>
            <w:vAlign w:val="center"/>
          </w:tcPr>
          <w:p w14:paraId="5CDA3EEE"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3BAD105F"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0" w:type="dxa"/>
            <w:vAlign w:val="center"/>
          </w:tcPr>
          <w:p w14:paraId="7959D32A"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992" w:type="dxa"/>
            <w:vAlign w:val="center"/>
          </w:tcPr>
          <w:p w14:paraId="0606FD7A"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5536F787"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37" w:type="dxa"/>
            <w:vAlign w:val="center"/>
          </w:tcPr>
          <w:p w14:paraId="38C2D773"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25D035B7"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0" w:type="dxa"/>
            <w:vAlign w:val="center"/>
          </w:tcPr>
          <w:p w14:paraId="60C57F7E"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13B8EC7A"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09" w:type="dxa"/>
            <w:vAlign w:val="center"/>
          </w:tcPr>
          <w:p w14:paraId="3854C6C8"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08" w:type="dxa"/>
            <w:vAlign w:val="center"/>
          </w:tcPr>
          <w:p w14:paraId="275AC4EB" w14:textId="304A5BB5" w:rsidR="000C77F3" w:rsidRPr="00CD1278" w:rsidRDefault="000C77F3" w:rsidP="00FD4302">
            <w:pPr>
              <w:keepNext/>
              <w:keepLines/>
              <w:spacing w:before="120" w:after="120"/>
              <w:ind w:left="-107" w:right="-49"/>
              <w:jc w:val="center"/>
              <w:rPr>
                <w:rFonts w:ascii="Arial" w:hAnsi="Arial"/>
                <w:color w:val="auto"/>
                <w:sz w:val="20"/>
              </w:rPr>
            </w:pPr>
            <w:r w:rsidRPr="00CD1278">
              <w:rPr>
                <w:rFonts w:ascii="Arial" w:hAnsi="Arial"/>
                <w:color w:val="auto"/>
                <w:sz w:val="20"/>
              </w:rPr>
              <w:t>0</w:t>
            </w:r>
          </w:p>
        </w:tc>
        <w:tc>
          <w:tcPr>
            <w:tcW w:w="674" w:type="dxa"/>
            <w:vAlign w:val="center"/>
          </w:tcPr>
          <w:p w14:paraId="0610826D" w14:textId="64075741" w:rsidR="000C77F3" w:rsidRPr="00CD1278" w:rsidRDefault="00C66F4C" w:rsidP="00D95A63">
            <w:pPr>
              <w:keepNext/>
              <w:keepLines/>
              <w:spacing w:before="120" w:after="120"/>
              <w:ind w:left="-107" w:right="-49"/>
              <w:jc w:val="center"/>
              <w:rPr>
                <w:rFonts w:ascii="Arial" w:hAnsi="Arial"/>
                <w:color w:val="auto"/>
                <w:sz w:val="20"/>
              </w:rPr>
            </w:pPr>
            <w:r w:rsidRPr="00CD1278">
              <w:rPr>
                <w:rFonts w:ascii="Arial" w:hAnsi="Arial"/>
                <w:color w:val="auto"/>
                <w:sz w:val="20"/>
              </w:rPr>
              <w:t>0</w:t>
            </w:r>
          </w:p>
        </w:tc>
        <w:tc>
          <w:tcPr>
            <w:tcW w:w="675" w:type="dxa"/>
            <w:vAlign w:val="center"/>
          </w:tcPr>
          <w:p w14:paraId="08F2D135" w14:textId="23516EB3" w:rsidR="000C77F3" w:rsidRPr="00CD1278" w:rsidRDefault="000C77F3" w:rsidP="00D95A63">
            <w:pPr>
              <w:keepNext/>
              <w:keepLines/>
              <w:spacing w:before="120" w:after="120"/>
              <w:ind w:left="-107" w:right="-49"/>
              <w:jc w:val="center"/>
              <w:rPr>
                <w:rFonts w:ascii="Arial" w:hAnsi="Arial"/>
                <w:color w:val="auto"/>
                <w:sz w:val="20"/>
              </w:rPr>
            </w:pPr>
          </w:p>
        </w:tc>
      </w:tr>
      <w:tr w:rsidR="003C102E" w:rsidRPr="00CD1278" w14:paraId="544EEDA2" w14:textId="6650A150" w:rsidTr="000C77F3">
        <w:tc>
          <w:tcPr>
            <w:tcW w:w="1276" w:type="dxa"/>
            <w:vAlign w:val="center"/>
          </w:tcPr>
          <w:p w14:paraId="402EDB23" w14:textId="77777777" w:rsidR="000C77F3" w:rsidRPr="00CD1278" w:rsidRDefault="000C77F3"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Switzerland</w:t>
            </w:r>
          </w:p>
        </w:tc>
        <w:tc>
          <w:tcPr>
            <w:tcW w:w="992" w:type="dxa"/>
            <w:vAlign w:val="center"/>
          </w:tcPr>
          <w:p w14:paraId="6099B20B"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8.700</w:t>
            </w:r>
          </w:p>
        </w:tc>
        <w:tc>
          <w:tcPr>
            <w:tcW w:w="992" w:type="dxa"/>
            <w:vAlign w:val="center"/>
          </w:tcPr>
          <w:p w14:paraId="03503228"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7.000</w:t>
            </w:r>
          </w:p>
        </w:tc>
        <w:tc>
          <w:tcPr>
            <w:tcW w:w="993" w:type="dxa"/>
            <w:vAlign w:val="center"/>
          </w:tcPr>
          <w:p w14:paraId="36A0DA0F"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0" w:type="dxa"/>
            <w:vAlign w:val="center"/>
          </w:tcPr>
          <w:p w14:paraId="53DA4DC3"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78E61A49"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0" w:type="dxa"/>
            <w:vAlign w:val="center"/>
          </w:tcPr>
          <w:p w14:paraId="2E8B6AAA"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992" w:type="dxa"/>
            <w:vAlign w:val="center"/>
          </w:tcPr>
          <w:p w14:paraId="3587D73F"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37595D69"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37" w:type="dxa"/>
            <w:vAlign w:val="center"/>
          </w:tcPr>
          <w:p w14:paraId="7A615098"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025DD40E"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0" w:type="dxa"/>
            <w:vAlign w:val="center"/>
          </w:tcPr>
          <w:p w14:paraId="649CC1B9"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851" w:type="dxa"/>
            <w:vAlign w:val="center"/>
          </w:tcPr>
          <w:p w14:paraId="6CC0CF97"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09" w:type="dxa"/>
            <w:vAlign w:val="center"/>
          </w:tcPr>
          <w:p w14:paraId="3BE8CE97"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0</w:t>
            </w:r>
          </w:p>
        </w:tc>
        <w:tc>
          <w:tcPr>
            <w:tcW w:w="708" w:type="dxa"/>
            <w:vAlign w:val="center"/>
          </w:tcPr>
          <w:p w14:paraId="6D4A3E8F" w14:textId="2FACF2E7" w:rsidR="000C77F3" w:rsidRPr="00CD1278" w:rsidRDefault="000C77F3" w:rsidP="00FD4302">
            <w:pPr>
              <w:keepNext/>
              <w:keepLines/>
              <w:spacing w:before="120" w:after="120"/>
              <w:ind w:left="-107" w:right="-49"/>
              <w:jc w:val="center"/>
              <w:rPr>
                <w:rFonts w:ascii="Arial" w:hAnsi="Arial"/>
                <w:color w:val="auto"/>
                <w:sz w:val="20"/>
              </w:rPr>
            </w:pPr>
            <w:r w:rsidRPr="00CD1278">
              <w:rPr>
                <w:rFonts w:ascii="Arial" w:hAnsi="Arial"/>
                <w:color w:val="auto"/>
                <w:sz w:val="20"/>
              </w:rPr>
              <w:t>0</w:t>
            </w:r>
          </w:p>
        </w:tc>
        <w:tc>
          <w:tcPr>
            <w:tcW w:w="674" w:type="dxa"/>
            <w:vAlign w:val="center"/>
          </w:tcPr>
          <w:p w14:paraId="466B7417" w14:textId="24CF395F" w:rsidR="000C77F3" w:rsidRPr="00CD1278" w:rsidRDefault="00C66F4C" w:rsidP="00D95A63">
            <w:pPr>
              <w:keepNext/>
              <w:keepLines/>
              <w:spacing w:before="120" w:after="120"/>
              <w:ind w:left="-107" w:right="-49"/>
              <w:jc w:val="center"/>
              <w:rPr>
                <w:rFonts w:ascii="Arial" w:hAnsi="Arial"/>
                <w:color w:val="auto"/>
                <w:sz w:val="20"/>
              </w:rPr>
            </w:pPr>
            <w:r w:rsidRPr="00CD1278">
              <w:rPr>
                <w:rFonts w:ascii="Arial" w:hAnsi="Arial"/>
                <w:color w:val="auto"/>
                <w:sz w:val="20"/>
              </w:rPr>
              <w:t>0</w:t>
            </w:r>
          </w:p>
        </w:tc>
        <w:tc>
          <w:tcPr>
            <w:tcW w:w="675" w:type="dxa"/>
            <w:vAlign w:val="center"/>
          </w:tcPr>
          <w:p w14:paraId="3E4969B5" w14:textId="3887A255" w:rsidR="000C77F3" w:rsidRPr="00CD1278" w:rsidRDefault="000C77F3" w:rsidP="00D95A63">
            <w:pPr>
              <w:keepNext/>
              <w:keepLines/>
              <w:spacing w:before="120" w:after="120"/>
              <w:ind w:left="-107" w:right="-49"/>
              <w:jc w:val="center"/>
              <w:rPr>
                <w:rFonts w:ascii="Arial" w:hAnsi="Arial"/>
                <w:color w:val="auto"/>
                <w:sz w:val="20"/>
              </w:rPr>
            </w:pPr>
          </w:p>
        </w:tc>
      </w:tr>
      <w:tr w:rsidR="003C102E" w:rsidRPr="00CD1278" w14:paraId="18185935" w14:textId="216910F5" w:rsidTr="000C77F3">
        <w:trPr>
          <w:trHeight w:val="449"/>
        </w:trPr>
        <w:tc>
          <w:tcPr>
            <w:tcW w:w="1276" w:type="dxa"/>
            <w:vAlign w:val="center"/>
          </w:tcPr>
          <w:p w14:paraId="72FF3917" w14:textId="77777777" w:rsidR="000C77F3" w:rsidRPr="00CD1278" w:rsidRDefault="000C77F3"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USA</w:t>
            </w:r>
          </w:p>
        </w:tc>
        <w:tc>
          <w:tcPr>
            <w:tcW w:w="992" w:type="dxa"/>
            <w:vAlign w:val="center"/>
          </w:tcPr>
          <w:p w14:paraId="443E0E02"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10753.997</w:t>
            </w:r>
          </w:p>
        </w:tc>
        <w:tc>
          <w:tcPr>
            <w:tcW w:w="992" w:type="dxa"/>
            <w:vAlign w:val="center"/>
          </w:tcPr>
          <w:p w14:paraId="1BAC36B9"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9386.229</w:t>
            </w:r>
          </w:p>
        </w:tc>
        <w:tc>
          <w:tcPr>
            <w:tcW w:w="993" w:type="dxa"/>
            <w:vAlign w:val="center"/>
          </w:tcPr>
          <w:p w14:paraId="38BC2270"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7417.999</w:t>
            </w:r>
          </w:p>
        </w:tc>
        <w:tc>
          <w:tcPr>
            <w:tcW w:w="850" w:type="dxa"/>
            <w:vAlign w:val="center"/>
          </w:tcPr>
          <w:p w14:paraId="2481E440"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6415.153</w:t>
            </w:r>
          </w:p>
        </w:tc>
        <w:tc>
          <w:tcPr>
            <w:tcW w:w="851" w:type="dxa"/>
            <w:vAlign w:val="center"/>
          </w:tcPr>
          <w:p w14:paraId="261E429E"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4958.034</w:t>
            </w:r>
          </w:p>
        </w:tc>
        <w:tc>
          <w:tcPr>
            <w:tcW w:w="850" w:type="dxa"/>
            <w:vAlign w:val="center"/>
          </w:tcPr>
          <w:p w14:paraId="71EE794B"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3299.490</w:t>
            </w:r>
          </w:p>
        </w:tc>
        <w:tc>
          <w:tcPr>
            <w:tcW w:w="992" w:type="dxa"/>
            <w:vAlign w:val="center"/>
          </w:tcPr>
          <w:p w14:paraId="64B0208A"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2388.128</w:t>
            </w:r>
          </w:p>
        </w:tc>
        <w:tc>
          <w:tcPr>
            <w:tcW w:w="851" w:type="dxa"/>
            <w:vAlign w:val="center"/>
          </w:tcPr>
          <w:p w14:paraId="53DD365B" w14:textId="77777777" w:rsidR="000C77F3" w:rsidRPr="00CD1278" w:rsidRDefault="000C77F3" w:rsidP="00FD4302">
            <w:pPr>
              <w:keepNext/>
              <w:keepLines/>
              <w:spacing w:before="120" w:after="0"/>
              <w:ind w:left="-108" w:right="-51"/>
              <w:jc w:val="center"/>
              <w:rPr>
                <w:rFonts w:asciiTheme="majorBidi" w:hAnsiTheme="majorBidi" w:cstheme="majorBidi"/>
                <w:color w:val="auto"/>
                <w:sz w:val="20"/>
              </w:rPr>
            </w:pPr>
            <w:r w:rsidRPr="00CD1278">
              <w:rPr>
                <w:rFonts w:asciiTheme="majorBidi" w:hAnsiTheme="majorBidi" w:cstheme="majorBidi"/>
                <w:color w:val="auto"/>
                <w:sz w:val="20"/>
              </w:rPr>
              <w:t>1181.779</w:t>
            </w:r>
          </w:p>
          <w:p w14:paraId="687B344C" w14:textId="77777777" w:rsidR="000C77F3" w:rsidRPr="00CD1278" w:rsidRDefault="000C77F3" w:rsidP="00FD4302">
            <w:pPr>
              <w:keepNext/>
              <w:keepLines/>
              <w:spacing w:after="0"/>
              <w:ind w:left="-108" w:right="-51"/>
              <w:jc w:val="center"/>
              <w:rPr>
                <w:rFonts w:asciiTheme="majorBidi" w:hAnsiTheme="majorBidi" w:cstheme="majorBidi"/>
                <w:color w:val="auto"/>
                <w:sz w:val="20"/>
              </w:rPr>
            </w:pPr>
            <w:r w:rsidRPr="00CD1278">
              <w:rPr>
                <w:rFonts w:asciiTheme="majorBidi" w:hAnsiTheme="majorBidi" w:cstheme="majorBidi"/>
                <w:color w:val="auto"/>
                <w:sz w:val="20"/>
              </w:rPr>
              <w:t>+ 6.339</w:t>
            </w:r>
          </w:p>
        </w:tc>
        <w:tc>
          <w:tcPr>
            <w:tcW w:w="737" w:type="dxa"/>
            <w:vAlign w:val="center"/>
          </w:tcPr>
          <w:p w14:paraId="59922F62"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691.608</w:t>
            </w:r>
          </w:p>
        </w:tc>
        <w:tc>
          <w:tcPr>
            <w:tcW w:w="851" w:type="dxa"/>
            <w:vAlign w:val="center"/>
          </w:tcPr>
          <w:p w14:paraId="5830B265"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442.337</w:t>
            </w:r>
          </w:p>
        </w:tc>
        <w:tc>
          <w:tcPr>
            <w:tcW w:w="850" w:type="dxa"/>
            <w:vAlign w:val="center"/>
          </w:tcPr>
          <w:p w14:paraId="5F38A6D4"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377.170</w:t>
            </w:r>
          </w:p>
        </w:tc>
        <w:tc>
          <w:tcPr>
            <w:tcW w:w="851" w:type="dxa"/>
            <w:vAlign w:val="center"/>
          </w:tcPr>
          <w:p w14:paraId="1B650090"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234.78</w:t>
            </w:r>
          </w:p>
        </w:tc>
        <w:tc>
          <w:tcPr>
            <w:tcW w:w="709" w:type="dxa"/>
            <w:vAlign w:val="center"/>
          </w:tcPr>
          <w:p w14:paraId="0CD35D39"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color w:val="auto"/>
                <w:sz w:val="20"/>
              </w:rPr>
              <w:t>3.240</w:t>
            </w:r>
          </w:p>
        </w:tc>
        <w:tc>
          <w:tcPr>
            <w:tcW w:w="708" w:type="dxa"/>
            <w:vAlign w:val="center"/>
          </w:tcPr>
          <w:p w14:paraId="23ABFD12" w14:textId="18EF5655" w:rsidR="000C77F3" w:rsidRPr="00CD1278" w:rsidRDefault="000C77F3" w:rsidP="00FD4302">
            <w:pPr>
              <w:keepNext/>
              <w:keepLines/>
              <w:spacing w:before="120" w:after="120"/>
              <w:ind w:left="-107" w:right="-49"/>
              <w:jc w:val="center"/>
              <w:rPr>
                <w:rFonts w:ascii="Arial" w:hAnsi="Arial"/>
                <w:color w:val="auto"/>
                <w:sz w:val="20"/>
              </w:rPr>
            </w:pPr>
            <w:r w:rsidRPr="00CD1278">
              <w:rPr>
                <w:rFonts w:ascii="Arial" w:hAnsi="Arial"/>
                <w:color w:val="auto"/>
                <w:sz w:val="20"/>
              </w:rPr>
              <w:t>0</w:t>
            </w:r>
          </w:p>
        </w:tc>
        <w:tc>
          <w:tcPr>
            <w:tcW w:w="674" w:type="dxa"/>
            <w:vAlign w:val="center"/>
          </w:tcPr>
          <w:p w14:paraId="5BFA9DE1" w14:textId="500D2625" w:rsidR="000C77F3" w:rsidRPr="00CD1278" w:rsidRDefault="00C66F4C" w:rsidP="00D95A63">
            <w:pPr>
              <w:keepNext/>
              <w:keepLines/>
              <w:spacing w:before="120" w:after="120"/>
              <w:ind w:left="-107" w:right="-49"/>
              <w:jc w:val="center"/>
              <w:rPr>
                <w:rFonts w:ascii="Arial" w:hAnsi="Arial"/>
                <w:color w:val="auto"/>
                <w:sz w:val="20"/>
              </w:rPr>
            </w:pPr>
            <w:r w:rsidRPr="00CD1278">
              <w:rPr>
                <w:rFonts w:ascii="Arial" w:hAnsi="Arial"/>
                <w:color w:val="auto"/>
                <w:sz w:val="20"/>
              </w:rPr>
              <w:t>0</w:t>
            </w:r>
          </w:p>
        </w:tc>
        <w:tc>
          <w:tcPr>
            <w:tcW w:w="675" w:type="dxa"/>
            <w:vAlign w:val="center"/>
          </w:tcPr>
          <w:p w14:paraId="56BC566D" w14:textId="0B3DC6A7" w:rsidR="000C77F3" w:rsidRPr="00CD1278" w:rsidRDefault="000C77F3" w:rsidP="00D95A63">
            <w:pPr>
              <w:keepNext/>
              <w:keepLines/>
              <w:spacing w:before="120" w:after="120"/>
              <w:ind w:left="-107" w:right="-49"/>
              <w:jc w:val="center"/>
              <w:rPr>
                <w:rFonts w:ascii="Arial" w:hAnsi="Arial"/>
                <w:color w:val="auto"/>
                <w:sz w:val="20"/>
              </w:rPr>
            </w:pPr>
          </w:p>
        </w:tc>
      </w:tr>
      <w:tr w:rsidR="000C77F3" w:rsidRPr="00CD1278" w14:paraId="40DBEBE0" w14:textId="124C821F" w:rsidTr="000C77F3">
        <w:trPr>
          <w:trHeight w:val="449"/>
        </w:trPr>
        <w:tc>
          <w:tcPr>
            <w:tcW w:w="1276" w:type="dxa"/>
          </w:tcPr>
          <w:p w14:paraId="79230C89" w14:textId="77777777" w:rsidR="000C77F3" w:rsidRPr="00CD1278" w:rsidRDefault="000C77F3" w:rsidP="004B39C7">
            <w:pPr>
              <w:keepNext/>
              <w:keepLines/>
              <w:spacing w:before="120" w:after="120"/>
              <w:rPr>
                <w:rFonts w:asciiTheme="majorBidi" w:hAnsiTheme="majorBidi" w:cstheme="majorBidi"/>
                <w:b/>
                <w:bCs/>
                <w:color w:val="auto"/>
                <w:sz w:val="20"/>
              </w:rPr>
            </w:pPr>
            <w:r w:rsidRPr="00CD1278">
              <w:rPr>
                <w:rFonts w:asciiTheme="majorBidi" w:hAnsiTheme="majorBidi" w:cstheme="majorBidi"/>
                <w:b/>
                <w:bCs/>
                <w:color w:val="auto"/>
                <w:sz w:val="20"/>
              </w:rPr>
              <w:t xml:space="preserve">Total </w:t>
            </w:r>
          </w:p>
        </w:tc>
        <w:tc>
          <w:tcPr>
            <w:tcW w:w="992" w:type="dxa"/>
            <w:vAlign w:val="center"/>
          </w:tcPr>
          <w:p w14:paraId="50A4CC25"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b/>
                <w:color w:val="auto"/>
                <w:sz w:val="20"/>
              </w:rPr>
              <w:t>18704.241</w:t>
            </w:r>
          </w:p>
        </w:tc>
        <w:tc>
          <w:tcPr>
            <w:tcW w:w="992" w:type="dxa"/>
            <w:vAlign w:val="center"/>
          </w:tcPr>
          <w:p w14:paraId="5D388254"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b/>
                <w:color w:val="auto"/>
                <w:sz w:val="20"/>
              </w:rPr>
              <w:t>15617.837</w:t>
            </w:r>
          </w:p>
        </w:tc>
        <w:tc>
          <w:tcPr>
            <w:tcW w:w="993" w:type="dxa"/>
            <w:vAlign w:val="center"/>
          </w:tcPr>
          <w:p w14:paraId="5BECB704"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b/>
                <w:color w:val="auto"/>
                <w:sz w:val="20"/>
              </w:rPr>
              <w:t>10677.552</w:t>
            </w:r>
          </w:p>
        </w:tc>
        <w:tc>
          <w:tcPr>
            <w:tcW w:w="850" w:type="dxa"/>
            <w:vAlign w:val="center"/>
          </w:tcPr>
          <w:p w14:paraId="233600E0"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b/>
                <w:color w:val="auto"/>
                <w:sz w:val="20"/>
              </w:rPr>
              <w:t>8297.739</w:t>
            </w:r>
          </w:p>
        </w:tc>
        <w:tc>
          <w:tcPr>
            <w:tcW w:w="851" w:type="dxa"/>
            <w:vAlign w:val="center"/>
          </w:tcPr>
          <w:p w14:paraId="69CC64D8"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b/>
                <w:color w:val="auto"/>
                <w:sz w:val="20"/>
              </w:rPr>
              <w:t>6244.487</w:t>
            </w:r>
          </w:p>
        </w:tc>
        <w:tc>
          <w:tcPr>
            <w:tcW w:w="850" w:type="dxa"/>
            <w:vAlign w:val="center"/>
          </w:tcPr>
          <w:p w14:paraId="614599A5"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b/>
                <w:color w:val="auto"/>
                <w:sz w:val="20"/>
              </w:rPr>
              <w:t>4044.380</w:t>
            </w:r>
          </w:p>
        </w:tc>
        <w:tc>
          <w:tcPr>
            <w:tcW w:w="992" w:type="dxa"/>
            <w:vAlign w:val="center"/>
          </w:tcPr>
          <w:p w14:paraId="46242D5A"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b/>
                <w:color w:val="auto"/>
                <w:sz w:val="20"/>
              </w:rPr>
              <w:t>2928.142</w:t>
            </w:r>
          </w:p>
        </w:tc>
        <w:tc>
          <w:tcPr>
            <w:tcW w:w="851" w:type="dxa"/>
            <w:vAlign w:val="center"/>
          </w:tcPr>
          <w:p w14:paraId="74ECAA70" w14:textId="77777777" w:rsidR="000C77F3" w:rsidRPr="00CD1278" w:rsidRDefault="000C77F3" w:rsidP="009B35D9">
            <w:pPr>
              <w:keepNext/>
              <w:keepLines/>
              <w:spacing w:after="0"/>
              <w:ind w:left="-108" w:right="-51"/>
              <w:jc w:val="center"/>
              <w:rPr>
                <w:rFonts w:asciiTheme="majorBidi" w:hAnsiTheme="majorBidi" w:cstheme="majorBidi"/>
                <w:color w:val="auto"/>
                <w:sz w:val="20"/>
              </w:rPr>
            </w:pPr>
            <w:r w:rsidRPr="00CD1278">
              <w:rPr>
                <w:rFonts w:asciiTheme="majorBidi" w:hAnsiTheme="majorBidi" w:cstheme="majorBidi"/>
                <w:b/>
                <w:color w:val="auto"/>
                <w:sz w:val="20"/>
              </w:rPr>
              <w:t>1460.163</w:t>
            </w:r>
          </w:p>
        </w:tc>
        <w:tc>
          <w:tcPr>
            <w:tcW w:w="737" w:type="dxa"/>
            <w:vAlign w:val="center"/>
          </w:tcPr>
          <w:p w14:paraId="3653753D"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b/>
                <w:color w:val="auto"/>
                <w:sz w:val="20"/>
              </w:rPr>
              <w:t>740.533</w:t>
            </w:r>
          </w:p>
        </w:tc>
        <w:tc>
          <w:tcPr>
            <w:tcW w:w="851" w:type="dxa"/>
            <w:vAlign w:val="center"/>
          </w:tcPr>
          <w:p w14:paraId="3AC563E0" w14:textId="77777777" w:rsidR="000C77F3" w:rsidRPr="00CD1278" w:rsidRDefault="000C77F3" w:rsidP="00FD4302">
            <w:pPr>
              <w:keepNext/>
              <w:keepLines/>
              <w:spacing w:before="120" w:after="120"/>
              <w:ind w:left="-107" w:right="-49"/>
              <w:jc w:val="center"/>
              <w:rPr>
                <w:rFonts w:asciiTheme="majorBidi" w:hAnsiTheme="majorBidi" w:cstheme="majorBidi"/>
                <w:color w:val="auto"/>
                <w:sz w:val="20"/>
              </w:rPr>
            </w:pPr>
            <w:r w:rsidRPr="00CD1278">
              <w:rPr>
                <w:rFonts w:asciiTheme="majorBidi" w:hAnsiTheme="majorBidi" w:cstheme="majorBidi"/>
                <w:b/>
                <w:color w:val="auto"/>
                <w:sz w:val="20"/>
              </w:rPr>
              <w:t>483.589</w:t>
            </w:r>
          </w:p>
        </w:tc>
        <w:tc>
          <w:tcPr>
            <w:tcW w:w="850" w:type="dxa"/>
            <w:vAlign w:val="center"/>
          </w:tcPr>
          <w:p w14:paraId="4195637D" w14:textId="77777777" w:rsidR="000C77F3" w:rsidRPr="00CD1278" w:rsidRDefault="000C77F3" w:rsidP="00FD4302">
            <w:pPr>
              <w:keepNext/>
              <w:keepLines/>
              <w:spacing w:before="120" w:after="120"/>
              <w:ind w:left="-107" w:right="-49"/>
              <w:jc w:val="center"/>
              <w:rPr>
                <w:rFonts w:asciiTheme="majorBidi" w:hAnsiTheme="majorBidi" w:cstheme="majorBidi"/>
                <w:b/>
                <w:bCs/>
                <w:color w:val="auto"/>
                <w:sz w:val="20"/>
              </w:rPr>
            </w:pPr>
            <w:r w:rsidRPr="00CD1278">
              <w:rPr>
                <w:rFonts w:asciiTheme="majorBidi" w:hAnsiTheme="majorBidi" w:cstheme="majorBidi"/>
                <w:b/>
                <w:bCs/>
                <w:color w:val="auto"/>
                <w:sz w:val="20"/>
              </w:rPr>
              <w:t>412.221</w:t>
            </w:r>
          </w:p>
        </w:tc>
        <w:tc>
          <w:tcPr>
            <w:tcW w:w="851" w:type="dxa"/>
            <w:vAlign w:val="center"/>
          </w:tcPr>
          <w:p w14:paraId="1B168775" w14:textId="77777777" w:rsidR="000C77F3" w:rsidRPr="00CD1278" w:rsidRDefault="000C77F3" w:rsidP="00FD4302">
            <w:pPr>
              <w:keepNext/>
              <w:keepLines/>
              <w:spacing w:before="120" w:after="120"/>
              <w:ind w:left="-107" w:right="-49"/>
              <w:jc w:val="center"/>
              <w:rPr>
                <w:rFonts w:asciiTheme="majorBidi" w:hAnsiTheme="majorBidi" w:cstheme="majorBidi"/>
                <w:b/>
                <w:bCs/>
                <w:color w:val="auto"/>
                <w:sz w:val="20"/>
              </w:rPr>
            </w:pPr>
            <w:r w:rsidRPr="00CD1278">
              <w:rPr>
                <w:rFonts w:asciiTheme="majorBidi" w:hAnsiTheme="majorBidi" w:cstheme="majorBidi"/>
                <w:b/>
                <w:bCs/>
                <w:color w:val="auto"/>
                <w:sz w:val="20"/>
              </w:rPr>
              <w:t>269.831</w:t>
            </w:r>
          </w:p>
        </w:tc>
        <w:tc>
          <w:tcPr>
            <w:tcW w:w="709" w:type="dxa"/>
            <w:vAlign w:val="center"/>
          </w:tcPr>
          <w:p w14:paraId="4A574D33" w14:textId="77777777" w:rsidR="000C77F3" w:rsidRPr="00CD1278" w:rsidRDefault="000C77F3" w:rsidP="00FD4302">
            <w:pPr>
              <w:keepNext/>
              <w:keepLines/>
              <w:spacing w:before="120" w:after="120"/>
              <w:ind w:left="-107" w:right="-49"/>
              <w:jc w:val="center"/>
              <w:rPr>
                <w:rFonts w:asciiTheme="majorBidi" w:hAnsiTheme="majorBidi" w:cstheme="majorBidi"/>
                <w:b/>
                <w:bCs/>
                <w:color w:val="auto"/>
                <w:sz w:val="20"/>
              </w:rPr>
            </w:pPr>
            <w:r w:rsidRPr="00CD1278">
              <w:rPr>
                <w:rFonts w:asciiTheme="majorBidi" w:hAnsiTheme="majorBidi" w:cstheme="majorBidi"/>
                <w:b/>
                <w:bCs/>
                <w:color w:val="auto"/>
                <w:sz w:val="20"/>
              </w:rPr>
              <w:t>38.291</w:t>
            </w:r>
          </w:p>
        </w:tc>
        <w:tc>
          <w:tcPr>
            <w:tcW w:w="708" w:type="dxa"/>
            <w:vAlign w:val="center"/>
          </w:tcPr>
          <w:p w14:paraId="12397220" w14:textId="5B7B117E" w:rsidR="000C77F3" w:rsidRPr="00CD1278" w:rsidRDefault="000C77F3" w:rsidP="00FD4302">
            <w:pPr>
              <w:keepNext/>
              <w:keepLines/>
              <w:spacing w:before="120" w:after="120"/>
              <w:ind w:left="-107" w:right="-49"/>
              <w:jc w:val="center"/>
              <w:rPr>
                <w:rFonts w:ascii="Arial" w:hAnsi="Arial"/>
                <w:b/>
                <w:bCs/>
                <w:color w:val="auto"/>
                <w:sz w:val="20"/>
              </w:rPr>
            </w:pPr>
            <w:r w:rsidRPr="00CD1278">
              <w:rPr>
                <w:rFonts w:asciiTheme="majorBidi" w:hAnsiTheme="majorBidi" w:cstheme="majorBidi"/>
                <w:b/>
                <w:bCs/>
                <w:color w:val="auto"/>
                <w:sz w:val="20"/>
              </w:rPr>
              <w:t>35.02</w:t>
            </w:r>
            <w:r w:rsidR="0071748E" w:rsidRPr="00CD1278">
              <w:rPr>
                <w:rFonts w:asciiTheme="majorBidi" w:hAnsiTheme="majorBidi" w:cstheme="majorBidi"/>
                <w:b/>
                <w:bCs/>
                <w:color w:val="auto"/>
                <w:sz w:val="20"/>
              </w:rPr>
              <w:t>1</w:t>
            </w:r>
          </w:p>
        </w:tc>
        <w:tc>
          <w:tcPr>
            <w:tcW w:w="674" w:type="dxa"/>
            <w:vAlign w:val="center"/>
          </w:tcPr>
          <w:p w14:paraId="0199FAF9" w14:textId="763C8E26" w:rsidR="000C77F3" w:rsidRPr="00CD1278" w:rsidRDefault="00C66F4C" w:rsidP="00D95A63">
            <w:pPr>
              <w:keepNext/>
              <w:keepLines/>
              <w:spacing w:before="120" w:after="120"/>
              <w:ind w:left="-107" w:right="-49"/>
              <w:jc w:val="center"/>
              <w:rPr>
                <w:rFonts w:asciiTheme="majorBidi" w:hAnsiTheme="majorBidi" w:cstheme="majorBidi"/>
                <w:b/>
                <w:bCs/>
                <w:color w:val="auto"/>
                <w:sz w:val="20"/>
              </w:rPr>
            </w:pPr>
            <w:r w:rsidRPr="00CD1278">
              <w:rPr>
                <w:rFonts w:asciiTheme="majorBidi" w:hAnsiTheme="majorBidi" w:cstheme="majorBidi"/>
                <w:b/>
                <w:bCs/>
                <w:color w:val="auto"/>
                <w:sz w:val="20"/>
              </w:rPr>
              <w:t>34.241</w:t>
            </w:r>
          </w:p>
        </w:tc>
        <w:tc>
          <w:tcPr>
            <w:tcW w:w="675" w:type="dxa"/>
            <w:vAlign w:val="center"/>
          </w:tcPr>
          <w:p w14:paraId="1C288FAB" w14:textId="57F2DAF4" w:rsidR="000C77F3" w:rsidRPr="00CD1278" w:rsidRDefault="0071748E" w:rsidP="00D95A63">
            <w:pPr>
              <w:keepNext/>
              <w:keepLines/>
              <w:spacing w:before="120" w:after="120"/>
              <w:ind w:left="-107" w:right="-49"/>
              <w:jc w:val="center"/>
              <w:rPr>
                <w:rFonts w:asciiTheme="majorBidi" w:hAnsiTheme="majorBidi" w:cstheme="majorBidi"/>
                <w:b/>
                <w:bCs/>
                <w:color w:val="auto"/>
                <w:sz w:val="20"/>
              </w:rPr>
            </w:pPr>
            <w:r w:rsidRPr="00CD1278">
              <w:rPr>
                <w:rFonts w:asciiTheme="majorBidi" w:hAnsiTheme="majorBidi" w:cstheme="majorBidi"/>
                <w:b/>
                <w:bCs/>
                <w:color w:val="auto"/>
                <w:sz w:val="20"/>
              </w:rPr>
              <w:t>[28.98]</w:t>
            </w:r>
          </w:p>
        </w:tc>
      </w:tr>
    </w:tbl>
    <w:p w14:paraId="4FF4B755" w14:textId="77777777" w:rsidR="004B39C7" w:rsidRPr="00CD1278" w:rsidRDefault="004B39C7" w:rsidP="004B39C7">
      <w:pPr>
        <w:pStyle w:val="Tableheading0"/>
        <w:spacing w:after="120"/>
        <w:ind w:left="0" w:firstLine="0"/>
        <w:rPr>
          <w:b/>
          <w:bCs/>
          <w:sz w:val="28"/>
          <w:szCs w:val="28"/>
        </w:rPr>
      </w:pPr>
    </w:p>
    <w:p w14:paraId="7A2A123D" w14:textId="77777777" w:rsidR="004B39C7" w:rsidRPr="00CD1278" w:rsidRDefault="004B39C7" w:rsidP="004B39C7">
      <w:pPr>
        <w:pStyle w:val="Tableheading0"/>
        <w:spacing w:after="120"/>
        <w:ind w:left="0" w:firstLine="0"/>
        <w:rPr>
          <w:b/>
          <w:bCs/>
          <w:sz w:val="28"/>
          <w:szCs w:val="28"/>
        </w:rPr>
      </w:pPr>
    </w:p>
    <w:p w14:paraId="3266633B" w14:textId="77777777" w:rsidR="00910198" w:rsidRPr="00CD1278" w:rsidRDefault="00910198">
      <w:pPr>
        <w:spacing w:after="0"/>
        <w:rPr>
          <w:b/>
          <w:bCs/>
          <w:i/>
          <w:color w:val="auto"/>
          <w:sz w:val="28"/>
          <w:szCs w:val="28"/>
        </w:rPr>
      </w:pPr>
      <w:r w:rsidRPr="00CD1278">
        <w:rPr>
          <w:b/>
          <w:bCs/>
          <w:color w:val="auto"/>
          <w:sz w:val="28"/>
          <w:szCs w:val="28"/>
        </w:rPr>
        <w:br w:type="page"/>
      </w:r>
    </w:p>
    <w:p w14:paraId="3B0AB09C" w14:textId="580B774E" w:rsidR="004B39C7" w:rsidRPr="00CD1278" w:rsidRDefault="004B39C7" w:rsidP="00626B1A">
      <w:pPr>
        <w:pStyle w:val="Tableheading0"/>
        <w:spacing w:after="120"/>
        <w:ind w:left="270" w:firstLine="0"/>
        <w:rPr>
          <w:b/>
          <w:bCs/>
          <w:sz w:val="28"/>
          <w:szCs w:val="28"/>
        </w:rPr>
      </w:pPr>
      <w:r w:rsidRPr="00CD1278">
        <w:rPr>
          <w:b/>
          <w:bCs/>
          <w:sz w:val="28"/>
          <w:szCs w:val="28"/>
        </w:rPr>
        <w:t>Table 1-</w:t>
      </w:r>
      <w:r w:rsidR="00190CAC" w:rsidRPr="00CD1278">
        <w:rPr>
          <w:b/>
          <w:bCs/>
          <w:sz w:val="28"/>
          <w:szCs w:val="28"/>
        </w:rPr>
        <w:t>4</w:t>
      </w:r>
      <w:r w:rsidRPr="00CD1278">
        <w:rPr>
          <w:b/>
          <w:bCs/>
          <w:sz w:val="28"/>
          <w:szCs w:val="28"/>
        </w:rPr>
        <w:t>b.  Summary of Critical Use Exemptions of MB (tonnes) approved by the Parties for non A5 countries</w:t>
      </w:r>
    </w:p>
    <w:p w14:paraId="2B6B939F" w14:textId="77777777" w:rsidR="002121DB" w:rsidRPr="00CD1278" w:rsidRDefault="002121DB" w:rsidP="00910198">
      <w:pPr>
        <w:pStyle w:val="Tableheading0"/>
        <w:spacing w:after="120"/>
        <w:ind w:left="0" w:firstLine="0"/>
        <w:rPr>
          <w:b/>
          <w:bCs/>
          <w:sz w:val="28"/>
          <w:szCs w:val="28"/>
        </w:rPr>
      </w:pPr>
    </w:p>
    <w:tbl>
      <w:tblPr>
        <w:tblW w:w="1530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19"/>
        <w:gridCol w:w="923"/>
        <w:gridCol w:w="993"/>
        <w:gridCol w:w="850"/>
        <w:gridCol w:w="851"/>
        <w:gridCol w:w="992"/>
        <w:gridCol w:w="850"/>
        <w:gridCol w:w="851"/>
        <w:gridCol w:w="850"/>
        <w:gridCol w:w="851"/>
        <w:gridCol w:w="850"/>
        <w:gridCol w:w="851"/>
        <w:gridCol w:w="850"/>
        <w:gridCol w:w="851"/>
        <w:gridCol w:w="850"/>
        <w:gridCol w:w="851"/>
      </w:tblGrid>
      <w:tr w:rsidR="003C102E" w:rsidRPr="00CD1278" w14:paraId="1C79A0E6" w14:textId="710A64E4" w:rsidTr="00E67771">
        <w:trPr>
          <w:cantSplit/>
          <w:trHeight w:val="535"/>
          <w:tblHeader/>
        </w:trPr>
        <w:tc>
          <w:tcPr>
            <w:tcW w:w="1276" w:type="dxa"/>
            <w:vMerge w:val="restart"/>
            <w:shd w:val="clear" w:color="auto" w:fill="D9D9D9" w:themeFill="background1" w:themeFillShade="D9"/>
            <w:vAlign w:val="center"/>
          </w:tcPr>
          <w:p w14:paraId="242633A7" w14:textId="77777777" w:rsidR="00C66F4C" w:rsidRPr="00CD1278" w:rsidRDefault="00C66F4C" w:rsidP="005B2F78">
            <w:pPr>
              <w:keepNext/>
              <w:keepLines/>
              <w:spacing w:before="120" w:after="100" w:afterAutospacing="1"/>
              <w:jc w:val="center"/>
              <w:rPr>
                <w:rFonts w:asciiTheme="majorBidi" w:hAnsiTheme="majorBidi" w:cstheme="majorBidi"/>
                <w:b/>
                <w:color w:val="auto"/>
                <w:sz w:val="24"/>
                <w:szCs w:val="24"/>
              </w:rPr>
            </w:pPr>
            <w:r w:rsidRPr="00CD1278">
              <w:rPr>
                <w:rFonts w:asciiTheme="majorBidi" w:hAnsiTheme="majorBidi" w:cstheme="majorBidi"/>
                <w:b/>
                <w:color w:val="auto"/>
                <w:sz w:val="24"/>
                <w:szCs w:val="24"/>
              </w:rPr>
              <w:t>Party</w:t>
            </w:r>
          </w:p>
        </w:tc>
        <w:tc>
          <w:tcPr>
            <w:tcW w:w="14033" w:type="dxa"/>
            <w:gridSpan w:val="16"/>
            <w:shd w:val="clear" w:color="auto" w:fill="D9D9D9" w:themeFill="background1" w:themeFillShade="D9"/>
            <w:vAlign w:val="center"/>
          </w:tcPr>
          <w:p w14:paraId="36CD76F0" w14:textId="259C16BE" w:rsidR="00C66F4C" w:rsidRPr="00CD1278" w:rsidRDefault="000C54E8" w:rsidP="00D67BAD">
            <w:pPr>
              <w:keepNext/>
              <w:keepLines/>
              <w:spacing w:after="0"/>
              <w:jc w:val="center"/>
              <w:rPr>
                <w:rFonts w:asciiTheme="majorBidi" w:hAnsiTheme="majorBidi" w:cstheme="majorBidi"/>
                <w:b/>
                <w:color w:val="auto"/>
                <w:sz w:val="24"/>
                <w:szCs w:val="24"/>
              </w:rPr>
            </w:pPr>
            <w:r w:rsidRPr="00CD1278">
              <w:rPr>
                <w:rFonts w:asciiTheme="majorBidi" w:hAnsiTheme="majorBidi" w:cstheme="majorBidi"/>
                <w:b/>
                <w:color w:val="auto"/>
                <w:sz w:val="24"/>
                <w:szCs w:val="24"/>
              </w:rPr>
              <w:t>Quantity of MB</w:t>
            </w:r>
            <w:r w:rsidR="00C66F4C" w:rsidRPr="00CD1278">
              <w:rPr>
                <w:rFonts w:asciiTheme="majorBidi" w:hAnsiTheme="majorBidi" w:cstheme="majorBidi"/>
                <w:b/>
                <w:color w:val="auto"/>
                <w:sz w:val="24"/>
                <w:szCs w:val="24"/>
              </w:rPr>
              <w:t xml:space="preserve"> Approved</w:t>
            </w:r>
          </w:p>
        </w:tc>
      </w:tr>
      <w:tr w:rsidR="003C102E" w:rsidRPr="00CD1278" w14:paraId="672987DF" w14:textId="0358B5A0" w:rsidTr="00CD275B">
        <w:trPr>
          <w:cantSplit/>
          <w:trHeight w:val="782"/>
          <w:tblHeader/>
        </w:trPr>
        <w:tc>
          <w:tcPr>
            <w:tcW w:w="1276" w:type="dxa"/>
            <w:vMerge/>
            <w:shd w:val="clear" w:color="auto" w:fill="D9D9D9" w:themeFill="background1" w:themeFillShade="D9"/>
            <w:vAlign w:val="center"/>
          </w:tcPr>
          <w:p w14:paraId="011E5BAB" w14:textId="77777777" w:rsidR="00E67771" w:rsidRPr="00CD1278" w:rsidRDefault="00E67771" w:rsidP="00301429">
            <w:pPr>
              <w:keepNext/>
              <w:keepLines/>
              <w:spacing w:before="120" w:after="100" w:afterAutospacing="1"/>
              <w:jc w:val="center"/>
              <w:rPr>
                <w:rFonts w:asciiTheme="majorBidi" w:hAnsiTheme="majorBidi" w:cstheme="majorBidi"/>
                <w:b/>
                <w:color w:val="auto"/>
                <w:sz w:val="24"/>
                <w:szCs w:val="24"/>
              </w:rPr>
            </w:pPr>
          </w:p>
        </w:tc>
        <w:tc>
          <w:tcPr>
            <w:tcW w:w="919" w:type="dxa"/>
          </w:tcPr>
          <w:p w14:paraId="04AF66DF" w14:textId="77777777" w:rsidR="00E67771" w:rsidRPr="00CD1278" w:rsidRDefault="00E67771" w:rsidP="00AC5446">
            <w:pPr>
              <w:keepNext/>
              <w:keepLines/>
              <w:spacing w:before="120" w:after="100" w:afterAutospacing="1"/>
              <w:ind w:left="-107" w:right="-49"/>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2005</w:t>
            </w:r>
            <w:r w:rsidRPr="00CD1278">
              <w:rPr>
                <w:rFonts w:asciiTheme="majorBidi" w:hAnsiTheme="majorBidi" w:cstheme="majorBidi"/>
                <w:b/>
                <w:color w:val="auto"/>
                <w:sz w:val="18"/>
                <w:szCs w:val="18"/>
              </w:rPr>
              <w:br/>
              <w:t xml:space="preserve">(1ExMOP </w:t>
            </w:r>
            <w:r w:rsidRPr="00CD1278">
              <w:rPr>
                <w:rFonts w:asciiTheme="majorBidi" w:hAnsiTheme="majorBidi" w:cstheme="majorBidi"/>
                <w:b/>
                <w:color w:val="auto"/>
                <w:sz w:val="18"/>
                <w:szCs w:val="18"/>
              </w:rPr>
              <w:br/>
              <w:t>and</w:t>
            </w:r>
            <w:r w:rsidRPr="00CD1278">
              <w:rPr>
                <w:rFonts w:asciiTheme="majorBidi" w:hAnsiTheme="majorBidi" w:cstheme="majorBidi"/>
                <w:b/>
                <w:color w:val="auto"/>
                <w:sz w:val="18"/>
                <w:szCs w:val="18"/>
              </w:rPr>
              <w:br/>
              <w:t>16MOP)</w:t>
            </w:r>
          </w:p>
        </w:tc>
        <w:tc>
          <w:tcPr>
            <w:tcW w:w="923" w:type="dxa"/>
          </w:tcPr>
          <w:p w14:paraId="580A31E2" w14:textId="77777777" w:rsidR="00E67771" w:rsidRPr="00CD1278" w:rsidRDefault="00E67771" w:rsidP="00AC5446">
            <w:pPr>
              <w:keepNext/>
              <w:keepLines/>
              <w:spacing w:before="120" w:after="100" w:afterAutospacing="1"/>
              <w:ind w:left="-107" w:right="-49"/>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2006</w:t>
            </w:r>
            <w:r w:rsidRPr="00CD1278">
              <w:rPr>
                <w:rFonts w:asciiTheme="majorBidi" w:hAnsiTheme="majorBidi" w:cstheme="majorBidi"/>
                <w:b/>
                <w:color w:val="auto"/>
                <w:sz w:val="18"/>
                <w:szCs w:val="18"/>
              </w:rPr>
              <w:br/>
              <w:t>(16MOP+</w:t>
            </w:r>
            <w:r w:rsidRPr="00CD1278">
              <w:rPr>
                <w:rFonts w:asciiTheme="majorBidi" w:hAnsiTheme="majorBidi" w:cstheme="majorBidi"/>
                <w:b/>
                <w:color w:val="auto"/>
                <w:sz w:val="18"/>
                <w:szCs w:val="18"/>
              </w:rPr>
              <w:br/>
              <w:t>2ExMOP+</w:t>
            </w:r>
            <w:r w:rsidRPr="00CD1278">
              <w:rPr>
                <w:rFonts w:asciiTheme="majorBidi" w:hAnsiTheme="majorBidi" w:cstheme="majorBidi"/>
                <w:b/>
                <w:color w:val="auto"/>
                <w:sz w:val="18"/>
                <w:szCs w:val="18"/>
              </w:rPr>
              <w:br/>
              <w:t>17MOP)</w:t>
            </w:r>
          </w:p>
        </w:tc>
        <w:tc>
          <w:tcPr>
            <w:tcW w:w="993" w:type="dxa"/>
          </w:tcPr>
          <w:p w14:paraId="1A288B46" w14:textId="77777777" w:rsidR="00E67771" w:rsidRPr="00CD1278" w:rsidRDefault="00E67771" w:rsidP="00AC5446">
            <w:pPr>
              <w:keepNext/>
              <w:keepLines/>
              <w:spacing w:before="120" w:after="100" w:afterAutospacing="1"/>
              <w:ind w:left="-107" w:right="-49"/>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2007</w:t>
            </w:r>
            <w:r w:rsidRPr="00CD1278">
              <w:rPr>
                <w:rFonts w:asciiTheme="majorBidi" w:hAnsiTheme="majorBidi" w:cstheme="majorBidi"/>
                <w:b/>
                <w:color w:val="auto"/>
                <w:sz w:val="18"/>
                <w:szCs w:val="18"/>
              </w:rPr>
              <w:br/>
              <w:t>(17MOP + 18MOP)</w:t>
            </w:r>
            <w:r w:rsidRPr="00CD1278">
              <w:rPr>
                <w:rFonts w:asciiTheme="majorBidi" w:hAnsiTheme="majorBidi" w:cstheme="majorBidi"/>
                <w:b/>
                <w:color w:val="auto"/>
                <w:sz w:val="18"/>
                <w:szCs w:val="18"/>
              </w:rPr>
              <w:br/>
            </w:r>
          </w:p>
        </w:tc>
        <w:tc>
          <w:tcPr>
            <w:tcW w:w="850" w:type="dxa"/>
          </w:tcPr>
          <w:p w14:paraId="2073C856" w14:textId="77777777" w:rsidR="00E67771" w:rsidRPr="00CD1278" w:rsidRDefault="00E67771" w:rsidP="00AC5446">
            <w:pPr>
              <w:keepNext/>
              <w:keepLines/>
              <w:spacing w:before="120" w:after="100" w:afterAutospacing="1"/>
              <w:ind w:left="-107" w:right="-49"/>
              <w:jc w:val="center"/>
              <w:rPr>
                <w:rFonts w:asciiTheme="majorBidi" w:hAnsiTheme="majorBidi" w:cstheme="majorBidi"/>
                <w:color w:val="auto"/>
                <w:sz w:val="18"/>
                <w:szCs w:val="18"/>
              </w:rPr>
            </w:pPr>
            <w:r w:rsidRPr="00CD1278">
              <w:rPr>
                <w:rFonts w:asciiTheme="majorBidi" w:hAnsiTheme="majorBidi" w:cstheme="majorBidi"/>
                <w:b/>
                <w:color w:val="auto"/>
                <w:sz w:val="18"/>
                <w:szCs w:val="18"/>
              </w:rPr>
              <w:t>2008</w:t>
            </w:r>
            <w:r w:rsidRPr="00CD1278">
              <w:rPr>
                <w:rFonts w:asciiTheme="majorBidi" w:hAnsiTheme="majorBidi" w:cstheme="majorBidi"/>
                <w:b/>
                <w:color w:val="auto"/>
                <w:sz w:val="18"/>
                <w:szCs w:val="18"/>
              </w:rPr>
              <w:br/>
              <w:t>(18MOP+</w:t>
            </w:r>
            <w:r w:rsidRPr="00CD1278">
              <w:rPr>
                <w:rFonts w:asciiTheme="majorBidi" w:hAnsiTheme="majorBidi" w:cstheme="majorBidi"/>
                <w:b/>
                <w:color w:val="auto"/>
                <w:sz w:val="18"/>
                <w:szCs w:val="18"/>
              </w:rPr>
              <w:br/>
              <w:t>19MOP)</w:t>
            </w:r>
          </w:p>
        </w:tc>
        <w:tc>
          <w:tcPr>
            <w:tcW w:w="851" w:type="dxa"/>
          </w:tcPr>
          <w:p w14:paraId="14D93ECC" w14:textId="77777777" w:rsidR="00E67771" w:rsidRPr="00CD1278" w:rsidRDefault="00E67771" w:rsidP="00AC5446">
            <w:pPr>
              <w:keepNext/>
              <w:keepLines/>
              <w:spacing w:before="120" w:after="100" w:afterAutospacing="1"/>
              <w:ind w:left="-107" w:right="-49"/>
              <w:jc w:val="center"/>
              <w:rPr>
                <w:rFonts w:asciiTheme="majorBidi" w:hAnsiTheme="majorBidi" w:cstheme="majorBidi"/>
                <w:color w:val="auto"/>
                <w:sz w:val="18"/>
                <w:szCs w:val="18"/>
              </w:rPr>
            </w:pPr>
            <w:r w:rsidRPr="00CD1278">
              <w:rPr>
                <w:rFonts w:asciiTheme="majorBidi" w:hAnsiTheme="majorBidi" w:cstheme="majorBidi"/>
                <w:b/>
                <w:color w:val="auto"/>
                <w:sz w:val="18"/>
                <w:szCs w:val="18"/>
              </w:rPr>
              <w:t>2009</w:t>
            </w:r>
            <w:r w:rsidRPr="00CD1278">
              <w:rPr>
                <w:rFonts w:asciiTheme="majorBidi" w:hAnsiTheme="majorBidi" w:cstheme="majorBidi"/>
                <w:b/>
                <w:color w:val="auto"/>
                <w:sz w:val="18"/>
                <w:szCs w:val="18"/>
              </w:rPr>
              <w:br/>
              <w:t>(19MOP)</w:t>
            </w:r>
            <w:r w:rsidRPr="00CD1278">
              <w:rPr>
                <w:rFonts w:asciiTheme="majorBidi" w:hAnsiTheme="majorBidi" w:cstheme="majorBidi"/>
                <w:b/>
                <w:color w:val="auto"/>
                <w:sz w:val="18"/>
                <w:szCs w:val="18"/>
              </w:rPr>
              <w:br/>
            </w:r>
          </w:p>
        </w:tc>
        <w:tc>
          <w:tcPr>
            <w:tcW w:w="992" w:type="dxa"/>
          </w:tcPr>
          <w:p w14:paraId="6D4ACA62" w14:textId="77777777" w:rsidR="00E67771" w:rsidRPr="00CD1278" w:rsidRDefault="00E67771" w:rsidP="00AC5446">
            <w:pPr>
              <w:keepNext/>
              <w:keepLines/>
              <w:spacing w:before="120" w:after="100" w:afterAutospacing="1"/>
              <w:ind w:left="-107" w:right="-49"/>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2010</w:t>
            </w:r>
            <w:r w:rsidRPr="00CD1278">
              <w:rPr>
                <w:rFonts w:asciiTheme="majorBidi" w:hAnsiTheme="majorBidi" w:cstheme="majorBidi"/>
                <w:b/>
                <w:color w:val="auto"/>
                <w:sz w:val="18"/>
                <w:szCs w:val="18"/>
              </w:rPr>
              <w:br/>
              <w:t>(20MOP+</w:t>
            </w:r>
            <w:r w:rsidRPr="00CD1278">
              <w:rPr>
                <w:rFonts w:asciiTheme="majorBidi" w:hAnsiTheme="majorBidi" w:cstheme="majorBidi"/>
                <w:b/>
                <w:color w:val="auto"/>
                <w:sz w:val="18"/>
                <w:szCs w:val="18"/>
              </w:rPr>
              <w:br/>
              <w:t>21MOP)</w:t>
            </w:r>
          </w:p>
        </w:tc>
        <w:tc>
          <w:tcPr>
            <w:tcW w:w="850" w:type="dxa"/>
          </w:tcPr>
          <w:p w14:paraId="69430D3B" w14:textId="77777777" w:rsidR="00E67771" w:rsidRPr="00CD1278" w:rsidRDefault="00E67771" w:rsidP="00AC5446">
            <w:pPr>
              <w:pStyle w:val="NormalWeb"/>
              <w:spacing w:before="120"/>
              <w:ind w:left="-107" w:right="-49"/>
              <w:jc w:val="center"/>
              <w:rPr>
                <w:rFonts w:asciiTheme="majorBidi" w:hAnsiTheme="majorBidi" w:cstheme="majorBidi"/>
                <w:sz w:val="18"/>
                <w:szCs w:val="18"/>
                <w:lang w:val="en-GB"/>
              </w:rPr>
            </w:pPr>
            <w:r w:rsidRPr="00CD1278">
              <w:rPr>
                <w:rStyle w:val="Strong"/>
                <w:rFonts w:asciiTheme="majorBidi" w:hAnsiTheme="majorBidi" w:cstheme="majorBidi"/>
                <w:bCs/>
                <w:sz w:val="18"/>
                <w:szCs w:val="18"/>
                <w:lang w:val="en-GB"/>
              </w:rPr>
              <w:t>2011</w:t>
            </w:r>
            <w:r w:rsidRPr="00CD1278">
              <w:rPr>
                <w:rFonts w:asciiTheme="majorBidi" w:hAnsiTheme="majorBidi" w:cstheme="majorBidi"/>
                <w:sz w:val="18"/>
                <w:szCs w:val="18"/>
                <w:lang w:val="en-GB"/>
              </w:rPr>
              <w:br/>
            </w:r>
            <w:r w:rsidRPr="00CD1278">
              <w:rPr>
                <w:rStyle w:val="Strong"/>
                <w:rFonts w:asciiTheme="majorBidi" w:hAnsiTheme="majorBidi" w:cstheme="majorBidi"/>
                <w:bCs/>
                <w:sz w:val="18"/>
                <w:szCs w:val="18"/>
                <w:lang w:val="en-GB"/>
              </w:rPr>
              <w:t>(21MOP)</w:t>
            </w:r>
          </w:p>
        </w:tc>
        <w:tc>
          <w:tcPr>
            <w:tcW w:w="851" w:type="dxa"/>
          </w:tcPr>
          <w:p w14:paraId="4C5F8565" w14:textId="77777777" w:rsidR="00E67771" w:rsidRPr="00CD1278" w:rsidRDefault="00E67771" w:rsidP="00AC5446">
            <w:pPr>
              <w:pStyle w:val="NormalWeb"/>
              <w:spacing w:before="120" w:after="0"/>
              <w:ind w:left="-108" w:right="-51"/>
              <w:jc w:val="center"/>
              <w:rPr>
                <w:rStyle w:val="Strong"/>
                <w:rFonts w:asciiTheme="majorBidi" w:hAnsiTheme="majorBidi" w:cstheme="majorBidi"/>
                <w:bCs/>
                <w:sz w:val="18"/>
                <w:szCs w:val="18"/>
                <w:lang w:val="en-GB"/>
              </w:rPr>
            </w:pPr>
            <w:r w:rsidRPr="00CD1278">
              <w:rPr>
                <w:rStyle w:val="Strong"/>
                <w:rFonts w:asciiTheme="majorBidi" w:hAnsiTheme="majorBidi" w:cstheme="majorBidi"/>
                <w:bCs/>
                <w:sz w:val="18"/>
                <w:szCs w:val="18"/>
                <w:lang w:val="en-GB"/>
              </w:rPr>
              <w:t>2012</w:t>
            </w:r>
          </w:p>
          <w:p w14:paraId="078D624A" w14:textId="77777777" w:rsidR="00E67771" w:rsidRPr="00CD1278" w:rsidRDefault="00E67771" w:rsidP="00AC5446">
            <w:pPr>
              <w:pStyle w:val="NormalWeb"/>
              <w:spacing w:before="0"/>
              <w:ind w:left="-108" w:right="-51"/>
              <w:jc w:val="center"/>
              <w:rPr>
                <w:rStyle w:val="Strong"/>
                <w:rFonts w:asciiTheme="majorBidi" w:hAnsiTheme="majorBidi" w:cstheme="majorBidi"/>
                <w:bCs/>
                <w:sz w:val="18"/>
                <w:szCs w:val="18"/>
                <w:lang w:val="en-GB"/>
              </w:rPr>
            </w:pPr>
            <w:r w:rsidRPr="00CD1278">
              <w:rPr>
                <w:rStyle w:val="Strong"/>
                <w:rFonts w:asciiTheme="majorBidi" w:hAnsiTheme="majorBidi" w:cstheme="majorBidi"/>
                <w:bCs/>
                <w:sz w:val="18"/>
                <w:szCs w:val="18"/>
                <w:lang w:val="en-GB"/>
              </w:rPr>
              <w:t>(22MOP)</w:t>
            </w:r>
          </w:p>
        </w:tc>
        <w:tc>
          <w:tcPr>
            <w:tcW w:w="850" w:type="dxa"/>
          </w:tcPr>
          <w:p w14:paraId="56006841" w14:textId="77777777" w:rsidR="00E67771" w:rsidRPr="00CD1278" w:rsidRDefault="00E67771" w:rsidP="00AC5446">
            <w:pPr>
              <w:pStyle w:val="NormalWeb"/>
              <w:spacing w:before="120" w:after="0"/>
              <w:ind w:left="-108" w:right="-51"/>
              <w:jc w:val="center"/>
              <w:rPr>
                <w:rStyle w:val="Strong"/>
                <w:rFonts w:asciiTheme="majorBidi" w:hAnsiTheme="majorBidi" w:cstheme="majorBidi"/>
                <w:bCs/>
                <w:sz w:val="18"/>
                <w:szCs w:val="18"/>
                <w:lang w:val="en-GB"/>
              </w:rPr>
            </w:pPr>
            <w:r w:rsidRPr="00CD1278">
              <w:rPr>
                <w:rStyle w:val="Strong"/>
                <w:rFonts w:asciiTheme="majorBidi" w:hAnsiTheme="majorBidi" w:cstheme="majorBidi"/>
                <w:bCs/>
                <w:sz w:val="18"/>
                <w:szCs w:val="18"/>
                <w:lang w:val="en-GB"/>
              </w:rPr>
              <w:t>2013</w:t>
            </w:r>
          </w:p>
          <w:p w14:paraId="68AC685E" w14:textId="77777777" w:rsidR="00E67771" w:rsidRPr="00CD1278" w:rsidRDefault="00E67771" w:rsidP="00AC5446">
            <w:pPr>
              <w:pStyle w:val="NormalWeb"/>
              <w:spacing w:before="0"/>
              <w:ind w:left="-108" w:right="-51"/>
              <w:jc w:val="center"/>
              <w:rPr>
                <w:rStyle w:val="Strong"/>
                <w:rFonts w:asciiTheme="majorBidi" w:hAnsiTheme="majorBidi" w:cstheme="majorBidi"/>
                <w:bCs/>
                <w:sz w:val="18"/>
                <w:szCs w:val="18"/>
                <w:lang w:val="en-GB"/>
              </w:rPr>
            </w:pPr>
            <w:r w:rsidRPr="00CD1278">
              <w:rPr>
                <w:rStyle w:val="Strong"/>
                <w:rFonts w:asciiTheme="majorBidi" w:hAnsiTheme="majorBidi" w:cstheme="majorBidi"/>
                <w:bCs/>
                <w:sz w:val="18"/>
                <w:szCs w:val="18"/>
                <w:lang w:val="en-GB"/>
              </w:rPr>
              <w:t>(23MOP)</w:t>
            </w:r>
          </w:p>
        </w:tc>
        <w:tc>
          <w:tcPr>
            <w:tcW w:w="851" w:type="dxa"/>
          </w:tcPr>
          <w:p w14:paraId="392CC76C" w14:textId="77777777" w:rsidR="00E67771" w:rsidRPr="00CD1278" w:rsidRDefault="00E67771" w:rsidP="00AC5446">
            <w:pPr>
              <w:pStyle w:val="NormalWeb"/>
              <w:spacing w:before="120" w:after="0"/>
              <w:ind w:left="-108" w:right="-51"/>
              <w:jc w:val="center"/>
              <w:rPr>
                <w:rStyle w:val="Strong"/>
                <w:rFonts w:asciiTheme="majorBidi" w:hAnsiTheme="majorBidi" w:cstheme="majorBidi"/>
                <w:bCs/>
                <w:sz w:val="18"/>
                <w:szCs w:val="18"/>
                <w:lang w:val="en-GB"/>
              </w:rPr>
            </w:pPr>
            <w:r w:rsidRPr="00CD1278">
              <w:rPr>
                <w:rStyle w:val="Strong"/>
                <w:rFonts w:asciiTheme="majorBidi" w:hAnsiTheme="majorBidi" w:cstheme="majorBidi"/>
                <w:bCs/>
                <w:sz w:val="18"/>
                <w:szCs w:val="18"/>
                <w:lang w:val="en-GB"/>
              </w:rPr>
              <w:t>2014</w:t>
            </w:r>
          </w:p>
          <w:p w14:paraId="05EB5BF2" w14:textId="77777777" w:rsidR="00E67771" w:rsidRPr="00CD1278" w:rsidRDefault="00E67771" w:rsidP="00AC5446">
            <w:pPr>
              <w:pStyle w:val="NormalWeb"/>
              <w:spacing w:before="0"/>
              <w:ind w:left="-108" w:right="-51"/>
              <w:jc w:val="center"/>
              <w:rPr>
                <w:rStyle w:val="Strong"/>
                <w:rFonts w:asciiTheme="majorBidi" w:hAnsiTheme="majorBidi" w:cstheme="majorBidi"/>
                <w:bCs/>
                <w:sz w:val="18"/>
                <w:szCs w:val="18"/>
                <w:lang w:val="en-GB"/>
              </w:rPr>
            </w:pPr>
            <w:r w:rsidRPr="00CD1278">
              <w:rPr>
                <w:rStyle w:val="Strong"/>
                <w:rFonts w:asciiTheme="majorBidi" w:hAnsiTheme="majorBidi" w:cstheme="majorBidi"/>
                <w:bCs/>
                <w:sz w:val="18"/>
                <w:szCs w:val="18"/>
                <w:lang w:val="en-GB"/>
              </w:rPr>
              <w:t>(24MOP)</w:t>
            </w:r>
          </w:p>
        </w:tc>
        <w:tc>
          <w:tcPr>
            <w:tcW w:w="850" w:type="dxa"/>
          </w:tcPr>
          <w:p w14:paraId="313300FF" w14:textId="7475D2A2" w:rsidR="00E67771" w:rsidRPr="00CD1278" w:rsidRDefault="00E67771" w:rsidP="00AC5446">
            <w:pPr>
              <w:keepNext/>
              <w:keepLines/>
              <w:spacing w:before="120" w:after="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2015</w:t>
            </w:r>
          </w:p>
          <w:p w14:paraId="0CBA0551" w14:textId="77777777" w:rsidR="00E67771" w:rsidRPr="00CD1278" w:rsidRDefault="00E67771" w:rsidP="00AC5446">
            <w:pPr>
              <w:keepNext/>
              <w:keepLines/>
              <w:spacing w:after="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(25 MOP)</w:t>
            </w:r>
          </w:p>
          <w:p w14:paraId="576A9D43" w14:textId="77777777" w:rsidR="00E67771" w:rsidRPr="00CD1278" w:rsidRDefault="00E67771" w:rsidP="00AC5446">
            <w:pPr>
              <w:keepNext/>
              <w:keepLines/>
              <w:spacing w:after="0"/>
              <w:ind w:left="-108" w:right="-51"/>
              <w:jc w:val="center"/>
              <w:rPr>
                <w:rFonts w:asciiTheme="majorBidi" w:hAnsiTheme="majorBidi" w:cstheme="majorBidi"/>
                <w:b/>
                <w:color w:val="auto"/>
                <w:sz w:val="18"/>
                <w:szCs w:val="18"/>
              </w:rPr>
            </w:pPr>
          </w:p>
        </w:tc>
        <w:tc>
          <w:tcPr>
            <w:tcW w:w="851" w:type="dxa"/>
          </w:tcPr>
          <w:p w14:paraId="301FECF5" w14:textId="671E770D" w:rsidR="00E67771" w:rsidRPr="00CD1278" w:rsidRDefault="00E67771" w:rsidP="00AC5446">
            <w:pPr>
              <w:keepNext/>
              <w:keepLines/>
              <w:spacing w:before="120" w:after="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2016</w:t>
            </w:r>
          </w:p>
          <w:p w14:paraId="53D22FC5" w14:textId="77777777" w:rsidR="00E67771" w:rsidRPr="00CD1278" w:rsidRDefault="00E67771" w:rsidP="00AC5446">
            <w:pPr>
              <w:keepNext/>
              <w:keepLines/>
              <w:spacing w:after="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(26 MOP)</w:t>
            </w:r>
          </w:p>
          <w:p w14:paraId="417F7E52" w14:textId="77777777" w:rsidR="00E67771" w:rsidRPr="00CD1278" w:rsidRDefault="00E67771" w:rsidP="00AC5446">
            <w:pPr>
              <w:keepNext/>
              <w:keepLines/>
              <w:spacing w:before="120" w:after="100" w:afterAutospacing="1"/>
              <w:ind w:left="-107" w:right="-49"/>
              <w:jc w:val="center"/>
              <w:rPr>
                <w:rFonts w:asciiTheme="majorBidi" w:hAnsiTheme="majorBidi" w:cstheme="majorBidi"/>
                <w:b/>
                <w:color w:val="auto"/>
                <w:sz w:val="18"/>
                <w:szCs w:val="18"/>
              </w:rPr>
            </w:pPr>
          </w:p>
        </w:tc>
        <w:tc>
          <w:tcPr>
            <w:tcW w:w="850" w:type="dxa"/>
          </w:tcPr>
          <w:p w14:paraId="531DDCE4" w14:textId="77777777" w:rsidR="00E67771" w:rsidRPr="00CD1278" w:rsidRDefault="00E67771" w:rsidP="00AC5446">
            <w:pPr>
              <w:keepNext/>
              <w:keepLines/>
              <w:spacing w:before="120" w:after="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2017</w:t>
            </w:r>
          </w:p>
          <w:p w14:paraId="3BAFED25" w14:textId="77777777" w:rsidR="00E67771" w:rsidRPr="00CD1278" w:rsidRDefault="00E67771" w:rsidP="00AC5446">
            <w:pPr>
              <w:keepNext/>
              <w:keepLines/>
              <w:spacing w:after="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(27 MOP)</w:t>
            </w:r>
          </w:p>
        </w:tc>
        <w:tc>
          <w:tcPr>
            <w:tcW w:w="851" w:type="dxa"/>
          </w:tcPr>
          <w:p w14:paraId="77CF65BE" w14:textId="77777777" w:rsidR="00E67771" w:rsidRPr="00CD1278" w:rsidRDefault="00E67771" w:rsidP="00AC5446">
            <w:pPr>
              <w:keepNext/>
              <w:keepLines/>
              <w:spacing w:before="120" w:after="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2018</w:t>
            </w:r>
          </w:p>
          <w:p w14:paraId="494B4971" w14:textId="6A7F2F2B" w:rsidR="00E67771" w:rsidRPr="00CD1278" w:rsidRDefault="00E67771" w:rsidP="00AC5446">
            <w:pPr>
              <w:keepNext/>
              <w:keepLines/>
              <w:spacing w:after="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(28 MOP)</w:t>
            </w:r>
          </w:p>
        </w:tc>
        <w:tc>
          <w:tcPr>
            <w:tcW w:w="850" w:type="dxa"/>
          </w:tcPr>
          <w:p w14:paraId="3DD2DFD7" w14:textId="77777777" w:rsidR="00E67771" w:rsidRPr="00CD1278" w:rsidRDefault="00E67771" w:rsidP="00C66F4C">
            <w:pPr>
              <w:keepNext/>
              <w:keepLines/>
              <w:spacing w:before="120" w:after="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2019      (29 MOP)</w:t>
            </w:r>
          </w:p>
          <w:p w14:paraId="1A7BD445" w14:textId="33FED9DC" w:rsidR="00E67771" w:rsidRPr="00CD1278" w:rsidRDefault="00E67771" w:rsidP="00E529B8">
            <w:pPr>
              <w:keepNext/>
              <w:keepLines/>
              <w:spacing w:before="120" w:after="120"/>
              <w:ind w:left="-107" w:right="-49"/>
              <w:jc w:val="center"/>
              <w:rPr>
                <w:rFonts w:asciiTheme="majorBidi" w:hAnsiTheme="majorBidi" w:cstheme="majorBidi"/>
                <w:color w:val="auto"/>
                <w:sz w:val="18"/>
                <w:szCs w:val="18"/>
              </w:rPr>
            </w:pPr>
          </w:p>
        </w:tc>
        <w:tc>
          <w:tcPr>
            <w:tcW w:w="851" w:type="dxa"/>
          </w:tcPr>
          <w:p w14:paraId="093862AA" w14:textId="77777777" w:rsidR="00E67771" w:rsidRPr="00CD1278" w:rsidRDefault="00E67771" w:rsidP="00E67771">
            <w:pPr>
              <w:keepNext/>
              <w:keepLines/>
              <w:spacing w:before="120" w:after="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2020</w:t>
            </w:r>
          </w:p>
          <w:p w14:paraId="7D3C65D5" w14:textId="41C1281F" w:rsidR="00E67771" w:rsidRPr="00CD1278" w:rsidRDefault="00E67771" w:rsidP="00E67771">
            <w:pPr>
              <w:keepNext/>
              <w:keepLines/>
              <w:spacing w:after="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(30 MOP)</w:t>
            </w:r>
          </w:p>
        </w:tc>
      </w:tr>
      <w:tr w:rsidR="003C102E" w:rsidRPr="00CD1278" w14:paraId="39AE29FA" w14:textId="111B8AC0" w:rsidTr="00CD275B">
        <w:tc>
          <w:tcPr>
            <w:tcW w:w="1276" w:type="dxa"/>
            <w:vAlign w:val="center"/>
          </w:tcPr>
          <w:p w14:paraId="3F4E5146" w14:textId="77777777" w:rsidR="00E67771" w:rsidRPr="00CD1278" w:rsidRDefault="00E67771"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Australia</w:t>
            </w:r>
          </w:p>
        </w:tc>
        <w:tc>
          <w:tcPr>
            <w:tcW w:w="919" w:type="dxa"/>
            <w:vAlign w:val="center"/>
          </w:tcPr>
          <w:p w14:paraId="3A90CD69"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146.600</w:t>
            </w:r>
          </w:p>
        </w:tc>
        <w:tc>
          <w:tcPr>
            <w:tcW w:w="923" w:type="dxa"/>
            <w:vAlign w:val="center"/>
          </w:tcPr>
          <w:p w14:paraId="60250CF5"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75.100</w:t>
            </w:r>
          </w:p>
        </w:tc>
        <w:tc>
          <w:tcPr>
            <w:tcW w:w="993" w:type="dxa"/>
            <w:vAlign w:val="center"/>
          </w:tcPr>
          <w:p w14:paraId="086F0EB7"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48.517</w:t>
            </w:r>
          </w:p>
        </w:tc>
        <w:tc>
          <w:tcPr>
            <w:tcW w:w="850" w:type="dxa"/>
            <w:vAlign w:val="center"/>
          </w:tcPr>
          <w:p w14:paraId="279431B0"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48.450</w:t>
            </w:r>
          </w:p>
        </w:tc>
        <w:tc>
          <w:tcPr>
            <w:tcW w:w="851" w:type="dxa"/>
            <w:vAlign w:val="center"/>
          </w:tcPr>
          <w:p w14:paraId="7B42F10B"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37.610</w:t>
            </w:r>
          </w:p>
        </w:tc>
        <w:tc>
          <w:tcPr>
            <w:tcW w:w="992" w:type="dxa"/>
            <w:vAlign w:val="center"/>
          </w:tcPr>
          <w:p w14:paraId="52263778"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36.440</w:t>
            </w:r>
          </w:p>
        </w:tc>
        <w:tc>
          <w:tcPr>
            <w:tcW w:w="850" w:type="dxa"/>
            <w:vAlign w:val="center"/>
          </w:tcPr>
          <w:p w14:paraId="1F2AD5D4" w14:textId="77777777" w:rsidR="00E67771" w:rsidRPr="00CD1278" w:rsidRDefault="00E67771" w:rsidP="00AC5446">
            <w:pPr>
              <w:keepNext/>
              <w:keepLines/>
              <w:spacing w:before="20" w:after="20"/>
              <w:ind w:left="-10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28.710</w:t>
            </w:r>
          </w:p>
        </w:tc>
        <w:tc>
          <w:tcPr>
            <w:tcW w:w="851" w:type="dxa"/>
            <w:vAlign w:val="center"/>
          </w:tcPr>
          <w:p w14:paraId="4959FAAF" w14:textId="77777777" w:rsidR="00E67771" w:rsidRPr="00CD1278" w:rsidRDefault="00E67771" w:rsidP="00AC5446">
            <w:pPr>
              <w:pStyle w:val="NormalWeb"/>
              <w:spacing w:before="120" w:after="120"/>
              <w:ind w:left="-107" w:right="-49"/>
              <w:jc w:val="center"/>
              <w:rPr>
                <w:rFonts w:asciiTheme="majorBidi" w:hAnsiTheme="majorBidi" w:cstheme="majorBidi"/>
                <w:sz w:val="18"/>
                <w:szCs w:val="18"/>
                <w:lang w:val="en-GB"/>
              </w:rPr>
            </w:pPr>
            <w:r w:rsidRPr="00CD1278">
              <w:rPr>
                <w:rFonts w:asciiTheme="majorBidi" w:hAnsiTheme="majorBidi" w:cstheme="majorBidi"/>
                <w:sz w:val="18"/>
                <w:szCs w:val="18"/>
                <w:lang w:val="en-GB"/>
              </w:rPr>
              <w:t>31.708</w:t>
            </w:r>
          </w:p>
        </w:tc>
        <w:tc>
          <w:tcPr>
            <w:tcW w:w="850" w:type="dxa"/>
            <w:vAlign w:val="center"/>
          </w:tcPr>
          <w:p w14:paraId="1BF2EF28"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32.134</w:t>
            </w:r>
          </w:p>
        </w:tc>
        <w:tc>
          <w:tcPr>
            <w:tcW w:w="851" w:type="dxa"/>
            <w:vAlign w:val="center"/>
          </w:tcPr>
          <w:p w14:paraId="51CD945E"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30.947</w:t>
            </w:r>
          </w:p>
        </w:tc>
        <w:tc>
          <w:tcPr>
            <w:tcW w:w="850" w:type="dxa"/>
            <w:vAlign w:val="center"/>
          </w:tcPr>
          <w:p w14:paraId="56C1B4E3"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29.79</w:t>
            </w:r>
          </w:p>
        </w:tc>
        <w:tc>
          <w:tcPr>
            <w:tcW w:w="851" w:type="dxa"/>
            <w:vAlign w:val="center"/>
          </w:tcPr>
          <w:p w14:paraId="60454107"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29.79</w:t>
            </w:r>
          </w:p>
        </w:tc>
        <w:tc>
          <w:tcPr>
            <w:tcW w:w="850" w:type="dxa"/>
            <w:vAlign w:val="center"/>
          </w:tcPr>
          <w:p w14:paraId="5BDC9E34" w14:textId="6DA40E2F"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29.79</w:t>
            </w:r>
          </w:p>
        </w:tc>
        <w:tc>
          <w:tcPr>
            <w:tcW w:w="851" w:type="dxa"/>
          </w:tcPr>
          <w:p w14:paraId="7A94DFC5" w14:textId="36ABE364" w:rsidR="00E67771" w:rsidRPr="00CD1278" w:rsidRDefault="00E67771" w:rsidP="00E529B8">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29.73</w:t>
            </w:r>
          </w:p>
        </w:tc>
        <w:tc>
          <w:tcPr>
            <w:tcW w:w="850" w:type="dxa"/>
          </w:tcPr>
          <w:p w14:paraId="4D5CDB30" w14:textId="52F891B5"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r w:rsidRPr="00CD1278">
              <w:rPr>
                <w:rFonts w:asciiTheme="majorBidi" w:hAnsiTheme="majorBidi" w:cstheme="majorBidi"/>
                <w:color w:val="auto"/>
                <w:sz w:val="18"/>
                <w:szCs w:val="18"/>
              </w:rPr>
              <w:t>28.98</w:t>
            </w:r>
          </w:p>
        </w:tc>
        <w:tc>
          <w:tcPr>
            <w:tcW w:w="851" w:type="dxa"/>
          </w:tcPr>
          <w:p w14:paraId="68A6B0A7" w14:textId="21978883"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r>
      <w:tr w:rsidR="003C102E" w:rsidRPr="00CD1278" w14:paraId="4321FFAC" w14:textId="5DD3ECC1" w:rsidTr="00CD275B">
        <w:trPr>
          <w:trHeight w:val="433"/>
        </w:trPr>
        <w:tc>
          <w:tcPr>
            <w:tcW w:w="1276" w:type="dxa"/>
            <w:vAlign w:val="center"/>
          </w:tcPr>
          <w:p w14:paraId="698D23AD" w14:textId="77777777" w:rsidR="00E67771" w:rsidRPr="00CD1278" w:rsidRDefault="00E67771"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Canada</w:t>
            </w:r>
          </w:p>
        </w:tc>
        <w:tc>
          <w:tcPr>
            <w:tcW w:w="919" w:type="dxa"/>
            <w:vAlign w:val="center"/>
          </w:tcPr>
          <w:p w14:paraId="669E851A"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61.792</w:t>
            </w:r>
          </w:p>
        </w:tc>
        <w:tc>
          <w:tcPr>
            <w:tcW w:w="923" w:type="dxa"/>
            <w:vAlign w:val="center"/>
          </w:tcPr>
          <w:p w14:paraId="6A652DCE"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53.897</w:t>
            </w:r>
          </w:p>
        </w:tc>
        <w:tc>
          <w:tcPr>
            <w:tcW w:w="993" w:type="dxa"/>
            <w:vAlign w:val="center"/>
          </w:tcPr>
          <w:p w14:paraId="469B1F3D"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52.874</w:t>
            </w:r>
          </w:p>
        </w:tc>
        <w:tc>
          <w:tcPr>
            <w:tcW w:w="850" w:type="dxa"/>
            <w:vAlign w:val="center"/>
          </w:tcPr>
          <w:p w14:paraId="480A341D"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36.112</w:t>
            </w:r>
          </w:p>
        </w:tc>
        <w:tc>
          <w:tcPr>
            <w:tcW w:w="851" w:type="dxa"/>
            <w:vAlign w:val="center"/>
          </w:tcPr>
          <w:p w14:paraId="4A7E04EA"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39.020</w:t>
            </w:r>
          </w:p>
        </w:tc>
        <w:tc>
          <w:tcPr>
            <w:tcW w:w="992" w:type="dxa"/>
            <w:vAlign w:val="center"/>
          </w:tcPr>
          <w:p w14:paraId="5F8F70AE" w14:textId="77777777" w:rsidR="00E67771" w:rsidRPr="00CD1278" w:rsidRDefault="00E67771" w:rsidP="00AC5446">
            <w:pPr>
              <w:keepNext/>
              <w:keepLines/>
              <w:spacing w:after="0"/>
              <w:ind w:left="-108" w:right="-51"/>
              <w:jc w:val="center"/>
              <w:rPr>
                <w:rFonts w:asciiTheme="majorBidi" w:hAnsiTheme="majorBidi" w:cstheme="majorBidi"/>
                <w:color w:val="auto"/>
                <w:sz w:val="18"/>
                <w:szCs w:val="18"/>
              </w:rPr>
            </w:pPr>
            <w:r w:rsidRPr="00CD1278">
              <w:rPr>
                <w:rFonts w:asciiTheme="majorBidi" w:hAnsiTheme="majorBidi" w:cstheme="majorBidi"/>
                <w:color w:val="auto"/>
                <w:sz w:val="18"/>
                <w:szCs w:val="18"/>
              </w:rPr>
              <w:t>30.340</w:t>
            </w:r>
          </w:p>
          <w:p w14:paraId="1CE29DBA" w14:textId="77777777" w:rsidR="00E67771" w:rsidRPr="00CD1278" w:rsidRDefault="00E67771" w:rsidP="00AC5446">
            <w:pPr>
              <w:keepNext/>
              <w:keepLines/>
              <w:spacing w:after="0"/>
              <w:ind w:left="-108" w:right="-51"/>
              <w:jc w:val="center"/>
              <w:rPr>
                <w:rFonts w:asciiTheme="majorBidi" w:hAnsiTheme="majorBidi" w:cstheme="majorBidi"/>
                <w:color w:val="auto"/>
                <w:sz w:val="18"/>
                <w:szCs w:val="18"/>
              </w:rPr>
            </w:pPr>
            <w:r w:rsidRPr="00CD1278">
              <w:rPr>
                <w:rFonts w:asciiTheme="majorBidi" w:hAnsiTheme="majorBidi" w:cstheme="majorBidi"/>
                <w:color w:val="auto"/>
                <w:sz w:val="18"/>
                <w:szCs w:val="18"/>
              </w:rPr>
              <w:t>+3.529</w:t>
            </w:r>
          </w:p>
        </w:tc>
        <w:tc>
          <w:tcPr>
            <w:tcW w:w="850" w:type="dxa"/>
            <w:vAlign w:val="center"/>
          </w:tcPr>
          <w:p w14:paraId="3CC9AC3B" w14:textId="77777777" w:rsidR="00E67771" w:rsidRPr="00CD1278" w:rsidRDefault="00E67771" w:rsidP="00AC5446">
            <w:pPr>
              <w:keepNext/>
              <w:keepLines/>
              <w:spacing w:before="20" w:after="20"/>
              <w:ind w:left="-10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19.368</w:t>
            </w:r>
          </w:p>
        </w:tc>
        <w:tc>
          <w:tcPr>
            <w:tcW w:w="851" w:type="dxa"/>
            <w:vAlign w:val="center"/>
          </w:tcPr>
          <w:p w14:paraId="1FE12E19" w14:textId="77777777" w:rsidR="00E67771" w:rsidRPr="00CD1278" w:rsidRDefault="00E67771" w:rsidP="00AC5446">
            <w:pPr>
              <w:pStyle w:val="NormalWeb"/>
              <w:spacing w:before="120" w:after="120"/>
              <w:ind w:left="-107" w:right="-49"/>
              <w:jc w:val="center"/>
              <w:rPr>
                <w:rFonts w:asciiTheme="majorBidi" w:hAnsiTheme="majorBidi" w:cstheme="majorBidi"/>
                <w:sz w:val="18"/>
                <w:szCs w:val="18"/>
                <w:lang w:val="en-GB"/>
              </w:rPr>
            </w:pPr>
            <w:r w:rsidRPr="00CD1278">
              <w:rPr>
                <w:rFonts w:asciiTheme="majorBidi" w:hAnsiTheme="majorBidi" w:cstheme="majorBidi"/>
                <w:sz w:val="18"/>
                <w:szCs w:val="18"/>
                <w:lang w:val="en-GB"/>
              </w:rPr>
              <w:t>16.281</w:t>
            </w:r>
          </w:p>
        </w:tc>
        <w:tc>
          <w:tcPr>
            <w:tcW w:w="850" w:type="dxa"/>
            <w:vAlign w:val="center"/>
          </w:tcPr>
          <w:p w14:paraId="1CB246AE"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13.109</w:t>
            </w:r>
          </w:p>
        </w:tc>
        <w:tc>
          <w:tcPr>
            <w:tcW w:w="851" w:type="dxa"/>
            <w:vAlign w:val="center"/>
          </w:tcPr>
          <w:p w14:paraId="7E4E53A1"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10.305</w:t>
            </w:r>
          </w:p>
        </w:tc>
        <w:tc>
          <w:tcPr>
            <w:tcW w:w="850" w:type="dxa"/>
            <w:vAlign w:val="center"/>
          </w:tcPr>
          <w:p w14:paraId="1DEB4033"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5.261</w:t>
            </w:r>
          </w:p>
        </w:tc>
        <w:tc>
          <w:tcPr>
            <w:tcW w:w="851" w:type="dxa"/>
            <w:vAlign w:val="center"/>
          </w:tcPr>
          <w:p w14:paraId="650AAFFA"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5.261</w:t>
            </w:r>
          </w:p>
        </w:tc>
        <w:tc>
          <w:tcPr>
            <w:tcW w:w="850" w:type="dxa"/>
            <w:vAlign w:val="center"/>
          </w:tcPr>
          <w:p w14:paraId="660E06A6" w14:textId="5706CC8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5.261</w:t>
            </w:r>
          </w:p>
        </w:tc>
        <w:tc>
          <w:tcPr>
            <w:tcW w:w="851" w:type="dxa"/>
          </w:tcPr>
          <w:p w14:paraId="518A8331" w14:textId="24A0F231"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5.261</w:t>
            </w:r>
          </w:p>
        </w:tc>
        <w:tc>
          <w:tcPr>
            <w:tcW w:w="850" w:type="dxa"/>
          </w:tcPr>
          <w:p w14:paraId="2185B5AE" w14:textId="77777777"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c>
          <w:tcPr>
            <w:tcW w:w="851" w:type="dxa"/>
          </w:tcPr>
          <w:p w14:paraId="262E8C25" w14:textId="1C3111D4"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r>
      <w:tr w:rsidR="003C102E" w:rsidRPr="00CD1278" w14:paraId="59E53A73" w14:textId="62C32DB9" w:rsidTr="00CD275B">
        <w:trPr>
          <w:trHeight w:val="428"/>
        </w:trPr>
        <w:tc>
          <w:tcPr>
            <w:tcW w:w="1276" w:type="dxa"/>
            <w:vAlign w:val="center"/>
          </w:tcPr>
          <w:p w14:paraId="0A5A3C82" w14:textId="5D34B60E" w:rsidR="00E67771" w:rsidRPr="00CD1278" w:rsidRDefault="00E67771"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EC</w:t>
            </w:r>
          </w:p>
        </w:tc>
        <w:tc>
          <w:tcPr>
            <w:tcW w:w="919" w:type="dxa"/>
            <w:vAlign w:val="center"/>
          </w:tcPr>
          <w:p w14:paraId="42D00498"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4392.812</w:t>
            </w:r>
          </w:p>
        </w:tc>
        <w:tc>
          <w:tcPr>
            <w:tcW w:w="923" w:type="dxa"/>
            <w:vAlign w:val="center"/>
          </w:tcPr>
          <w:p w14:paraId="414D0BFE"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3536.755</w:t>
            </w:r>
          </w:p>
        </w:tc>
        <w:tc>
          <w:tcPr>
            <w:tcW w:w="993" w:type="dxa"/>
            <w:vAlign w:val="center"/>
          </w:tcPr>
          <w:p w14:paraId="43D1E1C5"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689.142</w:t>
            </w:r>
          </w:p>
        </w:tc>
        <w:tc>
          <w:tcPr>
            <w:tcW w:w="850" w:type="dxa"/>
            <w:vAlign w:val="center"/>
          </w:tcPr>
          <w:p w14:paraId="65CF1BE1"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245.146</w:t>
            </w:r>
          </w:p>
        </w:tc>
        <w:tc>
          <w:tcPr>
            <w:tcW w:w="851" w:type="dxa"/>
            <w:vAlign w:val="center"/>
          </w:tcPr>
          <w:p w14:paraId="556D745B"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992" w:type="dxa"/>
            <w:vAlign w:val="center"/>
          </w:tcPr>
          <w:p w14:paraId="6315BD4B"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540BD836" w14:textId="77777777" w:rsidR="00E67771" w:rsidRPr="00CD1278" w:rsidRDefault="00E67771" w:rsidP="00AC5446">
            <w:pPr>
              <w:keepNext/>
              <w:keepLines/>
              <w:spacing w:before="20" w:after="20"/>
              <w:ind w:left="-10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65727405" w14:textId="77777777" w:rsidR="00E67771" w:rsidRPr="00CD1278" w:rsidRDefault="00E67771" w:rsidP="00AC5446">
            <w:pPr>
              <w:pStyle w:val="NormalWeb"/>
              <w:spacing w:before="120" w:after="120"/>
              <w:ind w:left="-107" w:right="-49"/>
              <w:jc w:val="center"/>
              <w:rPr>
                <w:rFonts w:asciiTheme="majorBidi" w:hAnsiTheme="majorBidi" w:cstheme="majorBidi"/>
                <w:sz w:val="18"/>
                <w:szCs w:val="18"/>
                <w:lang w:val="en-GB"/>
              </w:rPr>
            </w:pPr>
            <w:r w:rsidRPr="00CD1278">
              <w:rPr>
                <w:rFonts w:asciiTheme="majorBidi" w:hAnsiTheme="majorBidi" w:cstheme="majorBidi"/>
                <w:sz w:val="18"/>
                <w:szCs w:val="18"/>
                <w:lang w:val="en-GB"/>
              </w:rPr>
              <w:t>0</w:t>
            </w:r>
          </w:p>
        </w:tc>
        <w:tc>
          <w:tcPr>
            <w:tcW w:w="850" w:type="dxa"/>
            <w:vAlign w:val="center"/>
          </w:tcPr>
          <w:p w14:paraId="72D9CCF0"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28980D53"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6C43DF79"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02E11940"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10925C22" w14:textId="23CED67A"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tcPr>
          <w:p w14:paraId="787AD341" w14:textId="0759F709"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tcPr>
          <w:p w14:paraId="68B8FF8F" w14:textId="77777777"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c>
          <w:tcPr>
            <w:tcW w:w="851" w:type="dxa"/>
          </w:tcPr>
          <w:p w14:paraId="74BDFA94" w14:textId="4A3EDD34"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r>
      <w:tr w:rsidR="003C102E" w:rsidRPr="00CD1278" w14:paraId="52C09CC7" w14:textId="374300F1" w:rsidTr="00CD275B">
        <w:tc>
          <w:tcPr>
            <w:tcW w:w="1276" w:type="dxa"/>
            <w:vAlign w:val="center"/>
          </w:tcPr>
          <w:p w14:paraId="4A00442A" w14:textId="77777777" w:rsidR="00E67771" w:rsidRPr="00CD1278" w:rsidRDefault="00E67771"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Israel</w:t>
            </w:r>
          </w:p>
        </w:tc>
        <w:tc>
          <w:tcPr>
            <w:tcW w:w="919" w:type="dxa"/>
            <w:vAlign w:val="center"/>
          </w:tcPr>
          <w:p w14:paraId="0743D8CD"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1089.306</w:t>
            </w:r>
          </w:p>
        </w:tc>
        <w:tc>
          <w:tcPr>
            <w:tcW w:w="923" w:type="dxa"/>
            <w:vAlign w:val="center"/>
          </w:tcPr>
          <w:p w14:paraId="50E0E645"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880.295</w:t>
            </w:r>
          </w:p>
        </w:tc>
        <w:tc>
          <w:tcPr>
            <w:tcW w:w="993" w:type="dxa"/>
            <w:vAlign w:val="center"/>
          </w:tcPr>
          <w:p w14:paraId="5EEECEF0"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966.715</w:t>
            </w:r>
          </w:p>
        </w:tc>
        <w:tc>
          <w:tcPr>
            <w:tcW w:w="850" w:type="dxa"/>
            <w:vAlign w:val="center"/>
          </w:tcPr>
          <w:p w14:paraId="0A85C048"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860.580</w:t>
            </w:r>
          </w:p>
        </w:tc>
        <w:tc>
          <w:tcPr>
            <w:tcW w:w="851" w:type="dxa"/>
            <w:vAlign w:val="center"/>
          </w:tcPr>
          <w:p w14:paraId="482E3DA2"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610.854</w:t>
            </w:r>
          </w:p>
        </w:tc>
        <w:tc>
          <w:tcPr>
            <w:tcW w:w="992" w:type="dxa"/>
            <w:vAlign w:val="center"/>
          </w:tcPr>
          <w:p w14:paraId="30FF4186"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290.878</w:t>
            </w:r>
          </w:p>
        </w:tc>
        <w:tc>
          <w:tcPr>
            <w:tcW w:w="850" w:type="dxa"/>
            <w:vAlign w:val="center"/>
          </w:tcPr>
          <w:p w14:paraId="4B818B12" w14:textId="77777777" w:rsidR="00E67771" w:rsidRPr="00CD1278" w:rsidRDefault="00E67771" w:rsidP="00AC5446">
            <w:pPr>
              <w:keepNext/>
              <w:keepLines/>
              <w:spacing w:before="20" w:after="20"/>
              <w:ind w:left="-10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43C0FFC4" w14:textId="77777777" w:rsidR="00E67771" w:rsidRPr="00CD1278" w:rsidRDefault="00E67771" w:rsidP="00AC5446">
            <w:pPr>
              <w:pStyle w:val="NormalWeb"/>
              <w:spacing w:before="120" w:after="120"/>
              <w:ind w:left="-107" w:right="-49"/>
              <w:jc w:val="center"/>
              <w:rPr>
                <w:rFonts w:asciiTheme="majorBidi" w:hAnsiTheme="majorBidi" w:cstheme="majorBidi"/>
                <w:sz w:val="18"/>
                <w:szCs w:val="18"/>
                <w:lang w:val="en-GB"/>
              </w:rPr>
            </w:pPr>
            <w:r w:rsidRPr="00CD1278">
              <w:rPr>
                <w:rFonts w:asciiTheme="majorBidi" w:hAnsiTheme="majorBidi" w:cstheme="majorBidi"/>
                <w:sz w:val="18"/>
                <w:szCs w:val="18"/>
                <w:lang w:val="en-GB"/>
              </w:rPr>
              <w:t>0</w:t>
            </w:r>
          </w:p>
        </w:tc>
        <w:tc>
          <w:tcPr>
            <w:tcW w:w="850" w:type="dxa"/>
            <w:vAlign w:val="center"/>
          </w:tcPr>
          <w:p w14:paraId="5E20CDF4"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2B89FBFC"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6794AD10"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4DC039B2"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6272374E" w14:textId="5106CE40"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tcPr>
          <w:p w14:paraId="023B3F90" w14:textId="7C0BBCDA"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tcPr>
          <w:p w14:paraId="7A3123FF" w14:textId="77777777"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c>
          <w:tcPr>
            <w:tcW w:w="851" w:type="dxa"/>
          </w:tcPr>
          <w:p w14:paraId="2087FD16" w14:textId="554604C0"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r>
      <w:tr w:rsidR="003C102E" w:rsidRPr="00CD1278" w14:paraId="53C04870" w14:textId="1C04FF2C" w:rsidTr="00CD275B">
        <w:tc>
          <w:tcPr>
            <w:tcW w:w="1276" w:type="dxa"/>
            <w:vAlign w:val="center"/>
          </w:tcPr>
          <w:p w14:paraId="424B5848" w14:textId="77777777" w:rsidR="00E67771" w:rsidRPr="00CD1278" w:rsidRDefault="00E67771"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Japan</w:t>
            </w:r>
          </w:p>
        </w:tc>
        <w:tc>
          <w:tcPr>
            <w:tcW w:w="919" w:type="dxa"/>
            <w:vAlign w:val="center"/>
          </w:tcPr>
          <w:p w14:paraId="5F86A1C3"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748.000</w:t>
            </w:r>
          </w:p>
        </w:tc>
        <w:tc>
          <w:tcPr>
            <w:tcW w:w="923" w:type="dxa"/>
            <w:vAlign w:val="center"/>
          </w:tcPr>
          <w:p w14:paraId="4AF8AD5A"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741.400</w:t>
            </w:r>
          </w:p>
        </w:tc>
        <w:tc>
          <w:tcPr>
            <w:tcW w:w="993" w:type="dxa"/>
            <w:vAlign w:val="center"/>
          </w:tcPr>
          <w:p w14:paraId="411F24AC"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636.172</w:t>
            </w:r>
          </w:p>
        </w:tc>
        <w:tc>
          <w:tcPr>
            <w:tcW w:w="850" w:type="dxa"/>
            <w:vAlign w:val="center"/>
          </w:tcPr>
          <w:p w14:paraId="62CE9F31"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443.775</w:t>
            </w:r>
          </w:p>
        </w:tc>
        <w:tc>
          <w:tcPr>
            <w:tcW w:w="851" w:type="dxa"/>
            <w:vAlign w:val="center"/>
          </w:tcPr>
          <w:p w14:paraId="2BBE0A4C"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305.380</w:t>
            </w:r>
          </w:p>
        </w:tc>
        <w:tc>
          <w:tcPr>
            <w:tcW w:w="992" w:type="dxa"/>
            <w:vAlign w:val="center"/>
          </w:tcPr>
          <w:p w14:paraId="349DC3E0"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267.000</w:t>
            </w:r>
          </w:p>
        </w:tc>
        <w:tc>
          <w:tcPr>
            <w:tcW w:w="850" w:type="dxa"/>
            <w:vAlign w:val="center"/>
          </w:tcPr>
          <w:p w14:paraId="2370400B" w14:textId="77777777" w:rsidR="00E67771" w:rsidRPr="00CD1278" w:rsidRDefault="00E67771" w:rsidP="00AC5446">
            <w:pPr>
              <w:keepNext/>
              <w:keepLines/>
              <w:spacing w:before="20" w:after="20"/>
              <w:ind w:left="-10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239.746</w:t>
            </w:r>
          </w:p>
        </w:tc>
        <w:tc>
          <w:tcPr>
            <w:tcW w:w="851" w:type="dxa"/>
            <w:vAlign w:val="center"/>
          </w:tcPr>
          <w:p w14:paraId="2455AD68" w14:textId="77777777" w:rsidR="00E67771" w:rsidRPr="00CD1278" w:rsidRDefault="00E67771" w:rsidP="00AC5446">
            <w:pPr>
              <w:pStyle w:val="NormalWeb"/>
              <w:spacing w:before="120" w:after="120"/>
              <w:ind w:left="-107" w:right="-49"/>
              <w:jc w:val="center"/>
              <w:rPr>
                <w:rFonts w:asciiTheme="majorBidi" w:hAnsiTheme="majorBidi" w:cstheme="majorBidi"/>
                <w:sz w:val="18"/>
                <w:szCs w:val="18"/>
                <w:lang w:val="en-GB"/>
              </w:rPr>
            </w:pPr>
            <w:r w:rsidRPr="00CD1278">
              <w:rPr>
                <w:rFonts w:asciiTheme="majorBidi" w:hAnsiTheme="majorBidi" w:cstheme="majorBidi"/>
                <w:sz w:val="18"/>
                <w:szCs w:val="18"/>
                <w:lang w:val="en-GB"/>
              </w:rPr>
              <w:t>219.609</w:t>
            </w:r>
          </w:p>
        </w:tc>
        <w:tc>
          <w:tcPr>
            <w:tcW w:w="850" w:type="dxa"/>
            <w:vAlign w:val="center"/>
          </w:tcPr>
          <w:p w14:paraId="05EA263B"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3.317</w:t>
            </w:r>
          </w:p>
        </w:tc>
        <w:tc>
          <w:tcPr>
            <w:tcW w:w="851" w:type="dxa"/>
            <w:vAlign w:val="center"/>
          </w:tcPr>
          <w:p w14:paraId="02C968CC"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03C618E7"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61B611A3"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20CF8223" w14:textId="0D23557B"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tcPr>
          <w:p w14:paraId="0D3BAD08" w14:textId="11E9FA31"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tcPr>
          <w:p w14:paraId="6246E82E" w14:textId="77777777"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c>
          <w:tcPr>
            <w:tcW w:w="851" w:type="dxa"/>
          </w:tcPr>
          <w:p w14:paraId="06BE0E15" w14:textId="4554D39C"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r>
      <w:tr w:rsidR="003C102E" w:rsidRPr="00CD1278" w14:paraId="145F7633" w14:textId="442EFFF7" w:rsidTr="00CD275B">
        <w:trPr>
          <w:trHeight w:val="566"/>
        </w:trPr>
        <w:tc>
          <w:tcPr>
            <w:tcW w:w="1276" w:type="dxa"/>
            <w:vAlign w:val="center"/>
          </w:tcPr>
          <w:p w14:paraId="4A391DBD" w14:textId="0C36AFA9" w:rsidR="00E67771" w:rsidRPr="00CD1278" w:rsidRDefault="00E67771" w:rsidP="002121DB">
            <w:pPr>
              <w:keepNext/>
              <w:keepLines/>
              <w:spacing w:after="0"/>
              <w:rPr>
                <w:rFonts w:asciiTheme="majorBidi" w:hAnsiTheme="majorBidi" w:cstheme="majorBidi"/>
                <w:color w:val="auto"/>
                <w:sz w:val="20"/>
              </w:rPr>
            </w:pPr>
            <w:r w:rsidRPr="00CD1278">
              <w:rPr>
                <w:rFonts w:asciiTheme="majorBidi" w:hAnsiTheme="majorBidi" w:cstheme="majorBidi"/>
                <w:color w:val="auto"/>
                <w:sz w:val="20"/>
              </w:rPr>
              <w:t>New</w:t>
            </w:r>
          </w:p>
          <w:p w14:paraId="12A7D4B8" w14:textId="28FD8B43" w:rsidR="00E67771" w:rsidRPr="00CD1278" w:rsidRDefault="00E67771" w:rsidP="002121DB">
            <w:pPr>
              <w:keepNext/>
              <w:keepLines/>
              <w:spacing w:after="0"/>
              <w:rPr>
                <w:rFonts w:asciiTheme="majorBidi" w:hAnsiTheme="majorBidi" w:cstheme="majorBidi"/>
                <w:color w:val="auto"/>
                <w:sz w:val="20"/>
              </w:rPr>
            </w:pPr>
            <w:r w:rsidRPr="00CD1278">
              <w:rPr>
                <w:rFonts w:asciiTheme="majorBidi" w:hAnsiTheme="majorBidi" w:cstheme="majorBidi"/>
                <w:color w:val="auto"/>
                <w:sz w:val="20"/>
              </w:rPr>
              <w:t>Zealand</w:t>
            </w:r>
          </w:p>
        </w:tc>
        <w:tc>
          <w:tcPr>
            <w:tcW w:w="919" w:type="dxa"/>
            <w:vAlign w:val="center"/>
          </w:tcPr>
          <w:p w14:paraId="4B985D20"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50.000</w:t>
            </w:r>
          </w:p>
        </w:tc>
        <w:tc>
          <w:tcPr>
            <w:tcW w:w="923" w:type="dxa"/>
            <w:vAlign w:val="center"/>
          </w:tcPr>
          <w:p w14:paraId="2F397D00"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42.000</w:t>
            </w:r>
          </w:p>
        </w:tc>
        <w:tc>
          <w:tcPr>
            <w:tcW w:w="993" w:type="dxa"/>
            <w:vAlign w:val="center"/>
          </w:tcPr>
          <w:p w14:paraId="4B7D43D0"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18.234</w:t>
            </w:r>
          </w:p>
        </w:tc>
        <w:tc>
          <w:tcPr>
            <w:tcW w:w="850" w:type="dxa"/>
            <w:vAlign w:val="center"/>
          </w:tcPr>
          <w:p w14:paraId="1F9F6219"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40832343"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992" w:type="dxa"/>
            <w:vAlign w:val="center"/>
          </w:tcPr>
          <w:p w14:paraId="01EC9470"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6C075105" w14:textId="77777777" w:rsidR="00E67771" w:rsidRPr="00CD1278" w:rsidRDefault="00E67771" w:rsidP="00AC5446">
            <w:pPr>
              <w:keepNext/>
              <w:keepLines/>
              <w:spacing w:before="20" w:after="20"/>
              <w:ind w:left="-10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6FBC1FD5" w14:textId="77777777" w:rsidR="00E67771" w:rsidRPr="00CD1278" w:rsidRDefault="00E67771" w:rsidP="00AC5446">
            <w:pPr>
              <w:pStyle w:val="NormalWeb"/>
              <w:spacing w:before="120" w:after="120"/>
              <w:ind w:left="-107" w:right="-49"/>
              <w:jc w:val="center"/>
              <w:rPr>
                <w:rFonts w:asciiTheme="majorBidi" w:hAnsiTheme="majorBidi" w:cstheme="majorBidi"/>
                <w:sz w:val="18"/>
                <w:szCs w:val="18"/>
                <w:lang w:val="en-GB"/>
              </w:rPr>
            </w:pPr>
            <w:r w:rsidRPr="00CD1278">
              <w:rPr>
                <w:rFonts w:asciiTheme="majorBidi" w:hAnsiTheme="majorBidi" w:cstheme="majorBidi"/>
                <w:sz w:val="18"/>
                <w:szCs w:val="18"/>
                <w:lang w:val="en-GB"/>
              </w:rPr>
              <w:t>0</w:t>
            </w:r>
          </w:p>
        </w:tc>
        <w:tc>
          <w:tcPr>
            <w:tcW w:w="850" w:type="dxa"/>
            <w:vAlign w:val="center"/>
          </w:tcPr>
          <w:p w14:paraId="1F1E1841"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6095426A"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5921BD50"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7E6899F9"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0DE7E596" w14:textId="1F92F633"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tcPr>
          <w:p w14:paraId="084F7CB4" w14:textId="708CD644"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tcPr>
          <w:p w14:paraId="3116735F" w14:textId="77777777"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c>
          <w:tcPr>
            <w:tcW w:w="851" w:type="dxa"/>
          </w:tcPr>
          <w:p w14:paraId="5A1E7361" w14:textId="06D1938E"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r>
      <w:tr w:rsidR="003C102E" w:rsidRPr="00CD1278" w14:paraId="6DD0D1C3" w14:textId="5D3D4979" w:rsidTr="00CD275B">
        <w:tc>
          <w:tcPr>
            <w:tcW w:w="1276" w:type="dxa"/>
            <w:vAlign w:val="center"/>
          </w:tcPr>
          <w:p w14:paraId="2D4639AD" w14:textId="77777777" w:rsidR="00E67771" w:rsidRPr="00CD1278" w:rsidRDefault="00E67771"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Switzerland</w:t>
            </w:r>
          </w:p>
        </w:tc>
        <w:tc>
          <w:tcPr>
            <w:tcW w:w="919" w:type="dxa"/>
            <w:vAlign w:val="center"/>
          </w:tcPr>
          <w:p w14:paraId="7A1F6FB2"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8.700</w:t>
            </w:r>
          </w:p>
        </w:tc>
        <w:tc>
          <w:tcPr>
            <w:tcW w:w="923" w:type="dxa"/>
            <w:vAlign w:val="center"/>
          </w:tcPr>
          <w:p w14:paraId="230CF54E"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7.000</w:t>
            </w:r>
          </w:p>
        </w:tc>
        <w:tc>
          <w:tcPr>
            <w:tcW w:w="993" w:type="dxa"/>
            <w:vAlign w:val="center"/>
          </w:tcPr>
          <w:p w14:paraId="432B6B8E"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73CA0598"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28457E59"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992" w:type="dxa"/>
            <w:vAlign w:val="center"/>
          </w:tcPr>
          <w:p w14:paraId="0D0CE5FD"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42DFE397" w14:textId="77777777" w:rsidR="00E67771" w:rsidRPr="00CD1278" w:rsidRDefault="00E67771" w:rsidP="00AC5446">
            <w:pPr>
              <w:keepNext/>
              <w:keepLines/>
              <w:spacing w:before="20" w:after="20"/>
              <w:ind w:left="-10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222AF90A" w14:textId="77777777" w:rsidR="00E67771" w:rsidRPr="00CD1278" w:rsidRDefault="00E67771" w:rsidP="00AC5446">
            <w:pPr>
              <w:pStyle w:val="NormalWeb"/>
              <w:spacing w:before="120" w:after="120"/>
              <w:ind w:left="-107" w:right="-49"/>
              <w:jc w:val="center"/>
              <w:rPr>
                <w:rFonts w:asciiTheme="majorBidi" w:hAnsiTheme="majorBidi" w:cstheme="majorBidi"/>
                <w:sz w:val="18"/>
                <w:szCs w:val="18"/>
                <w:lang w:val="en-GB"/>
              </w:rPr>
            </w:pPr>
            <w:r w:rsidRPr="00CD1278">
              <w:rPr>
                <w:rFonts w:asciiTheme="majorBidi" w:hAnsiTheme="majorBidi" w:cstheme="majorBidi"/>
                <w:sz w:val="18"/>
                <w:szCs w:val="18"/>
                <w:lang w:val="en-GB"/>
              </w:rPr>
              <w:t>0</w:t>
            </w:r>
          </w:p>
        </w:tc>
        <w:tc>
          <w:tcPr>
            <w:tcW w:w="850" w:type="dxa"/>
            <w:vAlign w:val="center"/>
          </w:tcPr>
          <w:p w14:paraId="65A0BEA9"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62BF44EA"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5EC3B7F2"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1574B12F"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vAlign w:val="center"/>
          </w:tcPr>
          <w:p w14:paraId="38BE0BA0" w14:textId="63FBC3F0"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tcPr>
          <w:p w14:paraId="15C06690" w14:textId="1CA5788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tcPr>
          <w:p w14:paraId="6641D692" w14:textId="77777777"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c>
          <w:tcPr>
            <w:tcW w:w="851" w:type="dxa"/>
          </w:tcPr>
          <w:p w14:paraId="13387CC1" w14:textId="586CF00C"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r>
      <w:tr w:rsidR="003C102E" w:rsidRPr="00CD1278" w14:paraId="458F411F" w14:textId="7916AAC3" w:rsidTr="00CD275B">
        <w:trPr>
          <w:trHeight w:val="449"/>
        </w:trPr>
        <w:tc>
          <w:tcPr>
            <w:tcW w:w="1276" w:type="dxa"/>
            <w:vAlign w:val="center"/>
          </w:tcPr>
          <w:p w14:paraId="7F0C2178" w14:textId="77777777" w:rsidR="00E67771" w:rsidRPr="00CD1278" w:rsidRDefault="00E67771" w:rsidP="002121DB">
            <w:pPr>
              <w:keepNext/>
              <w:keepLines/>
              <w:spacing w:before="120" w:after="120"/>
              <w:rPr>
                <w:rFonts w:asciiTheme="majorBidi" w:hAnsiTheme="majorBidi" w:cstheme="majorBidi"/>
                <w:color w:val="auto"/>
                <w:sz w:val="20"/>
              </w:rPr>
            </w:pPr>
            <w:r w:rsidRPr="00CD1278">
              <w:rPr>
                <w:rFonts w:asciiTheme="majorBidi" w:hAnsiTheme="majorBidi" w:cstheme="majorBidi"/>
                <w:color w:val="auto"/>
                <w:sz w:val="20"/>
              </w:rPr>
              <w:t>USA</w:t>
            </w:r>
          </w:p>
        </w:tc>
        <w:tc>
          <w:tcPr>
            <w:tcW w:w="919" w:type="dxa"/>
            <w:vAlign w:val="center"/>
          </w:tcPr>
          <w:p w14:paraId="0F6CED8F"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9552.879</w:t>
            </w:r>
          </w:p>
        </w:tc>
        <w:tc>
          <w:tcPr>
            <w:tcW w:w="923" w:type="dxa"/>
            <w:vAlign w:val="center"/>
          </w:tcPr>
          <w:p w14:paraId="60E24F41" w14:textId="77777777" w:rsidR="00E67771" w:rsidRPr="00CD1278" w:rsidRDefault="00E67771" w:rsidP="00AC5446">
            <w:pPr>
              <w:keepNext/>
              <w:keepLines/>
              <w:spacing w:before="120" w:after="120"/>
              <w:ind w:left="-108" w:right="-51"/>
              <w:jc w:val="center"/>
              <w:rPr>
                <w:rFonts w:asciiTheme="majorBidi" w:hAnsiTheme="majorBidi" w:cstheme="majorBidi"/>
                <w:color w:val="auto"/>
                <w:sz w:val="18"/>
                <w:szCs w:val="18"/>
              </w:rPr>
            </w:pPr>
            <w:r w:rsidRPr="00CD1278">
              <w:rPr>
                <w:rFonts w:asciiTheme="majorBidi" w:hAnsiTheme="majorBidi" w:cstheme="majorBidi"/>
                <w:color w:val="auto"/>
                <w:sz w:val="18"/>
                <w:szCs w:val="18"/>
              </w:rPr>
              <w:t>8081.753</w:t>
            </w:r>
          </w:p>
        </w:tc>
        <w:tc>
          <w:tcPr>
            <w:tcW w:w="993" w:type="dxa"/>
            <w:vAlign w:val="center"/>
          </w:tcPr>
          <w:p w14:paraId="65075551"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6749.060</w:t>
            </w:r>
          </w:p>
        </w:tc>
        <w:tc>
          <w:tcPr>
            <w:tcW w:w="850" w:type="dxa"/>
            <w:vAlign w:val="center"/>
          </w:tcPr>
          <w:p w14:paraId="6560E30F"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5355.976</w:t>
            </w:r>
          </w:p>
        </w:tc>
        <w:tc>
          <w:tcPr>
            <w:tcW w:w="851" w:type="dxa"/>
            <w:vAlign w:val="center"/>
          </w:tcPr>
          <w:p w14:paraId="50F3A019"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4261.974</w:t>
            </w:r>
          </w:p>
        </w:tc>
        <w:tc>
          <w:tcPr>
            <w:tcW w:w="992" w:type="dxa"/>
            <w:vAlign w:val="center"/>
          </w:tcPr>
          <w:p w14:paraId="2D51BD45"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3232.856</w:t>
            </w:r>
            <w:r w:rsidRPr="00CD1278">
              <w:rPr>
                <w:rFonts w:asciiTheme="majorBidi" w:hAnsiTheme="majorBidi" w:cstheme="majorBidi"/>
                <w:color w:val="auto"/>
                <w:sz w:val="18"/>
                <w:szCs w:val="18"/>
              </w:rPr>
              <w:br/>
              <w:t>+2.018</w:t>
            </w:r>
          </w:p>
        </w:tc>
        <w:tc>
          <w:tcPr>
            <w:tcW w:w="850" w:type="dxa"/>
            <w:vAlign w:val="center"/>
          </w:tcPr>
          <w:p w14:paraId="33D6BFE8" w14:textId="77777777" w:rsidR="00E67771" w:rsidRPr="00CD1278" w:rsidRDefault="00E67771" w:rsidP="00AC5446">
            <w:pPr>
              <w:keepNext/>
              <w:keepLines/>
              <w:spacing w:before="120" w:after="120"/>
              <w:ind w:left="-107" w:right="-49"/>
              <w:jc w:val="center"/>
              <w:rPr>
                <w:rFonts w:asciiTheme="majorBidi" w:hAnsiTheme="majorBidi" w:cstheme="majorBidi"/>
                <w:color w:val="auto"/>
                <w:sz w:val="18"/>
                <w:szCs w:val="18"/>
              </w:rPr>
            </w:pPr>
            <w:r w:rsidRPr="00CD1278">
              <w:rPr>
                <w:rFonts w:asciiTheme="majorBidi" w:hAnsiTheme="majorBidi" w:cstheme="majorBidi"/>
                <w:color w:val="auto"/>
                <w:sz w:val="18"/>
                <w:szCs w:val="18"/>
              </w:rPr>
              <w:t>2055.200</w:t>
            </w:r>
          </w:p>
        </w:tc>
        <w:tc>
          <w:tcPr>
            <w:tcW w:w="851" w:type="dxa"/>
            <w:vAlign w:val="center"/>
          </w:tcPr>
          <w:p w14:paraId="508CF7D4" w14:textId="77777777" w:rsidR="00E67771" w:rsidRPr="00CD1278" w:rsidRDefault="00E67771" w:rsidP="00AC5446">
            <w:pPr>
              <w:pStyle w:val="NormalWeb"/>
              <w:spacing w:before="120" w:after="120"/>
              <w:ind w:left="-107" w:right="-49"/>
              <w:jc w:val="center"/>
              <w:rPr>
                <w:rFonts w:asciiTheme="majorBidi" w:hAnsiTheme="majorBidi" w:cstheme="majorBidi"/>
                <w:sz w:val="18"/>
                <w:szCs w:val="18"/>
                <w:lang w:val="en-GB" w:eastAsia="en-US"/>
              </w:rPr>
            </w:pPr>
            <w:r w:rsidRPr="00CD1278">
              <w:rPr>
                <w:rFonts w:asciiTheme="majorBidi" w:hAnsiTheme="majorBidi" w:cstheme="majorBidi"/>
                <w:sz w:val="18"/>
                <w:szCs w:val="18"/>
                <w:lang w:val="en-GB" w:eastAsia="en-US"/>
              </w:rPr>
              <w:t>993.706</w:t>
            </w:r>
          </w:p>
        </w:tc>
        <w:tc>
          <w:tcPr>
            <w:tcW w:w="850" w:type="dxa"/>
            <w:vAlign w:val="center"/>
          </w:tcPr>
          <w:p w14:paraId="4B0C63F8" w14:textId="77777777" w:rsidR="00E67771" w:rsidRPr="00CD1278" w:rsidRDefault="00E67771" w:rsidP="00AC5446">
            <w:pPr>
              <w:keepNext/>
              <w:keepLines/>
              <w:spacing w:before="120" w:after="120"/>
              <w:ind w:left="-108" w:right="-51"/>
              <w:jc w:val="center"/>
              <w:rPr>
                <w:rFonts w:asciiTheme="majorBidi" w:hAnsiTheme="majorBidi" w:cstheme="majorBidi"/>
                <w:color w:val="auto"/>
                <w:sz w:val="18"/>
                <w:szCs w:val="18"/>
              </w:rPr>
            </w:pPr>
            <w:r w:rsidRPr="00CD1278">
              <w:rPr>
                <w:rFonts w:asciiTheme="majorBidi" w:hAnsiTheme="majorBidi" w:cstheme="majorBidi"/>
                <w:color w:val="auto"/>
                <w:sz w:val="18"/>
                <w:szCs w:val="18"/>
              </w:rPr>
              <w:t>562.328</w:t>
            </w:r>
          </w:p>
        </w:tc>
        <w:tc>
          <w:tcPr>
            <w:tcW w:w="851" w:type="dxa"/>
            <w:vAlign w:val="center"/>
          </w:tcPr>
          <w:p w14:paraId="356406C6" w14:textId="77777777" w:rsidR="00E67771" w:rsidRPr="00CD1278" w:rsidRDefault="00E67771" w:rsidP="00AC5446">
            <w:pPr>
              <w:keepNext/>
              <w:keepLines/>
              <w:spacing w:before="120" w:after="120"/>
              <w:ind w:left="-108" w:right="-51"/>
              <w:jc w:val="center"/>
              <w:rPr>
                <w:rFonts w:asciiTheme="majorBidi" w:hAnsiTheme="majorBidi" w:cstheme="majorBidi"/>
                <w:color w:val="auto"/>
                <w:sz w:val="18"/>
                <w:szCs w:val="18"/>
              </w:rPr>
            </w:pPr>
            <w:r w:rsidRPr="00CD1278">
              <w:rPr>
                <w:rFonts w:asciiTheme="majorBidi" w:hAnsiTheme="majorBidi" w:cstheme="majorBidi"/>
                <w:color w:val="auto"/>
                <w:sz w:val="18"/>
                <w:szCs w:val="18"/>
              </w:rPr>
              <w:t>442.337</w:t>
            </w:r>
          </w:p>
        </w:tc>
        <w:tc>
          <w:tcPr>
            <w:tcW w:w="850" w:type="dxa"/>
            <w:vAlign w:val="center"/>
          </w:tcPr>
          <w:p w14:paraId="5964A010" w14:textId="0805F8D9" w:rsidR="00E67771" w:rsidRPr="00CD1278" w:rsidRDefault="00E67771" w:rsidP="00AC5446">
            <w:pPr>
              <w:keepNext/>
              <w:keepLines/>
              <w:spacing w:before="120" w:after="120"/>
              <w:ind w:left="-108" w:right="-51"/>
              <w:jc w:val="center"/>
              <w:rPr>
                <w:rFonts w:asciiTheme="majorBidi" w:hAnsiTheme="majorBidi" w:cstheme="majorBidi"/>
                <w:color w:val="auto"/>
                <w:sz w:val="18"/>
                <w:szCs w:val="18"/>
              </w:rPr>
            </w:pPr>
            <w:r w:rsidRPr="00CD1278">
              <w:rPr>
                <w:rFonts w:asciiTheme="majorBidi" w:hAnsiTheme="majorBidi" w:cstheme="majorBidi"/>
                <w:color w:val="auto"/>
                <w:sz w:val="18"/>
                <w:szCs w:val="18"/>
              </w:rPr>
              <w:t>376.900</w:t>
            </w:r>
          </w:p>
        </w:tc>
        <w:tc>
          <w:tcPr>
            <w:tcW w:w="851" w:type="dxa"/>
            <w:vAlign w:val="center"/>
          </w:tcPr>
          <w:p w14:paraId="045D6041" w14:textId="68284AC3" w:rsidR="00E67771" w:rsidRPr="00CD1278" w:rsidRDefault="00E67771" w:rsidP="00AC5446">
            <w:pPr>
              <w:keepNext/>
              <w:keepLines/>
              <w:spacing w:before="120" w:after="120"/>
              <w:ind w:left="-108" w:right="-51"/>
              <w:jc w:val="center"/>
              <w:rPr>
                <w:rFonts w:asciiTheme="majorBidi" w:hAnsiTheme="majorBidi" w:cstheme="majorBidi"/>
                <w:color w:val="auto"/>
                <w:sz w:val="18"/>
                <w:szCs w:val="18"/>
              </w:rPr>
            </w:pPr>
            <w:r w:rsidRPr="00CD1278">
              <w:rPr>
                <w:rFonts w:asciiTheme="majorBidi" w:hAnsiTheme="majorBidi" w:cstheme="majorBidi"/>
                <w:color w:val="auto"/>
                <w:sz w:val="18"/>
                <w:szCs w:val="18"/>
              </w:rPr>
              <w:t>234.780</w:t>
            </w:r>
          </w:p>
        </w:tc>
        <w:tc>
          <w:tcPr>
            <w:tcW w:w="850" w:type="dxa"/>
            <w:vAlign w:val="center"/>
          </w:tcPr>
          <w:p w14:paraId="0D425A4F" w14:textId="4C98BDFB" w:rsidR="00E67771" w:rsidRPr="00CD1278" w:rsidRDefault="00E67771" w:rsidP="00AC5446">
            <w:pPr>
              <w:keepNext/>
              <w:keepLines/>
              <w:spacing w:before="120" w:after="120"/>
              <w:ind w:left="-108" w:right="-51"/>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1" w:type="dxa"/>
            <w:vAlign w:val="center"/>
          </w:tcPr>
          <w:p w14:paraId="49A6141A" w14:textId="354AADF5" w:rsidR="00E67771" w:rsidRPr="00CD1278" w:rsidRDefault="00E67771" w:rsidP="00294D81">
            <w:pPr>
              <w:keepNext/>
              <w:keepLines/>
              <w:spacing w:before="120" w:after="120"/>
              <w:ind w:left="-108" w:right="-51"/>
              <w:jc w:val="center"/>
              <w:rPr>
                <w:rFonts w:asciiTheme="majorBidi" w:hAnsiTheme="majorBidi" w:cstheme="majorBidi"/>
                <w:color w:val="auto"/>
                <w:sz w:val="18"/>
                <w:szCs w:val="18"/>
              </w:rPr>
            </w:pPr>
            <w:r w:rsidRPr="00CD1278">
              <w:rPr>
                <w:rFonts w:asciiTheme="majorBidi" w:hAnsiTheme="majorBidi" w:cstheme="majorBidi"/>
                <w:color w:val="auto"/>
                <w:sz w:val="18"/>
                <w:szCs w:val="18"/>
              </w:rPr>
              <w:t>0</w:t>
            </w:r>
          </w:p>
        </w:tc>
        <w:tc>
          <w:tcPr>
            <w:tcW w:w="850" w:type="dxa"/>
          </w:tcPr>
          <w:p w14:paraId="0C634C25" w14:textId="77777777"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c>
          <w:tcPr>
            <w:tcW w:w="851" w:type="dxa"/>
          </w:tcPr>
          <w:p w14:paraId="75A1F2F2" w14:textId="3A23D9B2" w:rsidR="00E67771" w:rsidRPr="00CD1278" w:rsidRDefault="00E67771" w:rsidP="00E529B8">
            <w:pPr>
              <w:keepNext/>
              <w:keepLines/>
              <w:spacing w:before="120" w:after="120"/>
              <w:ind w:left="-108" w:right="-51"/>
              <w:jc w:val="center"/>
              <w:rPr>
                <w:rFonts w:asciiTheme="majorBidi" w:hAnsiTheme="majorBidi" w:cstheme="majorBidi"/>
                <w:color w:val="auto"/>
                <w:sz w:val="18"/>
                <w:szCs w:val="18"/>
              </w:rPr>
            </w:pPr>
          </w:p>
        </w:tc>
      </w:tr>
      <w:tr w:rsidR="00E67771" w:rsidRPr="00CD1278" w14:paraId="089EEDD8" w14:textId="60F234B5" w:rsidTr="00CD275B">
        <w:trPr>
          <w:trHeight w:val="449"/>
        </w:trPr>
        <w:tc>
          <w:tcPr>
            <w:tcW w:w="1276" w:type="dxa"/>
            <w:vAlign w:val="center"/>
          </w:tcPr>
          <w:p w14:paraId="23C2137C" w14:textId="16CA24A3" w:rsidR="00E67771" w:rsidRPr="00CD1278" w:rsidRDefault="00E67771" w:rsidP="00F97A8E">
            <w:pPr>
              <w:keepNext/>
              <w:keepLines/>
              <w:spacing w:before="120" w:after="120"/>
              <w:rPr>
                <w:rFonts w:asciiTheme="majorBidi" w:hAnsiTheme="majorBidi" w:cstheme="majorBidi"/>
                <w:b/>
                <w:color w:val="auto"/>
                <w:sz w:val="20"/>
              </w:rPr>
            </w:pPr>
            <w:r w:rsidRPr="00CD1278">
              <w:rPr>
                <w:rFonts w:asciiTheme="majorBidi" w:hAnsiTheme="majorBidi" w:cstheme="majorBidi"/>
                <w:b/>
                <w:color w:val="auto"/>
                <w:sz w:val="20"/>
              </w:rPr>
              <w:t>Total</w:t>
            </w:r>
          </w:p>
        </w:tc>
        <w:tc>
          <w:tcPr>
            <w:tcW w:w="919" w:type="dxa"/>
            <w:vAlign w:val="center"/>
          </w:tcPr>
          <w:p w14:paraId="677251FD" w14:textId="77777777" w:rsidR="00E67771" w:rsidRPr="00CD1278" w:rsidRDefault="00E67771" w:rsidP="002121DB">
            <w:pPr>
              <w:keepNext/>
              <w:keepLines/>
              <w:spacing w:before="120" w:after="120"/>
              <w:ind w:left="-107" w:right="-49"/>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16050.089</w:t>
            </w:r>
          </w:p>
        </w:tc>
        <w:tc>
          <w:tcPr>
            <w:tcW w:w="923" w:type="dxa"/>
            <w:vAlign w:val="center"/>
          </w:tcPr>
          <w:p w14:paraId="27C03DDD" w14:textId="77777777" w:rsidR="00E67771" w:rsidRPr="00CD1278" w:rsidRDefault="00E67771" w:rsidP="002121DB">
            <w:pPr>
              <w:keepNext/>
              <w:keepLines/>
              <w:spacing w:before="120" w:after="12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13418.200</w:t>
            </w:r>
          </w:p>
        </w:tc>
        <w:tc>
          <w:tcPr>
            <w:tcW w:w="993" w:type="dxa"/>
            <w:vAlign w:val="center"/>
          </w:tcPr>
          <w:p w14:paraId="151210CB" w14:textId="77777777" w:rsidR="00E67771" w:rsidRPr="00CD1278" w:rsidRDefault="00E67771" w:rsidP="002121DB">
            <w:pPr>
              <w:keepNext/>
              <w:keepLines/>
              <w:spacing w:before="120" w:after="120"/>
              <w:ind w:left="-107" w:right="-49"/>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9160.714</w:t>
            </w:r>
          </w:p>
        </w:tc>
        <w:tc>
          <w:tcPr>
            <w:tcW w:w="850" w:type="dxa"/>
            <w:vAlign w:val="center"/>
          </w:tcPr>
          <w:p w14:paraId="711AF67D" w14:textId="77777777" w:rsidR="00E67771" w:rsidRPr="00CD1278" w:rsidRDefault="00E67771" w:rsidP="002121DB">
            <w:pPr>
              <w:keepNext/>
              <w:keepLines/>
              <w:spacing w:before="120" w:after="120"/>
              <w:ind w:left="-107" w:right="-49"/>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6990.039</w:t>
            </w:r>
          </w:p>
        </w:tc>
        <w:tc>
          <w:tcPr>
            <w:tcW w:w="851" w:type="dxa"/>
            <w:vAlign w:val="center"/>
          </w:tcPr>
          <w:p w14:paraId="326F02D6" w14:textId="77777777" w:rsidR="00E67771" w:rsidRPr="00CD1278" w:rsidRDefault="00E67771" w:rsidP="002121DB">
            <w:pPr>
              <w:keepNext/>
              <w:keepLines/>
              <w:spacing w:before="120" w:after="120"/>
              <w:ind w:left="-107" w:right="-49"/>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5,254.838</w:t>
            </w:r>
          </w:p>
        </w:tc>
        <w:tc>
          <w:tcPr>
            <w:tcW w:w="992" w:type="dxa"/>
            <w:vAlign w:val="center"/>
          </w:tcPr>
          <w:p w14:paraId="67CC9518" w14:textId="2471B27D" w:rsidR="00E67771" w:rsidRPr="00CD1278" w:rsidRDefault="0071748E" w:rsidP="002121DB">
            <w:pPr>
              <w:keepNext/>
              <w:keepLines/>
              <w:spacing w:before="120" w:after="120"/>
              <w:ind w:left="-107" w:right="-49"/>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3866.583</w:t>
            </w:r>
          </w:p>
        </w:tc>
        <w:tc>
          <w:tcPr>
            <w:tcW w:w="850" w:type="dxa"/>
            <w:vAlign w:val="center"/>
          </w:tcPr>
          <w:p w14:paraId="2E80B341" w14:textId="77777777" w:rsidR="00E67771" w:rsidRPr="00CD1278" w:rsidRDefault="00E67771" w:rsidP="002121DB">
            <w:pPr>
              <w:keepNext/>
              <w:keepLines/>
              <w:spacing w:before="120" w:after="120"/>
              <w:ind w:left="-107" w:right="-49"/>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2343.024</w:t>
            </w:r>
          </w:p>
        </w:tc>
        <w:tc>
          <w:tcPr>
            <w:tcW w:w="851" w:type="dxa"/>
            <w:vAlign w:val="center"/>
          </w:tcPr>
          <w:p w14:paraId="1A698FEB" w14:textId="77777777" w:rsidR="00E67771" w:rsidRPr="00CD1278" w:rsidRDefault="00E67771" w:rsidP="002121DB">
            <w:pPr>
              <w:pStyle w:val="NormalWeb"/>
              <w:spacing w:before="120" w:after="120"/>
              <w:ind w:left="-107" w:right="-49"/>
              <w:jc w:val="center"/>
              <w:rPr>
                <w:rFonts w:asciiTheme="majorBidi" w:hAnsiTheme="majorBidi" w:cstheme="majorBidi"/>
                <w:b/>
                <w:sz w:val="18"/>
                <w:szCs w:val="18"/>
                <w:lang w:val="en-GB" w:eastAsia="en-US"/>
              </w:rPr>
            </w:pPr>
            <w:r w:rsidRPr="00CD1278">
              <w:rPr>
                <w:rFonts w:asciiTheme="majorBidi" w:hAnsiTheme="majorBidi" w:cstheme="majorBidi"/>
                <w:b/>
                <w:sz w:val="18"/>
                <w:szCs w:val="18"/>
                <w:lang w:val="en-GB"/>
              </w:rPr>
              <w:t>1261.304</w:t>
            </w:r>
          </w:p>
        </w:tc>
        <w:tc>
          <w:tcPr>
            <w:tcW w:w="850" w:type="dxa"/>
            <w:vAlign w:val="center"/>
          </w:tcPr>
          <w:p w14:paraId="5EC2F2E6" w14:textId="77777777" w:rsidR="00E67771" w:rsidRPr="00CD1278" w:rsidRDefault="00E67771" w:rsidP="002121DB">
            <w:pPr>
              <w:keepNext/>
              <w:keepLines/>
              <w:spacing w:before="120" w:after="12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610.888</w:t>
            </w:r>
          </w:p>
        </w:tc>
        <w:tc>
          <w:tcPr>
            <w:tcW w:w="851" w:type="dxa"/>
            <w:vAlign w:val="center"/>
          </w:tcPr>
          <w:p w14:paraId="77ED5B29" w14:textId="77777777" w:rsidR="00E67771" w:rsidRPr="00CD1278" w:rsidRDefault="00E67771" w:rsidP="002121DB">
            <w:pPr>
              <w:keepNext/>
              <w:keepLines/>
              <w:spacing w:before="120" w:after="12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483.589</w:t>
            </w:r>
          </w:p>
        </w:tc>
        <w:tc>
          <w:tcPr>
            <w:tcW w:w="850" w:type="dxa"/>
            <w:vAlign w:val="center"/>
          </w:tcPr>
          <w:p w14:paraId="11EC21D2" w14:textId="47D88AEF" w:rsidR="00E67771" w:rsidRPr="00CD1278" w:rsidRDefault="00E67771" w:rsidP="009A06C9">
            <w:pPr>
              <w:spacing w:after="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411.951</w:t>
            </w:r>
          </w:p>
        </w:tc>
        <w:tc>
          <w:tcPr>
            <w:tcW w:w="851" w:type="dxa"/>
            <w:vAlign w:val="center"/>
          </w:tcPr>
          <w:p w14:paraId="2ADA228C" w14:textId="25E4595B" w:rsidR="00E67771" w:rsidRPr="00CD1278" w:rsidRDefault="00E67771" w:rsidP="002121DB">
            <w:pPr>
              <w:keepNext/>
              <w:keepLines/>
              <w:spacing w:before="120" w:after="12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269.831</w:t>
            </w:r>
          </w:p>
        </w:tc>
        <w:tc>
          <w:tcPr>
            <w:tcW w:w="850" w:type="dxa"/>
            <w:vAlign w:val="center"/>
          </w:tcPr>
          <w:p w14:paraId="0D6C239D" w14:textId="7B5CA5F1" w:rsidR="00E67771" w:rsidRPr="00CD1278" w:rsidRDefault="00E67771" w:rsidP="002121DB">
            <w:pPr>
              <w:keepNext/>
              <w:keepLines/>
              <w:spacing w:before="120" w:after="12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35.051</w:t>
            </w:r>
          </w:p>
        </w:tc>
        <w:tc>
          <w:tcPr>
            <w:tcW w:w="851" w:type="dxa"/>
            <w:vAlign w:val="center"/>
          </w:tcPr>
          <w:p w14:paraId="4968D0EA" w14:textId="29C6C31E" w:rsidR="00E67771" w:rsidRPr="00CD1278" w:rsidRDefault="00E67771" w:rsidP="00EC2BEA">
            <w:pPr>
              <w:keepNext/>
              <w:keepLines/>
              <w:spacing w:before="120" w:after="12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34.991</w:t>
            </w:r>
          </w:p>
        </w:tc>
        <w:tc>
          <w:tcPr>
            <w:tcW w:w="850" w:type="dxa"/>
          </w:tcPr>
          <w:p w14:paraId="4CA391F9" w14:textId="00439B7A" w:rsidR="00E67771" w:rsidRPr="00CD1278" w:rsidRDefault="00E67771" w:rsidP="00E529B8">
            <w:pPr>
              <w:keepNext/>
              <w:keepLines/>
              <w:spacing w:before="120" w:after="120"/>
              <w:ind w:left="-108" w:right="-51"/>
              <w:jc w:val="center"/>
              <w:rPr>
                <w:rFonts w:asciiTheme="majorBidi" w:hAnsiTheme="majorBidi" w:cstheme="majorBidi"/>
                <w:b/>
                <w:color w:val="auto"/>
                <w:sz w:val="18"/>
                <w:szCs w:val="18"/>
              </w:rPr>
            </w:pPr>
            <w:r w:rsidRPr="00CD1278">
              <w:rPr>
                <w:rFonts w:asciiTheme="majorBidi" w:hAnsiTheme="majorBidi" w:cstheme="majorBidi"/>
                <w:b/>
                <w:color w:val="auto"/>
                <w:sz w:val="18"/>
                <w:szCs w:val="18"/>
              </w:rPr>
              <w:t>28.98]</w:t>
            </w:r>
          </w:p>
        </w:tc>
        <w:tc>
          <w:tcPr>
            <w:tcW w:w="851" w:type="dxa"/>
          </w:tcPr>
          <w:p w14:paraId="46DCFB44" w14:textId="4C2F462A" w:rsidR="00E67771" w:rsidRPr="00CD1278" w:rsidRDefault="00E67771" w:rsidP="00E529B8">
            <w:pPr>
              <w:keepNext/>
              <w:keepLines/>
              <w:spacing w:before="120" w:after="120"/>
              <w:ind w:left="-108" w:right="-51"/>
              <w:jc w:val="center"/>
              <w:rPr>
                <w:rFonts w:asciiTheme="majorBidi" w:hAnsiTheme="majorBidi" w:cstheme="majorBidi"/>
                <w:b/>
                <w:color w:val="auto"/>
                <w:sz w:val="18"/>
                <w:szCs w:val="18"/>
              </w:rPr>
            </w:pPr>
          </w:p>
        </w:tc>
      </w:tr>
    </w:tbl>
    <w:p w14:paraId="54172699" w14:textId="52BE202A" w:rsidR="004B39C7" w:rsidRPr="00CD1278" w:rsidRDefault="004B39C7" w:rsidP="00301429">
      <w:pPr>
        <w:pStyle w:val="Tableheading0"/>
        <w:spacing w:after="120"/>
        <w:ind w:left="0" w:firstLine="0"/>
        <w:jc w:val="center"/>
        <w:rPr>
          <w:b/>
          <w:bCs/>
          <w:sz w:val="28"/>
          <w:szCs w:val="28"/>
        </w:rPr>
      </w:pPr>
    </w:p>
    <w:p w14:paraId="17309F17" w14:textId="77777777" w:rsidR="004B39C7" w:rsidRPr="00CD1278" w:rsidRDefault="004B39C7" w:rsidP="00301429">
      <w:pPr>
        <w:pStyle w:val="Tableheading0"/>
        <w:spacing w:after="120"/>
        <w:ind w:left="0" w:firstLine="0"/>
        <w:jc w:val="center"/>
        <w:rPr>
          <w:b/>
          <w:bCs/>
          <w:sz w:val="28"/>
          <w:szCs w:val="28"/>
        </w:rPr>
      </w:pPr>
    </w:p>
    <w:p w14:paraId="48571BD4" w14:textId="77777777" w:rsidR="002121DB" w:rsidRPr="00CD1278" w:rsidRDefault="002121DB">
      <w:pPr>
        <w:spacing w:after="0"/>
        <w:rPr>
          <w:b/>
          <w:bCs/>
          <w:i/>
          <w:color w:val="auto"/>
          <w:sz w:val="28"/>
          <w:szCs w:val="28"/>
        </w:rPr>
      </w:pPr>
      <w:r w:rsidRPr="00CD1278">
        <w:rPr>
          <w:b/>
          <w:bCs/>
          <w:color w:val="auto"/>
          <w:sz w:val="28"/>
          <w:szCs w:val="28"/>
        </w:rPr>
        <w:br w:type="page"/>
      </w:r>
    </w:p>
    <w:p w14:paraId="3F53F139" w14:textId="30269E84" w:rsidR="004B39C7" w:rsidRPr="00CD1278" w:rsidRDefault="004B39C7" w:rsidP="00896422">
      <w:pPr>
        <w:pStyle w:val="Tableheading0"/>
        <w:spacing w:after="120"/>
        <w:ind w:left="360" w:firstLine="0"/>
        <w:rPr>
          <w:b/>
          <w:bCs/>
          <w:sz w:val="28"/>
          <w:szCs w:val="28"/>
        </w:rPr>
      </w:pPr>
      <w:r w:rsidRPr="00CD1278">
        <w:rPr>
          <w:b/>
          <w:bCs/>
          <w:sz w:val="28"/>
          <w:szCs w:val="28"/>
        </w:rPr>
        <w:t>Table 1-</w:t>
      </w:r>
      <w:r w:rsidR="00190CAC" w:rsidRPr="00CD1278">
        <w:rPr>
          <w:b/>
          <w:bCs/>
          <w:sz w:val="28"/>
          <w:szCs w:val="28"/>
        </w:rPr>
        <w:t>4</w:t>
      </w:r>
      <w:r w:rsidRPr="00CD1278">
        <w:rPr>
          <w:b/>
          <w:bCs/>
          <w:sz w:val="28"/>
          <w:szCs w:val="28"/>
        </w:rPr>
        <w:t>c.  Summary of Critical Use Nominations and Exemptions of Methyl Bromide (tonnes) for A5 countries</w:t>
      </w:r>
      <w:r w:rsidR="00910198" w:rsidRPr="00CD1278">
        <w:rPr>
          <w:b/>
          <w:bCs/>
          <w:sz w:val="28"/>
          <w:szCs w:val="28"/>
        </w:rPr>
        <w:t xml:space="preserve"> </w:t>
      </w:r>
    </w:p>
    <w:p w14:paraId="1259F692" w14:textId="77777777" w:rsidR="004B39C7" w:rsidRPr="00CD1278" w:rsidRDefault="004B39C7" w:rsidP="002121DB">
      <w:pPr>
        <w:ind w:left="284"/>
        <w:rPr>
          <w:color w:val="auto"/>
        </w:rPr>
      </w:pPr>
    </w:p>
    <w:tbl>
      <w:tblPr>
        <w:tblStyle w:val="TableGrid"/>
        <w:tblW w:w="0" w:type="auto"/>
        <w:tblInd w:w="392" w:type="dxa"/>
        <w:tblLayout w:type="fixed"/>
        <w:tblLook w:val="04A0" w:firstRow="1" w:lastRow="0" w:firstColumn="1" w:lastColumn="0" w:noHBand="0" w:noVBand="1"/>
      </w:tblPr>
      <w:tblGrid>
        <w:gridCol w:w="1786"/>
        <w:gridCol w:w="1219"/>
        <w:gridCol w:w="1560"/>
        <w:gridCol w:w="1275"/>
        <w:gridCol w:w="1134"/>
        <w:gridCol w:w="993"/>
        <w:gridCol w:w="1275"/>
        <w:gridCol w:w="1276"/>
        <w:gridCol w:w="1276"/>
        <w:gridCol w:w="1276"/>
        <w:gridCol w:w="1276"/>
      </w:tblGrid>
      <w:tr w:rsidR="003C102E" w:rsidRPr="00CD1278" w14:paraId="1F8A33CB" w14:textId="247B2513" w:rsidTr="006567CB">
        <w:tc>
          <w:tcPr>
            <w:tcW w:w="1786" w:type="dxa"/>
            <w:vMerge w:val="restart"/>
            <w:shd w:val="clear" w:color="auto" w:fill="D9D9D9" w:themeFill="background1" w:themeFillShade="D9"/>
            <w:vAlign w:val="center"/>
          </w:tcPr>
          <w:p w14:paraId="2054F0DE" w14:textId="77777777" w:rsidR="00294D81" w:rsidRPr="00CD1278" w:rsidRDefault="00294D81" w:rsidP="00D1371C">
            <w:pPr>
              <w:spacing w:before="120" w:after="120"/>
              <w:jc w:val="center"/>
              <w:rPr>
                <w:b/>
                <w:color w:val="auto"/>
                <w:sz w:val="20"/>
              </w:rPr>
            </w:pPr>
            <w:r w:rsidRPr="00CD1278">
              <w:rPr>
                <w:b/>
                <w:color w:val="auto"/>
                <w:sz w:val="20"/>
              </w:rPr>
              <w:t>Party</w:t>
            </w:r>
          </w:p>
        </w:tc>
        <w:tc>
          <w:tcPr>
            <w:tcW w:w="6181" w:type="dxa"/>
            <w:gridSpan w:val="5"/>
            <w:shd w:val="clear" w:color="auto" w:fill="D9D9D9" w:themeFill="background1" w:themeFillShade="D9"/>
            <w:vAlign w:val="center"/>
          </w:tcPr>
          <w:p w14:paraId="311F7CEE" w14:textId="505B5F3C" w:rsidR="00294D81" w:rsidRPr="00CD1278" w:rsidRDefault="00294D81" w:rsidP="00D67BAD">
            <w:pPr>
              <w:spacing w:before="120" w:after="120"/>
              <w:jc w:val="center"/>
              <w:rPr>
                <w:b/>
                <w:color w:val="auto"/>
                <w:sz w:val="20"/>
              </w:rPr>
            </w:pPr>
            <w:r w:rsidRPr="00CD1278">
              <w:rPr>
                <w:b/>
                <w:color w:val="auto"/>
                <w:sz w:val="20"/>
              </w:rPr>
              <w:t xml:space="preserve">Quantity </w:t>
            </w:r>
            <w:r w:rsidR="00D67BAD" w:rsidRPr="00CD1278">
              <w:rPr>
                <w:b/>
                <w:color w:val="auto"/>
                <w:sz w:val="20"/>
              </w:rPr>
              <w:t>of MB N</w:t>
            </w:r>
            <w:r w:rsidRPr="00CD1278">
              <w:rPr>
                <w:b/>
                <w:color w:val="auto"/>
                <w:sz w:val="20"/>
              </w:rPr>
              <w:t>ominated</w:t>
            </w:r>
          </w:p>
        </w:tc>
        <w:tc>
          <w:tcPr>
            <w:tcW w:w="6379" w:type="dxa"/>
            <w:gridSpan w:val="5"/>
            <w:shd w:val="clear" w:color="auto" w:fill="D9D9D9" w:themeFill="background1" w:themeFillShade="D9"/>
            <w:vAlign w:val="center"/>
          </w:tcPr>
          <w:p w14:paraId="234A149C" w14:textId="7EBBAA2E" w:rsidR="00294D81" w:rsidRPr="00CD1278" w:rsidRDefault="00D821F7" w:rsidP="00D67BAD">
            <w:pPr>
              <w:spacing w:before="120" w:after="120"/>
              <w:jc w:val="center"/>
              <w:rPr>
                <w:b/>
                <w:color w:val="auto"/>
                <w:sz w:val="20"/>
              </w:rPr>
            </w:pPr>
            <w:r w:rsidRPr="00CD1278">
              <w:rPr>
                <w:b/>
                <w:color w:val="auto"/>
                <w:sz w:val="20"/>
              </w:rPr>
              <w:t>Quantity of</w:t>
            </w:r>
            <w:r w:rsidR="00D67BAD" w:rsidRPr="00CD1278">
              <w:rPr>
                <w:b/>
                <w:color w:val="auto"/>
                <w:sz w:val="20"/>
              </w:rPr>
              <w:t xml:space="preserve"> MB A</w:t>
            </w:r>
            <w:r w:rsidR="00294D81" w:rsidRPr="00CD1278">
              <w:rPr>
                <w:b/>
                <w:color w:val="auto"/>
                <w:sz w:val="20"/>
              </w:rPr>
              <w:t>pproved</w:t>
            </w:r>
          </w:p>
        </w:tc>
      </w:tr>
      <w:tr w:rsidR="003C102E" w:rsidRPr="00CD1278" w14:paraId="4AC3822B" w14:textId="6C055BD1" w:rsidTr="006567CB">
        <w:tc>
          <w:tcPr>
            <w:tcW w:w="1786" w:type="dxa"/>
            <w:vMerge/>
            <w:shd w:val="clear" w:color="auto" w:fill="D9D9D9" w:themeFill="background1" w:themeFillShade="D9"/>
          </w:tcPr>
          <w:p w14:paraId="13F1C64B" w14:textId="77777777" w:rsidR="00294D81" w:rsidRPr="00CD1278" w:rsidRDefault="00294D81" w:rsidP="002121DB">
            <w:pPr>
              <w:ind w:left="284"/>
              <w:rPr>
                <w:b/>
                <w:color w:val="auto"/>
                <w:sz w:val="20"/>
              </w:rPr>
            </w:pPr>
          </w:p>
        </w:tc>
        <w:tc>
          <w:tcPr>
            <w:tcW w:w="1219" w:type="dxa"/>
            <w:vAlign w:val="center"/>
          </w:tcPr>
          <w:p w14:paraId="3D50F307" w14:textId="77777777" w:rsidR="00294D81" w:rsidRPr="00CD1278" w:rsidRDefault="00294D81" w:rsidP="00DD5153">
            <w:pPr>
              <w:spacing w:before="60" w:after="60"/>
              <w:jc w:val="center"/>
              <w:rPr>
                <w:b/>
                <w:color w:val="auto"/>
                <w:sz w:val="20"/>
              </w:rPr>
            </w:pPr>
            <w:r w:rsidRPr="00CD1278">
              <w:rPr>
                <w:b/>
                <w:color w:val="auto"/>
                <w:sz w:val="20"/>
              </w:rPr>
              <w:t>2015</w:t>
            </w:r>
          </w:p>
        </w:tc>
        <w:tc>
          <w:tcPr>
            <w:tcW w:w="1560" w:type="dxa"/>
            <w:vAlign w:val="center"/>
          </w:tcPr>
          <w:p w14:paraId="65882DD4" w14:textId="77777777" w:rsidR="00294D81" w:rsidRPr="00CD1278" w:rsidRDefault="00294D81" w:rsidP="00DD5153">
            <w:pPr>
              <w:spacing w:before="60" w:after="60"/>
              <w:jc w:val="center"/>
              <w:rPr>
                <w:b/>
                <w:color w:val="auto"/>
                <w:sz w:val="20"/>
              </w:rPr>
            </w:pPr>
            <w:r w:rsidRPr="00CD1278">
              <w:rPr>
                <w:b/>
                <w:color w:val="auto"/>
                <w:sz w:val="20"/>
              </w:rPr>
              <w:t>2016</w:t>
            </w:r>
          </w:p>
        </w:tc>
        <w:tc>
          <w:tcPr>
            <w:tcW w:w="1275" w:type="dxa"/>
            <w:vAlign w:val="center"/>
          </w:tcPr>
          <w:p w14:paraId="34531980" w14:textId="77777777" w:rsidR="00294D81" w:rsidRPr="00CD1278" w:rsidRDefault="00294D81" w:rsidP="00DD5153">
            <w:pPr>
              <w:spacing w:before="60" w:after="60"/>
              <w:jc w:val="center"/>
              <w:rPr>
                <w:b/>
                <w:color w:val="auto"/>
                <w:sz w:val="20"/>
              </w:rPr>
            </w:pPr>
            <w:r w:rsidRPr="00CD1278">
              <w:rPr>
                <w:b/>
                <w:color w:val="auto"/>
                <w:sz w:val="20"/>
              </w:rPr>
              <w:t>2017</w:t>
            </w:r>
          </w:p>
        </w:tc>
        <w:tc>
          <w:tcPr>
            <w:tcW w:w="1134" w:type="dxa"/>
            <w:vAlign w:val="center"/>
          </w:tcPr>
          <w:p w14:paraId="77B57BE8" w14:textId="0C74999E" w:rsidR="00294D81" w:rsidRPr="00CD1278" w:rsidRDefault="00294D81" w:rsidP="00DD5153">
            <w:pPr>
              <w:spacing w:before="60" w:after="60"/>
              <w:jc w:val="center"/>
              <w:rPr>
                <w:b/>
                <w:color w:val="auto"/>
                <w:sz w:val="20"/>
              </w:rPr>
            </w:pPr>
            <w:r w:rsidRPr="00CD1278">
              <w:rPr>
                <w:b/>
                <w:color w:val="auto"/>
                <w:sz w:val="20"/>
              </w:rPr>
              <w:t>2018</w:t>
            </w:r>
          </w:p>
        </w:tc>
        <w:tc>
          <w:tcPr>
            <w:tcW w:w="993" w:type="dxa"/>
          </w:tcPr>
          <w:p w14:paraId="009AEDEC" w14:textId="16515DE1" w:rsidR="00294D81" w:rsidRPr="00CD1278" w:rsidRDefault="00294D81" w:rsidP="00DD5153">
            <w:pPr>
              <w:spacing w:before="60" w:after="60"/>
              <w:jc w:val="center"/>
              <w:rPr>
                <w:b/>
                <w:color w:val="auto"/>
                <w:sz w:val="20"/>
              </w:rPr>
            </w:pPr>
            <w:r w:rsidRPr="00CD1278">
              <w:rPr>
                <w:b/>
                <w:color w:val="auto"/>
                <w:sz w:val="20"/>
              </w:rPr>
              <w:t>2019</w:t>
            </w:r>
          </w:p>
        </w:tc>
        <w:tc>
          <w:tcPr>
            <w:tcW w:w="1275" w:type="dxa"/>
            <w:vAlign w:val="center"/>
          </w:tcPr>
          <w:p w14:paraId="73060429" w14:textId="20087C72" w:rsidR="00294D81" w:rsidRPr="00CD1278" w:rsidRDefault="00294D81" w:rsidP="00DD5153">
            <w:pPr>
              <w:spacing w:before="60" w:after="60"/>
              <w:jc w:val="center"/>
              <w:rPr>
                <w:b/>
                <w:color w:val="auto"/>
                <w:sz w:val="20"/>
              </w:rPr>
            </w:pPr>
            <w:r w:rsidRPr="00CD1278">
              <w:rPr>
                <w:b/>
                <w:color w:val="auto"/>
                <w:sz w:val="20"/>
              </w:rPr>
              <w:t>2015</w:t>
            </w:r>
          </w:p>
        </w:tc>
        <w:tc>
          <w:tcPr>
            <w:tcW w:w="1276" w:type="dxa"/>
            <w:vAlign w:val="center"/>
          </w:tcPr>
          <w:p w14:paraId="48DA8FBB" w14:textId="77777777" w:rsidR="00294D81" w:rsidRPr="00CD1278" w:rsidRDefault="00294D81" w:rsidP="00DD5153">
            <w:pPr>
              <w:spacing w:before="60" w:after="60"/>
              <w:jc w:val="center"/>
              <w:rPr>
                <w:b/>
                <w:color w:val="auto"/>
                <w:sz w:val="20"/>
              </w:rPr>
            </w:pPr>
            <w:r w:rsidRPr="00CD1278">
              <w:rPr>
                <w:b/>
                <w:color w:val="auto"/>
                <w:sz w:val="20"/>
              </w:rPr>
              <w:t>2016</w:t>
            </w:r>
          </w:p>
        </w:tc>
        <w:tc>
          <w:tcPr>
            <w:tcW w:w="1276" w:type="dxa"/>
            <w:vAlign w:val="center"/>
          </w:tcPr>
          <w:p w14:paraId="03C8D5EC" w14:textId="77777777" w:rsidR="00294D81" w:rsidRPr="00CD1278" w:rsidRDefault="00294D81" w:rsidP="00DD5153">
            <w:pPr>
              <w:spacing w:before="60" w:after="60"/>
              <w:jc w:val="center"/>
              <w:rPr>
                <w:b/>
                <w:color w:val="auto"/>
                <w:sz w:val="20"/>
              </w:rPr>
            </w:pPr>
            <w:r w:rsidRPr="00CD1278">
              <w:rPr>
                <w:b/>
                <w:color w:val="auto"/>
                <w:sz w:val="20"/>
              </w:rPr>
              <w:t>2017</w:t>
            </w:r>
          </w:p>
        </w:tc>
        <w:tc>
          <w:tcPr>
            <w:tcW w:w="1276" w:type="dxa"/>
            <w:vAlign w:val="center"/>
          </w:tcPr>
          <w:p w14:paraId="1B6E36E5" w14:textId="7035EA1C" w:rsidR="00294D81" w:rsidRPr="00CD1278" w:rsidRDefault="00294D81" w:rsidP="00DD5153">
            <w:pPr>
              <w:spacing w:before="60" w:after="60"/>
              <w:jc w:val="center"/>
              <w:rPr>
                <w:b/>
                <w:color w:val="auto"/>
                <w:sz w:val="20"/>
              </w:rPr>
            </w:pPr>
            <w:r w:rsidRPr="00CD1278">
              <w:rPr>
                <w:b/>
                <w:color w:val="auto"/>
                <w:sz w:val="20"/>
              </w:rPr>
              <w:t>2018</w:t>
            </w:r>
          </w:p>
        </w:tc>
        <w:tc>
          <w:tcPr>
            <w:tcW w:w="1276" w:type="dxa"/>
          </w:tcPr>
          <w:p w14:paraId="24A05524" w14:textId="2B509B79" w:rsidR="00294D81" w:rsidRPr="00CD1278" w:rsidRDefault="00294D81" w:rsidP="00DD5153">
            <w:pPr>
              <w:spacing w:before="60" w:after="60"/>
              <w:jc w:val="center"/>
              <w:rPr>
                <w:b/>
                <w:color w:val="auto"/>
                <w:sz w:val="20"/>
              </w:rPr>
            </w:pPr>
            <w:r w:rsidRPr="00CD1278">
              <w:rPr>
                <w:b/>
                <w:color w:val="auto"/>
                <w:sz w:val="20"/>
              </w:rPr>
              <w:t>2019</w:t>
            </w:r>
          </w:p>
        </w:tc>
      </w:tr>
      <w:tr w:rsidR="003C102E" w:rsidRPr="00CD1278" w14:paraId="5F645B52" w14:textId="35EF156E" w:rsidTr="00F97A8E">
        <w:trPr>
          <w:trHeight w:val="521"/>
        </w:trPr>
        <w:tc>
          <w:tcPr>
            <w:tcW w:w="1786" w:type="dxa"/>
            <w:vAlign w:val="center"/>
          </w:tcPr>
          <w:p w14:paraId="496597BE" w14:textId="77777777" w:rsidR="00294D81" w:rsidRPr="00CD1278" w:rsidRDefault="00294D81" w:rsidP="00F97A8E">
            <w:pPr>
              <w:spacing w:after="60"/>
              <w:ind w:left="284"/>
              <w:rPr>
                <w:color w:val="auto"/>
                <w:sz w:val="20"/>
              </w:rPr>
            </w:pPr>
            <w:r w:rsidRPr="00CD1278">
              <w:rPr>
                <w:color w:val="auto"/>
                <w:sz w:val="20"/>
              </w:rPr>
              <w:t>Argentina</w:t>
            </w:r>
          </w:p>
        </w:tc>
        <w:tc>
          <w:tcPr>
            <w:tcW w:w="1219" w:type="dxa"/>
            <w:vAlign w:val="center"/>
          </w:tcPr>
          <w:p w14:paraId="597B31FB" w14:textId="77777777" w:rsidR="00294D81" w:rsidRPr="00CD1278" w:rsidRDefault="00294D81" w:rsidP="00F97A8E">
            <w:pPr>
              <w:spacing w:after="60"/>
              <w:ind w:left="46"/>
              <w:jc w:val="center"/>
              <w:rPr>
                <w:color w:val="auto"/>
                <w:sz w:val="20"/>
              </w:rPr>
            </w:pPr>
            <w:r w:rsidRPr="00CD1278">
              <w:rPr>
                <w:color w:val="auto"/>
                <w:sz w:val="20"/>
              </w:rPr>
              <w:t>245</w:t>
            </w:r>
          </w:p>
        </w:tc>
        <w:tc>
          <w:tcPr>
            <w:tcW w:w="1560" w:type="dxa"/>
            <w:vAlign w:val="center"/>
          </w:tcPr>
          <w:p w14:paraId="663961D8" w14:textId="007CABB6" w:rsidR="00294D81" w:rsidRPr="00CD1278" w:rsidRDefault="00294D81" w:rsidP="00F97A8E">
            <w:pPr>
              <w:spacing w:after="60"/>
              <w:jc w:val="center"/>
              <w:rPr>
                <w:color w:val="auto"/>
                <w:sz w:val="20"/>
              </w:rPr>
            </w:pPr>
            <w:r w:rsidRPr="00CD1278">
              <w:rPr>
                <w:color w:val="auto"/>
                <w:sz w:val="20"/>
              </w:rPr>
              <w:t>177</w:t>
            </w:r>
            <w:r w:rsidR="0071748E" w:rsidRPr="00CD1278">
              <w:rPr>
                <w:color w:val="auto"/>
                <w:sz w:val="20"/>
              </w:rPr>
              <w:t>.0</w:t>
            </w:r>
          </w:p>
        </w:tc>
        <w:tc>
          <w:tcPr>
            <w:tcW w:w="1275" w:type="dxa"/>
            <w:vAlign w:val="center"/>
          </w:tcPr>
          <w:p w14:paraId="426B7861" w14:textId="212C08A8" w:rsidR="00294D81" w:rsidRPr="00CD1278" w:rsidRDefault="00294D81" w:rsidP="00F97A8E">
            <w:pPr>
              <w:spacing w:after="60"/>
              <w:jc w:val="center"/>
              <w:rPr>
                <w:color w:val="auto"/>
                <w:sz w:val="20"/>
              </w:rPr>
            </w:pPr>
            <w:r w:rsidRPr="00CD1278">
              <w:rPr>
                <w:color w:val="auto"/>
                <w:sz w:val="20"/>
              </w:rPr>
              <w:t>120.3</w:t>
            </w:r>
          </w:p>
        </w:tc>
        <w:tc>
          <w:tcPr>
            <w:tcW w:w="1134" w:type="dxa"/>
            <w:vAlign w:val="center"/>
          </w:tcPr>
          <w:p w14:paraId="4F967C89" w14:textId="2746BBFF" w:rsidR="00294D81" w:rsidRPr="00CD1278" w:rsidRDefault="00294D81" w:rsidP="00F97A8E">
            <w:pPr>
              <w:spacing w:after="60"/>
              <w:jc w:val="center"/>
              <w:rPr>
                <w:color w:val="auto"/>
                <w:sz w:val="20"/>
              </w:rPr>
            </w:pPr>
            <w:r w:rsidRPr="00CD1278">
              <w:rPr>
                <w:color w:val="auto"/>
                <w:sz w:val="20"/>
              </w:rPr>
              <w:t>120.7</w:t>
            </w:r>
          </w:p>
        </w:tc>
        <w:tc>
          <w:tcPr>
            <w:tcW w:w="993" w:type="dxa"/>
            <w:vAlign w:val="center"/>
          </w:tcPr>
          <w:p w14:paraId="488C2F5F" w14:textId="7A49566B" w:rsidR="00294D81" w:rsidRPr="00CD1278" w:rsidRDefault="00294D81" w:rsidP="00F97A8E">
            <w:pPr>
              <w:spacing w:after="60"/>
              <w:jc w:val="center"/>
              <w:rPr>
                <w:color w:val="auto"/>
                <w:sz w:val="20"/>
              </w:rPr>
            </w:pPr>
            <w:r w:rsidRPr="00CD1278">
              <w:rPr>
                <w:color w:val="auto"/>
                <w:sz w:val="20"/>
              </w:rPr>
              <w:t>71.5</w:t>
            </w:r>
          </w:p>
        </w:tc>
        <w:tc>
          <w:tcPr>
            <w:tcW w:w="1275" w:type="dxa"/>
            <w:vAlign w:val="center"/>
          </w:tcPr>
          <w:p w14:paraId="2FF60412" w14:textId="712DD99E" w:rsidR="00294D81" w:rsidRPr="00CD1278" w:rsidRDefault="00294D81" w:rsidP="00F97A8E">
            <w:pPr>
              <w:spacing w:after="60"/>
              <w:jc w:val="center"/>
              <w:rPr>
                <w:color w:val="auto"/>
                <w:sz w:val="20"/>
              </w:rPr>
            </w:pPr>
            <w:r w:rsidRPr="00CD1278">
              <w:rPr>
                <w:color w:val="auto"/>
                <w:sz w:val="20"/>
              </w:rPr>
              <w:t>134.3</w:t>
            </w:r>
          </w:p>
        </w:tc>
        <w:tc>
          <w:tcPr>
            <w:tcW w:w="1276" w:type="dxa"/>
            <w:vAlign w:val="center"/>
          </w:tcPr>
          <w:p w14:paraId="0C06F06C" w14:textId="71670ECF" w:rsidR="00294D81" w:rsidRPr="00CD1278" w:rsidRDefault="00294D81" w:rsidP="00F97A8E">
            <w:pPr>
              <w:spacing w:after="60"/>
              <w:jc w:val="center"/>
              <w:rPr>
                <w:color w:val="auto"/>
                <w:sz w:val="20"/>
              </w:rPr>
            </w:pPr>
            <w:r w:rsidRPr="00CD1278">
              <w:rPr>
                <w:color w:val="auto"/>
                <w:sz w:val="20"/>
              </w:rPr>
              <w:t>129.25</w:t>
            </w:r>
          </w:p>
        </w:tc>
        <w:tc>
          <w:tcPr>
            <w:tcW w:w="1276" w:type="dxa"/>
            <w:vAlign w:val="center"/>
          </w:tcPr>
          <w:p w14:paraId="01421676" w14:textId="49D4287A" w:rsidR="00294D81" w:rsidRPr="00CD1278" w:rsidRDefault="00294D81" w:rsidP="00F97A8E">
            <w:pPr>
              <w:spacing w:after="60"/>
              <w:jc w:val="center"/>
              <w:rPr>
                <w:color w:val="auto"/>
                <w:sz w:val="20"/>
              </w:rPr>
            </w:pPr>
            <w:r w:rsidRPr="00CD1278">
              <w:rPr>
                <w:color w:val="auto"/>
                <w:sz w:val="20"/>
              </w:rPr>
              <w:t>102.94</w:t>
            </w:r>
          </w:p>
        </w:tc>
        <w:tc>
          <w:tcPr>
            <w:tcW w:w="1276" w:type="dxa"/>
            <w:vAlign w:val="center"/>
          </w:tcPr>
          <w:p w14:paraId="267B9455" w14:textId="45380E95" w:rsidR="00294D81" w:rsidRPr="00CD1278" w:rsidRDefault="00294D81" w:rsidP="00F97A8E">
            <w:pPr>
              <w:spacing w:after="60"/>
              <w:jc w:val="center"/>
              <w:rPr>
                <w:color w:val="auto"/>
                <w:sz w:val="20"/>
              </w:rPr>
            </w:pPr>
            <w:r w:rsidRPr="00CD1278">
              <w:rPr>
                <w:color w:val="auto"/>
                <w:sz w:val="20"/>
              </w:rPr>
              <w:t>76.70</w:t>
            </w:r>
          </w:p>
        </w:tc>
        <w:tc>
          <w:tcPr>
            <w:tcW w:w="1276" w:type="dxa"/>
            <w:vAlign w:val="center"/>
          </w:tcPr>
          <w:p w14:paraId="3015DE26" w14:textId="77777777" w:rsidR="00294D81" w:rsidRPr="00CD1278" w:rsidRDefault="00294D81" w:rsidP="00F97A8E">
            <w:pPr>
              <w:spacing w:after="60"/>
              <w:jc w:val="center"/>
              <w:rPr>
                <w:color w:val="auto"/>
                <w:sz w:val="20"/>
              </w:rPr>
            </w:pPr>
          </w:p>
        </w:tc>
      </w:tr>
      <w:tr w:rsidR="003C102E" w:rsidRPr="00CD1278" w14:paraId="73244EF1" w14:textId="51F832B1" w:rsidTr="00F97A8E">
        <w:tc>
          <w:tcPr>
            <w:tcW w:w="1786" w:type="dxa"/>
            <w:vAlign w:val="center"/>
          </w:tcPr>
          <w:p w14:paraId="28104A4F" w14:textId="77777777" w:rsidR="00294D81" w:rsidRPr="00CD1278" w:rsidRDefault="00294D81" w:rsidP="00F97A8E">
            <w:pPr>
              <w:spacing w:before="120" w:after="60"/>
              <w:ind w:left="284"/>
              <w:rPr>
                <w:color w:val="auto"/>
                <w:sz w:val="20"/>
              </w:rPr>
            </w:pPr>
            <w:r w:rsidRPr="00CD1278">
              <w:rPr>
                <w:color w:val="auto"/>
                <w:sz w:val="20"/>
              </w:rPr>
              <w:t>China</w:t>
            </w:r>
          </w:p>
        </w:tc>
        <w:tc>
          <w:tcPr>
            <w:tcW w:w="1219" w:type="dxa"/>
            <w:vAlign w:val="center"/>
          </w:tcPr>
          <w:p w14:paraId="13FF7EC3" w14:textId="77777777" w:rsidR="00294D81" w:rsidRPr="00CD1278" w:rsidRDefault="00294D81" w:rsidP="00F97A8E">
            <w:pPr>
              <w:spacing w:before="120" w:after="60"/>
              <w:ind w:left="46"/>
              <w:jc w:val="center"/>
              <w:rPr>
                <w:color w:val="auto"/>
                <w:sz w:val="20"/>
              </w:rPr>
            </w:pPr>
            <w:r w:rsidRPr="00CD1278">
              <w:rPr>
                <w:color w:val="auto"/>
                <w:sz w:val="20"/>
              </w:rPr>
              <w:t>120</w:t>
            </w:r>
          </w:p>
        </w:tc>
        <w:tc>
          <w:tcPr>
            <w:tcW w:w="1560" w:type="dxa"/>
            <w:vAlign w:val="center"/>
          </w:tcPr>
          <w:p w14:paraId="4BAEABF2" w14:textId="6DD8A32A" w:rsidR="00294D81" w:rsidRPr="00CD1278" w:rsidRDefault="00294D81" w:rsidP="00F97A8E">
            <w:pPr>
              <w:spacing w:before="120" w:after="60"/>
              <w:jc w:val="center"/>
              <w:rPr>
                <w:color w:val="auto"/>
                <w:sz w:val="20"/>
              </w:rPr>
            </w:pPr>
            <w:r w:rsidRPr="00CD1278">
              <w:rPr>
                <w:color w:val="auto"/>
                <w:sz w:val="20"/>
              </w:rPr>
              <w:t>114</w:t>
            </w:r>
            <w:r w:rsidR="0071748E" w:rsidRPr="00CD1278">
              <w:rPr>
                <w:color w:val="auto"/>
                <w:sz w:val="20"/>
              </w:rPr>
              <w:t>.0</w:t>
            </w:r>
          </w:p>
        </w:tc>
        <w:tc>
          <w:tcPr>
            <w:tcW w:w="1275" w:type="dxa"/>
            <w:vAlign w:val="center"/>
          </w:tcPr>
          <w:p w14:paraId="07074A18" w14:textId="64F3BB5C" w:rsidR="00294D81" w:rsidRPr="00CD1278" w:rsidRDefault="00294D81" w:rsidP="00F97A8E">
            <w:pPr>
              <w:spacing w:before="120" w:after="60"/>
              <w:jc w:val="center"/>
              <w:rPr>
                <w:color w:val="auto"/>
                <w:sz w:val="20"/>
              </w:rPr>
            </w:pPr>
            <w:r w:rsidRPr="00CD1278">
              <w:rPr>
                <w:color w:val="auto"/>
                <w:sz w:val="20"/>
              </w:rPr>
              <w:t>99.75</w:t>
            </w:r>
          </w:p>
        </w:tc>
        <w:tc>
          <w:tcPr>
            <w:tcW w:w="1134" w:type="dxa"/>
            <w:vAlign w:val="center"/>
          </w:tcPr>
          <w:p w14:paraId="07C20FCD" w14:textId="6D4CE28A" w:rsidR="00294D81" w:rsidRPr="00CD1278" w:rsidRDefault="00294D81" w:rsidP="00F97A8E">
            <w:pPr>
              <w:spacing w:before="120" w:after="60"/>
              <w:jc w:val="center"/>
              <w:rPr>
                <w:color w:val="auto"/>
                <w:sz w:val="20"/>
              </w:rPr>
            </w:pPr>
            <w:r w:rsidRPr="00CD1278">
              <w:rPr>
                <w:color w:val="auto"/>
                <w:sz w:val="20"/>
              </w:rPr>
              <w:t>92.977</w:t>
            </w:r>
          </w:p>
        </w:tc>
        <w:tc>
          <w:tcPr>
            <w:tcW w:w="993" w:type="dxa"/>
            <w:vAlign w:val="center"/>
          </w:tcPr>
          <w:p w14:paraId="0074A24D" w14:textId="2C48A97E" w:rsidR="00294D81" w:rsidRPr="00CD1278" w:rsidRDefault="00294D81" w:rsidP="00F97A8E">
            <w:pPr>
              <w:spacing w:before="120" w:after="60"/>
              <w:jc w:val="center"/>
              <w:rPr>
                <w:color w:val="auto"/>
                <w:sz w:val="20"/>
              </w:rPr>
            </w:pPr>
            <w:r w:rsidRPr="00CD1278">
              <w:rPr>
                <w:color w:val="auto"/>
                <w:sz w:val="20"/>
              </w:rPr>
              <w:t>0</w:t>
            </w:r>
          </w:p>
        </w:tc>
        <w:tc>
          <w:tcPr>
            <w:tcW w:w="1275" w:type="dxa"/>
            <w:vAlign w:val="center"/>
          </w:tcPr>
          <w:p w14:paraId="3DB232C4" w14:textId="1A4EBFD8" w:rsidR="00294D81" w:rsidRPr="00CD1278" w:rsidRDefault="00294D81" w:rsidP="00F97A8E">
            <w:pPr>
              <w:spacing w:before="120" w:after="60"/>
              <w:jc w:val="center"/>
              <w:rPr>
                <w:color w:val="auto"/>
                <w:sz w:val="20"/>
              </w:rPr>
            </w:pPr>
            <w:r w:rsidRPr="00CD1278">
              <w:rPr>
                <w:color w:val="auto"/>
                <w:sz w:val="20"/>
              </w:rPr>
              <w:t>114</w:t>
            </w:r>
            <w:r w:rsidR="0071748E" w:rsidRPr="00CD1278">
              <w:rPr>
                <w:color w:val="auto"/>
                <w:sz w:val="20"/>
              </w:rPr>
              <w:t>.0</w:t>
            </w:r>
          </w:p>
        </w:tc>
        <w:tc>
          <w:tcPr>
            <w:tcW w:w="1276" w:type="dxa"/>
            <w:vAlign w:val="center"/>
          </w:tcPr>
          <w:p w14:paraId="78525DF2" w14:textId="5906B553" w:rsidR="00294D81" w:rsidRPr="00CD1278" w:rsidRDefault="00294D81" w:rsidP="00F97A8E">
            <w:pPr>
              <w:spacing w:before="120" w:after="60"/>
              <w:jc w:val="center"/>
              <w:rPr>
                <w:color w:val="auto"/>
                <w:sz w:val="20"/>
              </w:rPr>
            </w:pPr>
            <w:r w:rsidRPr="00CD1278">
              <w:rPr>
                <w:color w:val="auto"/>
                <w:sz w:val="20"/>
              </w:rPr>
              <w:t>99.75</w:t>
            </w:r>
          </w:p>
        </w:tc>
        <w:tc>
          <w:tcPr>
            <w:tcW w:w="1276" w:type="dxa"/>
            <w:vAlign w:val="center"/>
          </w:tcPr>
          <w:p w14:paraId="0AEAF777" w14:textId="4CD17608" w:rsidR="00294D81" w:rsidRPr="00CD1278" w:rsidRDefault="00294D81" w:rsidP="00F97A8E">
            <w:pPr>
              <w:spacing w:before="120" w:after="60"/>
              <w:jc w:val="center"/>
              <w:rPr>
                <w:color w:val="auto"/>
                <w:sz w:val="20"/>
              </w:rPr>
            </w:pPr>
            <w:r w:rsidRPr="00CD1278">
              <w:rPr>
                <w:color w:val="auto"/>
                <w:sz w:val="20"/>
              </w:rPr>
              <w:t>92.977</w:t>
            </w:r>
          </w:p>
        </w:tc>
        <w:tc>
          <w:tcPr>
            <w:tcW w:w="1276" w:type="dxa"/>
            <w:vAlign w:val="center"/>
          </w:tcPr>
          <w:p w14:paraId="19B6538F" w14:textId="374C09F2" w:rsidR="00294D81" w:rsidRPr="00CD1278" w:rsidRDefault="00294D81" w:rsidP="00F97A8E">
            <w:pPr>
              <w:spacing w:before="120" w:after="60"/>
              <w:jc w:val="center"/>
              <w:rPr>
                <w:color w:val="auto"/>
                <w:sz w:val="20"/>
              </w:rPr>
            </w:pPr>
            <w:r w:rsidRPr="00CD1278">
              <w:rPr>
                <w:color w:val="auto"/>
                <w:sz w:val="20"/>
              </w:rPr>
              <w:t>87.24</w:t>
            </w:r>
          </w:p>
        </w:tc>
        <w:tc>
          <w:tcPr>
            <w:tcW w:w="1276" w:type="dxa"/>
            <w:vAlign w:val="center"/>
          </w:tcPr>
          <w:p w14:paraId="39BD96CE" w14:textId="77777777" w:rsidR="00294D81" w:rsidRPr="00CD1278" w:rsidRDefault="00294D81" w:rsidP="00F97A8E">
            <w:pPr>
              <w:spacing w:before="120" w:after="60"/>
              <w:jc w:val="center"/>
              <w:rPr>
                <w:color w:val="auto"/>
                <w:sz w:val="20"/>
              </w:rPr>
            </w:pPr>
          </w:p>
        </w:tc>
      </w:tr>
      <w:tr w:rsidR="003C102E" w:rsidRPr="00CD1278" w14:paraId="2C5896CE" w14:textId="394F22E5" w:rsidTr="00F97A8E">
        <w:tc>
          <w:tcPr>
            <w:tcW w:w="1786" w:type="dxa"/>
            <w:vAlign w:val="center"/>
          </w:tcPr>
          <w:p w14:paraId="52F57507" w14:textId="77777777" w:rsidR="00294D81" w:rsidRPr="00CD1278" w:rsidRDefault="00294D81" w:rsidP="00F97A8E">
            <w:pPr>
              <w:spacing w:before="120" w:after="60"/>
              <w:ind w:left="284"/>
              <w:rPr>
                <w:color w:val="auto"/>
                <w:sz w:val="20"/>
              </w:rPr>
            </w:pPr>
            <w:r w:rsidRPr="00CD1278">
              <w:rPr>
                <w:color w:val="auto"/>
                <w:sz w:val="20"/>
              </w:rPr>
              <w:t>Mexico</w:t>
            </w:r>
          </w:p>
        </w:tc>
        <w:tc>
          <w:tcPr>
            <w:tcW w:w="1219" w:type="dxa"/>
            <w:vAlign w:val="center"/>
          </w:tcPr>
          <w:p w14:paraId="2D976297" w14:textId="77777777" w:rsidR="00294D81" w:rsidRPr="00CD1278" w:rsidRDefault="00294D81" w:rsidP="00F97A8E">
            <w:pPr>
              <w:spacing w:before="120" w:after="60"/>
              <w:ind w:left="46"/>
              <w:jc w:val="center"/>
              <w:rPr>
                <w:color w:val="auto"/>
                <w:sz w:val="20"/>
              </w:rPr>
            </w:pPr>
            <w:r w:rsidRPr="00CD1278">
              <w:rPr>
                <w:color w:val="auto"/>
                <w:sz w:val="20"/>
              </w:rPr>
              <w:t>140</w:t>
            </w:r>
          </w:p>
        </w:tc>
        <w:tc>
          <w:tcPr>
            <w:tcW w:w="1560" w:type="dxa"/>
            <w:vAlign w:val="center"/>
          </w:tcPr>
          <w:p w14:paraId="23ADF48D" w14:textId="4DE79ED5" w:rsidR="00294D81" w:rsidRPr="00CD1278" w:rsidRDefault="00294D81" w:rsidP="00F97A8E">
            <w:pPr>
              <w:spacing w:before="120" w:after="60"/>
              <w:jc w:val="center"/>
              <w:rPr>
                <w:color w:val="auto"/>
                <w:sz w:val="20"/>
              </w:rPr>
            </w:pPr>
            <w:r w:rsidRPr="00CD1278">
              <w:rPr>
                <w:color w:val="auto"/>
                <w:sz w:val="20"/>
              </w:rPr>
              <w:t>120.978</w:t>
            </w:r>
          </w:p>
        </w:tc>
        <w:tc>
          <w:tcPr>
            <w:tcW w:w="1275" w:type="dxa"/>
            <w:vAlign w:val="center"/>
          </w:tcPr>
          <w:p w14:paraId="638B99D1" w14:textId="23F52866" w:rsidR="00294D81" w:rsidRPr="00CD1278" w:rsidRDefault="00294D81" w:rsidP="00F97A8E">
            <w:pPr>
              <w:spacing w:before="120" w:after="60"/>
              <w:jc w:val="center"/>
              <w:rPr>
                <w:color w:val="auto"/>
                <w:sz w:val="20"/>
              </w:rPr>
            </w:pPr>
            <w:r w:rsidRPr="00CD1278">
              <w:rPr>
                <w:color w:val="auto"/>
                <w:sz w:val="20"/>
              </w:rPr>
              <w:t>0</w:t>
            </w:r>
          </w:p>
        </w:tc>
        <w:tc>
          <w:tcPr>
            <w:tcW w:w="1134" w:type="dxa"/>
            <w:vAlign w:val="center"/>
          </w:tcPr>
          <w:p w14:paraId="79E7FAD5" w14:textId="399BA904" w:rsidR="00294D81" w:rsidRPr="00CD1278" w:rsidRDefault="00294D81" w:rsidP="00F97A8E">
            <w:pPr>
              <w:spacing w:before="120" w:after="60"/>
              <w:jc w:val="center"/>
              <w:rPr>
                <w:color w:val="auto"/>
                <w:sz w:val="20"/>
              </w:rPr>
            </w:pPr>
            <w:r w:rsidRPr="00CD1278">
              <w:rPr>
                <w:color w:val="auto"/>
                <w:sz w:val="20"/>
              </w:rPr>
              <w:t>0</w:t>
            </w:r>
          </w:p>
        </w:tc>
        <w:tc>
          <w:tcPr>
            <w:tcW w:w="993" w:type="dxa"/>
            <w:vAlign w:val="center"/>
          </w:tcPr>
          <w:p w14:paraId="600DB51F" w14:textId="240EE971" w:rsidR="00294D81" w:rsidRPr="00CD1278" w:rsidRDefault="00294D81" w:rsidP="00F97A8E">
            <w:pPr>
              <w:spacing w:before="120" w:after="60"/>
              <w:jc w:val="center"/>
              <w:rPr>
                <w:color w:val="auto"/>
                <w:sz w:val="20"/>
              </w:rPr>
            </w:pPr>
            <w:r w:rsidRPr="00CD1278">
              <w:rPr>
                <w:color w:val="auto"/>
                <w:sz w:val="20"/>
              </w:rPr>
              <w:t>0</w:t>
            </w:r>
          </w:p>
        </w:tc>
        <w:tc>
          <w:tcPr>
            <w:tcW w:w="1275" w:type="dxa"/>
            <w:vAlign w:val="center"/>
          </w:tcPr>
          <w:p w14:paraId="7D98C389" w14:textId="1583101C" w:rsidR="00294D81" w:rsidRPr="00CD1278" w:rsidRDefault="00294D81" w:rsidP="00F97A8E">
            <w:pPr>
              <w:spacing w:before="120" w:after="60"/>
              <w:jc w:val="center"/>
              <w:rPr>
                <w:color w:val="auto"/>
                <w:sz w:val="20"/>
              </w:rPr>
            </w:pPr>
            <w:r w:rsidRPr="00CD1278">
              <w:rPr>
                <w:color w:val="auto"/>
                <w:sz w:val="20"/>
              </w:rPr>
              <w:t>84.96</w:t>
            </w:r>
          </w:p>
        </w:tc>
        <w:tc>
          <w:tcPr>
            <w:tcW w:w="1276" w:type="dxa"/>
            <w:vAlign w:val="center"/>
          </w:tcPr>
          <w:p w14:paraId="68924C16" w14:textId="19B01D5A" w:rsidR="00294D81" w:rsidRPr="00CD1278" w:rsidRDefault="00294D81" w:rsidP="00F97A8E">
            <w:pPr>
              <w:spacing w:before="120" w:after="60"/>
              <w:jc w:val="center"/>
              <w:rPr>
                <w:color w:val="auto"/>
                <w:sz w:val="20"/>
              </w:rPr>
            </w:pPr>
            <w:r w:rsidRPr="00CD1278">
              <w:rPr>
                <w:color w:val="auto"/>
                <w:sz w:val="20"/>
              </w:rPr>
              <w:t>84.957</w:t>
            </w:r>
          </w:p>
        </w:tc>
        <w:tc>
          <w:tcPr>
            <w:tcW w:w="1276" w:type="dxa"/>
            <w:vAlign w:val="center"/>
          </w:tcPr>
          <w:p w14:paraId="4F7DE8CB" w14:textId="1AB9BA2F" w:rsidR="00294D81" w:rsidRPr="00CD1278" w:rsidRDefault="00294D81" w:rsidP="00F97A8E">
            <w:pPr>
              <w:spacing w:before="120" w:after="60"/>
              <w:jc w:val="center"/>
              <w:rPr>
                <w:color w:val="auto"/>
                <w:sz w:val="20"/>
              </w:rPr>
            </w:pPr>
            <w:r w:rsidRPr="00CD1278">
              <w:rPr>
                <w:color w:val="auto"/>
                <w:sz w:val="20"/>
              </w:rPr>
              <w:t>0</w:t>
            </w:r>
          </w:p>
        </w:tc>
        <w:tc>
          <w:tcPr>
            <w:tcW w:w="1276" w:type="dxa"/>
            <w:vAlign w:val="center"/>
          </w:tcPr>
          <w:p w14:paraId="43D0E17D" w14:textId="3F4B0709" w:rsidR="00294D81" w:rsidRPr="00CD1278" w:rsidRDefault="00294D81" w:rsidP="00F97A8E">
            <w:pPr>
              <w:spacing w:before="120" w:after="60"/>
              <w:jc w:val="center"/>
              <w:rPr>
                <w:color w:val="auto"/>
                <w:sz w:val="20"/>
              </w:rPr>
            </w:pPr>
            <w:r w:rsidRPr="00CD1278">
              <w:rPr>
                <w:color w:val="auto"/>
                <w:sz w:val="20"/>
              </w:rPr>
              <w:t>0</w:t>
            </w:r>
          </w:p>
        </w:tc>
        <w:tc>
          <w:tcPr>
            <w:tcW w:w="1276" w:type="dxa"/>
            <w:vAlign w:val="center"/>
          </w:tcPr>
          <w:p w14:paraId="2BFA7EAA" w14:textId="77777777" w:rsidR="00294D81" w:rsidRPr="00CD1278" w:rsidRDefault="00294D81" w:rsidP="00F97A8E">
            <w:pPr>
              <w:spacing w:before="120" w:after="60"/>
              <w:jc w:val="center"/>
              <w:rPr>
                <w:color w:val="auto"/>
                <w:sz w:val="20"/>
              </w:rPr>
            </w:pPr>
          </w:p>
        </w:tc>
      </w:tr>
      <w:tr w:rsidR="003C102E" w:rsidRPr="00CD1278" w14:paraId="20FAC8E5" w14:textId="43DA0092" w:rsidTr="00F97A8E">
        <w:tc>
          <w:tcPr>
            <w:tcW w:w="1786" w:type="dxa"/>
            <w:vAlign w:val="center"/>
          </w:tcPr>
          <w:p w14:paraId="5D9E1541" w14:textId="77777777" w:rsidR="00294D81" w:rsidRPr="00CD1278" w:rsidRDefault="00294D81" w:rsidP="00F97A8E">
            <w:pPr>
              <w:spacing w:before="120" w:after="60"/>
              <w:ind w:left="284"/>
              <w:rPr>
                <w:color w:val="auto"/>
                <w:sz w:val="20"/>
              </w:rPr>
            </w:pPr>
            <w:r w:rsidRPr="00CD1278">
              <w:rPr>
                <w:color w:val="auto"/>
                <w:sz w:val="20"/>
              </w:rPr>
              <w:t>South Africa</w:t>
            </w:r>
          </w:p>
        </w:tc>
        <w:tc>
          <w:tcPr>
            <w:tcW w:w="1219" w:type="dxa"/>
            <w:vAlign w:val="center"/>
          </w:tcPr>
          <w:p w14:paraId="14A25634" w14:textId="5127B903" w:rsidR="00294D81" w:rsidRPr="00CD1278" w:rsidRDefault="00294D81" w:rsidP="00F97A8E">
            <w:pPr>
              <w:spacing w:before="120" w:after="60"/>
              <w:ind w:left="46"/>
              <w:jc w:val="center"/>
              <w:rPr>
                <w:color w:val="auto"/>
                <w:sz w:val="20"/>
              </w:rPr>
            </w:pPr>
            <w:r w:rsidRPr="00CD1278">
              <w:rPr>
                <w:color w:val="auto"/>
                <w:sz w:val="20"/>
              </w:rPr>
              <w:t>-</w:t>
            </w:r>
          </w:p>
        </w:tc>
        <w:tc>
          <w:tcPr>
            <w:tcW w:w="1560" w:type="dxa"/>
            <w:vAlign w:val="center"/>
          </w:tcPr>
          <w:p w14:paraId="32D1B879" w14:textId="6B21B579" w:rsidR="00294D81" w:rsidRPr="00CD1278" w:rsidRDefault="00294D81" w:rsidP="00F97A8E">
            <w:pPr>
              <w:spacing w:before="120" w:after="60"/>
              <w:jc w:val="center"/>
              <w:rPr>
                <w:color w:val="auto"/>
                <w:sz w:val="20"/>
              </w:rPr>
            </w:pPr>
            <w:r w:rsidRPr="00CD1278">
              <w:rPr>
                <w:color w:val="auto"/>
                <w:sz w:val="20"/>
              </w:rPr>
              <w:t>81.6</w:t>
            </w:r>
          </w:p>
        </w:tc>
        <w:tc>
          <w:tcPr>
            <w:tcW w:w="1275" w:type="dxa"/>
            <w:vAlign w:val="center"/>
          </w:tcPr>
          <w:p w14:paraId="329EBA8C" w14:textId="1DC3980F" w:rsidR="00294D81" w:rsidRPr="00CD1278" w:rsidRDefault="00294D81" w:rsidP="00F97A8E">
            <w:pPr>
              <w:spacing w:before="120" w:after="60"/>
              <w:jc w:val="center"/>
              <w:rPr>
                <w:color w:val="auto"/>
                <w:sz w:val="20"/>
              </w:rPr>
            </w:pPr>
            <w:r w:rsidRPr="00CD1278">
              <w:rPr>
                <w:color w:val="auto"/>
                <w:sz w:val="20"/>
              </w:rPr>
              <w:t>83</w:t>
            </w:r>
            <w:r w:rsidR="0071748E" w:rsidRPr="00CD1278">
              <w:rPr>
                <w:color w:val="auto"/>
                <w:sz w:val="20"/>
              </w:rPr>
              <w:t>.0</w:t>
            </w:r>
          </w:p>
        </w:tc>
        <w:tc>
          <w:tcPr>
            <w:tcW w:w="1134" w:type="dxa"/>
            <w:vAlign w:val="center"/>
          </w:tcPr>
          <w:p w14:paraId="2681A980" w14:textId="088C0E9F" w:rsidR="00294D81" w:rsidRPr="00CD1278" w:rsidRDefault="00294D81" w:rsidP="00F97A8E">
            <w:pPr>
              <w:spacing w:before="120" w:after="60"/>
              <w:jc w:val="center"/>
              <w:rPr>
                <w:color w:val="auto"/>
                <w:sz w:val="20"/>
              </w:rPr>
            </w:pPr>
            <w:r w:rsidRPr="00CD1278">
              <w:rPr>
                <w:color w:val="auto"/>
                <w:sz w:val="20"/>
              </w:rPr>
              <w:t>50</w:t>
            </w:r>
            <w:r w:rsidR="0071748E" w:rsidRPr="00CD1278">
              <w:rPr>
                <w:color w:val="auto"/>
                <w:sz w:val="20"/>
              </w:rPr>
              <w:t>.0</w:t>
            </w:r>
          </w:p>
        </w:tc>
        <w:tc>
          <w:tcPr>
            <w:tcW w:w="993" w:type="dxa"/>
            <w:vAlign w:val="center"/>
          </w:tcPr>
          <w:p w14:paraId="225A112A" w14:textId="408CF56F" w:rsidR="00294D81" w:rsidRPr="00CD1278" w:rsidRDefault="00294D81" w:rsidP="00F97A8E">
            <w:pPr>
              <w:spacing w:before="120" w:after="60"/>
              <w:jc w:val="center"/>
              <w:rPr>
                <w:color w:val="auto"/>
                <w:sz w:val="20"/>
              </w:rPr>
            </w:pPr>
            <w:r w:rsidRPr="00CD1278">
              <w:rPr>
                <w:color w:val="auto"/>
                <w:sz w:val="20"/>
              </w:rPr>
              <w:t>47.</w:t>
            </w:r>
            <w:r w:rsidR="00372082" w:rsidRPr="00CD1278">
              <w:rPr>
                <w:color w:val="auto"/>
                <w:sz w:val="20"/>
              </w:rPr>
              <w:t>0</w:t>
            </w:r>
          </w:p>
        </w:tc>
        <w:tc>
          <w:tcPr>
            <w:tcW w:w="1275" w:type="dxa"/>
            <w:vAlign w:val="center"/>
          </w:tcPr>
          <w:p w14:paraId="0E67565E" w14:textId="08EA5F63" w:rsidR="00294D81" w:rsidRPr="00CD1278" w:rsidRDefault="00294D81" w:rsidP="00F97A8E">
            <w:pPr>
              <w:spacing w:before="120" w:after="60"/>
              <w:jc w:val="center"/>
              <w:rPr>
                <w:color w:val="auto"/>
                <w:sz w:val="20"/>
              </w:rPr>
            </w:pPr>
            <w:r w:rsidRPr="00CD1278">
              <w:rPr>
                <w:color w:val="auto"/>
                <w:sz w:val="20"/>
              </w:rPr>
              <w:t>-</w:t>
            </w:r>
          </w:p>
        </w:tc>
        <w:tc>
          <w:tcPr>
            <w:tcW w:w="1276" w:type="dxa"/>
            <w:vAlign w:val="center"/>
          </w:tcPr>
          <w:p w14:paraId="2D690EE5" w14:textId="18CBAF09" w:rsidR="00294D81" w:rsidRPr="00CD1278" w:rsidRDefault="00294D81" w:rsidP="00F97A8E">
            <w:pPr>
              <w:spacing w:before="120" w:after="60"/>
              <w:jc w:val="center"/>
              <w:rPr>
                <w:color w:val="auto"/>
                <w:sz w:val="20"/>
              </w:rPr>
            </w:pPr>
            <w:r w:rsidRPr="00CD1278">
              <w:rPr>
                <w:color w:val="auto"/>
                <w:sz w:val="20"/>
              </w:rPr>
              <w:t>74.062</w:t>
            </w:r>
          </w:p>
        </w:tc>
        <w:tc>
          <w:tcPr>
            <w:tcW w:w="1276" w:type="dxa"/>
            <w:vAlign w:val="center"/>
          </w:tcPr>
          <w:p w14:paraId="326D2A41" w14:textId="18E885C1" w:rsidR="00294D81" w:rsidRPr="00CD1278" w:rsidRDefault="00294D81" w:rsidP="00F97A8E">
            <w:pPr>
              <w:spacing w:before="120" w:after="60"/>
              <w:jc w:val="center"/>
              <w:rPr>
                <w:color w:val="auto"/>
                <w:sz w:val="20"/>
              </w:rPr>
            </w:pPr>
            <w:r w:rsidRPr="00CD1278">
              <w:rPr>
                <w:color w:val="auto"/>
                <w:sz w:val="20"/>
              </w:rPr>
              <w:t>59.10</w:t>
            </w:r>
          </w:p>
        </w:tc>
        <w:tc>
          <w:tcPr>
            <w:tcW w:w="1276" w:type="dxa"/>
            <w:vAlign w:val="center"/>
          </w:tcPr>
          <w:p w14:paraId="7991CC82" w14:textId="05355152" w:rsidR="00294D81" w:rsidRPr="00CD1278" w:rsidRDefault="00294D81" w:rsidP="00F97A8E">
            <w:pPr>
              <w:spacing w:before="120" w:after="60"/>
              <w:jc w:val="center"/>
              <w:rPr>
                <w:color w:val="auto"/>
                <w:sz w:val="20"/>
              </w:rPr>
            </w:pPr>
            <w:r w:rsidRPr="00CD1278">
              <w:rPr>
                <w:color w:val="auto"/>
                <w:sz w:val="20"/>
              </w:rPr>
              <w:t>45.65</w:t>
            </w:r>
          </w:p>
        </w:tc>
        <w:tc>
          <w:tcPr>
            <w:tcW w:w="1276" w:type="dxa"/>
            <w:vAlign w:val="center"/>
          </w:tcPr>
          <w:p w14:paraId="1D54BF73" w14:textId="77777777" w:rsidR="00294D81" w:rsidRPr="00CD1278" w:rsidRDefault="00294D81" w:rsidP="00F97A8E">
            <w:pPr>
              <w:spacing w:before="120" w:after="60"/>
              <w:jc w:val="center"/>
              <w:rPr>
                <w:color w:val="auto"/>
                <w:sz w:val="20"/>
              </w:rPr>
            </w:pPr>
          </w:p>
        </w:tc>
      </w:tr>
      <w:tr w:rsidR="0071748E" w:rsidRPr="00CD1278" w14:paraId="5C6FDE8D" w14:textId="77777777" w:rsidTr="00F97A8E">
        <w:tc>
          <w:tcPr>
            <w:tcW w:w="1786" w:type="dxa"/>
            <w:vAlign w:val="center"/>
          </w:tcPr>
          <w:p w14:paraId="71B4AFF8" w14:textId="4D009DA8" w:rsidR="0071748E" w:rsidRPr="00CD1278" w:rsidRDefault="0071748E" w:rsidP="0071748E">
            <w:pPr>
              <w:spacing w:before="120" w:after="60"/>
              <w:ind w:left="284"/>
              <w:rPr>
                <w:b/>
                <w:color w:val="auto"/>
                <w:sz w:val="20"/>
              </w:rPr>
            </w:pPr>
            <w:r w:rsidRPr="00CD1278">
              <w:rPr>
                <w:b/>
                <w:color w:val="auto"/>
                <w:sz w:val="20"/>
              </w:rPr>
              <w:t>Total</w:t>
            </w:r>
          </w:p>
        </w:tc>
        <w:tc>
          <w:tcPr>
            <w:tcW w:w="1219" w:type="dxa"/>
            <w:vAlign w:val="center"/>
          </w:tcPr>
          <w:p w14:paraId="3BCFBA4D" w14:textId="60BADF15" w:rsidR="0071748E" w:rsidRPr="00CD1278" w:rsidRDefault="0071748E" w:rsidP="00F97A8E">
            <w:pPr>
              <w:spacing w:before="120" w:after="60"/>
              <w:ind w:left="46"/>
              <w:jc w:val="center"/>
              <w:rPr>
                <w:b/>
                <w:color w:val="auto"/>
                <w:sz w:val="20"/>
                <w:lang w:eastAsia="en-AU"/>
              </w:rPr>
            </w:pPr>
            <w:r w:rsidRPr="00CD1278">
              <w:rPr>
                <w:b/>
                <w:color w:val="auto"/>
                <w:sz w:val="20"/>
                <w:lang w:eastAsia="en-AU"/>
              </w:rPr>
              <w:t>505</w:t>
            </w:r>
          </w:p>
        </w:tc>
        <w:tc>
          <w:tcPr>
            <w:tcW w:w="1560" w:type="dxa"/>
            <w:vAlign w:val="center"/>
          </w:tcPr>
          <w:p w14:paraId="2B2AE388" w14:textId="16818358" w:rsidR="0071748E" w:rsidRPr="00CD1278" w:rsidRDefault="0071748E" w:rsidP="00F97A8E">
            <w:pPr>
              <w:spacing w:before="120" w:after="60"/>
              <w:jc w:val="center"/>
              <w:rPr>
                <w:b/>
                <w:color w:val="auto"/>
                <w:sz w:val="20"/>
              </w:rPr>
            </w:pPr>
            <w:r w:rsidRPr="00CD1278">
              <w:rPr>
                <w:b/>
                <w:color w:val="auto"/>
                <w:sz w:val="20"/>
              </w:rPr>
              <w:t>411.978</w:t>
            </w:r>
          </w:p>
        </w:tc>
        <w:tc>
          <w:tcPr>
            <w:tcW w:w="1275" w:type="dxa"/>
            <w:vAlign w:val="bottom"/>
          </w:tcPr>
          <w:p w14:paraId="27679DCB" w14:textId="073BD082" w:rsidR="0071748E" w:rsidRPr="00CD1278" w:rsidRDefault="0071748E" w:rsidP="0071748E">
            <w:pPr>
              <w:spacing w:before="120" w:after="60"/>
              <w:jc w:val="center"/>
              <w:rPr>
                <w:b/>
                <w:color w:val="auto"/>
                <w:sz w:val="20"/>
              </w:rPr>
            </w:pPr>
            <w:r w:rsidRPr="00CD1278">
              <w:rPr>
                <w:rFonts w:cs="Times New Roman"/>
                <w:b/>
                <w:color w:val="auto"/>
                <w:szCs w:val="22"/>
              </w:rPr>
              <w:t>303.05</w:t>
            </w:r>
          </w:p>
        </w:tc>
        <w:tc>
          <w:tcPr>
            <w:tcW w:w="1134" w:type="dxa"/>
            <w:vAlign w:val="bottom"/>
          </w:tcPr>
          <w:p w14:paraId="4D1D2FDD" w14:textId="1CBAADEC" w:rsidR="0071748E" w:rsidRPr="00CD1278" w:rsidRDefault="0071748E" w:rsidP="0071748E">
            <w:pPr>
              <w:spacing w:before="120" w:after="60"/>
              <w:jc w:val="center"/>
              <w:rPr>
                <w:b/>
                <w:color w:val="auto"/>
                <w:sz w:val="20"/>
              </w:rPr>
            </w:pPr>
            <w:r w:rsidRPr="00CD1278">
              <w:rPr>
                <w:rFonts w:cs="Times New Roman"/>
                <w:b/>
                <w:color w:val="auto"/>
                <w:szCs w:val="22"/>
              </w:rPr>
              <w:t>263.677</w:t>
            </w:r>
          </w:p>
        </w:tc>
        <w:tc>
          <w:tcPr>
            <w:tcW w:w="993" w:type="dxa"/>
            <w:vAlign w:val="bottom"/>
          </w:tcPr>
          <w:p w14:paraId="73C2172F" w14:textId="40AEEE08" w:rsidR="0071748E" w:rsidRPr="00CD1278" w:rsidRDefault="0071748E" w:rsidP="0071748E">
            <w:pPr>
              <w:spacing w:before="120" w:after="60"/>
              <w:jc w:val="center"/>
              <w:rPr>
                <w:b/>
                <w:color w:val="auto"/>
                <w:sz w:val="20"/>
              </w:rPr>
            </w:pPr>
            <w:r w:rsidRPr="00CD1278">
              <w:rPr>
                <w:rFonts w:cs="Times New Roman"/>
                <w:b/>
                <w:color w:val="auto"/>
                <w:szCs w:val="22"/>
              </w:rPr>
              <w:t>118.50</w:t>
            </w:r>
          </w:p>
        </w:tc>
        <w:tc>
          <w:tcPr>
            <w:tcW w:w="1275" w:type="dxa"/>
            <w:vAlign w:val="bottom"/>
          </w:tcPr>
          <w:p w14:paraId="78006779" w14:textId="11EE84B2" w:rsidR="0071748E" w:rsidRPr="00CD1278" w:rsidRDefault="0071748E" w:rsidP="0071748E">
            <w:pPr>
              <w:spacing w:before="120" w:after="60"/>
              <w:jc w:val="center"/>
              <w:rPr>
                <w:b/>
                <w:color w:val="auto"/>
                <w:sz w:val="20"/>
              </w:rPr>
            </w:pPr>
            <w:r w:rsidRPr="00CD1278">
              <w:rPr>
                <w:rFonts w:cs="Times New Roman"/>
                <w:b/>
                <w:color w:val="auto"/>
                <w:szCs w:val="22"/>
              </w:rPr>
              <w:t>333.26</w:t>
            </w:r>
          </w:p>
        </w:tc>
        <w:tc>
          <w:tcPr>
            <w:tcW w:w="1276" w:type="dxa"/>
            <w:vAlign w:val="bottom"/>
          </w:tcPr>
          <w:p w14:paraId="428E8178" w14:textId="066567B3" w:rsidR="0071748E" w:rsidRPr="00CD1278" w:rsidRDefault="0071748E" w:rsidP="0071748E">
            <w:pPr>
              <w:spacing w:before="120" w:after="60"/>
              <w:jc w:val="center"/>
              <w:rPr>
                <w:b/>
                <w:color w:val="auto"/>
                <w:sz w:val="20"/>
              </w:rPr>
            </w:pPr>
            <w:r w:rsidRPr="00CD1278">
              <w:rPr>
                <w:rFonts w:cs="Times New Roman"/>
                <w:b/>
                <w:color w:val="auto"/>
                <w:szCs w:val="22"/>
              </w:rPr>
              <w:t>388.019</w:t>
            </w:r>
          </w:p>
        </w:tc>
        <w:tc>
          <w:tcPr>
            <w:tcW w:w="1276" w:type="dxa"/>
            <w:vAlign w:val="bottom"/>
          </w:tcPr>
          <w:p w14:paraId="7009C3D0" w14:textId="7B47F8FE" w:rsidR="0071748E" w:rsidRPr="00CD1278" w:rsidRDefault="0071748E" w:rsidP="0071748E">
            <w:pPr>
              <w:spacing w:before="120" w:after="60"/>
              <w:jc w:val="center"/>
              <w:rPr>
                <w:b/>
                <w:color w:val="auto"/>
                <w:sz w:val="20"/>
              </w:rPr>
            </w:pPr>
            <w:r w:rsidRPr="00CD1278">
              <w:rPr>
                <w:rFonts w:cs="Times New Roman"/>
                <w:b/>
                <w:color w:val="auto"/>
                <w:szCs w:val="22"/>
              </w:rPr>
              <w:t>255.017</w:t>
            </w:r>
          </w:p>
        </w:tc>
        <w:tc>
          <w:tcPr>
            <w:tcW w:w="1276" w:type="dxa"/>
            <w:vAlign w:val="bottom"/>
          </w:tcPr>
          <w:p w14:paraId="41A9FFFE" w14:textId="1328269B" w:rsidR="0071748E" w:rsidRPr="00CD1278" w:rsidRDefault="0071748E" w:rsidP="0071748E">
            <w:pPr>
              <w:spacing w:before="120" w:after="60"/>
              <w:jc w:val="center"/>
              <w:rPr>
                <w:b/>
                <w:color w:val="auto"/>
                <w:sz w:val="20"/>
              </w:rPr>
            </w:pPr>
            <w:r w:rsidRPr="00CD1278">
              <w:rPr>
                <w:rFonts w:cs="Times New Roman"/>
                <w:b/>
                <w:color w:val="auto"/>
                <w:szCs w:val="22"/>
              </w:rPr>
              <w:t>209.59</w:t>
            </w:r>
          </w:p>
        </w:tc>
        <w:tc>
          <w:tcPr>
            <w:tcW w:w="1276" w:type="dxa"/>
            <w:vAlign w:val="center"/>
          </w:tcPr>
          <w:p w14:paraId="31CE8FD0" w14:textId="77777777" w:rsidR="0071748E" w:rsidRPr="00CD1278" w:rsidRDefault="0071748E" w:rsidP="0071748E">
            <w:pPr>
              <w:spacing w:before="120" w:after="60"/>
              <w:jc w:val="center"/>
              <w:rPr>
                <w:color w:val="auto"/>
                <w:sz w:val="20"/>
              </w:rPr>
            </w:pPr>
          </w:p>
        </w:tc>
      </w:tr>
    </w:tbl>
    <w:p w14:paraId="4FF9C565" w14:textId="77777777" w:rsidR="004B39C7" w:rsidRPr="00CD1278" w:rsidRDefault="004B39C7" w:rsidP="002121DB">
      <w:pPr>
        <w:ind w:left="284"/>
        <w:rPr>
          <w:rFonts w:asciiTheme="majorBidi" w:hAnsiTheme="majorBidi" w:cstheme="majorBidi"/>
          <w:color w:val="auto"/>
          <w:sz w:val="24"/>
          <w:szCs w:val="24"/>
        </w:rPr>
      </w:pPr>
    </w:p>
    <w:p w14:paraId="71E3C594" w14:textId="77777777" w:rsidR="00093383" w:rsidRPr="00CD1278" w:rsidRDefault="00093383" w:rsidP="00093383">
      <w:pPr>
        <w:rPr>
          <w:color w:val="auto"/>
        </w:rPr>
        <w:sectPr w:rsidR="00093383" w:rsidRPr="00CD1278" w:rsidSect="0038722C">
          <w:headerReference w:type="even" r:id="rId49"/>
          <w:headerReference w:type="default" r:id="rId50"/>
          <w:footerReference w:type="even" r:id="rId51"/>
          <w:footerReference w:type="default" r:id="rId52"/>
          <w:headerReference w:type="first" r:id="rId53"/>
          <w:pgSz w:w="16834" w:h="11909" w:orient="landscape" w:code="9"/>
          <w:pgMar w:top="720" w:right="720" w:bottom="1134" w:left="720" w:header="720" w:footer="720" w:gutter="0"/>
          <w:cols w:space="720"/>
          <w:docGrid w:linePitch="360"/>
        </w:sectPr>
      </w:pPr>
    </w:p>
    <w:p w14:paraId="6F20352D" w14:textId="1F6EE53A" w:rsidR="008D5F24" w:rsidRPr="00CD1278" w:rsidRDefault="00655D62" w:rsidP="00A426E1">
      <w:pPr>
        <w:pStyle w:val="Heading1"/>
        <w:rPr>
          <w:rStyle w:val="Heading1Char3"/>
          <w:bCs/>
          <w:color w:val="auto"/>
        </w:rPr>
      </w:pPr>
      <w:bookmarkStart w:id="54" w:name="_Toc453277813"/>
      <w:r w:rsidRPr="00CD1278">
        <w:rPr>
          <w:rStyle w:val="Heading1Char3"/>
          <w:bCs/>
          <w:color w:val="auto"/>
        </w:rPr>
        <w:t>1</w:t>
      </w:r>
      <w:r w:rsidR="006B71CA" w:rsidRPr="00CD1278">
        <w:rPr>
          <w:rStyle w:val="Heading1Char3"/>
          <w:bCs/>
          <w:color w:val="auto"/>
        </w:rPr>
        <w:t>.3</w:t>
      </w:r>
      <w:r w:rsidR="006B71CA" w:rsidRPr="00CD1278">
        <w:rPr>
          <w:rStyle w:val="Heading1Char3"/>
          <w:bCs/>
          <w:color w:val="auto"/>
        </w:rPr>
        <w:tab/>
      </w:r>
      <w:r w:rsidR="008D5F24" w:rsidRPr="00CD1278">
        <w:rPr>
          <w:rStyle w:val="Heading1Char3"/>
          <w:bCs/>
          <w:color w:val="auto"/>
        </w:rPr>
        <w:t xml:space="preserve">Evaluations of CUNs </w:t>
      </w:r>
      <w:r w:rsidR="006931AD" w:rsidRPr="00CD1278">
        <w:rPr>
          <w:rStyle w:val="Heading1Char3"/>
          <w:bCs/>
          <w:color w:val="auto"/>
        </w:rPr>
        <w:t xml:space="preserve">in the </w:t>
      </w:r>
      <w:r w:rsidR="009903AB" w:rsidRPr="00CD1278">
        <w:rPr>
          <w:rStyle w:val="Heading1Char3"/>
          <w:bCs/>
          <w:color w:val="auto"/>
        </w:rPr>
        <w:t xml:space="preserve">2018 </w:t>
      </w:r>
      <w:r w:rsidR="00FA261B" w:rsidRPr="00CD1278">
        <w:rPr>
          <w:rStyle w:val="Heading1Char3"/>
          <w:bCs/>
          <w:color w:val="auto"/>
        </w:rPr>
        <w:t>R</w:t>
      </w:r>
      <w:r w:rsidR="008D5F24" w:rsidRPr="00CD1278">
        <w:rPr>
          <w:rStyle w:val="Heading1Char3"/>
          <w:bCs/>
          <w:color w:val="auto"/>
        </w:rPr>
        <w:t xml:space="preserve">ound for </w:t>
      </w:r>
      <w:r w:rsidR="009903AB" w:rsidRPr="00CD1278">
        <w:rPr>
          <w:rStyle w:val="Heading1Char3"/>
          <w:bCs/>
          <w:color w:val="auto"/>
        </w:rPr>
        <w:t xml:space="preserve">2019 </w:t>
      </w:r>
      <w:r w:rsidR="00094463" w:rsidRPr="00CD1278">
        <w:rPr>
          <w:rStyle w:val="Heading1Char3"/>
          <w:bCs/>
          <w:color w:val="auto"/>
        </w:rPr>
        <w:t xml:space="preserve">and </w:t>
      </w:r>
      <w:r w:rsidR="009903AB" w:rsidRPr="00CD1278">
        <w:rPr>
          <w:rStyle w:val="Heading1Char3"/>
          <w:bCs/>
          <w:color w:val="auto"/>
        </w:rPr>
        <w:t xml:space="preserve">2020 </w:t>
      </w:r>
      <w:r w:rsidR="00FA261B" w:rsidRPr="00CD1278">
        <w:rPr>
          <w:rStyle w:val="Heading1Char3"/>
          <w:bCs/>
          <w:color w:val="auto"/>
        </w:rPr>
        <w:t>E</w:t>
      </w:r>
      <w:r w:rsidR="008D5F24" w:rsidRPr="00CD1278">
        <w:rPr>
          <w:rStyle w:val="Heading1Char3"/>
          <w:bCs/>
          <w:color w:val="auto"/>
        </w:rPr>
        <w:t>xemptions</w:t>
      </w:r>
      <w:bookmarkEnd w:id="52"/>
      <w:bookmarkEnd w:id="53"/>
      <w:bookmarkEnd w:id="54"/>
    </w:p>
    <w:p w14:paraId="41A4E600" w14:textId="298F8F87" w:rsidR="00F56DC4" w:rsidRPr="00CD1278" w:rsidRDefault="00316181" w:rsidP="005A552B">
      <w:pPr>
        <w:rPr>
          <w:color w:val="auto"/>
          <w:szCs w:val="22"/>
        </w:rPr>
      </w:pPr>
      <w:r w:rsidRPr="00CD1278">
        <w:rPr>
          <w:color w:val="auto"/>
          <w:szCs w:val="22"/>
        </w:rPr>
        <w:t xml:space="preserve">All </w:t>
      </w:r>
      <w:r w:rsidR="00F56DC4" w:rsidRPr="00CD1278">
        <w:rPr>
          <w:color w:val="auto"/>
          <w:szCs w:val="22"/>
        </w:rPr>
        <w:t xml:space="preserve">Parties </w:t>
      </w:r>
      <w:r w:rsidR="00D47AE2" w:rsidRPr="00CD1278">
        <w:rPr>
          <w:color w:val="auto"/>
          <w:szCs w:val="22"/>
        </w:rPr>
        <w:t xml:space="preserve">requesting </w:t>
      </w:r>
      <w:r w:rsidR="0093738F" w:rsidRPr="00CD1278">
        <w:rPr>
          <w:color w:val="auto"/>
          <w:szCs w:val="22"/>
        </w:rPr>
        <w:t>CUNs</w:t>
      </w:r>
      <w:r w:rsidR="009F2124" w:rsidRPr="00CD1278">
        <w:rPr>
          <w:color w:val="auto"/>
          <w:szCs w:val="22"/>
        </w:rPr>
        <w:t xml:space="preserve"> </w:t>
      </w:r>
      <w:r w:rsidR="00D47AE2" w:rsidRPr="00CD1278">
        <w:rPr>
          <w:color w:val="auto"/>
          <w:szCs w:val="22"/>
        </w:rPr>
        <w:t xml:space="preserve">in </w:t>
      </w:r>
      <w:r w:rsidR="009903AB" w:rsidRPr="00CD1278">
        <w:rPr>
          <w:color w:val="auto"/>
          <w:szCs w:val="22"/>
        </w:rPr>
        <w:t xml:space="preserve">2018 </w:t>
      </w:r>
      <w:r w:rsidR="009F2124" w:rsidRPr="00CD1278">
        <w:rPr>
          <w:color w:val="auto"/>
          <w:szCs w:val="22"/>
        </w:rPr>
        <w:t xml:space="preserve">for critical use exemptions in </w:t>
      </w:r>
      <w:r w:rsidR="009903AB" w:rsidRPr="00CD1278">
        <w:rPr>
          <w:color w:val="auto"/>
          <w:szCs w:val="22"/>
        </w:rPr>
        <w:t xml:space="preserve">2019 </w:t>
      </w:r>
      <w:r w:rsidR="00D4297A" w:rsidRPr="00CD1278">
        <w:rPr>
          <w:color w:val="auto"/>
          <w:szCs w:val="22"/>
        </w:rPr>
        <w:t xml:space="preserve">or </w:t>
      </w:r>
      <w:r w:rsidR="009903AB" w:rsidRPr="00CD1278">
        <w:rPr>
          <w:color w:val="auto"/>
          <w:szCs w:val="22"/>
        </w:rPr>
        <w:t xml:space="preserve">2020 </w:t>
      </w:r>
      <w:r w:rsidR="00D47AE2" w:rsidRPr="00CD1278">
        <w:rPr>
          <w:color w:val="auto"/>
          <w:szCs w:val="22"/>
        </w:rPr>
        <w:t xml:space="preserve">sent information </w:t>
      </w:r>
      <w:r w:rsidR="009F3308" w:rsidRPr="00CD1278">
        <w:rPr>
          <w:color w:val="auto"/>
          <w:szCs w:val="22"/>
        </w:rPr>
        <w:t xml:space="preserve">to </w:t>
      </w:r>
      <w:r w:rsidR="0093738F" w:rsidRPr="00CD1278">
        <w:rPr>
          <w:color w:val="auto"/>
          <w:szCs w:val="22"/>
        </w:rPr>
        <w:t xml:space="preserve">the Ozone Secretariat </w:t>
      </w:r>
      <w:r w:rsidR="00D4297A" w:rsidRPr="00CD1278">
        <w:rPr>
          <w:color w:val="auto"/>
          <w:szCs w:val="22"/>
        </w:rPr>
        <w:t xml:space="preserve">around </w:t>
      </w:r>
      <w:r w:rsidR="0093738F" w:rsidRPr="00CD1278">
        <w:rPr>
          <w:color w:val="auto"/>
          <w:szCs w:val="22"/>
        </w:rPr>
        <w:t>the January 24, deadline</w:t>
      </w:r>
      <w:r w:rsidR="009508A2" w:rsidRPr="00CD1278">
        <w:rPr>
          <w:color w:val="auto"/>
          <w:szCs w:val="22"/>
        </w:rPr>
        <w:t>.</w:t>
      </w:r>
      <w:r w:rsidR="00F56DC4" w:rsidRPr="00CD1278">
        <w:rPr>
          <w:color w:val="auto"/>
          <w:szCs w:val="22"/>
        </w:rPr>
        <w:t xml:space="preserve"> </w:t>
      </w:r>
    </w:p>
    <w:p w14:paraId="6E186224" w14:textId="4B2A9AFD" w:rsidR="00316181" w:rsidRPr="00CD1278" w:rsidRDefault="00B9613B" w:rsidP="005A552B">
      <w:pPr>
        <w:rPr>
          <w:color w:val="auto"/>
          <w:szCs w:val="22"/>
        </w:rPr>
      </w:pPr>
      <w:r w:rsidRPr="00CD1278">
        <w:rPr>
          <w:color w:val="auto"/>
          <w:szCs w:val="22"/>
        </w:rPr>
        <w:t>I</w:t>
      </w:r>
      <w:r w:rsidR="00F56DC4" w:rsidRPr="00CD1278">
        <w:rPr>
          <w:color w:val="auto"/>
          <w:szCs w:val="22"/>
        </w:rPr>
        <w:t>nformation on CUNs</w:t>
      </w:r>
      <w:r w:rsidRPr="00CD1278">
        <w:rPr>
          <w:color w:val="auto"/>
          <w:szCs w:val="22"/>
        </w:rPr>
        <w:t xml:space="preserve"> was forwarded by </w:t>
      </w:r>
      <w:r w:rsidR="00F56DC4" w:rsidRPr="00CD1278">
        <w:rPr>
          <w:color w:val="auto"/>
          <w:szCs w:val="22"/>
        </w:rPr>
        <w:t>t</w:t>
      </w:r>
      <w:r w:rsidR="0093738F" w:rsidRPr="00CD1278">
        <w:rPr>
          <w:color w:val="auto"/>
          <w:szCs w:val="22"/>
        </w:rPr>
        <w:t xml:space="preserve">he Secretariat </w:t>
      </w:r>
      <w:r w:rsidR="009F3308" w:rsidRPr="00CD1278">
        <w:rPr>
          <w:color w:val="auto"/>
          <w:szCs w:val="22"/>
        </w:rPr>
        <w:t>to MBTOC co-chairs</w:t>
      </w:r>
      <w:r w:rsidR="0093738F" w:rsidRPr="00CD1278">
        <w:rPr>
          <w:color w:val="auto"/>
          <w:szCs w:val="22"/>
        </w:rPr>
        <w:t>, who in turn</w:t>
      </w:r>
      <w:r w:rsidR="00890D25" w:rsidRPr="00CD1278">
        <w:rPr>
          <w:color w:val="auto"/>
          <w:szCs w:val="22"/>
        </w:rPr>
        <w:t>,</w:t>
      </w:r>
      <w:r w:rsidR="008908B4" w:rsidRPr="00CD1278">
        <w:rPr>
          <w:color w:val="auto"/>
          <w:szCs w:val="22"/>
        </w:rPr>
        <w:t xml:space="preserve"> </w:t>
      </w:r>
      <w:r w:rsidR="00AD0A31" w:rsidRPr="00CD1278">
        <w:rPr>
          <w:color w:val="auto"/>
          <w:szCs w:val="22"/>
        </w:rPr>
        <w:t xml:space="preserve">provided </w:t>
      </w:r>
      <w:r w:rsidRPr="00CD1278">
        <w:rPr>
          <w:color w:val="auto"/>
          <w:szCs w:val="22"/>
        </w:rPr>
        <w:t>this</w:t>
      </w:r>
      <w:r w:rsidR="00005800" w:rsidRPr="00CD1278">
        <w:rPr>
          <w:color w:val="auto"/>
          <w:szCs w:val="22"/>
        </w:rPr>
        <w:t xml:space="preserve"> </w:t>
      </w:r>
      <w:r w:rsidR="00AD0A31" w:rsidRPr="00CD1278">
        <w:rPr>
          <w:color w:val="auto"/>
          <w:szCs w:val="22"/>
        </w:rPr>
        <w:t>information to MBTOC</w:t>
      </w:r>
      <w:r w:rsidRPr="00CD1278">
        <w:rPr>
          <w:color w:val="auto"/>
          <w:szCs w:val="22"/>
        </w:rPr>
        <w:t xml:space="preserve"> members</w:t>
      </w:r>
      <w:r w:rsidR="00AD0A31" w:rsidRPr="00CD1278">
        <w:rPr>
          <w:color w:val="auto"/>
          <w:szCs w:val="22"/>
        </w:rPr>
        <w:t xml:space="preserve"> for preliminary assessment</w:t>
      </w:r>
      <w:r w:rsidRPr="00CD1278">
        <w:rPr>
          <w:color w:val="auto"/>
          <w:szCs w:val="22"/>
        </w:rPr>
        <w:t xml:space="preserve"> and</w:t>
      </w:r>
      <w:r w:rsidR="00AD0A31" w:rsidRPr="00CD1278">
        <w:rPr>
          <w:color w:val="auto"/>
          <w:szCs w:val="22"/>
        </w:rPr>
        <w:t xml:space="preserve"> to </w:t>
      </w:r>
      <w:r w:rsidRPr="00CD1278">
        <w:rPr>
          <w:color w:val="auto"/>
          <w:szCs w:val="22"/>
        </w:rPr>
        <w:t>confirm that it complied with requirements of</w:t>
      </w:r>
      <w:r w:rsidR="00AD0A31" w:rsidRPr="00CD1278">
        <w:rPr>
          <w:color w:val="auto"/>
          <w:szCs w:val="22"/>
        </w:rPr>
        <w:t xml:space="preserve"> Decision IX/6 and Annex 1 of the 16</w:t>
      </w:r>
      <w:r w:rsidR="00AD0A31" w:rsidRPr="00CD1278">
        <w:rPr>
          <w:color w:val="auto"/>
          <w:szCs w:val="22"/>
          <w:vertAlign w:val="superscript"/>
        </w:rPr>
        <w:t>th</w:t>
      </w:r>
      <w:r w:rsidR="00AD0A31" w:rsidRPr="00CD1278">
        <w:rPr>
          <w:color w:val="auto"/>
          <w:szCs w:val="22"/>
        </w:rPr>
        <w:t xml:space="preserve"> MOP. Where </w:t>
      </w:r>
      <w:r w:rsidR="002834E9" w:rsidRPr="00CD1278">
        <w:rPr>
          <w:color w:val="auto"/>
          <w:szCs w:val="22"/>
        </w:rPr>
        <w:t>some evidence</w:t>
      </w:r>
      <w:r w:rsidR="00005800" w:rsidRPr="00CD1278">
        <w:rPr>
          <w:color w:val="auto"/>
          <w:szCs w:val="22"/>
        </w:rPr>
        <w:t xml:space="preserve"> </w:t>
      </w:r>
      <w:r w:rsidR="00AD0A31" w:rsidRPr="00CD1278">
        <w:rPr>
          <w:color w:val="auto"/>
          <w:szCs w:val="22"/>
        </w:rPr>
        <w:t xml:space="preserve">was missing, </w:t>
      </w:r>
      <w:r w:rsidR="00D4297A" w:rsidRPr="00CD1278">
        <w:rPr>
          <w:color w:val="auto"/>
          <w:szCs w:val="22"/>
        </w:rPr>
        <w:t xml:space="preserve">or </w:t>
      </w:r>
      <w:r w:rsidR="00AD0A31" w:rsidRPr="00CD1278">
        <w:rPr>
          <w:color w:val="auto"/>
          <w:szCs w:val="22"/>
        </w:rPr>
        <w:t>MBTOC</w:t>
      </w:r>
      <w:r w:rsidR="00D4297A" w:rsidRPr="00CD1278">
        <w:rPr>
          <w:color w:val="auto"/>
          <w:szCs w:val="22"/>
        </w:rPr>
        <w:t xml:space="preserve"> required clarification, </w:t>
      </w:r>
      <w:r w:rsidR="00715BFF" w:rsidRPr="00CD1278">
        <w:rPr>
          <w:color w:val="auto"/>
          <w:szCs w:val="22"/>
        </w:rPr>
        <w:t>a request of the information required was sent to the</w:t>
      </w:r>
      <w:r w:rsidR="00AD0A31" w:rsidRPr="00CD1278">
        <w:rPr>
          <w:color w:val="auto"/>
          <w:szCs w:val="22"/>
        </w:rPr>
        <w:t xml:space="preserve"> Parties</w:t>
      </w:r>
      <w:r w:rsidR="00D4297A" w:rsidRPr="00CD1278">
        <w:rPr>
          <w:color w:val="auto"/>
          <w:szCs w:val="22"/>
        </w:rPr>
        <w:t>, via the Secretariat</w:t>
      </w:r>
      <w:r w:rsidR="002D659B" w:rsidRPr="00CD1278">
        <w:rPr>
          <w:color w:val="auto"/>
          <w:szCs w:val="22"/>
        </w:rPr>
        <w:t>,</w:t>
      </w:r>
      <w:r w:rsidR="00AD0A31" w:rsidRPr="00CD1278">
        <w:rPr>
          <w:color w:val="auto"/>
          <w:szCs w:val="22"/>
        </w:rPr>
        <w:t xml:space="preserve"> prior to the interim assessment.</w:t>
      </w:r>
    </w:p>
    <w:p w14:paraId="58A294B3" w14:textId="77777777" w:rsidR="00B0225A" w:rsidRPr="00CD1278" w:rsidRDefault="00B0225A" w:rsidP="005A552B">
      <w:pPr>
        <w:pBdr>
          <w:top w:val="single" w:sz="4" w:space="1" w:color="auto"/>
          <w:left w:val="single" w:sz="4" w:space="4" w:color="auto"/>
          <w:bottom w:val="single" w:sz="4" w:space="1" w:color="auto"/>
          <w:right w:val="single" w:sz="4" w:space="4" w:color="auto"/>
        </w:pBdr>
        <w:shd w:val="clear" w:color="auto" w:fill="D9D9D9" w:themeFill="background1" w:themeFillShade="D9"/>
        <w:rPr>
          <w:color w:val="auto"/>
        </w:rPr>
      </w:pPr>
      <w:r w:rsidRPr="00CD1278">
        <w:rPr>
          <w:color w:val="auto"/>
        </w:rPr>
        <w:t xml:space="preserve">For preplant soil uses of MB, Australia and Canada submitted CUNs for similar amounts as in previous rounds, highlighting difficulties with phase out of MB for the strawberry runners sector specifically.  With respect to A5 Parties, Argentina submitted CUNs for the strawberry fruit (open field) and tomato sectors (protected). China who applied for CUNs for protected and field production of ginger in previous years did not apply for any CUNs in this round. </w:t>
      </w:r>
    </w:p>
    <w:p w14:paraId="702F8B8A" w14:textId="6555DDDE" w:rsidR="00B0225A" w:rsidRPr="00CD1278" w:rsidRDefault="00B0225A" w:rsidP="005A552B">
      <w:pPr>
        <w:pBdr>
          <w:top w:val="single" w:sz="4" w:space="1" w:color="auto"/>
          <w:left w:val="single" w:sz="4" w:space="4" w:color="auto"/>
          <w:bottom w:val="single" w:sz="4" w:space="1" w:color="auto"/>
          <w:right w:val="single" w:sz="4" w:space="4" w:color="auto"/>
        </w:pBdr>
        <w:shd w:val="clear" w:color="auto" w:fill="D9D9D9" w:themeFill="background1" w:themeFillShade="D9"/>
        <w:rPr>
          <w:color w:val="auto"/>
        </w:rPr>
      </w:pPr>
      <w:r w:rsidRPr="00CD1278">
        <w:rPr>
          <w:color w:val="auto"/>
        </w:rPr>
        <w:t xml:space="preserve">For MB use in the postharvest and structure sectors, two CUNs were received from South Africa for Mills and House disinfestation.  </w:t>
      </w:r>
    </w:p>
    <w:p w14:paraId="141FAF63" w14:textId="521A7D43" w:rsidR="00BC46E5" w:rsidRPr="00CD1278" w:rsidRDefault="00BC46E5" w:rsidP="005A552B">
      <w:pPr>
        <w:pBdr>
          <w:top w:val="single" w:sz="4" w:space="1" w:color="auto"/>
          <w:left w:val="single" w:sz="4" w:space="4" w:color="auto"/>
          <w:bottom w:val="single" w:sz="4" w:space="1" w:color="auto"/>
          <w:right w:val="single" w:sz="4" w:space="4" w:color="auto"/>
        </w:pBdr>
        <w:shd w:val="clear" w:color="auto" w:fill="D9D9D9" w:themeFill="background1" w:themeFillShade="D9"/>
        <w:rPr>
          <w:color w:val="auto"/>
        </w:rPr>
      </w:pPr>
      <w:r w:rsidRPr="00CD1278">
        <w:rPr>
          <w:color w:val="auto"/>
        </w:rPr>
        <w:t xml:space="preserve">The total nominated amount for all countries for </w:t>
      </w:r>
      <w:r w:rsidR="009903AB" w:rsidRPr="00CD1278">
        <w:rPr>
          <w:color w:val="auto"/>
        </w:rPr>
        <w:t xml:space="preserve">2019 </w:t>
      </w:r>
      <w:r w:rsidRPr="00CD1278">
        <w:rPr>
          <w:color w:val="auto"/>
        </w:rPr>
        <w:t xml:space="preserve">was </w:t>
      </w:r>
      <w:r w:rsidR="00B302B4" w:rsidRPr="00CD1278">
        <w:rPr>
          <w:color w:val="auto"/>
        </w:rPr>
        <w:t>12</w:t>
      </w:r>
      <w:r w:rsidR="00372082" w:rsidRPr="00CD1278">
        <w:rPr>
          <w:color w:val="auto"/>
        </w:rPr>
        <w:t>3</w:t>
      </w:r>
      <w:r w:rsidR="00B302B4" w:rsidRPr="00CD1278">
        <w:rPr>
          <w:color w:val="auto"/>
        </w:rPr>
        <w:t>.</w:t>
      </w:r>
      <w:r w:rsidR="00372082" w:rsidRPr="00CD1278">
        <w:rPr>
          <w:color w:val="auto"/>
        </w:rPr>
        <w:t>7</w:t>
      </w:r>
      <w:r w:rsidR="00C35C59" w:rsidRPr="00CD1278">
        <w:rPr>
          <w:color w:val="auto"/>
        </w:rPr>
        <w:t>6</w:t>
      </w:r>
      <w:r w:rsidR="00B302B4" w:rsidRPr="00CD1278">
        <w:rPr>
          <w:color w:val="auto"/>
        </w:rPr>
        <w:t>1</w:t>
      </w:r>
      <w:r w:rsidRPr="00CD1278">
        <w:rPr>
          <w:color w:val="auto"/>
        </w:rPr>
        <w:t xml:space="preserve"> tonnes of which MBTOC made an interim recommendation for </w:t>
      </w:r>
      <w:r w:rsidR="00B302B4" w:rsidRPr="00CD1278">
        <w:rPr>
          <w:color w:val="auto"/>
        </w:rPr>
        <w:t>76.</w:t>
      </w:r>
      <w:r w:rsidR="00D175EF" w:rsidRPr="00CD1278">
        <w:rPr>
          <w:color w:val="auto"/>
        </w:rPr>
        <w:t xml:space="preserve">275 </w:t>
      </w:r>
      <w:r w:rsidRPr="00CD1278">
        <w:rPr>
          <w:color w:val="auto"/>
        </w:rPr>
        <w:t>tonnes</w:t>
      </w:r>
      <w:r w:rsidR="00B302B4" w:rsidRPr="00CD1278">
        <w:rPr>
          <w:color w:val="auto"/>
        </w:rPr>
        <w:t xml:space="preserve"> and for 2020 </w:t>
      </w:r>
      <w:r w:rsidR="00372082" w:rsidRPr="00CD1278">
        <w:rPr>
          <w:color w:val="auto"/>
        </w:rPr>
        <w:t xml:space="preserve">an amount of </w:t>
      </w:r>
      <w:r w:rsidR="00B302B4" w:rsidRPr="00CD1278">
        <w:rPr>
          <w:color w:val="auto"/>
        </w:rPr>
        <w:t>28.98 t of which MBTOC recommended 26.08 t</w:t>
      </w:r>
      <w:r w:rsidR="00372082" w:rsidRPr="00CD1278">
        <w:rPr>
          <w:color w:val="auto"/>
        </w:rPr>
        <w:t xml:space="preserve"> (Tables 1.5,and </w:t>
      </w:r>
      <w:r w:rsidRPr="00CD1278">
        <w:rPr>
          <w:color w:val="auto"/>
        </w:rPr>
        <w:t xml:space="preserve">1.11).  </w:t>
      </w:r>
    </w:p>
    <w:p w14:paraId="1E9822BD" w14:textId="1749BCD5" w:rsidR="00BC46E5" w:rsidRPr="00CD1278" w:rsidRDefault="00BC46E5" w:rsidP="005A552B">
      <w:pPr>
        <w:rPr>
          <w:color w:val="auto"/>
        </w:rPr>
      </w:pPr>
      <w:r w:rsidRPr="00CD1278">
        <w:rPr>
          <w:color w:val="auto"/>
        </w:rPr>
        <w:t xml:space="preserve">In general the justification for CUNs being submitted by parties </w:t>
      </w:r>
      <w:r w:rsidR="002D659B" w:rsidRPr="00CD1278">
        <w:rPr>
          <w:color w:val="auto"/>
        </w:rPr>
        <w:t xml:space="preserve">related </w:t>
      </w:r>
      <w:r w:rsidRPr="00CD1278">
        <w:rPr>
          <w:color w:val="auto"/>
        </w:rPr>
        <w:t xml:space="preserve">to the following alleged issues: environmental conditions and regulatory restrictions did not allow partial or full use of alternatives, difficulties in the scale-up of alternatives and that potential alternatives were considered uneconomical, insufficiently effective and/or were unavailable. In paragraph 20 of Annex 1 referred to in Decision XVI/4, Parties specifically requested MBTOC </w:t>
      </w:r>
      <w:r w:rsidR="00611BDB" w:rsidRPr="00CD1278">
        <w:rPr>
          <w:color w:val="auto"/>
        </w:rPr>
        <w:t xml:space="preserve">to </w:t>
      </w:r>
      <w:r w:rsidRPr="00CD1278">
        <w:rPr>
          <w:color w:val="auto"/>
        </w:rPr>
        <w:t>explicitly state the specific basis for the Party’s economic statement relating to CUNs.  Tables 1.10 and 1.1</w:t>
      </w:r>
      <w:r w:rsidR="00C35C59" w:rsidRPr="00CD1278">
        <w:rPr>
          <w:color w:val="auto"/>
        </w:rPr>
        <w:t>2</w:t>
      </w:r>
      <w:r w:rsidRPr="00CD1278">
        <w:rPr>
          <w:color w:val="auto"/>
        </w:rPr>
        <w:t xml:space="preserve"> provide this information for each CUN as prepared by the MBTOC economist and the MBTOC members. MBTOC notes the standard of the economic information supplied by the nominating Parties varied.</w:t>
      </w:r>
      <w:r w:rsidRPr="00CD1278">
        <w:rPr>
          <w:color w:val="auto"/>
          <w:szCs w:val="22"/>
        </w:rPr>
        <w:t xml:space="preserve"> </w:t>
      </w:r>
    </w:p>
    <w:p w14:paraId="150C5660" w14:textId="490397C5" w:rsidR="008D5F24" w:rsidRPr="00CD1278" w:rsidRDefault="00655D62" w:rsidP="005A552B">
      <w:pPr>
        <w:pStyle w:val="Heading2"/>
        <w:rPr>
          <w:lang w:val="en-GB"/>
        </w:rPr>
      </w:pPr>
      <w:bookmarkStart w:id="55" w:name="_Toc324255706"/>
      <w:bookmarkStart w:id="56" w:name="_Toc293054741"/>
      <w:bookmarkStart w:id="57" w:name="_Toc453277814"/>
      <w:r w:rsidRPr="00CD1278">
        <w:rPr>
          <w:lang w:val="en-GB"/>
        </w:rPr>
        <w:t>1</w:t>
      </w:r>
      <w:r w:rsidR="008D5F24" w:rsidRPr="00CD1278">
        <w:rPr>
          <w:lang w:val="en-GB"/>
        </w:rPr>
        <w:t>.3.1</w:t>
      </w:r>
      <w:r w:rsidR="008D5F24" w:rsidRPr="00CD1278">
        <w:rPr>
          <w:lang w:val="en-GB"/>
        </w:rPr>
        <w:tab/>
        <w:t>Critical Use Nomination Review</w:t>
      </w:r>
      <w:bookmarkEnd w:id="55"/>
      <w:bookmarkEnd w:id="56"/>
      <w:bookmarkEnd w:id="57"/>
      <w:r w:rsidR="00611BDB" w:rsidRPr="00CD1278">
        <w:rPr>
          <w:lang w:val="en-GB"/>
        </w:rPr>
        <w:t xml:space="preserve"> Process</w:t>
      </w:r>
    </w:p>
    <w:p w14:paraId="394990DC" w14:textId="475E3D8B" w:rsidR="00C35C59" w:rsidRPr="00CD1278" w:rsidRDefault="00C35C59" w:rsidP="005A552B">
      <w:pPr>
        <w:rPr>
          <w:color w:val="auto"/>
          <w:szCs w:val="22"/>
          <w:lang w:eastAsia="fr-FR"/>
        </w:rPr>
      </w:pPr>
      <w:r w:rsidRPr="00CD1278">
        <w:rPr>
          <w:color w:val="auto"/>
          <w:szCs w:val="22"/>
        </w:rPr>
        <w:t xml:space="preserve">Detailed interim assessments of all CUNs were conducted by MBTOC at a meeting in Melbourne, Australia from 5-9 March, 2018.  </w:t>
      </w:r>
      <w:r w:rsidRPr="00CD1278">
        <w:rPr>
          <w:color w:val="auto"/>
        </w:rPr>
        <w:t xml:space="preserve">The meeting was held in accordance with the time schedule for the consideration of CUNs as required by Decision XVI/4 (see Annex 1).  </w:t>
      </w:r>
      <w:r w:rsidRPr="00CD1278">
        <w:rPr>
          <w:color w:val="auto"/>
          <w:szCs w:val="22"/>
        </w:rPr>
        <w:t>The majority (15 out of 16) of MBTOC members with expertise in soils, SC and QPS applications of methyl bromide attended the meeting. MBTOC worked as a single committee, not in sub-committees. The co-chairs appointed working groups to address</w:t>
      </w:r>
      <w:r w:rsidRPr="00CD1278">
        <w:rPr>
          <w:color w:val="auto"/>
          <w:szCs w:val="22"/>
          <w:lang w:eastAsia="fr-FR"/>
        </w:rPr>
        <w:t xml:space="preserve"> the different tasks assigned to MBTOC including CUNs, the annual Progress Report and preliminary preparation of the 2018 Assessment Report. Recommendations were discussed and signed off in plenary and by consensus. This scheme allowed members with specific expertise to make contributions where they were most useful and for all the committee to fully participate in the decision</w:t>
      </w:r>
      <w:r w:rsidR="00427443" w:rsidRPr="00CD1278">
        <w:rPr>
          <w:color w:val="auto"/>
          <w:szCs w:val="22"/>
          <w:lang w:eastAsia="fr-FR"/>
        </w:rPr>
        <w:t>-</w:t>
      </w:r>
      <w:r w:rsidRPr="00CD1278">
        <w:rPr>
          <w:color w:val="auto"/>
          <w:szCs w:val="22"/>
          <w:lang w:eastAsia="fr-FR"/>
        </w:rPr>
        <w:t xml:space="preserve">making process. </w:t>
      </w:r>
    </w:p>
    <w:p w14:paraId="564716D2" w14:textId="056BCCB3" w:rsidR="00C35C59" w:rsidRPr="00CD1278" w:rsidRDefault="00C35C59" w:rsidP="005A552B">
      <w:pPr>
        <w:rPr>
          <w:color w:val="auto"/>
        </w:rPr>
      </w:pPr>
      <w:r w:rsidRPr="00CD1278">
        <w:rPr>
          <w:color w:val="auto"/>
        </w:rPr>
        <w:t>MBTOC conducted a field visit to a strawberry runner production facility requiring pre-plant soil fumigation and was presented with extensive information on research presently underway to test a range of alternatives. During the meeting in Melbourne, presentations were given by the industry on recapture and recycling of methyl bromide from post</w:t>
      </w:r>
      <w:r w:rsidR="00427443" w:rsidRPr="00CD1278">
        <w:rPr>
          <w:color w:val="auto"/>
        </w:rPr>
        <w:t>-</w:t>
      </w:r>
      <w:r w:rsidRPr="00CD1278">
        <w:rPr>
          <w:color w:val="auto"/>
        </w:rPr>
        <w:t>harvest applications. MBTOC also held a bilateral meeting with the Canadian delegation to further clarify the particular circumstances of their CUN.</w:t>
      </w:r>
    </w:p>
    <w:p w14:paraId="155A5627" w14:textId="5061EF20" w:rsidR="008D5F24" w:rsidRPr="00CD1278" w:rsidRDefault="008D5F24" w:rsidP="005A552B">
      <w:pPr>
        <w:rPr>
          <w:color w:val="auto"/>
        </w:rPr>
      </w:pPr>
      <w:r w:rsidRPr="00CD1278">
        <w:rPr>
          <w:color w:val="auto"/>
        </w:rPr>
        <w:t xml:space="preserve">In </w:t>
      </w:r>
      <w:r w:rsidR="00CA7565" w:rsidRPr="00CD1278">
        <w:rPr>
          <w:color w:val="auto"/>
        </w:rPr>
        <w:t>assessing</w:t>
      </w:r>
      <w:r w:rsidR="00005800" w:rsidRPr="00CD1278">
        <w:rPr>
          <w:color w:val="auto"/>
        </w:rPr>
        <w:t xml:space="preserve"> </w:t>
      </w:r>
      <w:r w:rsidRPr="00CD1278">
        <w:rPr>
          <w:color w:val="auto"/>
        </w:rPr>
        <w:t xml:space="preserve">the CUNs submitted in </w:t>
      </w:r>
      <w:r w:rsidR="00AC20A5" w:rsidRPr="00CD1278">
        <w:rPr>
          <w:color w:val="auto"/>
        </w:rPr>
        <w:t>201</w:t>
      </w:r>
      <w:r w:rsidR="00B0225A" w:rsidRPr="00CD1278">
        <w:rPr>
          <w:color w:val="auto"/>
        </w:rPr>
        <w:t>8</w:t>
      </w:r>
      <w:r w:rsidRPr="00CD1278">
        <w:rPr>
          <w:color w:val="auto"/>
        </w:rPr>
        <w:t xml:space="preserve">, as in previous rounds, MBTOC applied as much as possible the standards contained in Annex I of the final report of </w:t>
      </w:r>
      <w:r w:rsidR="00CA7565" w:rsidRPr="00CD1278">
        <w:rPr>
          <w:color w:val="auto"/>
        </w:rPr>
        <w:t xml:space="preserve">the </w:t>
      </w:r>
      <w:r w:rsidRPr="00CD1278">
        <w:rPr>
          <w:color w:val="auto"/>
        </w:rPr>
        <w:t>16</w:t>
      </w:r>
      <w:r w:rsidR="00CA7565" w:rsidRPr="00CD1278">
        <w:rPr>
          <w:color w:val="auto"/>
          <w:vertAlign w:val="superscript"/>
        </w:rPr>
        <w:t>th</w:t>
      </w:r>
      <w:r w:rsidRPr="00CD1278">
        <w:rPr>
          <w:color w:val="auto"/>
        </w:rPr>
        <w:t xml:space="preserve">MOP and, where relevant, the standard presumptions given below. In particular, </w:t>
      </w:r>
      <w:r w:rsidRPr="00CD1278">
        <w:rPr>
          <w:color w:val="auto"/>
          <w:lang w:eastAsia="en-GB"/>
        </w:rPr>
        <w:t xml:space="preserve">MBTOC sought to provide consistent treatment of CUNs within and between Parties while at the same time taking local circumstances into consideration. </w:t>
      </w:r>
      <w:r w:rsidR="00094463" w:rsidRPr="00CD1278">
        <w:rPr>
          <w:color w:val="auto"/>
        </w:rPr>
        <w:t>T</w:t>
      </w:r>
      <w:r w:rsidRPr="00CD1278">
        <w:rPr>
          <w:color w:val="auto"/>
        </w:rPr>
        <w:t>he most recent CUE approved by the Parties for a particular CUN was used as baseline for consideration of continuing nominations</w:t>
      </w:r>
      <w:r w:rsidR="00AC20A5" w:rsidRPr="00CD1278">
        <w:rPr>
          <w:color w:val="auto"/>
        </w:rPr>
        <w:t>.</w:t>
      </w:r>
      <w:r w:rsidRPr="00CD1278">
        <w:rPr>
          <w:color w:val="auto"/>
        </w:rPr>
        <w:t xml:space="preserve"> In evaluating CUNs for soil treatments, MBTOC assumed that the presence of a technically feasible alternative to MB would need to provide sufficient pest and/or weed control </w:t>
      </w:r>
      <w:r w:rsidR="00CA7565" w:rsidRPr="00CD1278">
        <w:rPr>
          <w:color w:val="auto"/>
        </w:rPr>
        <w:t xml:space="preserve">to allow </w:t>
      </w:r>
      <w:r w:rsidRPr="00CD1278">
        <w:rPr>
          <w:color w:val="auto"/>
        </w:rPr>
        <w:t xml:space="preserve">for continued production of that crop </w:t>
      </w:r>
      <w:r w:rsidR="00CA7565" w:rsidRPr="00CD1278">
        <w:rPr>
          <w:color w:val="auto"/>
        </w:rPr>
        <w:t>within</w:t>
      </w:r>
      <w:r w:rsidR="00005800" w:rsidRPr="00CD1278">
        <w:rPr>
          <w:color w:val="auto"/>
        </w:rPr>
        <w:t xml:space="preserve"> </w:t>
      </w:r>
      <w:r w:rsidRPr="00CD1278">
        <w:rPr>
          <w:color w:val="auto"/>
        </w:rPr>
        <w:t xml:space="preserve">existing market standards. </w:t>
      </w:r>
      <w:r w:rsidR="005641C1" w:rsidRPr="00CD1278">
        <w:rPr>
          <w:color w:val="auto"/>
        </w:rPr>
        <w:t xml:space="preserve">The economic viability of production </w:t>
      </w:r>
      <w:r w:rsidR="00980FD6" w:rsidRPr="00CD1278">
        <w:rPr>
          <w:color w:val="auto"/>
        </w:rPr>
        <w:t xml:space="preserve">was </w:t>
      </w:r>
      <w:r w:rsidR="005641C1" w:rsidRPr="00CD1278">
        <w:rPr>
          <w:color w:val="auto"/>
        </w:rPr>
        <w:t>also considered.</w:t>
      </w:r>
    </w:p>
    <w:p w14:paraId="2CCCB6F2" w14:textId="08702AC0" w:rsidR="001C0609" w:rsidRPr="00CD1278" w:rsidRDefault="008D5F24" w:rsidP="005A552B">
      <w:pPr>
        <w:rPr>
          <w:color w:val="auto"/>
        </w:rPr>
      </w:pPr>
      <w:r w:rsidRPr="00CD1278">
        <w:rPr>
          <w:color w:val="auto"/>
        </w:rPr>
        <w:t xml:space="preserve">For structural applications, it was assumed that technically and economically feasible alternatives would provide disinfestation to a level that met the objectives of a MB treatment, e.g. meeting </w:t>
      </w:r>
      <w:r w:rsidR="005641C1" w:rsidRPr="00CD1278">
        <w:rPr>
          <w:color w:val="auto"/>
        </w:rPr>
        <w:t>dis</w:t>
      </w:r>
      <w:r w:rsidRPr="00CD1278">
        <w:rPr>
          <w:color w:val="auto"/>
        </w:rPr>
        <w:t xml:space="preserve">infestation standards in </w:t>
      </w:r>
      <w:r w:rsidR="005641C1" w:rsidRPr="00CD1278">
        <w:rPr>
          <w:color w:val="auto"/>
        </w:rPr>
        <w:t xml:space="preserve">treated structures or </w:t>
      </w:r>
      <w:r w:rsidRPr="00CD1278">
        <w:rPr>
          <w:color w:val="auto"/>
        </w:rPr>
        <w:t>mill</w:t>
      </w:r>
      <w:r w:rsidR="005641C1" w:rsidRPr="00CD1278">
        <w:rPr>
          <w:color w:val="auto"/>
        </w:rPr>
        <w:t>s</w:t>
      </w:r>
      <w:r w:rsidR="00F52E7E" w:rsidRPr="00CD1278">
        <w:rPr>
          <w:color w:val="auto"/>
        </w:rPr>
        <w:t xml:space="preserve">. It was confirmed that the certification accreditation requirements </w:t>
      </w:r>
      <w:r w:rsidR="001C0609" w:rsidRPr="00CD1278">
        <w:rPr>
          <w:color w:val="auto"/>
        </w:rPr>
        <w:t xml:space="preserve">for the grain mills requesting a CUE </w:t>
      </w:r>
      <w:r w:rsidR="00F52E7E" w:rsidRPr="00CD1278">
        <w:rPr>
          <w:color w:val="auto"/>
        </w:rPr>
        <w:t>did not specifically re</w:t>
      </w:r>
      <w:r w:rsidR="00BE7C70" w:rsidRPr="00CD1278">
        <w:rPr>
          <w:color w:val="auto"/>
        </w:rPr>
        <w:t>quire the use of methyl bromide</w:t>
      </w:r>
      <w:r w:rsidR="001C0609" w:rsidRPr="00CD1278">
        <w:rPr>
          <w:color w:val="auto"/>
        </w:rPr>
        <w:t>. Similarly, methyl bromide fumigation is not specifically required for disinfestation of houses against wood-destroying insects in RSA (a CUN for this round of nominations) to obtain a valid “beetle” certificate, a requirement when selling a house there.</w:t>
      </w:r>
    </w:p>
    <w:p w14:paraId="51C726EA" w14:textId="4DCB1696" w:rsidR="008D5F24" w:rsidRPr="00CD1278" w:rsidRDefault="008D5F24" w:rsidP="005A552B">
      <w:pPr>
        <w:rPr>
          <w:color w:val="auto"/>
        </w:rPr>
      </w:pPr>
      <w:r w:rsidRPr="00CD1278">
        <w:rPr>
          <w:color w:val="auto"/>
        </w:rPr>
        <w:t xml:space="preserve">The outcome of evaluations of CUNs for the soil and structural treatments are presented in Table </w:t>
      </w:r>
      <w:r w:rsidR="00655D62" w:rsidRPr="00CD1278">
        <w:rPr>
          <w:color w:val="auto"/>
        </w:rPr>
        <w:t>1</w:t>
      </w:r>
      <w:r w:rsidRPr="00CD1278">
        <w:rPr>
          <w:color w:val="auto"/>
        </w:rPr>
        <w:t>.9</w:t>
      </w:r>
      <w:r w:rsidR="00C35C59" w:rsidRPr="00CD1278">
        <w:rPr>
          <w:color w:val="auto"/>
        </w:rPr>
        <w:t xml:space="preserve"> -– 1.12</w:t>
      </w:r>
      <w:r w:rsidRPr="00CD1278">
        <w:rPr>
          <w:color w:val="auto"/>
        </w:rPr>
        <w:t xml:space="preserve"> below.</w:t>
      </w:r>
    </w:p>
    <w:p w14:paraId="602CB639" w14:textId="77777777" w:rsidR="008D5F24" w:rsidRPr="00CD1278" w:rsidRDefault="00655D62" w:rsidP="005A552B">
      <w:pPr>
        <w:pStyle w:val="Heading2"/>
        <w:rPr>
          <w:lang w:val="en-GB"/>
        </w:rPr>
      </w:pPr>
      <w:bookmarkStart w:id="58" w:name="_Toc324255707"/>
      <w:bookmarkStart w:id="59" w:name="_Toc293054742"/>
      <w:bookmarkStart w:id="60" w:name="_Toc453277815"/>
      <w:r w:rsidRPr="00CD1278">
        <w:rPr>
          <w:lang w:val="en-GB"/>
        </w:rPr>
        <w:t>1</w:t>
      </w:r>
      <w:r w:rsidR="008D5F24" w:rsidRPr="00CD1278">
        <w:rPr>
          <w:lang w:val="en-GB"/>
        </w:rPr>
        <w:t>.3.2</w:t>
      </w:r>
      <w:r w:rsidR="008D5F24" w:rsidRPr="00CD1278">
        <w:rPr>
          <w:lang w:val="en-GB"/>
        </w:rPr>
        <w:tab/>
        <w:t>Achieving Consensus</w:t>
      </w:r>
      <w:bookmarkEnd w:id="58"/>
      <w:bookmarkEnd w:id="59"/>
      <w:bookmarkEnd w:id="60"/>
    </w:p>
    <w:p w14:paraId="2E579308" w14:textId="265544B7" w:rsidR="008D5F24" w:rsidRPr="00CD1278" w:rsidRDefault="008D5F24" w:rsidP="005A552B">
      <w:pPr>
        <w:rPr>
          <w:b/>
          <w:color w:val="auto"/>
        </w:rPr>
      </w:pPr>
      <w:r w:rsidRPr="00CD1278">
        <w:rPr>
          <w:color w:val="auto"/>
        </w:rPr>
        <w:t xml:space="preserve">In accordance with </w:t>
      </w:r>
      <w:r w:rsidR="004250AA" w:rsidRPr="00CD1278">
        <w:rPr>
          <w:color w:val="auto"/>
        </w:rPr>
        <w:t xml:space="preserve">Decision </w:t>
      </w:r>
      <w:r w:rsidRPr="00CD1278">
        <w:rPr>
          <w:color w:val="auto"/>
        </w:rPr>
        <w:t xml:space="preserve">XX/5(9) and subsequent </w:t>
      </w:r>
      <w:r w:rsidR="004250AA" w:rsidRPr="00CD1278">
        <w:rPr>
          <w:color w:val="auto"/>
        </w:rPr>
        <w:t xml:space="preserve">Decisions </w:t>
      </w:r>
      <w:r w:rsidRPr="00CD1278">
        <w:rPr>
          <w:color w:val="auto"/>
        </w:rPr>
        <w:t>(XXI/11(4), XXII/6(4) and XXIII/4(3)</w:t>
      </w:r>
      <w:r w:rsidR="003C583E" w:rsidRPr="00CD1278">
        <w:rPr>
          <w:color w:val="auto"/>
        </w:rPr>
        <w:t xml:space="preserve"> and XXIV/5 and 8</w:t>
      </w:r>
      <w:r w:rsidR="004250AA" w:rsidRPr="00CD1278">
        <w:rPr>
          <w:color w:val="auto"/>
        </w:rPr>
        <w:t>)</w:t>
      </w:r>
      <w:r w:rsidR="007A1490" w:rsidRPr="00CD1278">
        <w:rPr>
          <w:color w:val="auto"/>
        </w:rPr>
        <w:t xml:space="preserve"> </w:t>
      </w:r>
      <w:r w:rsidRPr="00CD1278">
        <w:rPr>
          <w:color w:val="auto"/>
        </w:rPr>
        <w:t>the Parties have indicated that MBTOC ‘</w:t>
      </w:r>
      <w:r w:rsidRPr="00CD1278">
        <w:rPr>
          <w:i/>
          <w:color w:val="auto"/>
        </w:rPr>
        <w:t>should ensure that it develops its recommendations in a consensus process that includes full discussion among all available members of the Committee</w:t>
      </w:r>
      <w:r w:rsidR="00BC4C15" w:rsidRPr="00CD1278">
        <w:rPr>
          <w:i/>
          <w:color w:val="auto"/>
        </w:rPr>
        <w:t>….</w:t>
      </w:r>
      <w:r w:rsidR="00310FF5" w:rsidRPr="00CD1278">
        <w:rPr>
          <w:i/>
          <w:color w:val="auto"/>
        </w:rPr>
        <w:t>’</w:t>
      </w:r>
    </w:p>
    <w:p w14:paraId="70B06A14" w14:textId="77777777" w:rsidR="008D5F24" w:rsidRPr="00CD1278" w:rsidRDefault="008D5F24" w:rsidP="005A552B">
      <w:pPr>
        <w:rPr>
          <w:color w:val="auto"/>
        </w:rPr>
      </w:pPr>
      <w:r w:rsidRPr="00CD1278">
        <w:rPr>
          <w:color w:val="auto"/>
        </w:rPr>
        <w:t>In</w:t>
      </w:r>
      <w:r w:rsidR="009F3308" w:rsidRPr="00CD1278">
        <w:rPr>
          <w:color w:val="auto"/>
        </w:rPr>
        <w:t xml:space="preserve"> keeping with </w:t>
      </w:r>
      <w:r w:rsidR="004250AA" w:rsidRPr="00CD1278">
        <w:rPr>
          <w:color w:val="auto"/>
        </w:rPr>
        <w:t>this</w:t>
      </w:r>
      <w:r w:rsidR="00005800" w:rsidRPr="00CD1278">
        <w:rPr>
          <w:color w:val="auto"/>
        </w:rPr>
        <w:t xml:space="preserve"> </w:t>
      </w:r>
      <w:r w:rsidR="004250AA" w:rsidRPr="00CD1278">
        <w:rPr>
          <w:color w:val="auto"/>
        </w:rPr>
        <w:t>mandate</w:t>
      </w:r>
      <w:r w:rsidR="00005800" w:rsidRPr="00CD1278">
        <w:rPr>
          <w:color w:val="auto"/>
        </w:rPr>
        <w:t xml:space="preserve"> </w:t>
      </w:r>
      <w:r w:rsidR="009F3308" w:rsidRPr="00CD1278">
        <w:rPr>
          <w:color w:val="auto"/>
        </w:rPr>
        <w:t>as well as the new working scheme put in place by the co-chairs,</w:t>
      </w:r>
      <w:r w:rsidRPr="00CD1278">
        <w:rPr>
          <w:color w:val="auto"/>
        </w:rPr>
        <w:t xml:space="preserve"> all members were </w:t>
      </w:r>
      <w:r w:rsidR="0093738F" w:rsidRPr="00CD1278">
        <w:rPr>
          <w:color w:val="auto"/>
        </w:rPr>
        <w:t>given access to the</w:t>
      </w:r>
      <w:r w:rsidRPr="00CD1278">
        <w:rPr>
          <w:color w:val="auto"/>
        </w:rPr>
        <w:t xml:space="preserve"> information and </w:t>
      </w:r>
      <w:r w:rsidR="0093738F" w:rsidRPr="00CD1278">
        <w:rPr>
          <w:color w:val="auto"/>
        </w:rPr>
        <w:t xml:space="preserve">were </w:t>
      </w:r>
      <w:r w:rsidRPr="00CD1278">
        <w:rPr>
          <w:color w:val="auto"/>
        </w:rPr>
        <w:t>able to discuss issues related to all nominations</w:t>
      </w:r>
      <w:r w:rsidR="0093738F" w:rsidRPr="00CD1278">
        <w:rPr>
          <w:color w:val="auto"/>
        </w:rPr>
        <w:t xml:space="preserve"> (either in person or by electronic means)</w:t>
      </w:r>
      <w:r w:rsidR="003C583E" w:rsidRPr="00CD1278">
        <w:rPr>
          <w:color w:val="auto"/>
        </w:rPr>
        <w:t xml:space="preserve">, but only those members able to </w:t>
      </w:r>
      <w:r w:rsidR="0093738F" w:rsidRPr="00CD1278">
        <w:rPr>
          <w:color w:val="auto"/>
        </w:rPr>
        <w:t xml:space="preserve">physically </w:t>
      </w:r>
      <w:r w:rsidR="003C583E" w:rsidRPr="00CD1278">
        <w:rPr>
          <w:color w:val="auto"/>
        </w:rPr>
        <w:t>participate</w:t>
      </w:r>
      <w:r w:rsidR="0093738F" w:rsidRPr="00CD1278">
        <w:rPr>
          <w:color w:val="auto"/>
        </w:rPr>
        <w:t xml:space="preserve"> in the meeting</w:t>
      </w:r>
      <w:r w:rsidR="003C583E" w:rsidRPr="00CD1278">
        <w:rPr>
          <w:color w:val="auto"/>
        </w:rPr>
        <w:t xml:space="preserve"> f</w:t>
      </w:r>
      <w:r w:rsidR="00773A81" w:rsidRPr="00CD1278">
        <w:rPr>
          <w:color w:val="auto"/>
        </w:rPr>
        <w:t>or</w:t>
      </w:r>
      <w:r w:rsidR="003C583E" w:rsidRPr="00CD1278">
        <w:rPr>
          <w:color w:val="auto"/>
        </w:rPr>
        <w:t xml:space="preserve">med consensus. </w:t>
      </w:r>
      <w:r w:rsidR="0093738F" w:rsidRPr="00CD1278">
        <w:rPr>
          <w:color w:val="auto"/>
        </w:rPr>
        <w:t>All</w:t>
      </w:r>
      <w:r w:rsidR="003C583E" w:rsidRPr="00CD1278">
        <w:rPr>
          <w:color w:val="auto"/>
        </w:rPr>
        <w:t xml:space="preserve"> views were discussed fully in pl</w:t>
      </w:r>
      <w:r w:rsidR="00773A81" w:rsidRPr="00CD1278">
        <w:rPr>
          <w:color w:val="auto"/>
        </w:rPr>
        <w:t>e</w:t>
      </w:r>
      <w:r w:rsidR="003C583E" w:rsidRPr="00CD1278">
        <w:rPr>
          <w:color w:val="auto"/>
        </w:rPr>
        <w:t>nary and issues debated until a consensus position was reached</w:t>
      </w:r>
      <w:r w:rsidRPr="00CD1278">
        <w:rPr>
          <w:color w:val="auto"/>
        </w:rPr>
        <w:t xml:space="preserve">. </w:t>
      </w:r>
      <w:r w:rsidR="0093738F" w:rsidRPr="00CD1278">
        <w:rPr>
          <w:color w:val="auto"/>
        </w:rPr>
        <w:t>No minority positions arose during the meeting</w:t>
      </w:r>
      <w:r w:rsidR="004250AA" w:rsidRPr="00CD1278">
        <w:rPr>
          <w:color w:val="auto"/>
        </w:rPr>
        <w:t>.</w:t>
      </w:r>
    </w:p>
    <w:p w14:paraId="3AE268BE" w14:textId="560CA430" w:rsidR="00207782" w:rsidRPr="00CD1278" w:rsidRDefault="00207782" w:rsidP="005A552B">
      <w:pPr>
        <w:rPr>
          <w:rFonts w:eastAsia="MS Mincho"/>
          <w:iCs/>
          <w:color w:val="auto"/>
          <w:szCs w:val="22"/>
          <w:lang w:eastAsia="ja-JP"/>
        </w:rPr>
      </w:pPr>
      <w:r w:rsidRPr="00CD1278">
        <w:rPr>
          <w:iCs/>
          <w:color w:val="auto"/>
          <w:szCs w:val="22"/>
        </w:rPr>
        <w:t xml:space="preserve">Several members recused from </w:t>
      </w:r>
      <w:r w:rsidR="005220FC" w:rsidRPr="00CD1278">
        <w:rPr>
          <w:iCs/>
          <w:color w:val="auto"/>
          <w:szCs w:val="22"/>
        </w:rPr>
        <w:t>recommendations</w:t>
      </w:r>
      <w:r w:rsidR="00005800" w:rsidRPr="00CD1278">
        <w:rPr>
          <w:iCs/>
          <w:color w:val="auto"/>
          <w:szCs w:val="22"/>
        </w:rPr>
        <w:t xml:space="preserve"> </w:t>
      </w:r>
      <w:r w:rsidR="005220FC" w:rsidRPr="00CD1278">
        <w:rPr>
          <w:iCs/>
          <w:color w:val="auto"/>
          <w:szCs w:val="22"/>
        </w:rPr>
        <w:t>on</w:t>
      </w:r>
      <w:r w:rsidRPr="00CD1278">
        <w:rPr>
          <w:iCs/>
          <w:color w:val="auto"/>
          <w:szCs w:val="22"/>
        </w:rPr>
        <w:t xml:space="preserve"> nominations as required by MBTOC’s working </w:t>
      </w:r>
      <w:r w:rsidR="00773A81" w:rsidRPr="00CD1278">
        <w:rPr>
          <w:iCs/>
          <w:color w:val="auto"/>
          <w:szCs w:val="22"/>
        </w:rPr>
        <w:t>p</w:t>
      </w:r>
      <w:r w:rsidRPr="00CD1278">
        <w:rPr>
          <w:iCs/>
          <w:color w:val="auto"/>
          <w:szCs w:val="22"/>
        </w:rPr>
        <w:t xml:space="preserve">rocedures.  These included </w:t>
      </w:r>
      <w:r w:rsidR="0093738F" w:rsidRPr="00CD1278">
        <w:rPr>
          <w:iCs/>
          <w:color w:val="auto"/>
          <w:szCs w:val="22"/>
        </w:rPr>
        <w:t>Alejandro Valeiro</w:t>
      </w:r>
      <w:r w:rsidR="005220FC" w:rsidRPr="00CD1278">
        <w:rPr>
          <w:iCs/>
          <w:color w:val="auto"/>
          <w:szCs w:val="22"/>
        </w:rPr>
        <w:t xml:space="preserve"> (</w:t>
      </w:r>
      <w:r w:rsidR="004250AA" w:rsidRPr="00CD1278">
        <w:rPr>
          <w:iCs/>
          <w:color w:val="auto"/>
          <w:szCs w:val="22"/>
        </w:rPr>
        <w:t xml:space="preserve">recusing from </w:t>
      </w:r>
      <w:r w:rsidR="005220FC" w:rsidRPr="00CD1278">
        <w:rPr>
          <w:iCs/>
          <w:color w:val="auto"/>
          <w:szCs w:val="22"/>
        </w:rPr>
        <w:t xml:space="preserve">Argentina strawberry fruit and tomato), </w:t>
      </w:r>
      <w:r w:rsidR="00334934" w:rsidRPr="00CD1278">
        <w:rPr>
          <w:iCs/>
          <w:color w:val="auto"/>
          <w:szCs w:val="22"/>
        </w:rPr>
        <w:t>and Ian Porter (Australian s</w:t>
      </w:r>
      <w:r w:rsidRPr="00CD1278">
        <w:rPr>
          <w:iCs/>
          <w:color w:val="auto"/>
          <w:szCs w:val="22"/>
        </w:rPr>
        <w:t>trawberry</w:t>
      </w:r>
      <w:r w:rsidR="00005800" w:rsidRPr="00CD1278">
        <w:rPr>
          <w:iCs/>
          <w:color w:val="auto"/>
          <w:szCs w:val="22"/>
        </w:rPr>
        <w:t xml:space="preserve"> </w:t>
      </w:r>
      <w:r w:rsidRPr="00CD1278">
        <w:rPr>
          <w:iCs/>
          <w:color w:val="auto"/>
          <w:szCs w:val="22"/>
        </w:rPr>
        <w:t>nurseries). </w:t>
      </w:r>
      <w:r w:rsidR="004250AA" w:rsidRPr="00CD1278">
        <w:rPr>
          <w:rFonts w:eastAsia="MS Mincho"/>
          <w:iCs/>
          <w:color w:val="auto"/>
          <w:szCs w:val="22"/>
          <w:lang w:eastAsia="ja-JP"/>
        </w:rPr>
        <w:t>Recusals took place either as a result of a member’s disclosure in observance of MBTOC's guidelines or due to a voluntary self-recusal to avoid any perceived conflict of interest.</w:t>
      </w:r>
    </w:p>
    <w:p w14:paraId="21B96C1A" w14:textId="77777777" w:rsidR="004C3B46" w:rsidRPr="00CD1278" w:rsidRDefault="004C3B46" w:rsidP="005A552B">
      <w:pPr>
        <w:spacing w:after="0"/>
        <w:rPr>
          <w:iCs/>
          <w:color w:val="auto"/>
          <w:szCs w:val="22"/>
        </w:rPr>
      </w:pPr>
    </w:p>
    <w:p w14:paraId="1E690B31" w14:textId="77777777" w:rsidR="00611BDB" w:rsidRPr="00CD1278" w:rsidRDefault="00611BDB" w:rsidP="005A552B">
      <w:pPr>
        <w:spacing w:after="0"/>
        <w:rPr>
          <w:b/>
          <w:color w:val="auto"/>
          <w:sz w:val="24"/>
          <w:szCs w:val="24"/>
        </w:rPr>
      </w:pPr>
      <w:bookmarkStart w:id="61" w:name="_Toc293054743"/>
      <w:bookmarkStart w:id="62" w:name="_Toc453277817"/>
      <w:bookmarkStart w:id="63" w:name="_Toc324255708"/>
      <w:r w:rsidRPr="00CD1278">
        <w:rPr>
          <w:color w:val="auto"/>
        </w:rPr>
        <w:br w:type="page"/>
      </w:r>
    </w:p>
    <w:p w14:paraId="1AD91505" w14:textId="7CE92A0A" w:rsidR="008D5F24" w:rsidRPr="00CD1278" w:rsidRDefault="00655D62" w:rsidP="005A552B">
      <w:pPr>
        <w:pStyle w:val="Heading1"/>
        <w:rPr>
          <w:rStyle w:val="Heading1Char3"/>
          <w:bCs/>
          <w:color w:val="auto"/>
        </w:rPr>
      </w:pPr>
      <w:r w:rsidRPr="00CD1278">
        <w:rPr>
          <w:rStyle w:val="Heading1Char3"/>
          <w:bCs/>
          <w:color w:val="auto"/>
        </w:rPr>
        <w:t>1</w:t>
      </w:r>
      <w:r w:rsidR="008D5F24" w:rsidRPr="00CD1278">
        <w:rPr>
          <w:rStyle w:val="Heading1Char3"/>
          <w:bCs/>
          <w:color w:val="auto"/>
        </w:rPr>
        <w:t>.4</w:t>
      </w:r>
      <w:bookmarkStart w:id="64" w:name="_Toc180663261"/>
      <w:r w:rsidR="006B71CA" w:rsidRPr="00CD1278">
        <w:rPr>
          <w:rStyle w:val="Heading1Char3"/>
          <w:bCs/>
          <w:color w:val="auto"/>
        </w:rPr>
        <w:tab/>
      </w:r>
      <w:r w:rsidR="009F11A0" w:rsidRPr="00CD1278">
        <w:rPr>
          <w:rStyle w:val="Heading1Char3"/>
          <w:bCs/>
          <w:color w:val="auto"/>
        </w:rPr>
        <w:t>Interim E</w:t>
      </w:r>
      <w:r w:rsidR="008D5F24" w:rsidRPr="00CD1278">
        <w:rPr>
          <w:rStyle w:val="Heading1Char3"/>
          <w:bCs/>
          <w:color w:val="auto"/>
        </w:rPr>
        <w:t xml:space="preserve">valuation of </w:t>
      </w:r>
      <w:r w:rsidR="00C76880" w:rsidRPr="00CD1278">
        <w:rPr>
          <w:rStyle w:val="Heading1Char3"/>
          <w:bCs/>
          <w:color w:val="auto"/>
        </w:rPr>
        <w:t xml:space="preserve">2018 </w:t>
      </w:r>
      <w:r w:rsidR="008D5F24" w:rsidRPr="00CD1278">
        <w:rPr>
          <w:rStyle w:val="Heading1Char3"/>
          <w:bCs/>
          <w:color w:val="auto"/>
        </w:rPr>
        <w:t>Critical Use Nominations for Methyl Bromide for</w:t>
      </w:r>
      <w:bookmarkEnd w:id="64"/>
      <w:r w:rsidR="003F36E6" w:rsidRPr="00CD1278">
        <w:rPr>
          <w:rStyle w:val="Heading1Char3"/>
          <w:bCs/>
          <w:color w:val="auto"/>
        </w:rPr>
        <w:t xml:space="preserve"> Preplant soil use in </w:t>
      </w:r>
      <w:r w:rsidR="00C76880" w:rsidRPr="00CD1278">
        <w:rPr>
          <w:rStyle w:val="Heading1Char3"/>
          <w:bCs/>
          <w:color w:val="auto"/>
        </w:rPr>
        <w:t xml:space="preserve">2019 </w:t>
      </w:r>
      <w:r w:rsidR="005220FC" w:rsidRPr="00CD1278">
        <w:rPr>
          <w:rStyle w:val="Heading1Char3"/>
          <w:bCs/>
          <w:color w:val="auto"/>
        </w:rPr>
        <w:t xml:space="preserve">and </w:t>
      </w:r>
      <w:bookmarkEnd w:id="61"/>
      <w:bookmarkEnd w:id="62"/>
      <w:r w:rsidR="00C76880" w:rsidRPr="00CD1278">
        <w:rPr>
          <w:rStyle w:val="Heading1Char3"/>
          <w:bCs/>
          <w:color w:val="auto"/>
        </w:rPr>
        <w:t>2020</w:t>
      </w:r>
    </w:p>
    <w:p w14:paraId="15082C0C" w14:textId="77777777" w:rsidR="008D5F24" w:rsidRPr="00CD1278" w:rsidRDefault="00655D62" w:rsidP="005A552B">
      <w:pPr>
        <w:pStyle w:val="Heading2"/>
        <w:rPr>
          <w:lang w:val="en-GB"/>
        </w:rPr>
      </w:pPr>
      <w:bookmarkStart w:id="65" w:name="_Toc293054744"/>
      <w:bookmarkStart w:id="66" w:name="_Toc453277818"/>
      <w:bookmarkEnd w:id="63"/>
      <w:r w:rsidRPr="00CD1278">
        <w:rPr>
          <w:lang w:val="en-GB"/>
        </w:rPr>
        <w:t>1</w:t>
      </w:r>
      <w:r w:rsidR="008D5F24" w:rsidRPr="00CD1278">
        <w:rPr>
          <w:lang w:val="en-GB"/>
        </w:rPr>
        <w:t>.4.</w:t>
      </w:r>
      <w:r w:rsidR="000F72B1" w:rsidRPr="00CD1278">
        <w:rPr>
          <w:lang w:val="en-GB"/>
        </w:rPr>
        <w:t>1</w:t>
      </w:r>
      <w:r w:rsidR="008D5F24" w:rsidRPr="00CD1278">
        <w:rPr>
          <w:lang w:val="en-GB"/>
        </w:rPr>
        <w:tab/>
      </w:r>
      <w:r w:rsidR="007E22DE" w:rsidRPr="00CD1278">
        <w:rPr>
          <w:lang w:val="en-GB"/>
        </w:rPr>
        <w:t>Critical Use Nomination Assessment</w:t>
      </w:r>
      <w:bookmarkEnd w:id="65"/>
      <w:bookmarkEnd w:id="66"/>
    </w:p>
    <w:p w14:paraId="10A08C89" w14:textId="731FC695" w:rsidR="00B0225A" w:rsidRPr="00CD1278" w:rsidRDefault="000F72B1" w:rsidP="005A552B">
      <w:pPr>
        <w:rPr>
          <w:color w:val="auto"/>
        </w:rPr>
      </w:pPr>
      <w:r w:rsidRPr="00CD1278">
        <w:rPr>
          <w:color w:val="auto"/>
        </w:rPr>
        <w:t xml:space="preserve">Table </w:t>
      </w:r>
      <w:r w:rsidR="00655D62" w:rsidRPr="00CD1278">
        <w:rPr>
          <w:color w:val="auto"/>
        </w:rPr>
        <w:t>1</w:t>
      </w:r>
      <w:r w:rsidR="0083457C" w:rsidRPr="00CD1278">
        <w:rPr>
          <w:color w:val="auto"/>
        </w:rPr>
        <w:t>-</w:t>
      </w:r>
      <w:r w:rsidRPr="00CD1278">
        <w:rPr>
          <w:color w:val="auto"/>
        </w:rPr>
        <w:t>5 identifies the quantities recommended by MBTOC after consideration of all the information provided by the Parties</w:t>
      </w:r>
      <w:r w:rsidR="004250AA" w:rsidRPr="00CD1278">
        <w:rPr>
          <w:color w:val="auto"/>
        </w:rPr>
        <w:t xml:space="preserve"> requesting critical uses</w:t>
      </w:r>
      <w:r w:rsidRPr="00CD1278">
        <w:rPr>
          <w:color w:val="auto"/>
        </w:rPr>
        <w:t xml:space="preserve">. </w:t>
      </w:r>
    </w:p>
    <w:p w14:paraId="7A3C1824" w14:textId="615FDDCA" w:rsidR="00B0225A" w:rsidRPr="00CD1278" w:rsidRDefault="00B0225A" w:rsidP="005A552B">
      <w:pPr>
        <w:pBdr>
          <w:top w:val="single" w:sz="4" w:space="1" w:color="auto"/>
          <w:left w:val="single" w:sz="4" w:space="4" w:color="auto"/>
          <w:bottom w:val="single" w:sz="4" w:space="1" w:color="auto"/>
          <w:right w:val="single" w:sz="4" w:space="4" w:color="auto"/>
        </w:pBdr>
        <w:shd w:val="clear" w:color="auto" w:fill="D9D9D9" w:themeFill="background1" w:themeFillShade="D9"/>
        <w:rPr>
          <w:color w:val="auto"/>
        </w:rPr>
      </w:pPr>
      <w:r w:rsidRPr="00CD1278">
        <w:rPr>
          <w:color w:val="auto"/>
        </w:rPr>
        <w:t xml:space="preserve">In summary, the Australian nomination was reduced </w:t>
      </w:r>
      <w:r w:rsidR="00F37B85" w:rsidRPr="00CD1278">
        <w:rPr>
          <w:color w:val="auto"/>
        </w:rPr>
        <w:t xml:space="preserve">by 10% </w:t>
      </w:r>
      <w:r w:rsidRPr="00CD1278">
        <w:rPr>
          <w:color w:val="auto"/>
        </w:rPr>
        <w:t>as it was considered that the Party could expand adoption of soilless substrates, partially replacing the MB requested in the CUN. The Canadian nomination was reduced by 10% as substrate technologies are considered suitable for a proportion of the nomination. The Argentinean tomato and strawberry nominations were reduced because it was considered that dosage rates could be reduced to conform with MBTOC’s standard presumptions, with barrier films</w:t>
      </w:r>
      <w:r w:rsidR="0083457C" w:rsidRPr="00CD1278">
        <w:rPr>
          <w:color w:val="auto"/>
        </w:rPr>
        <w:t>.</w:t>
      </w:r>
    </w:p>
    <w:p w14:paraId="758E89EB" w14:textId="4563D606" w:rsidR="008D5F24" w:rsidRPr="00CD1278" w:rsidRDefault="0056353A" w:rsidP="005A552B">
      <w:pPr>
        <w:rPr>
          <w:color w:val="auto"/>
        </w:rPr>
      </w:pPr>
      <w:r w:rsidRPr="00CD1278">
        <w:rPr>
          <w:color w:val="auto"/>
        </w:rPr>
        <w:t>D</w:t>
      </w:r>
      <w:r w:rsidR="00896B71" w:rsidRPr="00CD1278">
        <w:rPr>
          <w:color w:val="auto"/>
        </w:rPr>
        <w:t xml:space="preserve">etailed </w:t>
      </w:r>
      <w:r w:rsidRPr="00CD1278">
        <w:rPr>
          <w:color w:val="auto"/>
        </w:rPr>
        <w:t xml:space="preserve">information on the nominations </w:t>
      </w:r>
      <w:r w:rsidR="00896B71" w:rsidRPr="00CD1278">
        <w:rPr>
          <w:color w:val="auto"/>
        </w:rPr>
        <w:t xml:space="preserve">can be found in Table </w:t>
      </w:r>
      <w:r w:rsidR="00655D62" w:rsidRPr="00CD1278">
        <w:rPr>
          <w:color w:val="auto"/>
        </w:rPr>
        <w:t>1</w:t>
      </w:r>
      <w:r w:rsidR="006141A5" w:rsidRPr="00CD1278">
        <w:rPr>
          <w:color w:val="auto"/>
        </w:rPr>
        <w:t>-</w:t>
      </w:r>
      <w:r w:rsidR="0083457C" w:rsidRPr="00CD1278">
        <w:rPr>
          <w:color w:val="auto"/>
        </w:rPr>
        <w:t>9</w:t>
      </w:r>
      <w:r w:rsidR="008A56FD" w:rsidRPr="00CD1278">
        <w:rPr>
          <w:color w:val="auto"/>
        </w:rPr>
        <w:t>.</w:t>
      </w:r>
    </w:p>
    <w:p w14:paraId="784DFA19" w14:textId="743805E0" w:rsidR="008D5F24" w:rsidRPr="00CD1278" w:rsidRDefault="008D5F24" w:rsidP="00896422">
      <w:pPr>
        <w:pStyle w:val="Tableheading0"/>
        <w:ind w:left="0" w:firstLine="0"/>
        <w:rPr>
          <w:b/>
          <w:bCs/>
        </w:rPr>
      </w:pPr>
      <w:r w:rsidRPr="00CD1278">
        <w:rPr>
          <w:b/>
          <w:bCs/>
        </w:rPr>
        <w:t xml:space="preserve">Table </w:t>
      </w:r>
      <w:r w:rsidR="00655D62" w:rsidRPr="00CD1278">
        <w:rPr>
          <w:b/>
          <w:bCs/>
        </w:rPr>
        <w:t>1</w:t>
      </w:r>
      <w:r w:rsidRPr="00CD1278">
        <w:rPr>
          <w:b/>
          <w:bCs/>
        </w:rPr>
        <w:t>-5</w:t>
      </w:r>
      <w:r w:rsidR="00A639C6" w:rsidRPr="00CD1278">
        <w:rPr>
          <w:b/>
          <w:bCs/>
        </w:rPr>
        <w:t>.</w:t>
      </w:r>
      <w:r w:rsidRPr="00CD1278">
        <w:rPr>
          <w:b/>
          <w:bCs/>
        </w:rPr>
        <w:tab/>
        <w:t xml:space="preserve">Summary of the interim recommendations (in square brackets) for CUE’s for preplant </w:t>
      </w:r>
      <w:r w:rsidR="00A654B8" w:rsidRPr="00CD1278">
        <w:rPr>
          <w:b/>
          <w:bCs/>
        </w:rPr>
        <w:t xml:space="preserve">use of </w:t>
      </w:r>
      <w:r w:rsidRPr="00CD1278">
        <w:rPr>
          <w:b/>
          <w:bCs/>
        </w:rPr>
        <w:t xml:space="preserve">MB (tonnes) submitted in </w:t>
      </w:r>
      <w:r w:rsidR="00C76880" w:rsidRPr="00CD1278">
        <w:rPr>
          <w:b/>
          <w:bCs/>
        </w:rPr>
        <w:t xml:space="preserve">2018 </w:t>
      </w:r>
      <w:r w:rsidRPr="00CD1278">
        <w:rPr>
          <w:b/>
          <w:bCs/>
        </w:rPr>
        <w:t xml:space="preserve">for </w:t>
      </w:r>
      <w:r w:rsidR="00C76880" w:rsidRPr="00CD1278" w:rsidDel="00DE5A07">
        <w:rPr>
          <w:b/>
          <w:bCs/>
        </w:rPr>
        <w:t>201</w:t>
      </w:r>
      <w:r w:rsidR="00C76880" w:rsidRPr="00CD1278">
        <w:rPr>
          <w:b/>
          <w:bCs/>
        </w:rPr>
        <w:t xml:space="preserve">9 </w:t>
      </w:r>
      <w:r w:rsidR="0087589A" w:rsidRPr="00CD1278">
        <w:rPr>
          <w:b/>
          <w:bCs/>
        </w:rPr>
        <w:t>or</w:t>
      </w:r>
      <w:r w:rsidR="005220FC" w:rsidRPr="00CD1278">
        <w:rPr>
          <w:b/>
          <w:bCs/>
        </w:rPr>
        <w:t xml:space="preserve"> 20</w:t>
      </w:r>
      <w:r w:rsidR="00C76880" w:rsidRPr="00CD1278">
        <w:rPr>
          <w:b/>
          <w:bCs/>
        </w:rPr>
        <w:t>20</w:t>
      </w:r>
      <w:r w:rsidR="00A654B8" w:rsidRPr="00CD1278">
        <w:rPr>
          <w:b/>
          <w:bCs/>
        </w:rPr>
        <w:t xml:space="preserve"> use</w:t>
      </w:r>
    </w:p>
    <w:tbl>
      <w:tblPr>
        <w:tblpPr w:leftFromText="180" w:rightFromText="180" w:vertAnchor="text" w:tblpX="108" w:tblpY="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1417"/>
        <w:gridCol w:w="1985"/>
        <w:gridCol w:w="1559"/>
        <w:gridCol w:w="1985"/>
      </w:tblGrid>
      <w:tr w:rsidR="003C102E" w:rsidRPr="00CD1278" w14:paraId="3B548E9E" w14:textId="77777777" w:rsidTr="006D0E9A">
        <w:trPr>
          <w:trHeight w:val="160"/>
        </w:trPr>
        <w:tc>
          <w:tcPr>
            <w:tcW w:w="2093" w:type="dxa"/>
            <w:vMerge w:val="restart"/>
            <w:vAlign w:val="center"/>
          </w:tcPr>
          <w:p w14:paraId="6280897D" w14:textId="77777777" w:rsidR="00B4439A" w:rsidRPr="00CD1278" w:rsidRDefault="00B4439A" w:rsidP="006D0E9A">
            <w:pPr>
              <w:spacing w:after="0"/>
              <w:jc w:val="center"/>
              <w:rPr>
                <w:color w:val="auto"/>
                <w:sz w:val="20"/>
              </w:rPr>
            </w:pPr>
            <w:r w:rsidRPr="00CD1278">
              <w:rPr>
                <w:b/>
                <w:bCs/>
                <w:color w:val="auto"/>
                <w:sz w:val="20"/>
                <w:lang w:eastAsia="es-ES"/>
              </w:rPr>
              <w:t>Country and Sector</w:t>
            </w:r>
          </w:p>
        </w:tc>
        <w:tc>
          <w:tcPr>
            <w:tcW w:w="3402" w:type="dxa"/>
            <w:gridSpan w:val="2"/>
            <w:vAlign w:val="center"/>
          </w:tcPr>
          <w:p w14:paraId="1DE85F6F" w14:textId="6A4DEC53" w:rsidR="00B4439A" w:rsidRPr="00CD1278" w:rsidRDefault="00B4439A" w:rsidP="006D0E9A">
            <w:pPr>
              <w:spacing w:after="0"/>
              <w:jc w:val="center"/>
              <w:rPr>
                <w:b/>
                <w:bCs/>
                <w:color w:val="auto"/>
                <w:sz w:val="20"/>
                <w:lang w:eastAsia="es-ES"/>
              </w:rPr>
            </w:pPr>
            <w:r w:rsidRPr="00CD1278">
              <w:rPr>
                <w:b/>
                <w:bCs/>
                <w:color w:val="auto"/>
                <w:sz w:val="20"/>
                <w:lang w:eastAsia="es-ES"/>
              </w:rPr>
              <w:t xml:space="preserve">Article 5 </w:t>
            </w:r>
            <w:r w:rsidR="00B50D4A" w:rsidRPr="00CD1278">
              <w:rPr>
                <w:b/>
                <w:bCs/>
                <w:color w:val="auto"/>
                <w:sz w:val="20"/>
                <w:lang w:eastAsia="es-ES"/>
              </w:rPr>
              <w:t>P</w:t>
            </w:r>
            <w:r w:rsidRPr="00CD1278">
              <w:rPr>
                <w:b/>
                <w:bCs/>
                <w:color w:val="auto"/>
                <w:sz w:val="20"/>
                <w:lang w:eastAsia="es-ES"/>
              </w:rPr>
              <w:t>arties</w:t>
            </w:r>
          </w:p>
        </w:tc>
        <w:tc>
          <w:tcPr>
            <w:tcW w:w="3544" w:type="dxa"/>
            <w:gridSpan w:val="2"/>
            <w:vAlign w:val="center"/>
          </w:tcPr>
          <w:p w14:paraId="3D59DBDD" w14:textId="3346D907" w:rsidR="00B4439A" w:rsidRPr="00CD1278" w:rsidRDefault="00B4439A" w:rsidP="006D0E9A">
            <w:pPr>
              <w:spacing w:after="0"/>
              <w:jc w:val="center"/>
              <w:rPr>
                <w:b/>
                <w:bCs/>
                <w:color w:val="auto"/>
                <w:sz w:val="20"/>
                <w:lang w:eastAsia="es-ES"/>
              </w:rPr>
            </w:pPr>
            <w:r w:rsidRPr="00CD1278">
              <w:rPr>
                <w:b/>
                <w:bCs/>
                <w:color w:val="auto"/>
                <w:sz w:val="20"/>
                <w:lang w:eastAsia="es-ES"/>
              </w:rPr>
              <w:t xml:space="preserve">Non A5 </w:t>
            </w:r>
            <w:r w:rsidR="00B50D4A" w:rsidRPr="00CD1278">
              <w:rPr>
                <w:b/>
                <w:bCs/>
                <w:color w:val="auto"/>
                <w:sz w:val="20"/>
                <w:lang w:eastAsia="es-ES"/>
              </w:rPr>
              <w:t>P</w:t>
            </w:r>
            <w:r w:rsidRPr="00CD1278">
              <w:rPr>
                <w:b/>
                <w:bCs/>
                <w:color w:val="auto"/>
                <w:sz w:val="20"/>
                <w:lang w:eastAsia="es-ES"/>
              </w:rPr>
              <w:t>arties</w:t>
            </w:r>
          </w:p>
        </w:tc>
      </w:tr>
      <w:tr w:rsidR="003C102E" w:rsidRPr="00CD1278" w14:paraId="6C9949D0" w14:textId="77777777" w:rsidTr="006D0E9A">
        <w:trPr>
          <w:trHeight w:val="160"/>
        </w:trPr>
        <w:tc>
          <w:tcPr>
            <w:tcW w:w="2093" w:type="dxa"/>
            <w:vMerge/>
            <w:vAlign w:val="center"/>
          </w:tcPr>
          <w:p w14:paraId="35F01B5D" w14:textId="77777777" w:rsidR="00B4439A" w:rsidRPr="00CD1278" w:rsidRDefault="00B4439A" w:rsidP="006D0E9A">
            <w:pPr>
              <w:spacing w:after="0"/>
              <w:jc w:val="center"/>
              <w:rPr>
                <w:b/>
                <w:bCs/>
                <w:color w:val="auto"/>
                <w:sz w:val="20"/>
                <w:lang w:eastAsia="es-ES"/>
              </w:rPr>
            </w:pPr>
          </w:p>
        </w:tc>
        <w:tc>
          <w:tcPr>
            <w:tcW w:w="1417" w:type="dxa"/>
            <w:vAlign w:val="center"/>
          </w:tcPr>
          <w:p w14:paraId="5756A210" w14:textId="596E7231" w:rsidR="00B4439A" w:rsidRPr="00CD1278" w:rsidRDefault="00B4439A" w:rsidP="00D70754">
            <w:pPr>
              <w:spacing w:after="0"/>
              <w:jc w:val="center"/>
              <w:rPr>
                <w:b/>
                <w:bCs/>
                <w:color w:val="auto"/>
                <w:sz w:val="20"/>
                <w:lang w:eastAsia="es-ES"/>
              </w:rPr>
            </w:pPr>
            <w:r w:rsidRPr="00CD1278">
              <w:rPr>
                <w:b/>
                <w:bCs/>
                <w:color w:val="auto"/>
                <w:sz w:val="20"/>
                <w:lang w:eastAsia="es-ES"/>
              </w:rPr>
              <w:t xml:space="preserve">Nomination by Party for </w:t>
            </w:r>
            <w:r w:rsidR="00D70754" w:rsidRPr="00CD1278">
              <w:rPr>
                <w:b/>
                <w:bCs/>
                <w:color w:val="auto"/>
                <w:sz w:val="20"/>
                <w:lang w:eastAsia="es-ES"/>
              </w:rPr>
              <w:t>2019</w:t>
            </w:r>
          </w:p>
        </w:tc>
        <w:tc>
          <w:tcPr>
            <w:tcW w:w="1985" w:type="dxa"/>
            <w:vAlign w:val="center"/>
          </w:tcPr>
          <w:p w14:paraId="31943381" w14:textId="53655FA6" w:rsidR="00B4439A" w:rsidRPr="00CD1278" w:rsidRDefault="00B4439A" w:rsidP="00D70754">
            <w:pPr>
              <w:spacing w:after="0"/>
              <w:jc w:val="center"/>
              <w:rPr>
                <w:b/>
                <w:bCs/>
                <w:color w:val="auto"/>
                <w:sz w:val="20"/>
                <w:lang w:eastAsia="es-ES"/>
              </w:rPr>
            </w:pPr>
            <w:r w:rsidRPr="00CD1278">
              <w:rPr>
                <w:b/>
                <w:bCs/>
                <w:color w:val="auto"/>
                <w:sz w:val="20"/>
                <w:lang w:eastAsia="es-ES"/>
              </w:rPr>
              <w:t xml:space="preserve">Interim Recommendation for </w:t>
            </w:r>
            <w:r w:rsidR="00D70754" w:rsidRPr="00CD1278">
              <w:rPr>
                <w:b/>
                <w:bCs/>
                <w:color w:val="auto"/>
                <w:sz w:val="20"/>
                <w:lang w:eastAsia="es-ES"/>
              </w:rPr>
              <w:t>2019</w:t>
            </w:r>
          </w:p>
        </w:tc>
        <w:tc>
          <w:tcPr>
            <w:tcW w:w="1559" w:type="dxa"/>
            <w:vAlign w:val="center"/>
          </w:tcPr>
          <w:p w14:paraId="1D88A0BA" w14:textId="347E4D94" w:rsidR="00B4439A" w:rsidRPr="00CD1278" w:rsidRDefault="00B4439A" w:rsidP="00D70754">
            <w:pPr>
              <w:spacing w:after="0"/>
              <w:jc w:val="center"/>
              <w:rPr>
                <w:b/>
                <w:bCs/>
                <w:color w:val="auto"/>
                <w:sz w:val="20"/>
                <w:lang w:eastAsia="es-ES"/>
              </w:rPr>
            </w:pPr>
            <w:r w:rsidRPr="00CD1278">
              <w:rPr>
                <w:b/>
                <w:bCs/>
                <w:color w:val="auto"/>
                <w:sz w:val="20"/>
                <w:lang w:eastAsia="es-ES"/>
              </w:rPr>
              <w:t xml:space="preserve">Nomination by the Party for </w:t>
            </w:r>
            <w:r w:rsidR="00D70754" w:rsidRPr="00CD1278">
              <w:rPr>
                <w:b/>
                <w:bCs/>
                <w:color w:val="auto"/>
                <w:sz w:val="20"/>
                <w:lang w:eastAsia="es-ES"/>
              </w:rPr>
              <w:t>2020</w:t>
            </w:r>
          </w:p>
        </w:tc>
        <w:tc>
          <w:tcPr>
            <w:tcW w:w="1985" w:type="dxa"/>
            <w:vAlign w:val="center"/>
          </w:tcPr>
          <w:p w14:paraId="1D8AB047" w14:textId="64825E1E" w:rsidR="00B4439A" w:rsidRPr="00CD1278" w:rsidRDefault="00B4439A" w:rsidP="00D70754">
            <w:pPr>
              <w:spacing w:after="0"/>
              <w:jc w:val="center"/>
              <w:rPr>
                <w:b/>
                <w:bCs/>
                <w:color w:val="auto"/>
                <w:sz w:val="20"/>
                <w:lang w:eastAsia="es-ES"/>
              </w:rPr>
            </w:pPr>
            <w:r w:rsidRPr="00CD1278">
              <w:rPr>
                <w:b/>
                <w:bCs/>
                <w:color w:val="auto"/>
                <w:sz w:val="20"/>
                <w:lang w:eastAsia="es-ES"/>
              </w:rPr>
              <w:t xml:space="preserve">Interim Recommendation for </w:t>
            </w:r>
            <w:r w:rsidR="00D70754" w:rsidRPr="00CD1278">
              <w:rPr>
                <w:b/>
                <w:bCs/>
                <w:color w:val="auto"/>
                <w:sz w:val="20"/>
                <w:lang w:eastAsia="es-ES"/>
              </w:rPr>
              <w:t>2020</w:t>
            </w:r>
          </w:p>
        </w:tc>
      </w:tr>
      <w:tr w:rsidR="003C102E" w:rsidRPr="00CD1278" w14:paraId="6BFBC757" w14:textId="77777777" w:rsidTr="00673ED0">
        <w:trPr>
          <w:trHeight w:val="585"/>
        </w:trPr>
        <w:tc>
          <w:tcPr>
            <w:tcW w:w="2093" w:type="dxa"/>
          </w:tcPr>
          <w:p w14:paraId="4FB1AF57" w14:textId="739FC83A" w:rsidR="00B4439A" w:rsidRPr="00CD1278" w:rsidRDefault="00B4439A" w:rsidP="00B4439A">
            <w:pPr>
              <w:spacing w:after="60"/>
              <w:rPr>
                <w:b/>
                <w:bCs/>
                <w:color w:val="auto"/>
                <w:sz w:val="20"/>
                <w:lang w:eastAsia="es-ES"/>
              </w:rPr>
            </w:pPr>
            <w:r w:rsidRPr="00CD1278">
              <w:rPr>
                <w:b/>
                <w:color w:val="auto"/>
                <w:sz w:val="20"/>
                <w:lang w:eastAsia="es-ES"/>
              </w:rPr>
              <w:t>1</w:t>
            </w:r>
            <w:r w:rsidRPr="00CD1278">
              <w:rPr>
                <w:color w:val="auto"/>
                <w:sz w:val="20"/>
                <w:lang w:eastAsia="es-ES"/>
              </w:rPr>
              <w:t xml:space="preserve">. </w:t>
            </w:r>
            <w:r w:rsidRPr="00CD1278">
              <w:rPr>
                <w:b/>
                <w:bCs/>
                <w:color w:val="auto"/>
                <w:sz w:val="20"/>
                <w:lang w:eastAsia="es-ES"/>
              </w:rPr>
              <w:t>Australia</w:t>
            </w:r>
            <w:r w:rsidR="008B721F" w:rsidRPr="00CD1278">
              <w:rPr>
                <w:b/>
                <w:bCs/>
                <w:color w:val="auto"/>
                <w:sz w:val="20"/>
                <w:lang w:eastAsia="es-ES"/>
              </w:rPr>
              <w:t xml:space="preserve"> (2020)</w:t>
            </w:r>
          </w:p>
          <w:p w14:paraId="6EA08354" w14:textId="77777777" w:rsidR="00B4439A" w:rsidRPr="00CD1278" w:rsidRDefault="00B4439A" w:rsidP="00B4439A">
            <w:pPr>
              <w:spacing w:after="60"/>
              <w:ind w:left="180"/>
              <w:rPr>
                <w:color w:val="auto"/>
                <w:sz w:val="20"/>
                <w:lang w:eastAsia="es-ES"/>
              </w:rPr>
            </w:pPr>
            <w:r w:rsidRPr="00CD1278">
              <w:rPr>
                <w:color w:val="auto"/>
                <w:sz w:val="20"/>
                <w:lang w:eastAsia="es-ES"/>
              </w:rPr>
              <w:t>Strawberry runners</w:t>
            </w:r>
          </w:p>
        </w:tc>
        <w:tc>
          <w:tcPr>
            <w:tcW w:w="1417" w:type="dxa"/>
            <w:vAlign w:val="center"/>
          </w:tcPr>
          <w:p w14:paraId="1EDB2ED8" w14:textId="77777777" w:rsidR="00B4439A" w:rsidRPr="00CD1278" w:rsidRDefault="00B4439A" w:rsidP="00673ED0">
            <w:pPr>
              <w:spacing w:after="60"/>
              <w:jc w:val="center"/>
              <w:rPr>
                <w:b/>
                <w:bCs/>
                <w:color w:val="auto"/>
                <w:sz w:val="20"/>
                <w:lang w:eastAsia="es-ES"/>
              </w:rPr>
            </w:pPr>
          </w:p>
        </w:tc>
        <w:tc>
          <w:tcPr>
            <w:tcW w:w="1985" w:type="dxa"/>
            <w:vAlign w:val="center"/>
          </w:tcPr>
          <w:p w14:paraId="59A0DBB9" w14:textId="77777777" w:rsidR="00B4439A" w:rsidRPr="00CD1278" w:rsidRDefault="00B4439A" w:rsidP="00673ED0">
            <w:pPr>
              <w:spacing w:after="60"/>
              <w:jc w:val="center"/>
              <w:rPr>
                <w:b/>
                <w:bCs/>
                <w:color w:val="auto"/>
                <w:sz w:val="20"/>
                <w:lang w:eastAsia="es-ES"/>
              </w:rPr>
            </w:pPr>
          </w:p>
        </w:tc>
        <w:tc>
          <w:tcPr>
            <w:tcW w:w="1559" w:type="dxa"/>
            <w:vAlign w:val="center"/>
          </w:tcPr>
          <w:p w14:paraId="0B1A3E73" w14:textId="77777777" w:rsidR="00B4439A" w:rsidRPr="00CD1278" w:rsidRDefault="00B4439A" w:rsidP="00673ED0">
            <w:pPr>
              <w:spacing w:after="60"/>
              <w:jc w:val="center"/>
              <w:rPr>
                <w:bCs/>
                <w:color w:val="auto"/>
                <w:sz w:val="20"/>
                <w:lang w:eastAsia="es-ES"/>
              </w:rPr>
            </w:pPr>
          </w:p>
          <w:p w14:paraId="08DA6705" w14:textId="04000590" w:rsidR="00B4439A" w:rsidRPr="00CD1278" w:rsidRDefault="00611BDB" w:rsidP="00C35C59">
            <w:pPr>
              <w:spacing w:after="60"/>
              <w:jc w:val="center"/>
              <w:rPr>
                <w:bCs/>
                <w:color w:val="auto"/>
                <w:sz w:val="20"/>
                <w:lang w:eastAsia="es-ES"/>
              </w:rPr>
            </w:pPr>
            <w:r w:rsidRPr="00CD1278">
              <w:rPr>
                <w:bCs/>
                <w:color w:val="auto"/>
                <w:sz w:val="20"/>
                <w:lang w:eastAsia="es-ES"/>
              </w:rPr>
              <w:t>28.9</w:t>
            </w:r>
            <w:r w:rsidR="00C34AE8" w:rsidRPr="00CD1278">
              <w:rPr>
                <w:bCs/>
                <w:color w:val="auto"/>
                <w:sz w:val="20"/>
                <w:lang w:eastAsia="es-ES"/>
              </w:rPr>
              <w:t>8</w:t>
            </w:r>
          </w:p>
        </w:tc>
        <w:tc>
          <w:tcPr>
            <w:tcW w:w="1985" w:type="dxa"/>
            <w:vAlign w:val="center"/>
          </w:tcPr>
          <w:p w14:paraId="3DAEE8DC" w14:textId="77777777" w:rsidR="00B4439A" w:rsidRPr="00CD1278" w:rsidRDefault="00B4439A" w:rsidP="00673ED0">
            <w:pPr>
              <w:spacing w:after="60"/>
              <w:jc w:val="center"/>
              <w:rPr>
                <w:bCs/>
                <w:color w:val="auto"/>
                <w:sz w:val="20"/>
                <w:lang w:eastAsia="es-ES"/>
              </w:rPr>
            </w:pPr>
          </w:p>
          <w:p w14:paraId="7A2802AE" w14:textId="1C1A5C34" w:rsidR="00B4439A" w:rsidRPr="00CD1278" w:rsidRDefault="00B4439A" w:rsidP="00C35C59">
            <w:pPr>
              <w:spacing w:after="60"/>
              <w:jc w:val="center"/>
              <w:rPr>
                <w:bCs/>
                <w:color w:val="auto"/>
                <w:sz w:val="20"/>
                <w:lang w:eastAsia="es-ES"/>
              </w:rPr>
            </w:pPr>
            <w:r w:rsidRPr="00CD1278">
              <w:rPr>
                <w:bCs/>
                <w:color w:val="auto"/>
                <w:sz w:val="20"/>
                <w:lang w:eastAsia="es-ES"/>
              </w:rPr>
              <w:t>[</w:t>
            </w:r>
            <w:r w:rsidR="00D70754" w:rsidRPr="00CD1278">
              <w:rPr>
                <w:bCs/>
                <w:color w:val="auto"/>
                <w:sz w:val="20"/>
                <w:lang w:eastAsia="es-ES"/>
              </w:rPr>
              <w:t>26.08</w:t>
            </w:r>
            <w:r w:rsidRPr="00CD1278">
              <w:rPr>
                <w:bCs/>
                <w:color w:val="auto"/>
                <w:sz w:val="20"/>
                <w:lang w:eastAsia="es-ES"/>
              </w:rPr>
              <w:t>]</w:t>
            </w:r>
          </w:p>
        </w:tc>
      </w:tr>
      <w:tr w:rsidR="003C102E" w:rsidRPr="00CD1278" w14:paraId="096752A7" w14:textId="77777777" w:rsidTr="00D52D41">
        <w:trPr>
          <w:trHeight w:val="506"/>
        </w:trPr>
        <w:tc>
          <w:tcPr>
            <w:tcW w:w="2093" w:type="dxa"/>
          </w:tcPr>
          <w:p w14:paraId="351B57CE" w14:textId="3A826F33" w:rsidR="00426600" w:rsidRPr="00CD1278" w:rsidRDefault="00426600" w:rsidP="00426600">
            <w:pPr>
              <w:spacing w:after="60"/>
              <w:rPr>
                <w:b/>
                <w:bCs/>
                <w:color w:val="auto"/>
                <w:sz w:val="20"/>
                <w:lang w:eastAsia="es-ES"/>
              </w:rPr>
            </w:pPr>
            <w:r w:rsidRPr="00CD1278">
              <w:rPr>
                <w:b/>
                <w:color w:val="auto"/>
                <w:sz w:val="20"/>
                <w:lang w:eastAsia="es-ES"/>
              </w:rPr>
              <w:t>2.</w:t>
            </w:r>
            <w:r w:rsidRPr="00CD1278">
              <w:rPr>
                <w:color w:val="auto"/>
                <w:sz w:val="20"/>
                <w:lang w:eastAsia="es-ES"/>
              </w:rPr>
              <w:t xml:space="preserve"> </w:t>
            </w:r>
            <w:r w:rsidRPr="00CD1278">
              <w:rPr>
                <w:b/>
                <w:bCs/>
                <w:color w:val="auto"/>
                <w:sz w:val="20"/>
                <w:lang w:eastAsia="es-ES"/>
              </w:rPr>
              <w:t>Canada</w:t>
            </w:r>
            <w:r w:rsidR="008B721F" w:rsidRPr="00CD1278">
              <w:rPr>
                <w:b/>
                <w:bCs/>
                <w:color w:val="auto"/>
                <w:sz w:val="20"/>
                <w:lang w:eastAsia="es-ES"/>
              </w:rPr>
              <w:t xml:space="preserve"> (2019)</w:t>
            </w:r>
          </w:p>
          <w:p w14:paraId="750455C5" w14:textId="77777777" w:rsidR="00426600" w:rsidRPr="00CD1278" w:rsidRDefault="00426600" w:rsidP="00426600">
            <w:pPr>
              <w:spacing w:after="60"/>
              <w:ind w:left="180"/>
              <w:rPr>
                <w:color w:val="auto"/>
                <w:sz w:val="20"/>
                <w:lang w:eastAsia="es-ES"/>
              </w:rPr>
            </w:pPr>
            <w:r w:rsidRPr="00CD1278">
              <w:rPr>
                <w:color w:val="auto"/>
                <w:sz w:val="20"/>
                <w:lang w:eastAsia="es-ES"/>
              </w:rPr>
              <w:t>Strawberry runners</w:t>
            </w:r>
          </w:p>
        </w:tc>
        <w:tc>
          <w:tcPr>
            <w:tcW w:w="1417" w:type="dxa"/>
            <w:vAlign w:val="center"/>
          </w:tcPr>
          <w:p w14:paraId="425B61E6" w14:textId="77777777" w:rsidR="00426600" w:rsidRPr="00CD1278" w:rsidRDefault="00426600" w:rsidP="00673ED0">
            <w:pPr>
              <w:spacing w:after="60"/>
              <w:jc w:val="center"/>
              <w:rPr>
                <w:b/>
                <w:bCs/>
                <w:color w:val="auto"/>
                <w:sz w:val="20"/>
                <w:lang w:eastAsia="es-ES"/>
              </w:rPr>
            </w:pPr>
          </w:p>
          <w:p w14:paraId="46C78DCB" w14:textId="26B19B9A" w:rsidR="00426600" w:rsidRPr="00CD1278" w:rsidRDefault="00426600" w:rsidP="00673ED0">
            <w:pPr>
              <w:spacing w:after="60"/>
              <w:jc w:val="center"/>
              <w:rPr>
                <w:b/>
                <w:bCs/>
                <w:color w:val="auto"/>
                <w:sz w:val="20"/>
                <w:lang w:eastAsia="es-ES"/>
              </w:rPr>
            </w:pPr>
          </w:p>
        </w:tc>
        <w:tc>
          <w:tcPr>
            <w:tcW w:w="1985" w:type="dxa"/>
            <w:vAlign w:val="center"/>
          </w:tcPr>
          <w:p w14:paraId="70978B65" w14:textId="77777777" w:rsidR="00426600" w:rsidRPr="00CD1278" w:rsidRDefault="00426600" w:rsidP="00673ED0">
            <w:pPr>
              <w:spacing w:after="60"/>
              <w:jc w:val="center"/>
              <w:rPr>
                <w:b/>
                <w:bCs/>
                <w:color w:val="auto"/>
                <w:sz w:val="20"/>
                <w:lang w:eastAsia="es-ES"/>
              </w:rPr>
            </w:pPr>
          </w:p>
          <w:p w14:paraId="00CB9C0E" w14:textId="6D5888E4" w:rsidR="00426600" w:rsidRPr="00CD1278" w:rsidRDefault="00426600" w:rsidP="00D70754">
            <w:pPr>
              <w:spacing w:after="60"/>
              <w:jc w:val="center"/>
              <w:rPr>
                <w:b/>
                <w:bCs/>
                <w:color w:val="auto"/>
                <w:sz w:val="20"/>
                <w:lang w:eastAsia="es-ES"/>
              </w:rPr>
            </w:pPr>
          </w:p>
        </w:tc>
        <w:tc>
          <w:tcPr>
            <w:tcW w:w="1559" w:type="dxa"/>
            <w:vAlign w:val="bottom"/>
          </w:tcPr>
          <w:p w14:paraId="1E2E6A07" w14:textId="024A2B3A" w:rsidR="00426600" w:rsidRPr="00CD1278" w:rsidRDefault="008B721F" w:rsidP="00D52D41">
            <w:pPr>
              <w:spacing w:after="60"/>
              <w:jc w:val="center"/>
              <w:rPr>
                <w:bCs/>
                <w:color w:val="auto"/>
                <w:sz w:val="20"/>
                <w:lang w:eastAsia="es-ES"/>
              </w:rPr>
            </w:pPr>
            <w:r w:rsidRPr="00CD1278">
              <w:rPr>
                <w:bCs/>
                <w:color w:val="auto"/>
                <w:sz w:val="20"/>
                <w:lang w:eastAsia="es-ES"/>
              </w:rPr>
              <w:t>5.261</w:t>
            </w:r>
          </w:p>
        </w:tc>
        <w:tc>
          <w:tcPr>
            <w:tcW w:w="1985" w:type="dxa"/>
            <w:vAlign w:val="bottom"/>
          </w:tcPr>
          <w:p w14:paraId="75A65712" w14:textId="7A3F7AD2" w:rsidR="00426600" w:rsidRPr="00CD1278" w:rsidRDefault="008B721F" w:rsidP="00004ED1">
            <w:pPr>
              <w:spacing w:after="60"/>
              <w:jc w:val="center"/>
              <w:rPr>
                <w:bCs/>
                <w:color w:val="auto"/>
                <w:sz w:val="20"/>
                <w:lang w:eastAsia="es-ES"/>
              </w:rPr>
            </w:pPr>
            <w:r w:rsidRPr="00CD1278">
              <w:rPr>
                <w:bCs/>
                <w:color w:val="auto"/>
                <w:sz w:val="20"/>
                <w:lang w:eastAsia="es-ES"/>
              </w:rPr>
              <w:t>[4.</w:t>
            </w:r>
            <w:r w:rsidR="00004ED1" w:rsidRPr="00CD1278">
              <w:rPr>
                <w:bCs/>
                <w:color w:val="auto"/>
                <w:sz w:val="20"/>
                <w:lang w:eastAsia="es-ES"/>
              </w:rPr>
              <w:t>735</w:t>
            </w:r>
            <w:r w:rsidRPr="00CD1278">
              <w:rPr>
                <w:bCs/>
                <w:color w:val="auto"/>
                <w:sz w:val="20"/>
                <w:lang w:eastAsia="es-ES"/>
              </w:rPr>
              <w:t>]</w:t>
            </w:r>
          </w:p>
        </w:tc>
      </w:tr>
      <w:tr w:rsidR="003C102E" w:rsidRPr="00CD1278" w14:paraId="36B3440C" w14:textId="77777777" w:rsidTr="00673ED0">
        <w:trPr>
          <w:trHeight w:val="680"/>
        </w:trPr>
        <w:tc>
          <w:tcPr>
            <w:tcW w:w="2093" w:type="dxa"/>
          </w:tcPr>
          <w:p w14:paraId="5BDA8B56" w14:textId="77777777" w:rsidR="00426600" w:rsidRPr="00CD1278" w:rsidRDefault="00426600" w:rsidP="00426600">
            <w:pPr>
              <w:spacing w:after="60"/>
              <w:rPr>
                <w:b/>
                <w:color w:val="auto"/>
                <w:sz w:val="20"/>
                <w:lang w:eastAsia="es-ES"/>
              </w:rPr>
            </w:pPr>
            <w:r w:rsidRPr="00CD1278">
              <w:rPr>
                <w:b/>
                <w:color w:val="auto"/>
                <w:sz w:val="20"/>
                <w:lang w:eastAsia="es-ES"/>
              </w:rPr>
              <w:t>3. Argentina</w:t>
            </w:r>
          </w:p>
          <w:p w14:paraId="72F8546D" w14:textId="1974D2A5" w:rsidR="00426600" w:rsidRPr="00CD1278" w:rsidRDefault="00426600" w:rsidP="00D70754">
            <w:pPr>
              <w:spacing w:after="60"/>
              <w:ind w:left="174" w:hanging="142"/>
              <w:rPr>
                <w:color w:val="auto"/>
                <w:sz w:val="20"/>
                <w:lang w:eastAsia="es-ES"/>
              </w:rPr>
            </w:pPr>
            <w:r w:rsidRPr="00CD1278">
              <w:rPr>
                <w:color w:val="auto"/>
                <w:sz w:val="20"/>
                <w:lang w:eastAsia="es-ES"/>
              </w:rPr>
              <w:t xml:space="preserve">   Strawberry fruit</w:t>
            </w:r>
            <w:r w:rsidR="00D70754" w:rsidRPr="00CD1278">
              <w:rPr>
                <w:color w:val="auto"/>
                <w:sz w:val="20"/>
                <w:lang w:eastAsia="es-ES"/>
              </w:rPr>
              <w:t xml:space="preserve">     Tomato</w:t>
            </w:r>
          </w:p>
        </w:tc>
        <w:tc>
          <w:tcPr>
            <w:tcW w:w="1417" w:type="dxa"/>
            <w:vAlign w:val="center"/>
          </w:tcPr>
          <w:p w14:paraId="3BCBCBCA" w14:textId="77777777" w:rsidR="00426600" w:rsidRPr="00CD1278" w:rsidRDefault="00426600" w:rsidP="00673ED0">
            <w:pPr>
              <w:spacing w:after="60"/>
              <w:jc w:val="center"/>
              <w:rPr>
                <w:color w:val="auto"/>
                <w:sz w:val="20"/>
                <w:lang w:eastAsia="es-ES"/>
              </w:rPr>
            </w:pPr>
          </w:p>
          <w:p w14:paraId="4E44A95D" w14:textId="202425C1" w:rsidR="00426600" w:rsidRPr="00CD1278" w:rsidRDefault="00D70754" w:rsidP="000C77F3">
            <w:pPr>
              <w:spacing w:after="60"/>
              <w:jc w:val="center"/>
              <w:rPr>
                <w:color w:val="auto"/>
                <w:sz w:val="20"/>
                <w:lang w:eastAsia="es-ES"/>
              </w:rPr>
            </w:pPr>
            <w:r w:rsidRPr="00CD1278">
              <w:rPr>
                <w:color w:val="auto"/>
                <w:sz w:val="20"/>
                <w:lang w:eastAsia="es-ES"/>
              </w:rPr>
              <w:t>27.1</w:t>
            </w:r>
            <w:r w:rsidR="008B721F" w:rsidRPr="00CD1278">
              <w:rPr>
                <w:color w:val="auto"/>
                <w:sz w:val="20"/>
                <w:lang w:eastAsia="es-ES"/>
              </w:rPr>
              <w:t>0</w:t>
            </w:r>
          </w:p>
          <w:p w14:paraId="3C328E47" w14:textId="1F50D448" w:rsidR="00D70754" w:rsidRPr="00CD1278" w:rsidRDefault="00D70754" w:rsidP="000C77F3">
            <w:pPr>
              <w:spacing w:after="60"/>
              <w:jc w:val="center"/>
              <w:rPr>
                <w:color w:val="auto"/>
                <w:sz w:val="20"/>
                <w:lang w:eastAsia="es-ES"/>
              </w:rPr>
            </w:pPr>
            <w:r w:rsidRPr="00CD1278">
              <w:rPr>
                <w:color w:val="auto"/>
                <w:sz w:val="20"/>
                <w:lang w:eastAsia="es-ES"/>
              </w:rPr>
              <w:t>44.4</w:t>
            </w:r>
            <w:r w:rsidR="008B721F" w:rsidRPr="00CD1278">
              <w:rPr>
                <w:color w:val="auto"/>
                <w:sz w:val="20"/>
                <w:lang w:eastAsia="es-ES"/>
              </w:rPr>
              <w:t>0</w:t>
            </w:r>
          </w:p>
        </w:tc>
        <w:tc>
          <w:tcPr>
            <w:tcW w:w="1985" w:type="dxa"/>
            <w:vAlign w:val="center"/>
          </w:tcPr>
          <w:p w14:paraId="7A890EAF" w14:textId="77777777" w:rsidR="00426600" w:rsidRPr="00CD1278" w:rsidRDefault="00426600" w:rsidP="00673ED0">
            <w:pPr>
              <w:spacing w:after="60"/>
              <w:jc w:val="center"/>
              <w:rPr>
                <w:color w:val="auto"/>
                <w:sz w:val="20"/>
                <w:lang w:eastAsia="es-ES"/>
              </w:rPr>
            </w:pPr>
          </w:p>
          <w:p w14:paraId="2639B4E5" w14:textId="347A23BC" w:rsidR="00D70754" w:rsidRPr="00CD1278" w:rsidRDefault="00D70754" w:rsidP="00D70754">
            <w:pPr>
              <w:spacing w:after="60"/>
              <w:jc w:val="center"/>
              <w:rPr>
                <w:color w:val="auto"/>
                <w:sz w:val="20"/>
                <w:lang w:eastAsia="es-ES"/>
              </w:rPr>
            </w:pPr>
            <w:r w:rsidRPr="00CD1278" w:rsidDel="00D70754">
              <w:rPr>
                <w:b/>
                <w:color w:val="auto"/>
                <w:sz w:val="20"/>
                <w:lang w:eastAsia="es-ES"/>
              </w:rPr>
              <w:t xml:space="preserve"> </w:t>
            </w:r>
            <w:r w:rsidR="00426600" w:rsidRPr="00CD1278">
              <w:rPr>
                <w:color w:val="auto"/>
                <w:sz w:val="20"/>
                <w:lang w:eastAsia="es-ES"/>
              </w:rPr>
              <w:t>[</w:t>
            </w:r>
            <w:r w:rsidRPr="00CD1278">
              <w:rPr>
                <w:color w:val="auto"/>
                <w:sz w:val="20"/>
                <w:lang w:eastAsia="es-ES"/>
              </w:rPr>
              <w:t>15.71</w:t>
            </w:r>
            <w:r w:rsidR="00426600" w:rsidRPr="00CD1278">
              <w:rPr>
                <w:color w:val="auto"/>
                <w:sz w:val="20"/>
                <w:lang w:eastAsia="es-ES"/>
              </w:rPr>
              <w:t>]</w:t>
            </w:r>
          </w:p>
          <w:p w14:paraId="20AA444A" w14:textId="7172E073" w:rsidR="00426600" w:rsidRPr="00CD1278" w:rsidRDefault="00D70754" w:rsidP="000C77F3">
            <w:pPr>
              <w:spacing w:after="60"/>
              <w:jc w:val="center"/>
              <w:rPr>
                <w:b/>
                <w:color w:val="auto"/>
                <w:sz w:val="20"/>
                <w:lang w:eastAsia="es-ES"/>
              </w:rPr>
            </w:pPr>
            <w:r w:rsidRPr="00CD1278">
              <w:rPr>
                <w:color w:val="auto"/>
                <w:sz w:val="20"/>
                <w:lang w:eastAsia="es-ES"/>
              </w:rPr>
              <w:t>[25.60]</w:t>
            </w:r>
          </w:p>
        </w:tc>
        <w:tc>
          <w:tcPr>
            <w:tcW w:w="1559" w:type="dxa"/>
            <w:vAlign w:val="center"/>
          </w:tcPr>
          <w:p w14:paraId="3F0A8075" w14:textId="77777777" w:rsidR="00426600" w:rsidRPr="00CD1278" w:rsidRDefault="00426600" w:rsidP="00673ED0">
            <w:pPr>
              <w:spacing w:after="60"/>
              <w:jc w:val="center"/>
              <w:rPr>
                <w:color w:val="auto"/>
                <w:sz w:val="20"/>
                <w:lang w:eastAsia="es-ES"/>
              </w:rPr>
            </w:pPr>
          </w:p>
        </w:tc>
        <w:tc>
          <w:tcPr>
            <w:tcW w:w="1985" w:type="dxa"/>
            <w:vAlign w:val="center"/>
          </w:tcPr>
          <w:p w14:paraId="10EEDD7A" w14:textId="77777777" w:rsidR="00426600" w:rsidRPr="00CD1278" w:rsidRDefault="00426600" w:rsidP="00673ED0">
            <w:pPr>
              <w:spacing w:after="60"/>
              <w:jc w:val="center"/>
              <w:rPr>
                <w:b/>
                <w:color w:val="auto"/>
                <w:sz w:val="20"/>
                <w:lang w:eastAsia="es-ES"/>
              </w:rPr>
            </w:pPr>
          </w:p>
        </w:tc>
      </w:tr>
      <w:tr w:rsidR="003C102E" w:rsidRPr="00CD1278" w14:paraId="0DB1A3D9" w14:textId="77777777" w:rsidTr="005B2F78">
        <w:trPr>
          <w:trHeight w:val="359"/>
        </w:trPr>
        <w:tc>
          <w:tcPr>
            <w:tcW w:w="2093" w:type="dxa"/>
            <w:vAlign w:val="center"/>
          </w:tcPr>
          <w:p w14:paraId="5B05560A" w14:textId="77777777" w:rsidR="00426600" w:rsidRPr="00CD1278" w:rsidRDefault="00426600" w:rsidP="005B2F78">
            <w:pPr>
              <w:spacing w:after="60"/>
              <w:rPr>
                <w:color w:val="auto"/>
                <w:sz w:val="20"/>
                <w:lang w:eastAsia="es-ES"/>
              </w:rPr>
            </w:pPr>
            <w:r w:rsidRPr="00CD1278">
              <w:rPr>
                <w:b/>
                <w:color w:val="auto"/>
                <w:sz w:val="20"/>
                <w:lang w:eastAsia="es-ES"/>
              </w:rPr>
              <w:t>TOTAL</w:t>
            </w:r>
          </w:p>
        </w:tc>
        <w:tc>
          <w:tcPr>
            <w:tcW w:w="1417" w:type="dxa"/>
            <w:vAlign w:val="center"/>
          </w:tcPr>
          <w:p w14:paraId="76C29825" w14:textId="267E19B2" w:rsidR="00426600" w:rsidRPr="00CD1278" w:rsidRDefault="008B721F" w:rsidP="005B2F78">
            <w:pPr>
              <w:spacing w:after="60"/>
              <w:jc w:val="center"/>
              <w:rPr>
                <w:b/>
                <w:bCs/>
                <w:color w:val="auto"/>
                <w:sz w:val="20"/>
                <w:lang w:eastAsia="es-ES"/>
              </w:rPr>
            </w:pPr>
            <w:r w:rsidRPr="00CD1278">
              <w:rPr>
                <w:b/>
                <w:bCs/>
                <w:color w:val="auto"/>
                <w:sz w:val="20"/>
                <w:lang w:eastAsia="es-ES"/>
              </w:rPr>
              <w:t>71.50</w:t>
            </w:r>
          </w:p>
        </w:tc>
        <w:tc>
          <w:tcPr>
            <w:tcW w:w="1985" w:type="dxa"/>
            <w:vAlign w:val="center"/>
          </w:tcPr>
          <w:p w14:paraId="2253AD78" w14:textId="39BF32F6" w:rsidR="00426600" w:rsidRPr="00CD1278" w:rsidRDefault="009C6CA6" w:rsidP="00D52D41">
            <w:pPr>
              <w:spacing w:after="60"/>
              <w:jc w:val="center"/>
              <w:rPr>
                <w:b/>
                <w:bCs/>
                <w:color w:val="auto"/>
                <w:sz w:val="20"/>
                <w:lang w:eastAsia="es-ES"/>
              </w:rPr>
            </w:pPr>
            <w:r w:rsidRPr="00CD1278">
              <w:rPr>
                <w:b/>
                <w:color w:val="auto"/>
                <w:sz w:val="20"/>
                <w:lang w:eastAsia="es-ES"/>
              </w:rPr>
              <w:t>[</w:t>
            </w:r>
            <w:r w:rsidR="008B721F" w:rsidRPr="00CD1278">
              <w:rPr>
                <w:b/>
                <w:color w:val="auto"/>
                <w:sz w:val="20"/>
                <w:lang w:eastAsia="es-ES"/>
              </w:rPr>
              <w:t>41.</w:t>
            </w:r>
            <w:r w:rsidR="00D52D41" w:rsidRPr="00CD1278">
              <w:rPr>
                <w:b/>
                <w:color w:val="auto"/>
                <w:sz w:val="20"/>
                <w:lang w:eastAsia="es-ES"/>
              </w:rPr>
              <w:t>31</w:t>
            </w:r>
            <w:r w:rsidRPr="00CD1278">
              <w:rPr>
                <w:b/>
                <w:color w:val="auto"/>
                <w:sz w:val="20"/>
                <w:lang w:eastAsia="es-ES"/>
              </w:rPr>
              <w:t>]</w:t>
            </w:r>
          </w:p>
        </w:tc>
        <w:tc>
          <w:tcPr>
            <w:tcW w:w="1559" w:type="dxa"/>
            <w:vAlign w:val="center"/>
          </w:tcPr>
          <w:p w14:paraId="7F3288F7" w14:textId="59E3CAF5" w:rsidR="00426600" w:rsidRPr="00CD1278" w:rsidRDefault="008B721F" w:rsidP="005B2F78">
            <w:pPr>
              <w:spacing w:after="60"/>
              <w:jc w:val="center"/>
              <w:rPr>
                <w:b/>
                <w:bCs/>
                <w:color w:val="auto"/>
                <w:sz w:val="20"/>
                <w:lang w:eastAsia="es-ES"/>
              </w:rPr>
            </w:pPr>
            <w:r w:rsidRPr="00CD1278">
              <w:rPr>
                <w:b/>
                <w:bCs/>
                <w:color w:val="auto"/>
                <w:sz w:val="20"/>
                <w:lang w:eastAsia="es-ES"/>
              </w:rPr>
              <w:t>34.241</w:t>
            </w:r>
          </w:p>
        </w:tc>
        <w:tc>
          <w:tcPr>
            <w:tcW w:w="1985" w:type="dxa"/>
            <w:vAlign w:val="center"/>
          </w:tcPr>
          <w:p w14:paraId="50BD6AA9" w14:textId="3927119F" w:rsidR="00426600" w:rsidRPr="00CD1278" w:rsidRDefault="00E20043" w:rsidP="008C6A32">
            <w:pPr>
              <w:spacing w:after="60"/>
              <w:jc w:val="center"/>
              <w:rPr>
                <w:color w:val="auto"/>
                <w:sz w:val="20"/>
                <w:lang w:eastAsia="es-ES"/>
              </w:rPr>
            </w:pPr>
            <w:r w:rsidRPr="00CD1278">
              <w:rPr>
                <w:b/>
                <w:bCs/>
                <w:color w:val="auto"/>
                <w:sz w:val="20"/>
                <w:lang w:eastAsia="es-ES"/>
              </w:rPr>
              <w:t>[</w:t>
            </w:r>
            <w:r w:rsidR="008B721F" w:rsidRPr="00CD1278">
              <w:rPr>
                <w:b/>
                <w:bCs/>
                <w:color w:val="auto"/>
                <w:sz w:val="20"/>
                <w:lang w:eastAsia="es-ES"/>
              </w:rPr>
              <w:t>30.</w:t>
            </w:r>
            <w:r w:rsidR="00A654B8" w:rsidRPr="00CD1278">
              <w:rPr>
                <w:b/>
                <w:bCs/>
                <w:color w:val="auto"/>
                <w:sz w:val="20"/>
                <w:lang w:eastAsia="es-ES"/>
              </w:rPr>
              <w:t>815</w:t>
            </w:r>
            <w:r w:rsidRPr="00CD1278">
              <w:rPr>
                <w:b/>
                <w:bCs/>
                <w:color w:val="auto"/>
                <w:sz w:val="20"/>
                <w:lang w:eastAsia="es-ES"/>
              </w:rPr>
              <w:t>]</w:t>
            </w:r>
          </w:p>
        </w:tc>
      </w:tr>
    </w:tbl>
    <w:p w14:paraId="158ACAFC" w14:textId="77777777" w:rsidR="004C3B46" w:rsidRPr="00CD1278" w:rsidRDefault="004C3B46" w:rsidP="0082736F">
      <w:pPr>
        <w:rPr>
          <w:color w:val="auto"/>
        </w:rPr>
      </w:pPr>
      <w:bookmarkStart w:id="67" w:name="_Toc324255710"/>
      <w:bookmarkStart w:id="68" w:name="_Toc293054745"/>
    </w:p>
    <w:p w14:paraId="34AB8F9A" w14:textId="39B002FE" w:rsidR="008D5F24" w:rsidRPr="00CD1278" w:rsidRDefault="00655D62" w:rsidP="005A552B">
      <w:pPr>
        <w:pStyle w:val="Heading2"/>
        <w:rPr>
          <w:lang w:val="en-GB"/>
        </w:rPr>
      </w:pPr>
      <w:bookmarkStart w:id="69" w:name="_Toc453277819"/>
      <w:r w:rsidRPr="00CD1278">
        <w:rPr>
          <w:lang w:val="en-GB"/>
        </w:rPr>
        <w:t>1</w:t>
      </w:r>
      <w:r w:rsidR="008D5F24" w:rsidRPr="00CD1278">
        <w:rPr>
          <w:lang w:val="en-GB"/>
        </w:rPr>
        <w:t>.4.</w:t>
      </w:r>
      <w:r w:rsidR="000F72B1" w:rsidRPr="00CD1278">
        <w:rPr>
          <w:lang w:val="en-GB"/>
        </w:rPr>
        <w:t>2</w:t>
      </w:r>
      <w:r w:rsidR="008D5F24" w:rsidRPr="00CD1278">
        <w:rPr>
          <w:lang w:val="en-GB"/>
        </w:rPr>
        <w:tab/>
        <w:t>Issues Related to CUN Assessment for Preplant Soil Use</w:t>
      </w:r>
      <w:bookmarkEnd w:id="67"/>
      <w:bookmarkEnd w:id="68"/>
      <w:bookmarkEnd w:id="69"/>
    </w:p>
    <w:p w14:paraId="34B0E907" w14:textId="387FF27B" w:rsidR="008D5F24" w:rsidRPr="00CD1278" w:rsidRDefault="008D5F24" w:rsidP="005A552B">
      <w:pPr>
        <w:spacing w:before="120" w:after="120"/>
        <w:rPr>
          <w:color w:val="auto"/>
        </w:rPr>
      </w:pPr>
      <w:r w:rsidRPr="00CD1278">
        <w:rPr>
          <w:color w:val="auto"/>
        </w:rPr>
        <w:t xml:space="preserve">Key issues which influenced assessment and the need for MB for preplant soil use of MB in the </w:t>
      </w:r>
      <w:r w:rsidR="008B721F" w:rsidRPr="00CD1278">
        <w:rPr>
          <w:color w:val="auto"/>
        </w:rPr>
        <w:t xml:space="preserve">2018 </w:t>
      </w:r>
      <w:r w:rsidRPr="00CD1278">
        <w:rPr>
          <w:color w:val="auto"/>
        </w:rPr>
        <w:t>round were:</w:t>
      </w:r>
    </w:p>
    <w:p w14:paraId="01E88278" w14:textId="2740EE6B" w:rsidR="002F144A" w:rsidRPr="00CD1278" w:rsidRDefault="002F144A" w:rsidP="005A552B">
      <w:pPr>
        <w:numPr>
          <w:ilvl w:val="0"/>
          <w:numId w:val="2"/>
        </w:numPr>
        <w:spacing w:after="120"/>
        <w:rPr>
          <w:color w:val="auto"/>
        </w:rPr>
      </w:pPr>
      <w:r w:rsidRPr="00CD1278">
        <w:rPr>
          <w:color w:val="auto"/>
        </w:rPr>
        <w:t xml:space="preserve">For all nominations, except Australia, barrier films were considered as a technology to reduce </w:t>
      </w:r>
      <w:r w:rsidR="00104BE4" w:rsidRPr="00CD1278">
        <w:rPr>
          <w:color w:val="auto"/>
        </w:rPr>
        <w:t xml:space="preserve">rates and </w:t>
      </w:r>
      <w:r w:rsidRPr="00CD1278">
        <w:rPr>
          <w:color w:val="auto"/>
        </w:rPr>
        <w:t>emissions of methyl bromide</w:t>
      </w:r>
      <w:r w:rsidR="00104BE4" w:rsidRPr="00CD1278">
        <w:rPr>
          <w:color w:val="auto"/>
        </w:rPr>
        <w:t xml:space="preserve">. </w:t>
      </w:r>
      <w:r w:rsidRPr="00CD1278">
        <w:rPr>
          <w:color w:val="auto"/>
        </w:rPr>
        <w:t xml:space="preserve"> For Australia</w:t>
      </w:r>
      <w:r w:rsidR="00104BE4" w:rsidRPr="00CD1278">
        <w:rPr>
          <w:color w:val="auto"/>
        </w:rPr>
        <w:t>,</w:t>
      </w:r>
      <w:r w:rsidRPr="00CD1278">
        <w:rPr>
          <w:color w:val="auto"/>
        </w:rPr>
        <w:t xml:space="preserve"> the</w:t>
      </w:r>
      <w:r w:rsidR="00104BE4" w:rsidRPr="00CD1278">
        <w:rPr>
          <w:color w:val="auto"/>
        </w:rPr>
        <w:t xml:space="preserve"> Party</w:t>
      </w:r>
      <w:r w:rsidRPr="00CD1278">
        <w:rPr>
          <w:color w:val="auto"/>
        </w:rPr>
        <w:t xml:space="preserve"> </w:t>
      </w:r>
      <w:r w:rsidR="00104BE4" w:rsidRPr="00CD1278">
        <w:rPr>
          <w:color w:val="auto"/>
        </w:rPr>
        <w:t xml:space="preserve">presented data illustrating that </w:t>
      </w:r>
      <w:r w:rsidRPr="00CD1278">
        <w:rPr>
          <w:color w:val="auto"/>
        </w:rPr>
        <w:t xml:space="preserve">heavy soil types trap methyl bromide as effectively </w:t>
      </w:r>
      <w:r w:rsidR="00104BE4" w:rsidRPr="00CD1278">
        <w:rPr>
          <w:color w:val="auto"/>
        </w:rPr>
        <w:t>with LDPE films as barrier films under the circumstances of the nomination.</w:t>
      </w:r>
      <w:r w:rsidR="001A725F" w:rsidRPr="00CD1278">
        <w:rPr>
          <w:color w:val="auto"/>
        </w:rPr>
        <w:t xml:space="preserve"> </w:t>
      </w:r>
    </w:p>
    <w:p w14:paraId="7C1E5727" w14:textId="7E9EE197" w:rsidR="002D0E38" w:rsidRPr="00CD1278" w:rsidRDefault="00CE3FA6" w:rsidP="005A552B">
      <w:pPr>
        <w:numPr>
          <w:ilvl w:val="0"/>
          <w:numId w:val="2"/>
        </w:numPr>
        <w:spacing w:after="120"/>
        <w:rPr>
          <w:color w:val="auto"/>
        </w:rPr>
      </w:pPr>
      <w:r w:rsidRPr="00CD1278">
        <w:rPr>
          <w:color w:val="auto"/>
        </w:rPr>
        <w:t xml:space="preserve">The Australian research program is trialling many options for replacement of MB </w:t>
      </w:r>
      <w:r w:rsidR="00192C20" w:rsidRPr="00CD1278">
        <w:rPr>
          <w:color w:val="auto"/>
        </w:rPr>
        <w:t>in strawberry runner production</w:t>
      </w:r>
      <w:r w:rsidR="002D0E38" w:rsidRPr="00CD1278">
        <w:rPr>
          <w:color w:val="auto"/>
        </w:rPr>
        <w:t>.</w:t>
      </w:r>
    </w:p>
    <w:p w14:paraId="27E03E38" w14:textId="1B1D900C" w:rsidR="009D0C3D" w:rsidRPr="00CD1278" w:rsidRDefault="00CE3FA6" w:rsidP="005A552B">
      <w:pPr>
        <w:numPr>
          <w:ilvl w:val="0"/>
          <w:numId w:val="2"/>
        </w:numPr>
        <w:spacing w:after="120"/>
        <w:rPr>
          <w:color w:val="auto"/>
        </w:rPr>
      </w:pPr>
      <w:r w:rsidRPr="00CD1278">
        <w:rPr>
          <w:color w:val="auto"/>
        </w:rPr>
        <w:t xml:space="preserve">The Canadian nomination has been relying on a groundwater study to determine whether </w:t>
      </w:r>
      <w:r w:rsidR="008B721F" w:rsidRPr="00CD1278">
        <w:rPr>
          <w:color w:val="auto"/>
        </w:rPr>
        <w:t>chloropicrin (</w:t>
      </w:r>
      <w:r w:rsidRPr="00CD1278">
        <w:rPr>
          <w:color w:val="auto"/>
        </w:rPr>
        <w:t>Pic</w:t>
      </w:r>
      <w:r w:rsidR="008B721F" w:rsidRPr="00CD1278">
        <w:rPr>
          <w:color w:val="auto"/>
        </w:rPr>
        <w:t xml:space="preserve">), </w:t>
      </w:r>
      <w:r w:rsidR="002F144A" w:rsidRPr="00CD1278">
        <w:rPr>
          <w:color w:val="auto"/>
        </w:rPr>
        <w:t>a key alternative</w:t>
      </w:r>
      <w:r w:rsidR="0083457C" w:rsidRPr="00CD1278">
        <w:rPr>
          <w:color w:val="auto"/>
        </w:rPr>
        <w:t>,</w:t>
      </w:r>
      <w:r w:rsidR="002F144A" w:rsidRPr="00CD1278">
        <w:rPr>
          <w:color w:val="auto"/>
        </w:rPr>
        <w:t xml:space="preserve"> </w:t>
      </w:r>
      <w:r w:rsidRPr="00CD1278">
        <w:rPr>
          <w:color w:val="auto"/>
        </w:rPr>
        <w:t xml:space="preserve">can be </w:t>
      </w:r>
      <w:r w:rsidR="002F144A" w:rsidRPr="00CD1278">
        <w:rPr>
          <w:color w:val="auto"/>
        </w:rPr>
        <w:t xml:space="preserve">granted a permit for use </w:t>
      </w:r>
      <w:r w:rsidRPr="00CD1278">
        <w:rPr>
          <w:color w:val="auto"/>
        </w:rPr>
        <w:t>on Prince Edward Island</w:t>
      </w:r>
      <w:r w:rsidR="009828CB" w:rsidRPr="00CD1278">
        <w:rPr>
          <w:color w:val="auto"/>
        </w:rPr>
        <w:t xml:space="preserve">, but this study has </w:t>
      </w:r>
      <w:r w:rsidR="00910592" w:rsidRPr="00CD1278">
        <w:rPr>
          <w:color w:val="auto"/>
        </w:rPr>
        <w:t>not gone ahead</w:t>
      </w:r>
      <w:r w:rsidR="002D0E38" w:rsidRPr="00CD1278">
        <w:rPr>
          <w:color w:val="auto"/>
        </w:rPr>
        <w:t xml:space="preserve"> and the grounds for banning Pic as a groundwater contaminant </w:t>
      </w:r>
      <w:r w:rsidR="00B0225A" w:rsidRPr="00CD1278">
        <w:rPr>
          <w:color w:val="auto"/>
        </w:rPr>
        <w:t xml:space="preserve">(whilst its mixtures with MB are permitted) </w:t>
      </w:r>
      <w:r w:rsidR="002D0E38" w:rsidRPr="00CD1278">
        <w:rPr>
          <w:color w:val="auto"/>
        </w:rPr>
        <w:t>are unclear.</w:t>
      </w:r>
      <w:r w:rsidR="00086B20" w:rsidRPr="00CD1278">
        <w:rPr>
          <w:color w:val="auto"/>
        </w:rPr>
        <w:t xml:space="preserve"> Owing to this situation,</w:t>
      </w:r>
      <w:r w:rsidR="004B4F4E" w:rsidRPr="00CD1278">
        <w:rPr>
          <w:color w:val="auto"/>
        </w:rPr>
        <w:t xml:space="preserve"> MBTOC considers that soilless technologies which are presently adopted for certain stages of production are suitable as a technical alternative and have recommended adoption on a proportion of the nomination.</w:t>
      </w:r>
    </w:p>
    <w:p w14:paraId="29B41DD6" w14:textId="4896E5CE" w:rsidR="009828CB" w:rsidRPr="00CD1278" w:rsidRDefault="009828CB" w:rsidP="005A552B">
      <w:pPr>
        <w:numPr>
          <w:ilvl w:val="0"/>
          <w:numId w:val="2"/>
        </w:numPr>
        <w:spacing w:after="120"/>
        <w:rPr>
          <w:color w:val="auto"/>
        </w:rPr>
      </w:pPr>
      <w:r w:rsidRPr="00CD1278">
        <w:rPr>
          <w:color w:val="auto"/>
        </w:rPr>
        <w:t>The Argentin</w:t>
      </w:r>
      <w:r w:rsidR="00A76C3E" w:rsidRPr="00CD1278">
        <w:rPr>
          <w:color w:val="auto"/>
        </w:rPr>
        <w:t>i</w:t>
      </w:r>
      <w:r w:rsidRPr="00CD1278">
        <w:rPr>
          <w:color w:val="auto"/>
        </w:rPr>
        <w:t xml:space="preserve">an nominations are for sectors where a number of alternatives have been adopted in </w:t>
      </w:r>
      <w:r w:rsidR="00CE3A84" w:rsidRPr="00CD1278">
        <w:rPr>
          <w:color w:val="auto"/>
        </w:rPr>
        <w:t>all A5 and</w:t>
      </w:r>
      <w:r w:rsidRPr="00CD1278">
        <w:rPr>
          <w:color w:val="auto"/>
        </w:rPr>
        <w:t xml:space="preserve"> non</w:t>
      </w:r>
      <w:r w:rsidR="00427443" w:rsidRPr="00CD1278">
        <w:rPr>
          <w:color w:val="auto"/>
        </w:rPr>
        <w:t>-</w:t>
      </w:r>
      <w:r w:rsidR="00953EFC" w:rsidRPr="00CD1278">
        <w:rPr>
          <w:color w:val="auto"/>
        </w:rPr>
        <w:t>A</w:t>
      </w:r>
      <w:r w:rsidRPr="00CD1278">
        <w:rPr>
          <w:color w:val="auto"/>
        </w:rPr>
        <w:t xml:space="preserve">5 Parties, however </w:t>
      </w:r>
      <w:r w:rsidR="008B721F" w:rsidRPr="00CD1278">
        <w:rPr>
          <w:color w:val="auto"/>
        </w:rPr>
        <w:t xml:space="preserve">according to the Party </w:t>
      </w:r>
      <w:r w:rsidRPr="00CD1278">
        <w:rPr>
          <w:color w:val="auto"/>
        </w:rPr>
        <w:t xml:space="preserve">specific issues with cold soils and market windows are of concern for uptake of the major </w:t>
      </w:r>
      <w:r w:rsidR="008B721F" w:rsidRPr="00CD1278">
        <w:rPr>
          <w:color w:val="auto"/>
        </w:rPr>
        <w:t xml:space="preserve">chemical </w:t>
      </w:r>
      <w:r w:rsidRPr="00CD1278">
        <w:rPr>
          <w:color w:val="auto"/>
        </w:rPr>
        <w:t>alternatives.</w:t>
      </w:r>
      <w:r w:rsidR="002F144A" w:rsidRPr="00CD1278">
        <w:rPr>
          <w:color w:val="auto"/>
        </w:rPr>
        <w:t xml:space="preserve"> </w:t>
      </w:r>
      <w:r w:rsidR="004B4F4E" w:rsidRPr="00CD1278">
        <w:rPr>
          <w:color w:val="auto"/>
        </w:rPr>
        <w:t xml:space="preserve">MBTOC acknowledges Argentina’s review of a Decree which presently prevents use of </w:t>
      </w:r>
      <w:r w:rsidR="00A654B8" w:rsidRPr="00CD1278">
        <w:rPr>
          <w:color w:val="auto"/>
        </w:rPr>
        <w:t xml:space="preserve">chemical </w:t>
      </w:r>
      <w:r w:rsidR="004B4F4E" w:rsidRPr="00CD1278">
        <w:rPr>
          <w:color w:val="auto"/>
        </w:rPr>
        <w:t xml:space="preserve">alternatives, but this situation is expected to change.  </w:t>
      </w:r>
      <w:r w:rsidR="002F144A" w:rsidRPr="00CD1278">
        <w:rPr>
          <w:color w:val="auto"/>
        </w:rPr>
        <w:t>A key pest</w:t>
      </w:r>
      <w:r w:rsidR="00822AED" w:rsidRPr="00CD1278">
        <w:rPr>
          <w:color w:val="auto"/>
        </w:rPr>
        <w:t xml:space="preserve"> of tomato</w:t>
      </w:r>
      <w:r w:rsidR="002F144A" w:rsidRPr="00CD1278">
        <w:rPr>
          <w:color w:val="auto"/>
        </w:rPr>
        <w:t xml:space="preserve">, the </w:t>
      </w:r>
      <w:r w:rsidR="002F144A" w:rsidRPr="00CD1278">
        <w:rPr>
          <w:i/>
          <w:color w:val="auto"/>
        </w:rPr>
        <w:t>Nacobbus</w:t>
      </w:r>
      <w:r w:rsidR="002F144A" w:rsidRPr="00CD1278">
        <w:rPr>
          <w:color w:val="auto"/>
        </w:rPr>
        <w:t xml:space="preserve"> </w:t>
      </w:r>
      <w:r w:rsidR="009D0C3D" w:rsidRPr="00CD1278">
        <w:rPr>
          <w:color w:val="auto"/>
        </w:rPr>
        <w:t xml:space="preserve">(false root-knot) </w:t>
      </w:r>
      <w:r w:rsidR="002F144A" w:rsidRPr="00CD1278">
        <w:rPr>
          <w:color w:val="auto"/>
        </w:rPr>
        <w:t>nematode is requiring specific consideration as no</w:t>
      </w:r>
      <w:r w:rsidR="008E4680" w:rsidRPr="00CD1278">
        <w:rPr>
          <w:color w:val="auto"/>
        </w:rPr>
        <w:t xml:space="preserve"> </w:t>
      </w:r>
      <w:r w:rsidR="008B721F" w:rsidRPr="00CD1278">
        <w:rPr>
          <w:color w:val="auto"/>
        </w:rPr>
        <w:t xml:space="preserve">resistant varieties or </w:t>
      </w:r>
      <w:r w:rsidR="008E4680" w:rsidRPr="00CD1278">
        <w:rPr>
          <w:color w:val="auto"/>
        </w:rPr>
        <w:t>highly</w:t>
      </w:r>
      <w:r w:rsidR="002F144A" w:rsidRPr="00CD1278">
        <w:rPr>
          <w:color w:val="auto"/>
        </w:rPr>
        <w:t xml:space="preserve"> resistant rootstock</w:t>
      </w:r>
      <w:r w:rsidR="00807F4D" w:rsidRPr="00CD1278">
        <w:rPr>
          <w:color w:val="auto"/>
        </w:rPr>
        <w:t>s with good commercial potential have been identified</w:t>
      </w:r>
      <w:r w:rsidR="002F144A" w:rsidRPr="00CD1278">
        <w:rPr>
          <w:color w:val="auto"/>
        </w:rPr>
        <w:t xml:space="preserve"> for this pest.  </w:t>
      </w:r>
    </w:p>
    <w:p w14:paraId="0882F8D2" w14:textId="77777777" w:rsidR="002573BD" w:rsidRPr="00CD1278" w:rsidRDefault="004B4F4E" w:rsidP="005A552B">
      <w:pPr>
        <w:spacing w:after="120"/>
        <w:ind w:left="60"/>
        <w:rPr>
          <w:color w:val="auto"/>
        </w:rPr>
      </w:pPr>
      <w:r w:rsidRPr="00CD1278">
        <w:rPr>
          <w:color w:val="auto"/>
        </w:rPr>
        <w:t>MBTOC acknowledges that China has not submitted CUNs in this round and has phased out MB for all controlled uses.</w:t>
      </w:r>
      <w:r w:rsidR="008E4680" w:rsidRPr="00CD1278">
        <w:rPr>
          <w:color w:val="auto"/>
        </w:rPr>
        <w:t xml:space="preserve"> </w:t>
      </w:r>
    </w:p>
    <w:p w14:paraId="7B30E317" w14:textId="6BD293F4" w:rsidR="008D5F24" w:rsidRPr="00CD1278" w:rsidRDefault="008D5F24" w:rsidP="005A552B">
      <w:pPr>
        <w:spacing w:after="120"/>
        <w:ind w:left="60"/>
        <w:rPr>
          <w:color w:val="auto"/>
        </w:rPr>
      </w:pPr>
      <w:r w:rsidRPr="00CD1278">
        <w:rPr>
          <w:color w:val="auto"/>
        </w:rPr>
        <w:t xml:space="preserve">MBTOC has noted more specific issues related to requests for CUNs below and also in the CUN text boxes (Table </w:t>
      </w:r>
      <w:r w:rsidR="00655D62" w:rsidRPr="00CD1278">
        <w:rPr>
          <w:color w:val="auto"/>
        </w:rPr>
        <w:t>1</w:t>
      </w:r>
      <w:r w:rsidRPr="00CD1278">
        <w:rPr>
          <w:color w:val="auto"/>
        </w:rPr>
        <w:t>.9).</w:t>
      </w:r>
    </w:p>
    <w:p w14:paraId="1D84D960" w14:textId="7D699493" w:rsidR="008D5F24" w:rsidRPr="00CD1278" w:rsidRDefault="00655D62" w:rsidP="005A552B">
      <w:pPr>
        <w:pStyle w:val="Heading2"/>
        <w:rPr>
          <w:lang w:val="en-GB"/>
        </w:rPr>
      </w:pPr>
      <w:bookmarkStart w:id="70" w:name="_Toc210294165"/>
      <w:bookmarkStart w:id="71" w:name="_Toc293054746"/>
      <w:bookmarkStart w:id="72" w:name="_Toc453277820"/>
      <w:r w:rsidRPr="00CD1278">
        <w:rPr>
          <w:lang w:val="en-GB"/>
        </w:rPr>
        <w:t>1</w:t>
      </w:r>
      <w:r w:rsidR="008D5F24" w:rsidRPr="00CD1278">
        <w:rPr>
          <w:lang w:val="en-GB"/>
        </w:rPr>
        <w:t>.4.</w:t>
      </w:r>
      <w:r w:rsidR="009F11A0" w:rsidRPr="00CD1278">
        <w:rPr>
          <w:lang w:val="en-GB"/>
        </w:rPr>
        <w:t>3</w:t>
      </w:r>
      <w:r w:rsidR="008D5F24" w:rsidRPr="00CD1278">
        <w:rPr>
          <w:lang w:val="en-GB"/>
        </w:rPr>
        <w:tab/>
        <w:t xml:space="preserve">General </w:t>
      </w:r>
      <w:r w:rsidR="009F11A0" w:rsidRPr="00CD1278">
        <w:rPr>
          <w:lang w:val="en-GB"/>
        </w:rPr>
        <w:t>C</w:t>
      </w:r>
      <w:r w:rsidR="008D5F24" w:rsidRPr="00CD1278">
        <w:rPr>
          <w:lang w:val="en-GB"/>
        </w:rPr>
        <w:t xml:space="preserve">omments on </w:t>
      </w:r>
      <w:r w:rsidR="009F11A0" w:rsidRPr="00CD1278">
        <w:rPr>
          <w:lang w:val="en-GB"/>
        </w:rPr>
        <w:t>the A</w:t>
      </w:r>
      <w:r w:rsidR="008D5F24" w:rsidRPr="00CD1278">
        <w:rPr>
          <w:lang w:val="en-GB"/>
        </w:rPr>
        <w:t>ssessment</w:t>
      </w:r>
      <w:bookmarkEnd w:id="70"/>
      <w:r w:rsidR="009F11A0" w:rsidRPr="00CD1278">
        <w:rPr>
          <w:lang w:val="en-GB"/>
        </w:rPr>
        <w:t xml:space="preserve"> for Preplant Soil Use</w:t>
      </w:r>
      <w:bookmarkEnd w:id="71"/>
      <w:bookmarkEnd w:id="72"/>
    </w:p>
    <w:p w14:paraId="13833432" w14:textId="656B79A4" w:rsidR="00BE7C70" w:rsidRPr="00CD1278" w:rsidRDefault="008D5F24" w:rsidP="005A552B">
      <w:pPr>
        <w:rPr>
          <w:color w:val="auto"/>
        </w:rPr>
      </w:pPr>
      <w:r w:rsidRPr="00CD1278">
        <w:rPr>
          <w:color w:val="auto"/>
        </w:rPr>
        <w:t>MBTOC continues to encourage Parties to consider a review of regulations covering the registration, use and adoption of alternatives</w:t>
      </w:r>
      <w:r w:rsidR="00BE7C70" w:rsidRPr="00CD1278">
        <w:rPr>
          <w:color w:val="auto"/>
        </w:rPr>
        <w:t xml:space="preserve">.  </w:t>
      </w:r>
      <w:r w:rsidRPr="00CD1278">
        <w:rPr>
          <w:color w:val="auto"/>
        </w:rPr>
        <w:t>MBTOC notes that a proportion of MB has been nominated for uses where regulations or legislation prevent reductions of MB dosage</w:t>
      </w:r>
      <w:r w:rsidR="008E4680" w:rsidRPr="00CD1278">
        <w:rPr>
          <w:color w:val="auto"/>
        </w:rPr>
        <w:t>,</w:t>
      </w:r>
      <w:r w:rsidR="001A725F" w:rsidRPr="00CD1278">
        <w:rPr>
          <w:color w:val="auto"/>
        </w:rPr>
        <w:t xml:space="preserve"> and encourages Parties to review such regulations where possible</w:t>
      </w:r>
      <w:r w:rsidRPr="00CD1278">
        <w:rPr>
          <w:color w:val="auto"/>
        </w:rPr>
        <w:t xml:space="preserve">. For several </w:t>
      </w:r>
      <w:r w:rsidR="00982021" w:rsidRPr="00CD1278">
        <w:rPr>
          <w:color w:val="auto"/>
        </w:rPr>
        <w:t>cases</w:t>
      </w:r>
      <w:r w:rsidRPr="00CD1278">
        <w:rPr>
          <w:color w:val="auto"/>
        </w:rPr>
        <w:t>, the mandatory use of MB is specified at a high dosage</w:t>
      </w:r>
      <w:r w:rsidR="00427C03" w:rsidRPr="00CD1278">
        <w:rPr>
          <w:color w:val="auto"/>
        </w:rPr>
        <w:t>, in some cases</w:t>
      </w:r>
      <w:r w:rsidRPr="00CD1278">
        <w:rPr>
          <w:color w:val="auto"/>
        </w:rPr>
        <w:t xml:space="preserve"> for treatment of certified propagation material</w:t>
      </w:r>
      <w:r w:rsidR="00427C03" w:rsidRPr="00CD1278">
        <w:rPr>
          <w:color w:val="auto"/>
        </w:rPr>
        <w:t>.</w:t>
      </w:r>
      <w:r w:rsidRPr="00CD1278">
        <w:rPr>
          <w:color w:val="auto"/>
        </w:rPr>
        <w:t xml:space="preserve"> Also</w:t>
      </w:r>
      <w:r w:rsidR="00427443" w:rsidRPr="00CD1278">
        <w:rPr>
          <w:color w:val="auto"/>
        </w:rPr>
        <w:t>,</w:t>
      </w:r>
      <w:r w:rsidRPr="00CD1278">
        <w:rPr>
          <w:color w:val="auto"/>
        </w:rPr>
        <w:t xml:space="preserve"> regulations on the use of alternatives</w:t>
      </w:r>
      <w:r w:rsidR="00427C03" w:rsidRPr="00CD1278">
        <w:rPr>
          <w:color w:val="auto"/>
        </w:rPr>
        <w:t xml:space="preserve"> or </w:t>
      </w:r>
      <w:r w:rsidR="00953EFC" w:rsidRPr="00CD1278">
        <w:rPr>
          <w:color w:val="auto"/>
        </w:rPr>
        <w:t xml:space="preserve">their </w:t>
      </w:r>
      <w:r w:rsidR="00427C03" w:rsidRPr="00CD1278">
        <w:rPr>
          <w:color w:val="auto"/>
        </w:rPr>
        <w:t>lack of registration</w:t>
      </w:r>
      <w:r w:rsidR="00005800" w:rsidRPr="00CD1278">
        <w:rPr>
          <w:color w:val="auto"/>
        </w:rPr>
        <w:t xml:space="preserve"> </w:t>
      </w:r>
      <w:r w:rsidR="00BE7C70" w:rsidRPr="00CD1278">
        <w:rPr>
          <w:color w:val="auto"/>
        </w:rPr>
        <w:t>are</w:t>
      </w:r>
      <w:r w:rsidRPr="00CD1278">
        <w:rPr>
          <w:color w:val="auto"/>
        </w:rPr>
        <w:t xml:space="preserve"> preventing their uptake for a substantial proportion of the remaining CUNs for preplant soil use.  </w:t>
      </w:r>
    </w:p>
    <w:p w14:paraId="24E908A4" w14:textId="0E62FA66" w:rsidR="008D5F24" w:rsidRPr="00CD1278" w:rsidRDefault="00655D62" w:rsidP="005A552B">
      <w:pPr>
        <w:pStyle w:val="Heading2"/>
        <w:rPr>
          <w:lang w:val="en-GB"/>
        </w:rPr>
      </w:pPr>
      <w:bookmarkStart w:id="73" w:name="_Toc324255711"/>
      <w:bookmarkStart w:id="74" w:name="_Toc293054747"/>
      <w:bookmarkStart w:id="75" w:name="_Toc453277821"/>
      <w:r w:rsidRPr="00CD1278">
        <w:rPr>
          <w:lang w:val="en-GB"/>
        </w:rPr>
        <w:t>1</w:t>
      </w:r>
      <w:r w:rsidR="008D5F24" w:rsidRPr="00CD1278">
        <w:rPr>
          <w:lang w:val="en-GB"/>
        </w:rPr>
        <w:t>.4.</w:t>
      </w:r>
      <w:r w:rsidR="009F11A0" w:rsidRPr="00CD1278">
        <w:rPr>
          <w:lang w:val="en-GB"/>
        </w:rPr>
        <w:t>4</w:t>
      </w:r>
      <w:r w:rsidR="008D5F24" w:rsidRPr="00CD1278">
        <w:rPr>
          <w:lang w:val="en-GB"/>
        </w:rPr>
        <w:tab/>
        <w:t xml:space="preserve">Registration of </w:t>
      </w:r>
      <w:r w:rsidR="009F11A0" w:rsidRPr="00CD1278">
        <w:rPr>
          <w:lang w:val="en-GB"/>
        </w:rPr>
        <w:t>A</w:t>
      </w:r>
      <w:r w:rsidR="008D5F24" w:rsidRPr="00CD1278">
        <w:rPr>
          <w:lang w:val="en-GB"/>
        </w:rPr>
        <w:t xml:space="preserve">lternatives for </w:t>
      </w:r>
      <w:r w:rsidR="00BE7C70" w:rsidRPr="00CD1278">
        <w:rPr>
          <w:lang w:val="en-GB"/>
        </w:rPr>
        <w:t>all Controlled MB</w:t>
      </w:r>
      <w:r w:rsidR="008D5F24" w:rsidRPr="00CD1278">
        <w:rPr>
          <w:lang w:val="en-GB"/>
        </w:rPr>
        <w:t xml:space="preserve"> </w:t>
      </w:r>
      <w:r w:rsidR="009F11A0" w:rsidRPr="00CD1278">
        <w:rPr>
          <w:lang w:val="en-GB"/>
        </w:rPr>
        <w:t>U</w:t>
      </w:r>
      <w:r w:rsidR="008D5F24" w:rsidRPr="00CD1278">
        <w:rPr>
          <w:lang w:val="en-GB"/>
        </w:rPr>
        <w:t>ses - Decision Ex I/4 (9i) and (9j)</w:t>
      </w:r>
      <w:bookmarkEnd w:id="73"/>
      <w:bookmarkEnd w:id="74"/>
      <w:bookmarkEnd w:id="75"/>
    </w:p>
    <w:p w14:paraId="1AFD417D" w14:textId="45AC36D4" w:rsidR="008D5F24" w:rsidRPr="00CD1278" w:rsidRDefault="008D5F24" w:rsidP="005A552B">
      <w:pPr>
        <w:widowControl w:val="0"/>
        <w:rPr>
          <w:i/>
          <w:color w:val="auto"/>
        </w:rPr>
      </w:pPr>
      <w:r w:rsidRPr="00CD1278">
        <w:rPr>
          <w:color w:val="auto"/>
        </w:rPr>
        <w:t>Decision Ex. I/4 (9i) requires MBTOC,</w:t>
      </w:r>
      <w:r w:rsidR="00807F4D" w:rsidRPr="00CD1278">
        <w:rPr>
          <w:color w:val="auto"/>
        </w:rPr>
        <w:t xml:space="preserve"> </w:t>
      </w:r>
      <w:r w:rsidRPr="00CD1278">
        <w:rPr>
          <w:color w:val="auto"/>
        </w:rPr>
        <w:t>“</w:t>
      </w:r>
      <w:r w:rsidRPr="00CD1278">
        <w:rPr>
          <w:i/>
          <w:color w:val="auto"/>
        </w:rPr>
        <w:t>To report annually on the status of re-registration and review of methyl bromide uses for the applications reflected in the critical-use exemptions, including any information on health effects and environmental acceptability”</w:t>
      </w:r>
      <w:r w:rsidRPr="00CD1278">
        <w:rPr>
          <w:color w:val="auto"/>
        </w:rPr>
        <w:t>. Further, Decision Ex I/4 (9j) requires MBTOC “</w:t>
      </w:r>
      <w:r w:rsidRPr="00CD1278">
        <w:rPr>
          <w:i/>
          <w:color w:val="auto"/>
        </w:rPr>
        <w:t>To report annually on the status of registration of alternatives and substitutes for methyl bromide, with particular emphasis on possible regulatory actions that will increase or decrease dependence on methyl bromide”.</w:t>
      </w:r>
    </w:p>
    <w:p w14:paraId="00C61DF3" w14:textId="2ADBDD86" w:rsidR="00B11EFB" w:rsidRPr="00CD1278" w:rsidRDefault="00B11EFB" w:rsidP="005A552B">
      <w:pPr>
        <w:widowControl w:val="0"/>
        <w:rPr>
          <w:color w:val="auto"/>
        </w:rPr>
      </w:pPr>
      <w:r w:rsidRPr="00CD1278">
        <w:rPr>
          <w:color w:val="auto"/>
        </w:rPr>
        <w:t xml:space="preserve">Where these have impacted a nomination, the </w:t>
      </w:r>
      <w:r w:rsidR="009828CB" w:rsidRPr="00CD1278">
        <w:rPr>
          <w:color w:val="auto"/>
        </w:rPr>
        <w:t>P</w:t>
      </w:r>
      <w:r w:rsidRPr="00CD1278">
        <w:rPr>
          <w:color w:val="auto"/>
        </w:rPr>
        <w:t>arty or MBTOC may have adjusted quantities to allow for effective use of the alternative.  A description of any changes has been made available in the CUN text boxes (Tables</w:t>
      </w:r>
      <w:r w:rsidR="00655D62" w:rsidRPr="00CD1278">
        <w:rPr>
          <w:color w:val="auto"/>
        </w:rPr>
        <w:t>1</w:t>
      </w:r>
      <w:r w:rsidR="00D90C05" w:rsidRPr="00CD1278">
        <w:rPr>
          <w:color w:val="auto"/>
        </w:rPr>
        <w:t>.9</w:t>
      </w:r>
      <w:r w:rsidR="00D57053" w:rsidRPr="00CD1278">
        <w:rPr>
          <w:color w:val="auto"/>
        </w:rPr>
        <w:t>, 1.10</w:t>
      </w:r>
      <w:r w:rsidR="009D0C3D" w:rsidRPr="00CD1278">
        <w:rPr>
          <w:color w:val="auto"/>
        </w:rPr>
        <w:t xml:space="preserve"> </w:t>
      </w:r>
      <w:r w:rsidR="00D90C05" w:rsidRPr="00CD1278">
        <w:rPr>
          <w:color w:val="auto"/>
        </w:rPr>
        <w:t xml:space="preserve">and </w:t>
      </w:r>
      <w:r w:rsidR="00655D62" w:rsidRPr="00CD1278">
        <w:rPr>
          <w:color w:val="auto"/>
        </w:rPr>
        <w:t>1</w:t>
      </w:r>
      <w:r w:rsidR="00D90C05" w:rsidRPr="00CD1278">
        <w:rPr>
          <w:color w:val="auto"/>
        </w:rPr>
        <w:t>.</w:t>
      </w:r>
      <w:r w:rsidR="00D57053" w:rsidRPr="00CD1278">
        <w:rPr>
          <w:color w:val="auto"/>
        </w:rPr>
        <w:t>12</w:t>
      </w:r>
      <w:r w:rsidRPr="00CD1278">
        <w:rPr>
          <w:color w:val="auto"/>
        </w:rPr>
        <w:t>).</w:t>
      </w:r>
    </w:p>
    <w:p w14:paraId="4B7795F8" w14:textId="77777777" w:rsidR="008D5F24" w:rsidRPr="00CD1278" w:rsidRDefault="00244B6A" w:rsidP="005A552B">
      <w:pPr>
        <w:rPr>
          <w:color w:val="auto"/>
          <w:lang w:eastAsia="en-GB"/>
        </w:rPr>
      </w:pPr>
      <w:r w:rsidRPr="00CD1278">
        <w:rPr>
          <w:color w:val="auto"/>
          <w:lang w:eastAsia="en-GB"/>
        </w:rPr>
        <w:t>A</w:t>
      </w:r>
      <w:r w:rsidR="008D5F24" w:rsidRPr="00CD1278">
        <w:rPr>
          <w:color w:val="auto"/>
          <w:lang w:eastAsia="en-GB"/>
        </w:rPr>
        <w:t xml:space="preserve">ny future nominations submitted by </w:t>
      </w:r>
      <w:r w:rsidR="009828CB" w:rsidRPr="00CD1278">
        <w:rPr>
          <w:color w:val="auto"/>
          <w:lang w:eastAsia="en-GB"/>
        </w:rPr>
        <w:t>any Party</w:t>
      </w:r>
      <w:r w:rsidR="008D5F24" w:rsidRPr="00CD1278">
        <w:rPr>
          <w:color w:val="auto"/>
          <w:lang w:eastAsia="en-GB"/>
        </w:rPr>
        <w:t xml:space="preserve"> should include information on expected rates of adoption of alternatives following registration, in accordance with paragraphs 34-35 of Annex 1 of the </w:t>
      </w:r>
      <w:r w:rsidR="00953EFC" w:rsidRPr="00CD1278">
        <w:rPr>
          <w:color w:val="auto"/>
          <w:lang w:eastAsia="en-GB"/>
        </w:rPr>
        <w:t>16</w:t>
      </w:r>
      <w:r w:rsidR="00953EFC" w:rsidRPr="00CD1278">
        <w:rPr>
          <w:color w:val="auto"/>
          <w:vertAlign w:val="superscript"/>
          <w:lang w:eastAsia="en-GB"/>
        </w:rPr>
        <w:t>th</w:t>
      </w:r>
      <w:r w:rsidR="008D5F24" w:rsidRPr="00CD1278">
        <w:rPr>
          <w:color w:val="auto"/>
          <w:lang w:eastAsia="en-GB"/>
        </w:rPr>
        <w:t xml:space="preserve">MOP, as this information would assist MBTOC in its evaluation of these CUNs.   </w:t>
      </w:r>
    </w:p>
    <w:p w14:paraId="45C128C1" w14:textId="462056FE" w:rsidR="002B749B" w:rsidRPr="00CD1278" w:rsidRDefault="00655D62" w:rsidP="005A552B">
      <w:pPr>
        <w:pStyle w:val="Heading2"/>
        <w:rPr>
          <w:lang w:val="en-GB"/>
        </w:rPr>
      </w:pPr>
      <w:bookmarkStart w:id="76" w:name="_Toc293054748"/>
      <w:bookmarkStart w:id="77" w:name="_Toc453277822"/>
      <w:r w:rsidRPr="00CD1278">
        <w:rPr>
          <w:lang w:val="en-GB"/>
        </w:rPr>
        <w:t>1</w:t>
      </w:r>
      <w:r w:rsidR="002B749B" w:rsidRPr="00CD1278">
        <w:rPr>
          <w:lang w:val="en-GB"/>
        </w:rPr>
        <w:t>.4.5</w:t>
      </w:r>
      <w:r w:rsidR="002B749B" w:rsidRPr="00CD1278">
        <w:rPr>
          <w:lang w:val="en-GB"/>
        </w:rPr>
        <w:tab/>
        <w:t>Decision XXV/4</w:t>
      </w:r>
      <w:bookmarkEnd w:id="76"/>
      <w:bookmarkEnd w:id="77"/>
      <w:r w:rsidR="00DB6A36" w:rsidRPr="00CD1278">
        <w:rPr>
          <w:lang w:val="en-GB"/>
        </w:rPr>
        <w:t xml:space="preserve"> </w:t>
      </w:r>
    </w:p>
    <w:p w14:paraId="1E455B5E" w14:textId="77777777" w:rsidR="006D0623" w:rsidRPr="00CD1278" w:rsidRDefault="006D0623" w:rsidP="005A552B">
      <w:pPr>
        <w:pStyle w:val="MediumGrid1-Accent23"/>
        <w:ind w:left="0"/>
        <w:rPr>
          <w:rFonts w:ascii="Times New Roman" w:hAnsi="Times New Roman" w:cs="Times New Roman"/>
          <w:sz w:val="22"/>
          <w:szCs w:val="20"/>
          <w:lang w:val="en-GB" w:eastAsia="en-GB"/>
        </w:rPr>
      </w:pPr>
      <w:r w:rsidRPr="00CD1278">
        <w:rPr>
          <w:rFonts w:ascii="Times New Roman" w:hAnsi="Times New Roman" w:cs="Times New Roman"/>
          <w:sz w:val="22"/>
          <w:szCs w:val="20"/>
          <w:lang w:val="en-GB" w:eastAsia="en-GB"/>
        </w:rPr>
        <w:t xml:space="preserve">In response to </w:t>
      </w:r>
      <w:r w:rsidR="00C23EBA" w:rsidRPr="00CD1278">
        <w:rPr>
          <w:rFonts w:ascii="Times New Roman" w:hAnsi="Times New Roman" w:cs="Times New Roman"/>
          <w:sz w:val="22"/>
          <w:szCs w:val="20"/>
          <w:lang w:val="en-GB" w:eastAsia="en-GB"/>
        </w:rPr>
        <w:t xml:space="preserve">Decision XXV/4 </w:t>
      </w:r>
      <w:r w:rsidR="002B749B" w:rsidRPr="00CD1278">
        <w:rPr>
          <w:rFonts w:ascii="Times New Roman" w:hAnsi="Times New Roman" w:cs="Times New Roman"/>
          <w:sz w:val="22"/>
          <w:szCs w:val="20"/>
          <w:lang w:val="en-GB" w:eastAsia="en-GB"/>
        </w:rPr>
        <w:t>from the 25th MOP</w:t>
      </w:r>
      <w:r w:rsidR="00AC156D" w:rsidRPr="00CD1278">
        <w:rPr>
          <w:rFonts w:ascii="Times New Roman" w:hAnsi="Times New Roman" w:cs="Times New Roman"/>
          <w:sz w:val="22"/>
          <w:szCs w:val="20"/>
          <w:lang w:val="en-GB" w:eastAsia="en-GB"/>
        </w:rPr>
        <w:t>,</w:t>
      </w:r>
      <w:r w:rsidR="00514802" w:rsidRPr="00CD1278">
        <w:rPr>
          <w:rFonts w:ascii="Times New Roman" w:hAnsi="Times New Roman" w:cs="Times New Roman"/>
          <w:sz w:val="22"/>
          <w:szCs w:val="20"/>
          <w:lang w:val="en-GB" w:eastAsia="en-GB"/>
        </w:rPr>
        <w:t xml:space="preserve"> </w:t>
      </w:r>
      <w:r w:rsidRPr="00CD1278">
        <w:rPr>
          <w:rFonts w:ascii="Times New Roman" w:hAnsi="Times New Roman" w:cs="Times New Roman"/>
          <w:sz w:val="22"/>
          <w:szCs w:val="20"/>
          <w:lang w:val="en-GB" w:eastAsia="en-GB"/>
        </w:rPr>
        <w:t xml:space="preserve">MBTOC notes that all of the non-A5 nominations contained a discussion of national, subnational or local regulations impacting the potential use of alternatives to MB.  In addition, both Non-A5 and A5 nominations contained information on the status of the registration of alternatives and substitutes for MB. These comments are summarized below for each Party.  </w:t>
      </w:r>
    </w:p>
    <w:p w14:paraId="65CEE429" w14:textId="3F24FFB4" w:rsidR="00C77A7F" w:rsidRPr="00CD1278" w:rsidRDefault="00C77A7F" w:rsidP="005A552B">
      <w:pPr>
        <w:pStyle w:val="Heading311ptBold"/>
        <w:rPr>
          <w:lang w:val="en-GB"/>
        </w:rPr>
      </w:pPr>
      <w:r w:rsidRPr="00CD1278">
        <w:rPr>
          <w:lang w:val="en-GB"/>
        </w:rPr>
        <w:tab/>
      </w:r>
      <w:bookmarkStart w:id="78" w:name="_Toc293054749"/>
      <w:bookmarkStart w:id="79" w:name="_Toc453277823"/>
      <w:r w:rsidR="00655D62" w:rsidRPr="00CD1278">
        <w:rPr>
          <w:lang w:val="en-GB"/>
        </w:rPr>
        <w:t>1</w:t>
      </w:r>
      <w:r w:rsidRPr="00CD1278">
        <w:rPr>
          <w:lang w:val="en-GB"/>
        </w:rPr>
        <w:t>.4.5.1</w:t>
      </w:r>
      <w:r w:rsidRPr="00CD1278">
        <w:rPr>
          <w:lang w:val="en-GB"/>
        </w:rPr>
        <w:tab/>
      </w:r>
      <w:r w:rsidR="00E546C7" w:rsidRPr="00CD1278">
        <w:rPr>
          <w:lang w:val="en-GB"/>
        </w:rPr>
        <w:t xml:space="preserve"> </w:t>
      </w:r>
      <w:r w:rsidRPr="00CD1278">
        <w:rPr>
          <w:lang w:val="en-GB"/>
        </w:rPr>
        <w:t>Regulations impacting use of alternatives</w:t>
      </w:r>
      <w:r w:rsidR="007A6453" w:rsidRPr="00CD1278">
        <w:rPr>
          <w:lang w:val="en-GB"/>
        </w:rPr>
        <w:t xml:space="preserve"> by country</w:t>
      </w:r>
      <w:bookmarkEnd w:id="78"/>
      <w:bookmarkEnd w:id="79"/>
    </w:p>
    <w:p w14:paraId="4D13EFE1" w14:textId="2791BFEA" w:rsidR="00D33C12" w:rsidRPr="00CD1278" w:rsidRDefault="002B749B" w:rsidP="005A552B">
      <w:pPr>
        <w:pStyle w:val="MediumGrid1-Accent23"/>
        <w:numPr>
          <w:ilvl w:val="0"/>
          <w:numId w:val="5"/>
        </w:numPr>
        <w:rPr>
          <w:rFonts w:ascii="Times New Roman" w:hAnsi="Times New Roman" w:cs="Times New Roman"/>
          <w:sz w:val="22"/>
          <w:szCs w:val="22"/>
          <w:lang w:val="en-GB" w:eastAsia="en-GB"/>
        </w:rPr>
      </w:pPr>
      <w:r w:rsidRPr="00CD1278">
        <w:rPr>
          <w:rFonts w:ascii="Times New Roman" w:hAnsi="Times New Roman" w:cs="Times New Roman"/>
          <w:b/>
          <w:bCs/>
          <w:sz w:val="22"/>
          <w:szCs w:val="22"/>
          <w:lang w:val="en-GB"/>
        </w:rPr>
        <w:t xml:space="preserve">Australia: </w:t>
      </w:r>
      <w:r w:rsidR="00682D4E" w:rsidRPr="00CD1278">
        <w:rPr>
          <w:rFonts w:ascii="Times New Roman" w:hAnsi="Times New Roman" w:cs="Times New Roman"/>
          <w:sz w:val="22"/>
          <w:szCs w:val="20"/>
          <w:lang w:val="en-GB" w:eastAsia="en-GB"/>
        </w:rPr>
        <w:t>S</w:t>
      </w:r>
      <w:r w:rsidR="00850F1E" w:rsidRPr="00CD1278">
        <w:rPr>
          <w:rFonts w:ascii="Times New Roman" w:hAnsi="Times New Roman" w:cs="Times New Roman"/>
          <w:sz w:val="22"/>
          <w:szCs w:val="20"/>
          <w:lang w:val="en-GB" w:eastAsia="en-GB"/>
        </w:rPr>
        <w:t>everal promising alternatives have been identified.</w:t>
      </w:r>
      <w:r w:rsidR="00682D4E" w:rsidRPr="00CD1278">
        <w:rPr>
          <w:rFonts w:ascii="Times New Roman" w:hAnsi="Times New Roman" w:cs="Times New Roman"/>
          <w:sz w:val="22"/>
          <w:szCs w:val="20"/>
          <w:lang w:val="en-GB" w:eastAsia="en-GB"/>
        </w:rPr>
        <w:t xml:space="preserve"> </w:t>
      </w:r>
      <w:r w:rsidR="00850F1E" w:rsidRPr="00CD1278">
        <w:rPr>
          <w:rFonts w:ascii="Times New Roman" w:hAnsi="Times New Roman" w:cs="Times New Roman"/>
          <w:sz w:val="22"/>
          <w:szCs w:val="20"/>
          <w:lang w:val="en-GB" w:eastAsia="en-GB"/>
        </w:rPr>
        <w:t xml:space="preserve"> </w:t>
      </w:r>
      <w:r w:rsidR="00682D4E" w:rsidRPr="00CD1278">
        <w:rPr>
          <w:rFonts w:ascii="Times New Roman" w:hAnsi="Times New Roman" w:cs="Times New Roman"/>
          <w:sz w:val="22"/>
          <w:szCs w:val="22"/>
          <w:lang w:val="en-GB"/>
        </w:rPr>
        <w:t xml:space="preserve">TriForm-80® (1,3-D/Pic, 20:80) showed great promise in trials in reducing the risk of phytotoxicity occurring in strawberry runners in Toolangi, Victoria, but is not technically feasible on its own as it does not control pathogens and weeds as effectively as MB/Pic. Co-application with herbicides, i.e. isoxaben </w:t>
      </w:r>
      <w:r w:rsidR="00682D4E" w:rsidRPr="00CD1278">
        <w:rPr>
          <w:rFonts w:ascii="Times New Roman" w:hAnsi="Times New Roman" w:cs="Times New Roman"/>
          <w:sz w:val="22"/>
          <w:szCs w:val="22"/>
          <w:lang w:val="en-GB" w:eastAsia="fr-FR"/>
        </w:rPr>
        <w:t>and phenmedipham</w:t>
      </w:r>
      <w:r w:rsidR="00682D4E" w:rsidRPr="00CD1278">
        <w:rPr>
          <w:rFonts w:ascii="Times New Roman" w:hAnsi="Times New Roman" w:cs="Times New Roman"/>
          <w:sz w:val="22"/>
          <w:szCs w:val="22"/>
          <w:lang w:val="en-GB"/>
        </w:rPr>
        <w:t xml:space="preserve"> gave excellent results b</w:t>
      </w:r>
      <w:r w:rsidR="00682D4E" w:rsidRPr="00CD1278">
        <w:rPr>
          <w:rFonts w:ascii="Times New Roman" w:hAnsi="Times New Roman" w:cs="Times New Roman"/>
          <w:sz w:val="22"/>
          <w:szCs w:val="22"/>
          <w:lang w:val="en-GB" w:eastAsia="fr-FR"/>
        </w:rPr>
        <w:t>ut these are not yet registered</w:t>
      </w:r>
      <w:r w:rsidR="00140458" w:rsidRPr="00CD1278">
        <w:rPr>
          <w:rFonts w:ascii="Times New Roman" w:hAnsi="Times New Roman" w:cs="Times New Roman"/>
          <w:sz w:val="22"/>
          <w:szCs w:val="22"/>
          <w:lang w:val="en-GB" w:eastAsia="fr-FR"/>
        </w:rPr>
        <w:t xml:space="preserve"> for strawberry runners</w:t>
      </w:r>
      <w:r w:rsidR="00682D4E" w:rsidRPr="00CD1278">
        <w:rPr>
          <w:rFonts w:ascii="Times New Roman" w:hAnsi="Times New Roman" w:cs="Times New Roman"/>
          <w:sz w:val="22"/>
          <w:szCs w:val="22"/>
          <w:lang w:val="en-GB" w:eastAsia="fr-FR"/>
        </w:rPr>
        <w:t xml:space="preserve"> in Australia</w:t>
      </w:r>
      <w:r w:rsidR="00140458" w:rsidRPr="00CD1278">
        <w:rPr>
          <w:rFonts w:ascii="Times New Roman" w:hAnsi="Times New Roman" w:cs="Times New Roman"/>
          <w:sz w:val="22"/>
          <w:szCs w:val="22"/>
          <w:lang w:val="en-GB" w:eastAsia="fr-FR"/>
        </w:rPr>
        <w:t>.</w:t>
      </w:r>
    </w:p>
    <w:p w14:paraId="31073019" w14:textId="77777777" w:rsidR="00BF396C" w:rsidRPr="00CD1278" w:rsidRDefault="00BF396C" w:rsidP="005A552B">
      <w:pPr>
        <w:pStyle w:val="MediumGrid1-Accent23"/>
        <w:rPr>
          <w:rFonts w:ascii="Times New Roman" w:hAnsi="Times New Roman" w:cs="Times New Roman"/>
          <w:sz w:val="22"/>
          <w:szCs w:val="20"/>
          <w:lang w:val="en-GB" w:eastAsia="en-GB"/>
        </w:rPr>
      </w:pPr>
    </w:p>
    <w:p w14:paraId="743CB5F3" w14:textId="1BA768C6" w:rsidR="00D33C12" w:rsidRPr="00CD1278" w:rsidRDefault="002B749B" w:rsidP="005A552B">
      <w:pPr>
        <w:pStyle w:val="MediumGrid1-Accent23"/>
        <w:numPr>
          <w:ilvl w:val="0"/>
          <w:numId w:val="4"/>
        </w:numPr>
        <w:rPr>
          <w:rFonts w:ascii="Times New Roman" w:hAnsi="Times New Roman" w:cs="Times New Roman"/>
          <w:sz w:val="22"/>
          <w:szCs w:val="22"/>
          <w:lang w:val="en-GB" w:eastAsia="en-GB"/>
        </w:rPr>
      </w:pPr>
      <w:r w:rsidRPr="00CD1278">
        <w:rPr>
          <w:rFonts w:ascii="Times New Roman" w:hAnsi="Times New Roman" w:cs="Times New Roman"/>
          <w:b/>
          <w:sz w:val="22"/>
          <w:szCs w:val="20"/>
          <w:lang w:val="en-GB" w:eastAsia="en-GB"/>
        </w:rPr>
        <w:t>Canada</w:t>
      </w:r>
      <w:r w:rsidRPr="00CD1278">
        <w:rPr>
          <w:rFonts w:ascii="Times New Roman" w:hAnsi="Times New Roman" w:cs="Times New Roman"/>
          <w:sz w:val="22"/>
          <w:szCs w:val="20"/>
          <w:lang w:val="en-GB" w:eastAsia="en-GB"/>
        </w:rPr>
        <w:t xml:space="preserve">: </w:t>
      </w:r>
      <w:r w:rsidR="006F0454" w:rsidRPr="00CD1278">
        <w:rPr>
          <w:rFonts w:ascii="Times New Roman" w:hAnsi="Times New Roman" w:cs="Times New Roman"/>
          <w:sz w:val="22"/>
          <w:szCs w:val="20"/>
          <w:lang w:val="en-GB" w:eastAsia="en-GB"/>
        </w:rPr>
        <w:t>G</w:t>
      </w:r>
      <w:r w:rsidRPr="00CD1278">
        <w:rPr>
          <w:rFonts w:ascii="Times New Roman" w:hAnsi="Times New Roman" w:cs="Times New Roman"/>
          <w:sz w:val="22"/>
          <w:szCs w:val="20"/>
          <w:lang w:val="en-GB" w:eastAsia="en-GB"/>
        </w:rPr>
        <w:t>roundwater warning statement</w:t>
      </w:r>
      <w:r w:rsidR="006F0454" w:rsidRPr="00CD1278">
        <w:rPr>
          <w:rFonts w:ascii="Times New Roman" w:hAnsi="Times New Roman" w:cs="Times New Roman"/>
          <w:sz w:val="22"/>
          <w:szCs w:val="20"/>
          <w:lang w:val="en-GB" w:eastAsia="en-GB"/>
        </w:rPr>
        <w:t xml:space="preserve">s are </w:t>
      </w:r>
      <w:r w:rsidRPr="00CD1278">
        <w:rPr>
          <w:rFonts w:ascii="Times New Roman" w:hAnsi="Times New Roman" w:cs="Times New Roman"/>
          <w:sz w:val="22"/>
          <w:szCs w:val="20"/>
          <w:lang w:val="en-GB" w:eastAsia="en-GB"/>
        </w:rPr>
        <w:t xml:space="preserve">currently on Canadian </w:t>
      </w:r>
      <w:r w:rsidR="006F0454" w:rsidRPr="00CD1278">
        <w:rPr>
          <w:rFonts w:ascii="Times New Roman" w:hAnsi="Times New Roman" w:cs="Times New Roman"/>
          <w:sz w:val="22"/>
          <w:szCs w:val="20"/>
          <w:lang w:val="en-GB" w:eastAsia="en-GB"/>
        </w:rPr>
        <w:t xml:space="preserve">pesticide </w:t>
      </w:r>
      <w:r w:rsidRPr="00CD1278">
        <w:rPr>
          <w:rFonts w:ascii="Times New Roman" w:hAnsi="Times New Roman" w:cs="Times New Roman"/>
          <w:sz w:val="22"/>
          <w:szCs w:val="20"/>
          <w:lang w:val="en-GB" w:eastAsia="en-GB"/>
        </w:rPr>
        <w:t>labels</w:t>
      </w:r>
      <w:r w:rsidR="006F0454" w:rsidRPr="00CD1278">
        <w:rPr>
          <w:rFonts w:ascii="Times New Roman" w:hAnsi="Times New Roman" w:cs="Times New Roman"/>
          <w:sz w:val="22"/>
          <w:szCs w:val="20"/>
          <w:lang w:val="en-GB" w:eastAsia="en-GB"/>
        </w:rPr>
        <w:t xml:space="preserve"> </w:t>
      </w:r>
      <w:r w:rsidR="006F0454" w:rsidRPr="00CD1278">
        <w:rPr>
          <w:rFonts w:ascii="Times New Roman" w:hAnsi="Times New Roman" w:cs="Times New Roman"/>
          <w:sz w:val="22"/>
          <w:szCs w:val="22"/>
          <w:lang w:val="en-GB" w:eastAsia="en-GB"/>
        </w:rPr>
        <w:t xml:space="preserve">for </w:t>
      </w:r>
      <w:r w:rsidR="006F0454" w:rsidRPr="00CD1278">
        <w:rPr>
          <w:rFonts w:ascii="Times New Roman" w:hAnsi="Times New Roman" w:cs="Times New Roman"/>
          <w:sz w:val="22"/>
          <w:szCs w:val="22"/>
          <w:lang w:val="en-GB"/>
        </w:rPr>
        <w:t xml:space="preserve">all key fumigants including MB, but the government of PEI only allows MB/Pic mixtures to be used for soil disinfestation. </w:t>
      </w:r>
    </w:p>
    <w:p w14:paraId="6F3440CB" w14:textId="181720E1" w:rsidR="00D33C12" w:rsidRPr="00CD1278" w:rsidRDefault="00D33C12" w:rsidP="005A552B">
      <w:pPr>
        <w:pStyle w:val="MediumGrid1-Accent23"/>
        <w:ind w:left="0"/>
        <w:rPr>
          <w:rFonts w:ascii="Times New Roman" w:hAnsi="Times New Roman" w:cs="Times New Roman"/>
          <w:sz w:val="22"/>
          <w:szCs w:val="20"/>
          <w:lang w:val="en-GB" w:eastAsia="en-GB"/>
        </w:rPr>
      </w:pPr>
    </w:p>
    <w:p w14:paraId="42A6A787" w14:textId="0F851E55" w:rsidR="002B749B" w:rsidRPr="00CD1278" w:rsidRDefault="002B749B" w:rsidP="005A552B">
      <w:pPr>
        <w:pStyle w:val="MediumGrid1-Accent23"/>
        <w:numPr>
          <w:ilvl w:val="0"/>
          <w:numId w:val="4"/>
        </w:numPr>
        <w:rPr>
          <w:rFonts w:ascii="Times New Roman" w:hAnsi="Times New Roman" w:cs="Times New Roman"/>
          <w:sz w:val="22"/>
          <w:szCs w:val="20"/>
          <w:lang w:val="en-GB" w:eastAsia="en-GB"/>
        </w:rPr>
      </w:pPr>
      <w:r w:rsidRPr="00CD1278">
        <w:rPr>
          <w:rFonts w:ascii="Times New Roman" w:hAnsi="Times New Roman"/>
          <w:b/>
          <w:sz w:val="22"/>
          <w:lang w:val="en-GB"/>
        </w:rPr>
        <w:t>Argentina</w:t>
      </w:r>
      <w:r w:rsidRPr="00CD1278">
        <w:rPr>
          <w:rFonts w:ascii="Times New Roman" w:hAnsi="Times New Roman" w:cs="Times New Roman"/>
          <w:sz w:val="22"/>
          <w:szCs w:val="20"/>
          <w:lang w:val="en-GB" w:eastAsia="en-GB"/>
        </w:rPr>
        <w:t>: Chloropicrin is not registered as a stand-alone product in Argentina, but combinations of 1,3-D/</w:t>
      </w:r>
      <w:r w:rsidR="00AB7248" w:rsidRPr="00CD1278">
        <w:rPr>
          <w:rFonts w:ascii="Times New Roman" w:hAnsi="Times New Roman" w:cs="Times New Roman"/>
          <w:sz w:val="22"/>
          <w:szCs w:val="20"/>
          <w:lang w:val="en-GB" w:eastAsia="en-GB"/>
        </w:rPr>
        <w:t>P</w:t>
      </w:r>
      <w:r w:rsidRPr="00CD1278">
        <w:rPr>
          <w:rFonts w:ascii="Times New Roman" w:hAnsi="Times New Roman" w:cs="Times New Roman"/>
          <w:sz w:val="22"/>
          <w:szCs w:val="20"/>
          <w:lang w:val="en-GB" w:eastAsia="en-GB"/>
        </w:rPr>
        <w:t>ic products are registered.  Dazomet is not registered for edible crops.</w:t>
      </w:r>
      <w:r w:rsidR="008E4680" w:rsidRPr="00CD1278">
        <w:rPr>
          <w:rFonts w:ascii="Times New Roman" w:hAnsi="Times New Roman" w:cs="Times New Roman"/>
          <w:sz w:val="22"/>
          <w:szCs w:val="20"/>
          <w:lang w:val="en-GB" w:eastAsia="en-GB"/>
        </w:rPr>
        <w:t xml:space="preserve"> A decree currently in force in Mar del Plata prohibits use of alternatives and allows only MB for soil fumigation, however this is expected to change in the near future.</w:t>
      </w:r>
      <w:r w:rsidR="00682D4E" w:rsidRPr="00CD1278">
        <w:rPr>
          <w:rFonts w:ascii="Times New Roman" w:hAnsi="Times New Roman" w:cs="Times New Roman"/>
          <w:sz w:val="22"/>
          <w:szCs w:val="20"/>
          <w:lang w:val="en-GB" w:eastAsia="en-GB"/>
        </w:rPr>
        <w:t xml:space="preserve"> </w:t>
      </w:r>
    </w:p>
    <w:p w14:paraId="0E75C295" w14:textId="77777777" w:rsidR="00DF39B8" w:rsidRPr="00CD1278" w:rsidRDefault="00DF39B8" w:rsidP="005A552B">
      <w:pPr>
        <w:pStyle w:val="MediumGrid1-Accent23"/>
        <w:ind w:left="0"/>
        <w:rPr>
          <w:rFonts w:ascii="Times New Roman" w:hAnsi="Times New Roman" w:cs="Times New Roman"/>
          <w:sz w:val="22"/>
          <w:szCs w:val="20"/>
          <w:lang w:val="en-GB" w:eastAsia="en-GB"/>
        </w:rPr>
      </w:pPr>
    </w:p>
    <w:p w14:paraId="3476F362" w14:textId="0DA00054" w:rsidR="00A37733" w:rsidRPr="00CD1278" w:rsidRDefault="00DF39B8" w:rsidP="005A552B">
      <w:pPr>
        <w:pStyle w:val="MediumGrid1-Accent23"/>
        <w:numPr>
          <w:ilvl w:val="0"/>
          <w:numId w:val="4"/>
        </w:numPr>
        <w:rPr>
          <w:lang w:val="en-GB" w:eastAsia="en-GB"/>
        </w:rPr>
      </w:pPr>
      <w:r w:rsidRPr="00CD1278">
        <w:rPr>
          <w:rFonts w:ascii="Times New Roman" w:hAnsi="Times New Roman"/>
          <w:b/>
          <w:sz w:val="22"/>
          <w:lang w:val="en-GB"/>
        </w:rPr>
        <w:t>South Africa</w:t>
      </w:r>
      <w:r w:rsidRPr="00CD1278">
        <w:rPr>
          <w:rFonts w:ascii="Times New Roman" w:hAnsi="Times New Roman" w:cs="Times New Roman"/>
          <w:sz w:val="22"/>
          <w:szCs w:val="20"/>
          <w:lang w:val="en-GB" w:eastAsia="en-GB"/>
        </w:rPr>
        <w:t xml:space="preserve">: </w:t>
      </w:r>
      <w:r w:rsidR="006F0454" w:rsidRPr="00CD1278">
        <w:rPr>
          <w:rFonts w:ascii="Times New Roman" w:hAnsi="Times New Roman" w:cs="Times New Roman"/>
          <w:sz w:val="22"/>
          <w:szCs w:val="20"/>
          <w:lang w:val="en-GB" w:eastAsia="en-GB"/>
        </w:rPr>
        <w:t xml:space="preserve">Sulfuryl fluoride received registration for mills and houses in January 2018.  EDN registration is under consideration. </w:t>
      </w:r>
      <w:bookmarkStart w:id="80" w:name="_Toc293054750"/>
    </w:p>
    <w:p w14:paraId="5A882D7D" w14:textId="20B71EA8" w:rsidR="00A37733" w:rsidRPr="00CD1278" w:rsidRDefault="00BF396C" w:rsidP="005A552B">
      <w:pPr>
        <w:pStyle w:val="Heading311ptBold"/>
        <w:rPr>
          <w:lang w:val="en-GB"/>
        </w:rPr>
      </w:pPr>
      <w:r w:rsidRPr="00CD1278">
        <w:rPr>
          <w:rStyle w:val="Heading311ptBoldChar"/>
          <w:color w:val="auto"/>
          <w:sz w:val="20"/>
        </w:rPr>
        <w:tab/>
      </w:r>
      <w:bookmarkStart w:id="81" w:name="_Toc453277824"/>
      <w:r w:rsidR="00655D62" w:rsidRPr="00CD1278">
        <w:rPr>
          <w:rStyle w:val="Heading311ptBoldChar"/>
          <w:color w:val="auto"/>
          <w:sz w:val="22"/>
          <w:szCs w:val="22"/>
        </w:rPr>
        <w:t>1</w:t>
      </w:r>
      <w:r w:rsidR="00553525" w:rsidRPr="00CD1278">
        <w:rPr>
          <w:rStyle w:val="Heading311ptBoldChar"/>
          <w:color w:val="auto"/>
          <w:sz w:val="22"/>
          <w:szCs w:val="22"/>
        </w:rPr>
        <w:t>.4.5.2</w:t>
      </w:r>
      <w:r w:rsidR="00553525" w:rsidRPr="00CD1278">
        <w:rPr>
          <w:rStyle w:val="Heading311ptBoldChar"/>
          <w:color w:val="auto"/>
          <w:sz w:val="22"/>
          <w:szCs w:val="22"/>
        </w:rPr>
        <w:tab/>
      </w:r>
      <w:r w:rsidR="002B749B" w:rsidRPr="00CD1278">
        <w:rPr>
          <w:rStyle w:val="Heading311ptBoldChar"/>
          <w:color w:val="auto"/>
          <w:sz w:val="22"/>
          <w:szCs w:val="22"/>
        </w:rPr>
        <w:t>H</w:t>
      </w:r>
      <w:r w:rsidR="00553525" w:rsidRPr="00CD1278">
        <w:rPr>
          <w:rStyle w:val="Heading311ptBoldChar"/>
          <w:color w:val="auto"/>
          <w:sz w:val="22"/>
          <w:szCs w:val="22"/>
        </w:rPr>
        <w:t>ealth effects of MB use and environmental acceptability</w:t>
      </w:r>
      <w:bookmarkEnd w:id="80"/>
      <w:bookmarkEnd w:id="81"/>
    </w:p>
    <w:p w14:paraId="3545F9DD" w14:textId="706F3798" w:rsidR="002B749B" w:rsidRPr="00CD1278" w:rsidRDefault="002B749B" w:rsidP="005A552B">
      <w:pPr>
        <w:widowControl w:val="0"/>
        <w:autoSpaceDE w:val="0"/>
        <w:autoSpaceDN w:val="0"/>
        <w:adjustRightInd w:val="0"/>
        <w:rPr>
          <w:color w:val="auto"/>
          <w:szCs w:val="22"/>
          <w:lang w:eastAsia="fr-FR"/>
        </w:rPr>
      </w:pPr>
      <w:r w:rsidRPr="00CD1278">
        <w:rPr>
          <w:color w:val="auto"/>
          <w:lang w:eastAsia="en-GB"/>
        </w:rPr>
        <w:t xml:space="preserve">Over the past two decades numerous studies have characterized the health hazards resulting from exposure to methyl bromide. Its acute and chronic toxicities are very high </w:t>
      </w:r>
      <w:r w:rsidR="003079B9" w:rsidRPr="00CD1278">
        <w:rPr>
          <w:color w:val="auto"/>
          <w:lang w:eastAsia="en-GB"/>
        </w:rPr>
        <w:t xml:space="preserve">and in many countries </w:t>
      </w:r>
      <w:r w:rsidRPr="00CD1278">
        <w:rPr>
          <w:color w:val="auto"/>
          <w:lang w:eastAsia="en-GB"/>
        </w:rPr>
        <w:t>it is classified as</w:t>
      </w:r>
      <w:r w:rsidR="00BF396C" w:rsidRPr="00CD1278">
        <w:rPr>
          <w:color w:val="auto"/>
          <w:lang w:eastAsia="en-GB"/>
        </w:rPr>
        <w:t xml:space="preserve"> </w:t>
      </w:r>
      <w:r w:rsidR="003079B9" w:rsidRPr="00CD1278">
        <w:rPr>
          <w:color w:val="auto"/>
          <w:lang w:eastAsia="en-GB"/>
        </w:rPr>
        <w:t>“</w:t>
      </w:r>
      <w:r w:rsidRPr="00CD1278">
        <w:rPr>
          <w:color w:val="auto"/>
          <w:lang w:eastAsia="en-GB"/>
        </w:rPr>
        <w:t>toxicity class I</w:t>
      </w:r>
      <w:r w:rsidR="003079B9" w:rsidRPr="00CD1278">
        <w:rPr>
          <w:color w:val="auto"/>
          <w:lang w:eastAsia="en-GB"/>
        </w:rPr>
        <w:t>”</w:t>
      </w:r>
      <w:r w:rsidRPr="00CD1278">
        <w:rPr>
          <w:color w:val="auto"/>
          <w:lang w:eastAsia="en-GB"/>
        </w:rPr>
        <w:t>. It is known as a developmental, neurologic and respiratory toxin (Gem</w:t>
      </w:r>
      <w:r w:rsidR="00931C72" w:rsidRPr="00CD1278">
        <w:rPr>
          <w:color w:val="auto"/>
          <w:lang w:eastAsia="en-GB"/>
        </w:rPr>
        <w:t>m</w:t>
      </w:r>
      <w:r w:rsidRPr="00CD1278">
        <w:rPr>
          <w:color w:val="auto"/>
          <w:lang w:eastAsia="en-GB"/>
        </w:rPr>
        <w:t xml:space="preserve">ill </w:t>
      </w:r>
      <w:r w:rsidR="00EF30ED" w:rsidRPr="00CD1278">
        <w:rPr>
          <w:i/>
          <w:color w:val="auto"/>
        </w:rPr>
        <w:t>et al</w:t>
      </w:r>
      <w:r w:rsidR="00EF30ED" w:rsidRPr="00CD1278">
        <w:rPr>
          <w:color w:val="auto"/>
          <w:lang w:eastAsia="en-GB"/>
        </w:rPr>
        <w:t>.</w:t>
      </w:r>
      <w:r w:rsidR="00EC1009" w:rsidRPr="00CD1278">
        <w:rPr>
          <w:color w:val="auto"/>
          <w:lang w:eastAsia="en-GB"/>
        </w:rPr>
        <w:t>,</w:t>
      </w:r>
      <w:r w:rsidRPr="00CD1278">
        <w:rPr>
          <w:color w:val="auto"/>
          <w:lang w:eastAsia="en-GB"/>
        </w:rPr>
        <w:t xml:space="preserve"> 2013, </w:t>
      </w:r>
      <w:r w:rsidR="00D66931" w:rsidRPr="00CD1278">
        <w:rPr>
          <w:color w:val="auto"/>
          <w:lang w:eastAsia="en-GB"/>
        </w:rPr>
        <w:t xml:space="preserve">De </w:t>
      </w:r>
      <w:r w:rsidRPr="00CD1278">
        <w:rPr>
          <w:color w:val="auto"/>
          <w:lang w:eastAsia="en-GB"/>
        </w:rPr>
        <w:t xml:space="preserve">Souza </w:t>
      </w:r>
      <w:r w:rsidR="00EF30ED" w:rsidRPr="00CD1278">
        <w:rPr>
          <w:i/>
          <w:color w:val="auto"/>
        </w:rPr>
        <w:t>et al</w:t>
      </w:r>
      <w:r w:rsidR="00EF30ED" w:rsidRPr="00CD1278">
        <w:rPr>
          <w:color w:val="auto"/>
          <w:lang w:eastAsia="en-GB"/>
        </w:rPr>
        <w:t>.</w:t>
      </w:r>
      <w:r w:rsidRPr="00CD1278">
        <w:rPr>
          <w:color w:val="auto"/>
          <w:lang w:eastAsia="en-GB"/>
        </w:rPr>
        <w:t>, 2013</w:t>
      </w:r>
      <w:r w:rsidR="00E25FC2" w:rsidRPr="00CD1278">
        <w:rPr>
          <w:color w:val="auto"/>
          <w:lang w:eastAsia="en-GB"/>
        </w:rPr>
        <w:t>, Bulathsinghala</w:t>
      </w:r>
      <w:r w:rsidR="00005800" w:rsidRPr="00CD1278">
        <w:rPr>
          <w:color w:val="auto"/>
          <w:lang w:eastAsia="en-GB"/>
        </w:rPr>
        <w:t xml:space="preserve"> </w:t>
      </w:r>
      <w:r w:rsidR="00F918DF" w:rsidRPr="00CD1278">
        <w:rPr>
          <w:color w:val="auto"/>
          <w:lang w:eastAsia="en-GB"/>
        </w:rPr>
        <w:t>and Shaw</w:t>
      </w:r>
      <w:r w:rsidR="00E25FC2" w:rsidRPr="00CD1278">
        <w:rPr>
          <w:color w:val="auto"/>
          <w:szCs w:val="22"/>
          <w:lang w:eastAsia="fr-FR"/>
        </w:rPr>
        <w:t>, 2014</w:t>
      </w:r>
      <w:r w:rsidRPr="00CD1278">
        <w:rPr>
          <w:color w:val="auto"/>
          <w:szCs w:val="22"/>
          <w:lang w:eastAsia="fr-FR"/>
        </w:rPr>
        <w:t>). Other known target organs are the heart, adrenal glands, liver, kidneys and testis (Ge</w:t>
      </w:r>
      <w:r w:rsidR="00931C72" w:rsidRPr="00CD1278">
        <w:rPr>
          <w:color w:val="auto"/>
          <w:szCs w:val="22"/>
          <w:lang w:eastAsia="fr-FR"/>
        </w:rPr>
        <w:t>m</w:t>
      </w:r>
      <w:r w:rsidRPr="00CD1278">
        <w:rPr>
          <w:color w:val="auto"/>
          <w:szCs w:val="22"/>
          <w:lang w:eastAsia="fr-FR"/>
        </w:rPr>
        <w:t xml:space="preserve">mill </w:t>
      </w:r>
      <w:r w:rsidR="00EF30ED" w:rsidRPr="00CD1278">
        <w:rPr>
          <w:i/>
          <w:color w:val="auto"/>
          <w:szCs w:val="22"/>
          <w:lang w:eastAsia="fr-FR"/>
        </w:rPr>
        <w:t>et al</w:t>
      </w:r>
      <w:r w:rsidR="00EF30ED" w:rsidRPr="00CD1278">
        <w:rPr>
          <w:color w:val="auto"/>
          <w:szCs w:val="22"/>
          <w:lang w:eastAsia="fr-FR"/>
        </w:rPr>
        <w:t>.</w:t>
      </w:r>
      <w:r w:rsidRPr="00CD1278">
        <w:rPr>
          <w:color w:val="auto"/>
          <w:szCs w:val="22"/>
          <w:lang w:eastAsia="fr-FR"/>
        </w:rPr>
        <w:t>, 2013).</w:t>
      </w:r>
    </w:p>
    <w:p w14:paraId="588F6AE0" w14:textId="09AAAAA3" w:rsidR="002B749B" w:rsidRPr="00CD1278" w:rsidRDefault="002B749B" w:rsidP="005A552B">
      <w:pPr>
        <w:widowControl w:val="0"/>
        <w:autoSpaceDE w:val="0"/>
        <w:autoSpaceDN w:val="0"/>
        <w:adjustRightInd w:val="0"/>
        <w:rPr>
          <w:color w:val="auto"/>
          <w:szCs w:val="22"/>
          <w:lang w:eastAsia="fr-FR"/>
        </w:rPr>
      </w:pPr>
      <w:r w:rsidRPr="00CD1278">
        <w:rPr>
          <w:color w:val="auto"/>
          <w:szCs w:val="22"/>
          <w:lang w:eastAsia="fr-FR"/>
        </w:rPr>
        <w:t>Accidental exposure to high concentrations of MB has been reported in many instances including fumigation of museums in Japan (Yamano and Nakadate</w:t>
      </w:r>
      <w:r w:rsidR="00E47EB5" w:rsidRPr="00CD1278">
        <w:rPr>
          <w:color w:val="auto"/>
          <w:szCs w:val="22"/>
          <w:lang w:eastAsia="fr-FR"/>
        </w:rPr>
        <w:t>,</w:t>
      </w:r>
      <w:r w:rsidRPr="00CD1278">
        <w:rPr>
          <w:color w:val="auto"/>
          <w:szCs w:val="22"/>
          <w:lang w:eastAsia="fr-FR"/>
        </w:rPr>
        <w:t xml:space="preserve"> 2006), when handling the fumigant in a manufacturing facility in India (</w:t>
      </w:r>
      <w:r w:rsidR="00D66931" w:rsidRPr="00CD1278">
        <w:rPr>
          <w:color w:val="auto"/>
          <w:szCs w:val="22"/>
          <w:lang w:eastAsia="fr-FR"/>
        </w:rPr>
        <w:t xml:space="preserve">De </w:t>
      </w:r>
      <w:r w:rsidRPr="00CD1278">
        <w:rPr>
          <w:color w:val="auto"/>
          <w:szCs w:val="22"/>
          <w:lang w:eastAsia="fr-FR"/>
        </w:rPr>
        <w:t xml:space="preserve">Souza </w:t>
      </w:r>
      <w:r w:rsidR="00EF30ED" w:rsidRPr="00CD1278">
        <w:rPr>
          <w:i/>
          <w:color w:val="auto"/>
          <w:szCs w:val="22"/>
          <w:lang w:eastAsia="fr-FR"/>
        </w:rPr>
        <w:t>et al</w:t>
      </w:r>
      <w:r w:rsidR="00EF30ED" w:rsidRPr="00CD1278">
        <w:rPr>
          <w:color w:val="auto"/>
          <w:szCs w:val="22"/>
          <w:lang w:eastAsia="fr-FR"/>
        </w:rPr>
        <w:t>.</w:t>
      </w:r>
      <w:r w:rsidRPr="00CD1278">
        <w:rPr>
          <w:color w:val="auto"/>
          <w:szCs w:val="22"/>
          <w:lang w:eastAsia="fr-FR"/>
        </w:rPr>
        <w:t>, 2013)</w:t>
      </w:r>
      <w:r w:rsidR="00F827BD" w:rsidRPr="00CD1278">
        <w:rPr>
          <w:color w:val="auto"/>
          <w:szCs w:val="22"/>
          <w:lang w:eastAsia="fr-FR"/>
        </w:rPr>
        <w:t>,</w:t>
      </w:r>
      <w:r w:rsidRPr="00CD1278">
        <w:rPr>
          <w:color w:val="auto"/>
          <w:szCs w:val="22"/>
          <w:lang w:eastAsia="fr-FR"/>
        </w:rPr>
        <w:t xml:space="preserve"> when opening imported freight containers (Baur </w:t>
      </w:r>
      <w:r w:rsidR="00EF30ED" w:rsidRPr="00CD1278">
        <w:rPr>
          <w:i/>
          <w:color w:val="auto"/>
          <w:szCs w:val="22"/>
          <w:lang w:eastAsia="fr-FR"/>
        </w:rPr>
        <w:t>et al</w:t>
      </w:r>
      <w:r w:rsidR="00EF30ED" w:rsidRPr="00CD1278">
        <w:rPr>
          <w:color w:val="auto"/>
          <w:szCs w:val="22"/>
          <w:lang w:eastAsia="fr-FR"/>
        </w:rPr>
        <w:t>.</w:t>
      </w:r>
      <w:r w:rsidRPr="00CD1278">
        <w:rPr>
          <w:color w:val="auto"/>
          <w:szCs w:val="22"/>
          <w:lang w:eastAsia="fr-FR"/>
        </w:rPr>
        <w:t>, 2010</w:t>
      </w:r>
      <w:r w:rsidR="00B31778" w:rsidRPr="00CD1278">
        <w:rPr>
          <w:color w:val="auto"/>
          <w:szCs w:val="22"/>
          <w:lang w:eastAsia="fr-FR"/>
        </w:rPr>
        <w:t>a and 2010b</w:t>
      </w:r>
      <w:r w:rsidRPr="00CD1278">
        <w:rPr>
          <w:color w:val="auto"/>
          <w:szCs w:val="22"/>
          <w:lang w:eastAsia="fr-FR"/>
        </w:rPr>
        <w:t>)</w:t>
      </w:r>
      <w:r w:rsidR="00F827BD" w:rsidRPr="00CD1278">
        <w:rPr>
          <w:color w:val="auto"/>
          <w:szCs w:val="22"/>
          <w:lang w:eastAsia="fr-FR"/>
        </w:rPr>
        <w:t xml:space="preserve"> and even in a home</w:t>
      </w:r>
      <w:r w:rsidR="00F044A6" w:rsidRPr="00CD1278">
        <w:rPr>
          <w:color w:val="auto"/>
          <w:szCs w:val="22"/>
          <w:lang w:eastAsia="fr-FR"/>
        </w:rPr>
        <w:t xml:space="preserve"> used for vacations</w:t>
      </w:r>
      <w:r w:rsidR="00F827BD" w:rsidRPr="00CD1278">
        <w:rPr>
          <w:color w:val="auto"/>
          <w:szCs w:val="22"/>
          <w:lang w:eastAsia="fr-FR"/>
        </w:rPr>
        <w:t xml:space="preserve"> (Sass, 2015)</w:t>
      </w:r>
      <w:r w:rsidRPr="00CD1278">
        <w:rPr>
          <w:color w:val="auto"/>
          <w:szCs w:val="22"/>
          <w:lang w:eastAsia="fr-FR"/>
        </w:rPr>
        <w:t xml:space="preserve">. </w:t>
      </w:r>
    </w:p>
    <w:p w14:paraId="3A481994" w14:textId="75B4B71B" w:rsidR="00D114C1" w:rsidRPr="00CD1278" w:rsidRDefault="003D7FE2" w:rsidP="005A552B">
      <w:pPr>
        <w:rPr>
          <w:rFonts w:ascii="Times" w:hAnsi="Times"/>
          <w:color w:val="auto"/>
          <w:sz w:val="20"/>
          <w:lang w:eastAsia="en-US"/>
        </w:rPr>
      </w:pPr>
      <w:r w:rsidRPr="00CD1278">
        <w:rPr>
          <w:color w:val="auto"/>
          <w:szCs w:val="22"/>
          <w:lang w:eastAsia="fr-FR"/>
        </w:rPr>
        <w:t xml:space="preserve">Research </w:t>
      </w:r>
      <w:r w:rsidR="00EC1009" w:rsidRPr="00CD1278">
        <w:rPr>
          <w:color w:val="auto"/>
          <w:szCs w:val="22"/>
          <w:lang w:eastAsia="fr-FR"/>
        </w:rPr>
        <w:t xml:space="preserve">findings </w:t>
      </w:r>
      <w:r w:rsidR="00FC31FD" w:rsidRPr="00CD1278">
        <w:rPr>
          <w:color w:val="auto"/>
          <w:szCs w:val="22"/>
          <w:lang w:eastAsia="fr-FR"/>
        </w:rPr>
        <w:t>reinforce</w:t>
      </w:r>
      <w:r w:rsidR="00005800" w:rsidRPr="00CD1278">
        <w:rPr>
          <w:color w:val="auto"/>
          <w:szCs w:val="22"/>
          <w:lang w:eastAsia="fr-FR"/>
        </w:rPr>
        <w:t xml:space="preserve"> </w:t>
      </w:r>
      <w:r w:rsidRPr="00CD1278">
        <w:rPr>
          <w:color w:val="auto"/>
          <w:szCs w:val="22"/>
          <w:lang w:eastAsia="fr-FR"/>
        </w:rPr>
        <w:t>suggest</w:t>
      </w:r>
      <w:r w:rsidR="00FC31FD" w:rsidRPr="00CD1278">
        <w:rPr>
          <w:color w:val="auto"/>
          <w:szCs w:val="22"/>
          <w:lang w:eastAsia="fr-FR"/>
        </w:rPr>
        <w:t>ed</w:t>
      </w:r>
      <w:r w:rsidRPr="00CD1278">
        <w:rPr>
          <w:color w:val="auto"/>
          <w:szCs w:val="22"/>
          <w:lang w:eastAsia="fr-FR"/>
        </w:rPr>
        <w:t xml:space="preserve"> link</w:t>
      </w:r>
      <w:r w:rsidR="00EC1009" w:rsidRPr="00CD1278">
        <w:rPr>
          <w:color w:val="auto"/>
          <w:szCs w:val="22"/>
          <w:lang w:eastAsia="fr-FR"/>
        </w:rPr>
        <w:t>s</w:t>
      </w:r>
      <w:r w:rsidRPr="00CD1278">
        <w:rPr>
          <w:color w:val="auto"/>
          <w:szCs w:val="22"/>
          <w:lang w:eastAsia="fr-FR"/>
        </w:rPr>
        <w:t xml:space="preserve"> between exposure to MB and health problems, including increased risk of developing prostate cancer, derived from occupational and community exposure (Budnik </w:t>
      </w:r>
      <w:r w:rsidRPr="00CD1278">
        <w:rPr>
          <w:i/>
          <w:color w:val="auto"/>
          <w:szCs w:val="22"/>
          <w:lang w:eastAsia="fr-FR"/>
        </w:rPr>
        <w:t>et al</w:t>
      </w:r>
      <w:r w:rsidRPr="00CD1278">
        <w:rPr>
          <w:color w:val="auto"/>
          <w:szCs w:val="22"/>
          <w:lang w:eastAsia="fr-FR"/>
        </w:rPr>
        <w:t xml:space="preserve">., 2012, Cockburn </w:t>
      </w:r>
      <w:r w:rsidRPr="00CD1278">
        <w:rPr>
          <w:i/>
          <w:color w:val="auto"/>
          <w:szCs w:val="22"/>
          <w:lang w:eastAsia="fr-FR"/>
        </w:rPr>
        <w:t>et al.,</w:t>
      </w:r>
      <w:r w:rsidRPr="00CD1278">
        <w:rPr>
          <w:color w:val="auto"/>
          <w:szCs w:val="22"/>
          <w:lang w:eastAsia="fr-FR"/>
        </w:rPr>
        <w:t xml:space="preserve"> 2011). In another study (Ge</w:t>
      </w:r>
      <w:r w:rsidR="00931C72" w:rsidRPr="00CD1278">
        <w:rPr>
          <w:color w:val="auto"/>
          <w:szCs w:val="22"/>
          <w:lang w:eastAsia="fr-FR"/>
        </w:rPr>
        <w:t>m</w:t>
      </w:r>
      <w:r w:rsidRPr="00CD1278">
        <w:rPr>
          <w:color w:val="auto"/>
          <w:szCs w:val="22"/>
          <w:lang w:eastAsia="fr-FR"/>
        </w:rPr>
        <w:t xml:space="preserve">mill </w:t>
      </w:r>
      <w:r w:rsidRPr="00CD1278">
        <w:rPr>
          <w:i/>
          <w:color w:val="auto"/>
          <w:szCs w:val="22"/>
          <w:lang w:eastAsia="fr-FR"/>
        </w:rPr>
        <w:t>et al</w:t>
      </w:r>
      <w:r w:rsidRPr="00CD1278">
        <w:rPr>
          <w:color w:val="auto"/>
          <w:szCs w:val="22"/>
          <w:lang w:eastAsia="fr-FR"/>
        </w:rPr>
        <w:t>., 2013), a correlation was found between impaired foetal growth during the third trimester and exposure to methyl bromide in residential areas</w:t>
      </w:r>
      <w:r w:rsidR="00D114C1" w:rsidRPr="00CD1278">
        <w:rPr>
          <w:color w:val="auto"/>
          <w:szCs w:val="22"/>
          <w:lang w:eastAsia="fr-FR"/>
        </w:rPr>
        <w:t>. A recent study focused on t</w:t>
      </w:r>
      <w:r w:rsidR="00D114C1" w:rsidRPr="00CD1278">
        <w:rPr>
          <w:color w:val="auto"/>
          <w:szCs w:val="22"/>
          <w:shd w:val="clear" w:color="auto" w:fill="FFFFFF"/>
          <w:lang w:eastAsia="en-US"/>
        </w:rPr>
        <w:t xml:space="preserve">oxicity effects from chronic use of methyl bromide, finding that effects of exposure at what are believed to be safe and appropriate concentrations of methyl bromide under federal guidelines are under-reported and not previously present in the literature. Patients included in this study developed similar syndromes of ataxia, urinary retention and psychiatric symptoms that were matched by unique abnormalities on MR imaging of the brain and serum lab abnormalities (McCall </w:t>
      </w:r>
      <w:r w:rsidR="00D114C1" w:rsidRPr="00CD1278">
        <w:rPr>
          <w:i/>
          <w:color w:val="auto"/>
          <w:szCs w:val="22"/>
          <w:shd w:val="clear" w:color="auto" w:fill="FFFFFF"/>
          <w:lang w:eastAsia="en-US"/>
        </w:rPr>
        <w:t>et al,</w:t>
      </w:r>
      <w:r w:rsidR="00D114C1" w:rsidRPr="00CD1278">
        <w:rPr>
          <w:color w:val="auto"/>
          <w:szCs w:val="22"/>
          <w:shd w:val="clear" w:color="auto" w:fill="FFFFFF"/>
          <w:lang w:eastAsia="en-US"/>
        </w:rPr>
        <w:t xml:space="preserve"> 2016).</w:t>
      </w:r>
    </w:p>
    <w:p w14:paraId="60A17247" w14:textId="1B1D7C3F" w:rsidR="002B749B" w:rsidRPr="00CD1278" w:rsidRDefault="002B749B" w:rsidP="005A552B">
      <w:pPr>
        <w:widowControl w:val="0"/>
        <w:autoSpaceDE w:val="0"/>
        <w:autoSpaceDN w:val="0"/>
        <w:adjustRightInd w:val="0"/>
        <w:rPr>
          <w:rFonts w:ascii="Times" w:hAnsi="Times" w:cs="Times"/>
          <w:color w:val="auto"/>
          <w:szCs w:val="22"/>
          <w:lang w:eastAsia="fr-FR"/>
        </w:rPr>
      </w:pPr>
      <w:r w:rsidRPr="00CD1278">
        <w:rPr>
          <w:rFonts w:ascii="Times" w:hAnsi="Times" w:cs="Times"/>
          <w:color w:val="auto"/>
          <w:szCs w:val="22"/>
          <w:lang w:eastAsia="fr-FR"/>
        </w:rPr>
        <w:t>Risk of exposure is especially high when small disposable canisters (i.e. 500 to 750</w:t>
      </w:r>
      <w:r w:rsidR="002D0E38" w:rsidRPr="00CD1278">
        <w:rPr>
          <w:rFonts w:ascii="Times" w:hAnsi="Times" w:cs="Times"/>
          <w:color w:val="auto"/>
          <w:szCs w:val="22"/>
          <w:lang w:eastAsia="fr-FR"/>
        </w:rPr>
        <w:t xml:space="preserve"> </w:t>
      </w:r>
      <w:r w:rsidRPr="00CD1278">
        <w:rPr>
          <w:rFonts w:ascii="Times" w:hAnsi="Times" w:cs="Times"/>
          <w:color w:val="auto"/>
          <w:szCs w:val="22"/>
          <w:lang w:eastAsia="fr-FR"/>
        </w:rPr>
        <w:t xml:space="preserve">g) are used for MB fumigation for pre plant soil under plastic sheets (Yamano </w:t>
      </w:r>
      <w:r w:rsidR="00EF30ED" w:rsidRPr="00CD1278">
        <w:rPr>
          <w:rFonts w:ascii="Times" w:hAnsi="Times" w:cs="Times"/>
          <w:i/>
          <w:color w:val="auto"/>
          <w:szCs w:val="22"/>
          <w:lang w:eastAsia="fr-FR"/>
        </w:rPr>
        <w:t>et al</w:t>
      </w:r>
      <w:r w:rsidR="00EF30ED" w:rsidRPr="00CD1278">
        <w:rPr>
          <w:rFonts w:ascii="Times" w:hAnsi="Times" w:cs="Times"/>
          <w:color w:val="auto"/>
          <w:szCs w:val="22"/>
          <w:lang w:eastAsia="fr-FR"/>
        </w:rPr>
        <w:t>.</w:t>
      </w:r>
      <w:r w:rsidRPr="00CD1278">
        <w:rPr>
          <w:rFonts w:ascii="Times" w:hAnsi="Times" w:cs="Times"/>
          <w:color w:val="auto"/>
          <w:szCs w:val="22"/>
          <w:lang w:eastAsia="fr-FR"/>
        </w:rPr>
        <w:t xml:space="preserve">, 2001). </w:t>
      </w:r>
      <w:r w:rsidR="00553525" w:rsidRPr="00CD1278">
        <w:rPr>
          <w:rFonts w:ascii="Times" w:hAnsi="Times" w:cs="Times"/>
          <w:color w:val="auto"/>
          <w:szCs w:val="22"/>
          <w:lang w:eastAsia="fr-FR"/>
        </w:rPr>
        <w:t>C</w:t>
      </w:r>
      <w:r w:rsidRPr="00CD1278">
        <w:rPr>
          <w:rFonts w:ascii="Times" w:hAnsi="Times" w:cs="Times"/>
          <w:color w:val="auto"/>
          <w:szCs w:val="22"/>
          <w:lang w:eastAsia="fr-FR"/>
        </w:rPr>
        <w:t>anister applications have been eliminated for soil use in all non</w:t>
      </w:r>
      <w:r w:rsidR="00553525" w:rsidRPr="00CD1278">
        <w:rPr>
          <w:rFonts w:ascii="Times" w:hAnsi="Times" w:cs="Times"/>
          <w:color w:val="auto"/>
          <w:szCs w:val="22"/>
          <w:lang w:eastAsia="fr-FR"/>
        </w:rPr>
        <w:t>-</w:t>
      </w:r>
      <w:r w:rsidRPr="00CD1278">
        <w:rPr>
          <w:rFonts w:ascii="Times" w:hAnsi="Times" w:cs="Times"/>
          <w:color w:val="auto"/>
          <w:szCs w:val="22"/>
          <w:lang w:eastAsia="fr-FR"/>
        </w:rPr>
        <w:t xml:space="preserve">Article 5 and in many A5 countries as this application is considered to be less efficient than other methods for the control of soil borne pathogens. Besides, this treatment is considered to be more dangerous to workers than injection methods, because trained contractors are not generally involved in </w:t>
      </w:r>
      <w:r w:rsidR="003D7FE2" w:rsidRPr="00CD1278">
        <w:rPr>
          <w:rFonts w:ascii="Times" w:hAnsi="Times" w:cs="Times"/>
          <w:color w:val="auto"/>
          <w:szCs w:val="22"/>
          <w:lang w:eastAsia="fr-FR"/>
        </w:rPr>
        <w:t xml:space="preserve">MB </w:t>
      </w:r>
      <w:r w:rsidRPr="00CD1278">
        <w:rPr>
          <w:rFonts w:ascii="Times" w:hAnsi="Times" w:cs="Times"/>
          <w:color w:val="auto"/>
          <w:szCs w:val="22"/>
          <w:lang w:eastAsia="fr-FR"/>
        </w:rPr>
        <w:t>application. This practice is not considered as effective for pathogen</w:t>
      </w:r>
      <w:r w:rsidR="003D7FE2" w:rsidRPr="00CD1278">
        <w:rPr>
          <w:rFonts w:ascii="Times" w:hAnsi="Times" w:cs="Times"/>
          <w:color w:val="auto"/>
          <w:szCs w:val="22"/>
          <w:lang w:eastAsia="fr-FR"/>
        </w:rPr>
        <w:t>s’</w:t>
      </w:r>
      <w:r w:rsidRPr="00CD1278">
        <w:rPr>
          <w:rFonts w:ascii="Times" w:hAnsi="Times" w:cs="Times"/>
          <w:color w:val="auto"/>
          <w:szCs w:val="22"/>
          <w:lang w:eastAsia="fr-FR"/>
        </w:rPr>
        <w:t xml:space="preserve"> control as </w:t>
      </w:r>
      <w:r w:rsidR="00444054" w:rsidRPr="00CD1278">
        <w:rPr>
          <w:rFonts w:ascii="Times" w:hAnsi="Times" w:cs="Times"/>
          <w:color w:val="auto"/>
          <w:szCs w:val="22"/>
          <w:lang w:eastAsia="fr-FR"/>
        </w:rPr>
        <w:t>injection</w:t>
      </w:r>
      <w:r w:rsidRPr="00CD1278">
        <w:rPr>
          <w:rFonts w:ascii="Times" w:hAnsi="Times" w:cs="Times"/>
          <w:color w:val="auto"/>
          <w:szCs w:val="22"/>
          <w:lang w:eastAsia="fr-FR"/>
        </w:rPr>
        <w:t xml:space="preserve"> of MB/Pic mixtures and also can lead to high emissions of </w:t>
      </w:r>
      <w:r w:rsidR="009828CB" w:rsidRPr="00CD1278">
        <w:rPr>
          <w:rFonts w:ascii="Times" w:hAnsi="Times" w:cs="Times"/>
          <w:color w:val="auto"/>
          <w:szCs w:val="22"/>
          <w:lang w:eastAsia="fr-FR"/>
        </w:rPr>
        <w:t>MB</w:t>
      </w:r>
      <w:r w:rsidRPr="00CD1278">
        <w:rPr>
          <w:rFonts w:ascii="Times" w:hAnsi="Times" w:cs="Times"/>
          <w:color w:val="auto"/>
          <w:szCs w:val="22"/>
          <w:lang w:eastAsia="fr-FR"/>
        </w:rPr>
        <w:t xml:space="preserve"> as the gas is released immediately beneath the plastic sheets.</w:t>
      </w:r>
      <w:r w:rsidR="00553525" w:rsidRPr="00CD1278">
        <w:rPr>
          <w:rFonts w:ascii="Times" w:hAnsi="Times" w:cs="Times"/>
          <w:color w:val="auto"/>
          <w:szCs w:val="22"/>
          <w:lang w:eastAsia="fr-FR"/>
        </w:rPr>
        <w:t xml:space="preserve"> </w:t>
      </w:r>
      <w:r w:rsidR="004255C3" w:rsidRPr="00CD1278">
        <w:rPr>
          <w:rFonts w:ascii="Times" w:hAnsi="Times" w:cs="Times"/>
          <w:color w:val="auto"/>
          <w:szCs w:val="22"/>
          <w:lang w:eastAsia="ja-JP"/>
        </w:rPr>
        <w:t xml:space="preserve">MB also notes that </w:t>
      </w:r>
      <w:r w:rsidR="005C0B14" w:rsidRPr="00CD1278">
        <w:rPr>
          <w:rFonts w:ascii="Times" w:hAnsi="Times" w:cs="Times"/>
          <w:color w:val="auto"/>
          <w:szCs w:val="22"/>
          <w:lang w:eastAsia="ja-JP"/>
        </w:rPr>
        <w:t xml:space="preserve">in some circumstances, </w:t>
      </w:r>
      <w:r w:rsidR="004255C3" w:rsidRPr="00CD1278">
        <w:rPr>
          <w:rFonts w:ascii="Times" w:hAnsi="Times" w:cs="Times"/>
          <w:color w:val="auto"/>
          <w:szCs w:val="22"/>
          <w:lang w:eastAsia="ja-JP"/>
        </w:rPr>
        <w:t xml:space="preserve">MB can sometimes leak out from the canister. </w:t>
      </w:r>
      <w:r w:rsidR="00553525" w:rsidRPr="00CD1278">
        <w:rPr>
          <w:rFonts w:ascii="Times" w:hAnsi="Times" w:cs="Times"/>
          <w:color w:val="auto"/>
          <w:szCs w:val="22"/>
          <w:lang w:eastAsia="fr-FR"/>
        </w:rPr>
        <w:t xml:space="preserve">MBTOC notes with concern that canister use is still allowed </w:t>
      </w:r>
      <w:r w:rsidR="00D5576E" w:rsidRPr="00CD1278">
        <w:rPr>
          <w:rFonts w:ascii="Times" w:hAnsi="Times" w:cs="Times"/>
          <w:color w:val="auto"/>
          <w:szCs w:val="22"/>
          <w:lang w:eastAsia="fr-FR"/>
        </w:rPr>
        <w:t xml:space="preserve">for preplant use and </w:t>
      </w:r>
      <w:r w:rsidR="00FA35D7" w:rsidRPr="00CD1278">
        <w:rPr>
          <w:rFonts w:ascii="Times" w:hAnsi="Times" w:cs="Times"/>
          <w:color w:val="auto"/>
          <w:szCs w:val="22"/>
          <w:lang w:eastAsia="fr-FR"/>
        </w:rPr>
        <w:t>/or</w:t>
      </w:r>
      <w:r w:rsidR="00D5576E" w:rsidRPr="00CD1278">
        <w:rPr>
          <w:rFonts w:ascii="Times" w:hAnsi="Times" w:cs="Times"/>
          <w:color w:val="auto"/>
          <w:szCs w:val="22"/>
          <w:lang w:eastAsia="fr-FR"/>
        </w:rPr>
        <w:t xml:space="preserve"> quarantine uses in a number of </w:t>
      </w:r>
      <w:r w:rsidR="003D7FE2" w:rsidRPr="00CD1278">
        <w:rPr>
          <w:rFonts w:ascii="Times" w:hAnsi="Times" w:cs="Times"/>
          <w:color w:val="auto"/>
          <w:szCs w:val="22"/>
          <w:lang w:eastAsia="fr-FR"/>
        </w:rPr>
        <w:t xml:space="preserve">A5 countries e.g. </w:t>
      </w:r>
      <w:r w:rsidR="00D5576E" w:rsidRPr="00CD1278">
        <w:rPr>
          <w:rFonts w:ascii="Times" w:hAnsi="Times" w:cs="Times"/>
          <w:color w:val="auto"/>
          <w:szCs w:val="22"/>
          <w:lang w:eastAsia="fr-FR"/>
        </w:rPr>
        <w:t xml:space="preserve">China, </w:t>
      </w:r>
      <w:r w:rsidR="003D7FE2" w:rsidRPr="00CD1278">
        <w:rPr>
          <w:rFonts w:ascii="Times" w:hAnsi="Times" w:cs="Times"/>
          <w:color w:val="auto"/>
          <w:szCs w:val="22"/>
          <w:lang w:eastAsia="fr-FR"/>
        </w:rPr>
        <w:t>Egypt</w:t>
      </w:r>
      <w:r w:rsidR="00140458" w:rsidRPr="00CD1278">
        <w:rPr>
          <w:rFonts w:ascii="Times" w:hAnsi="Times" w:cs="Times"/>
          <w:color w:val="auto"/>
          <w:szCs w:val="22"/>
          <w:lang w:eastAsia="fr-FR"/>
        </w:rPr>
        <w:t>,</w:t>
      </w:r>
      <w:r w:rsidR="003D7FE2" w:rsidRPr="00CD1278">
        <w:rPr>
          <w:rFonts w:ascii="Times" w:hAnsi="Times" w:cs="Times"/>
          <w:color w:val="auto"/>
          <w:szCs w:val="22"/>
          <w:lang w:eastAsia="fr-FR"/>
        </w:rPr>
        <w:t xml:space="preserve"> Jordan</w:t>
      </w:r>
      <w:r w:rsidR="00D97A68" w:rsidRPr="00CD1278">
        <w:rPr>
          <w:rFonts w:ascii="Times" w:hAnsi="Times" w:cs="Times"/>
          <w:color w:val="auto"/>
          <w:szCs w:val="22"/>
          <w:lang w:eastAsia="fr-FR"/>
        </w:rPr>
        <w:t xml:space="preserve"> and</w:t>
      </w:r>
      <w:r w:rsidR="00D5576E" w:rsidRPr="00CD1278">
        <w:rPr>
          <w:rFonts w:ascii="Times" w:hAnsi="Times" w:cs="Times"/>
          <w:color w:val="auto"/>
          <w:szCs w:val="22"/>
          <w:lang w:eastAsia="fr-FR"/>
        </w:rPr>
        <w:t xml:space="preserve"> Mexico</w:t>
      </w:r>
      <w:r w:rsidR="00140458" w:rsidRPr="00CD1278">
        <w:rPr>
          <w:rFonts w:ascii="Times" w:hAnsi="Times" w:cs="Times"/>
          <w:color w:val="auto"/>
          <w:szCs w:val="22"/>
          <w:lang w:eastAsia="fr-FR"/>
        </w:rPr>
        <w:t>, sometimes including for QPS situations</w:t>
      </w:r>
      <w:r w:rsidR="00D5576E" w:rsidRPr="00CD1278">
        <w:rPr>
          <w:rFonts w:ascii="Times" w:hAnsi="Times" w:cs="Times"/>
          <w:color w:val="auto"/>
          <w:szCs w:val="22"/>
          <w:lang w:eastAsia="fr-FR"/>
        </w:rPr>
        <w:t>.</w:t>
      </w:r>
    </w:p>
    <w:p w14:paraId="2CA9F725" w14:textId="77777777" w:rsidR="00553525" w:rsidRPr="00CD1278" w:rsidRDefault="00570F3B" w:rsidP="005A552B">
      <w:pPr>
        <w:widowControl w:val="0"/>
        <w:autoSpaceDE w:val="0"/>
        <w:autoSpaceDN w:val="0"/>
        <w:adjustRightInd w:val="0"/>
        <w:rPr>
          <w:color w:val="auto"/>
          <w:szCs w:val="22"/>
          <w:lang w:eastAsia="fr-FR"/>
        </w:rPr>
      </w:pPr>
      <w:r w:rsidRPr="00CD1278">
        <w:rPr>
          <w:color w:val="auto"/>
          <w:szCs w:val="22"/>
          <w:lang w:eastAsia="fr-FR"/>
        </w:rPr>
        <w:t>The e</w:t>
      </w:r>
      <w:r w:rsidR="00553525" w:rsidRPr="00CD1278">
        <w:rPr>
          <w:color w:val="auto"/>
          <w:szCs w:val="22"/>
          <w:lang w:eastAsia="fr-FR"/>
        </w:rPr>
        <w:t>nvironmental acceptability</w:t>
      </w:r>
      <w:r w:rsidRPr="00CD1278">
        <w:rPr>
          <w:color w:val="auto"/>
          <w:szCs w:val="22"/>
          <w:lang w:eastAsia="fr-FR"/>
        </w:rPr>
        <w:t xml:space="preserve"> of </w:t>
      </w:r>
      <w:r w:rsidR="009828CB" w:rsidRPr="00CD1278">
        <w:rPr>
          <w:color w:val="auto"/>
          <w:szCs w:val="22"/>
          <w:lang w:eastAsia="fr-FR"/>
        </w:rPr>
        <w:t xml:space="preserve">MB </w:t>
      </w:r>
      <w:r w:rsidR="00693C78" w:rsidRPr="00CD1278">
        <w:rPr>
          <w:color w:val="auto"/>
          <w:szCs w:val="22"/>
          <w:lang w:eastAsia="fr-FR"/>
        </w:rPr>
        <w:t>is</w:t>
      </w:r>
      <w:r w:rsidR="007A6453" w:rsidRPr="00CD1278">
        <w:rPr>
          <w:color w:val="auto"/>
          <w:szCs w:val="22"/>
          <w:lang w:eastAsia="fr-FR"/>
        </w:rPr>
        <w:t xml:space="preserve"> handled by national regulatory authorities</w:t>
      </w:r>
      <w:r w:rsidR="00EC1009" w:rsidRPr="00CD1278">
        <w:rPr>
          <w:color w:val="auto"/>
          <w:szCs w:val="22"/>
          <w:lang w:eastAsia="fr-FR"/>
        </w:rPr>
        <w:t xml:space="preserve"> in each country</w:t>
      </w:r>
      <w:r w:rsidR="007A6453" w:rsidRPr="00CD1278">
        <w:rPr>
          <w:rFonts w:ascii="Adobe Garamond Pro" w:hAnsi="Adobe Garamond Pro" w:cs="Adobe Garamond Pro"/>
          <w:b/>
          <w:bCs/>
          <w:color w:val="auto"/>
          <w:szCs w:val="22"/>
          <w:lang w:eastAsia="fr-FR"/>
        </w:rPr>
        <w:t>.</w:t>
      </w:r>
    </w:p>
    <w:p w14:paraId="0F7B08C2" w14:textId="77777777" w:rsidR="008D5F24" w:rsidRPr="00CD1278" w:rsidRDefault="00655D62" w:rsidP="005A552B">
      <w:pPr>
        <w:pStyle w:val="Heading2"/>
        <w:rPr>
          <w:lang w:val="en-GB"/>
        </w:rPr>
      </w:pPr>
      <w:bookmarkStart w:id="82" w:name="_Toc324255713"/>
      <w:bookmarkStart w:id="83" w:name="_Toc293054751"/>
      <w:bookmarkStart w:id="84" w:name="_Toc453277825"/>
      <w:r w:rsidRPr="00CD1278">
        <w:rPr>
          <w:lang w:val="en-GB"/>
        </w:rPr>
        <w:t>1</w:t>
      </w:r>
      <w:r w:rsidR="008D5F24" w:rsidRPr="00CD1278">
        <w:rPr>
          <w:lang w:val="en-GB"/>
        </w:rPr>
        <w:t>.4.</w:t>
      </w:r>
      <w:r w:rsidR="00553525" w:rsidRPr="00CD1278">
        <w:rPr>
          <w:lang w:val="en-GB"/>
        </w:rPr>
        <w:t>6</w:t>
      </w:r>
      <w:r w:rsidR="008D5F24" w:rsidRPr="00CD1278">
        <w:rPr>
          <w:lang w:val="en-GB"/>
        </w:rPr>
        <w:tab/>
        <w:t xml:space="preserve">Sustainable </w:t>
      </w:r>
      <w:r w:rsidR="007E22DE" w:rsidRPr="00CD1278">
        <w:rPr>
          <w:lang w:val="en-GB"/>
        </w:rPr>
        <w:t>A</w:t>
      </w:r>
      <w:r w:rsidR="008D5F24" w:rsidRPr="00CD1278">
        <w:rPr>
          <w:lang w:val="en-GB"/>
        </w:rPr>
        <w:t xml:space="preserve">lternatives for </w:t>
      </w:r>
      <w:r w:rsidR="007E22DE" w:rsidRPr="00CD1278">
        <w:rPr>
          <w:lang w:val="en-GB"/>
        </w:rPr>
        <w:t>P</w:t>
      </w:r>
      <w:r w:rsidR="008D5F24" w:rsidRPr="00CD1278">
        <w:rPr>
          <w:lang w:val="en-GB"/>
        </w:rPr>
        <w:t xml:space="preserve">replant </w:t>
      </w:r>
      <w:r w:rsidR="007E22DE" w:rsidRPr="00CD1278">
        <w:rPr>
          <w:lang w:val="en-GB"/>
        </w:rPr>
        <w:t>U</w:t>
      </w:r>
      <w:r w:rsidR="008D5F24" w:rsidRPr="00CD1278">
        <w:rPr>
          <w:lang w:val="en-GB"/>
        </w:rPr>
        <w:t>ses</w:t>
      </w:r>
      <w:bookmarkEnd w:id="82"/>
      <w:bookmarkEnd w:id="83"/>
      <w:bookmarkEnd w:id="84"/>
    </w:p>
    <w:p w14:paraId="7E0BA46F" w14:textId="251899C6" w:rsidR="008D5F24" w:rsidRPr="00CD1278" w:rsidRDefault="008D5F24" w:rsidP="005A552B">
      <w:pPr>
        <w:rPr>
          <w:color w:val="auto"/>
        </w:rPr>
      </w:pPr>
      <w:r w:rsidRPr="00CD1278">
        <w:rPr>
          <w:color w:val="auto"/>
        </w:rPr>
        <w:t xml:space="preserve">MBTOC urges Parties to consider the </w:t>
      </w:r>
      <w:r w:rsidR="002B573B" w:rsidRPr="00CD1278">
        <w:rPr>
          <w:color w:val="auto"/>
        </w:rPr>
        <w:t>long-</w:t>
      </w:r>
      <w:r w:rsidRPr="00CD1278">
        <w:rPr>
          <w:color w:val="auto"/>
        </w:rPr>
        <w:t>term sustainability of treatments adopted as alternatives to MB</w:t>
      </w:r>
      <w:r w:rsidR="003D7FE2" w:rsidRPr="00CD1278">
        <w:rPr>
          <w:color w:val="auto"/>
        </w:rPr>
        <w:t xml:space="preserve">. </w:t>
      </w:r>
      <w:r w:rsidR="00570F3B" w:rsidRPr="00CD1278">
        <w:rPr>
          <w:color w:val="auto"/>
        </w:rPr>
        <w:t>The c</w:t>
      </w:r>
      <w:r w:rsidR="00EF449F" w:rsidRPr="00CD1278">
        <w:rPr>
          <w:color w:val="auto"/>
        </w:rPr>
        <w:t>ombination of c</w:t>
      </w:r>
      <w:r w:rsidRPr="00CD1278">
        <w:rPr>
          <w:color w:val="auto"/>
        </w:rPr>
        <w:t xml:space="preserve">hemical </w:t>
      </w:r>
      <w:r w:rsidR="00EF449F" w:rsidRPr="00CD1278">
        <w:rPr>
          <w:color w:val="auto"/>
        </w:rPr>
        <w:t>and non</w:t>
      </w:r>
      <w:r w:rsidR="008C4885" w:rsidRPr="00CD1278">
        <w:rPr>
          <w:color w:val="auto"/>
        </w:rPr>
        <w:t>-</w:t>
      </w:r>
      <w:r w:rsidR="00EF449F" w:rsidRPr="00CD1278">
        <w:rPr>
          <w:color w:val="auto"/>
        </w:rPr>
        <w:t xml:space="preserve">chemical alternatives in an IPM program </w:t>
      </w:r>
      <w:r w:rsidRPr="00CD1278">
        <w:rPr>
          <w:color w:val="auto"/>
        </w:rPr>
        <w:t>provide</w:t>
      </w:r>
      <w:r w:rsidR="00EF449F" w:rsidRPr="00CD1278">
        <w:rPr>
          <w:color w:val="auto"/>
        </w:rPr>
        <w:t>s</w:t>
      </w:r>
      <w:r w:rsidR="00005800" w:rsidRPr="00CD1278">
        <w:rPr>
          <w:color w:val="auto"/>
        </w:rPr>
        <w:t xml:space="preserve"> </w:t>
      </w:r>
      <w:r w:rsidR="00EF449F" w:rsidRPr="00CD1278">
        <w:rPr>
          <w:color w:val="auto"/>
        </w:rPr>
        <w:t xml:space="preserve">excellent </w:t>
      </w:r>
      <w:r w:rsidRPr="00CD1278">
        <w:rPr>
          <w:color w:val="auto"/>
        </w:rPr>
        <w:t>results in the longer term.  Decision IX/6 1(a)(ii) refers to alternatives that are ‘</w:t>
      </w:r>
      <w:r w:rsidRPr="00CD1278">
        <w:rPr>
          <w:i/>
          <w:iCs/>
          <w:color w:val="auto"/>
        </w:rPr>
        <w:t>acceptable from the standpoint of environment and health’</w:t>
      </w:r>
      <w:r w:rsidRPr="00CD1278">
        <w:rPr>
          <w:color w:val="auto"/>
        </w:rPr>
        <w:t xml:space="preserve">. MBTOC has visited various regions where successful non-chemical alternatives e.g. soil less culture, </w:t>
      </w:r>
      <w:r w:rsidR="00EF449F" w:rsidRPr="00CD1278">
        <w:rPr>
          <w:color w:val="auto"/>
        </w:rPr>
        <w:t xml:space="preserve">grafting, </w:t>
      </w:r>
      <w:r w:rsidRPr="00CD1278">
        <w:rPr>
          <w:color w:val="auto"/>
        </w:rPr>
        <w:t>solarisation, steam, bio</w:t>
      </w:r>
      <w:r w:rsidR="0038722C" w:rsidRPr="00CD1278">
        <w:rPr>
          <w:color w:val="auto"/>
        </w:rPr>
        <w:t>-</w:t>
      </w:r>
      <w:r w:rsidRPr="00CD1278">
        <w:rPr>
          <w:color w:val="auto"/>
        </w:rPr>
        <w:t>disinfestation</w:t>
      </w:r>
      <w:r w:rsidR="002B573B" w:rsidRPr="00CD1278">
        <w:rPr>
          <w:color w:val="auto"/>
        </w:rPr>
        <w:t xml:space="preserve"> (biofumigation)</w:t>
      </w:r>
      <w:r w:rsidRPr="00CD1278">
        <w:rPr>
          <w:color w:val="auto"/>
        </w:rPr>
        <w:t xml:space="preserve"> and anaerobic soil disinfestation, are used as sustainable alternatives to MB. Several Parties consider these techniques as viable alternatives, particularly when an integrated approach that combines different options is adopted. </w:t>
      </w:r>
    </w:p>
    <w:p w14:paraId="448ABD6A" w14:textId="04E64B03" w:rsidR="008D5F24" w:rsidRPr="00CD1278" w:rsidRDefault="00655D62" w:rsidP="005A552B">
      <w:pPr>
        <w:pStyle w:val="Heading2"/>
        <w:rPr>
          <w:lang w:val="en-GB"/>
        </w:rPr>
      </w:pPr>
      <w:bookmarkStart w:id="85" w:name="_Toc324255714"/>
      <w:bookmarkStart w:id="86" w:name="_Toc293054752"/>
      <w:bookmarkStart w:id="87" w:name="_Toc453277826"/>
      <w:r w:rsidRPr="00CD1278">
        <w:rPr>
          <w:lang w:val="en-GB"/>
        </w:rPr>
        <w:t>1</w:t>
      </w:r>
      <w:r w:rsidR="008D5F24" w:rsidRPr="00CD1278">
        <w:rPr>
          <w:lang w:val="en-GB"/>
        </w:rPr>
        <w:t>.4.</w:t>
      </w:r>
      <w:r w:rsidR="009828CB" w:rsidRPr="00CD1278">
        <w:rPr>
          <w:lang w:val="en-GB"/>
        </w:rPr>
        <w:t>7</w:t>
      </w:r>
      <w:r w:rsidR="008D5F24" w:rsidRPr="00CD1278">
        <w:rPr>
          <w:lang w:val="en-GB"/>
        </w:rPr>
        <w:tab/>
        <w:t xml:space="preserve">Standard </w:t>
      </w:r>
      <w:r w:rsidR="007E22DE" w:rsidRPr="00CD1278">
        <w:rPr>
          <w:lang w:val="en-GB"/>
        </w:rPr>
        <w:t>P</w:t>
      </w:r>
      <w:r w:rsidR="008D5F24" w:rsidRPr="00CD1278">
        <w:rPr>
          <w:lang w:val="en-GB"/>
        </w:rPr>
        <w:t xml:space="preserve">resumptions </w:t>
      </w:r>
      <w:r w:rsidR="007E22DE" w:rsidRPr="00CD1278">
        <w:rPr>
          <w:lang w:val="en-GB"/>
        </w:rPr>
        <w:t>U</w:t>
      </w:r>
      <w:r w:rsidR="008D5F24" w:rsidRPr="00CD1278">
        <w:rPr>
          <w:lang w:val="en-GB"/>
        </w:rPr>
        <w:t xml:space="preserve">sed in </w:t>
      </w:r>
      <w:r w:rsidR="007E22DE" w:rsidRPr="00CD1278">
        <w:rPr>
          <w:lang w:val="en-GB"/>
        </w:rPr>
        <w:t>A</w:t>
      </w:r>
      <w:r w:rsidR="008D5F24" w:rsidRPr="00CD1278">
        <w:rPr>
          <w:lang w:val="en-GB"/>
        </w:rPr>
        <w:t xml:space="preserve">ssessment of </w:t>
      </w:r>
      <w:r w:rsidR="007E22DE" w:rsidRPr="00CD1278">
        <w:rPr>
          <w:lang w:val="en-GB"/>
        </w:rPr>
        <w:t>N</w:t>
      </w:r>
      <w:r w:rsidR="008D5F24" w:rsidRPr="00CD1278">
        <w:rPr>
          <w:lang w:val="en-GB"/>
        </w:rPr>
        <w:t xml:space="preserve">ominated </w:t>
      </w:r>
      <w:r w:rsidR="007E22DE" w:rsidRPr="00CD1278">
        <w:rPr>
          <w:lang w:val="en-GB"/>
        </w:rPr>
        <w:t>Q</w:t>
      </w:r>
      <w:r w:rsidR="008D5F24" w:rsidRPr="00CD1278">
        <w:rPr>
          <w:lang w:val="en-GB"/>
        </w:rPr>
        <w:t>uantities</w:t>
      </w:r>
      <w:bookmarkEnd w:id="85"/>
      <w:bookmarkEnd w:id="86"/>
      <w:bookmarkEnd w:id="87"/>
    </w:p>
    <w:p w14:paraId="1991577D" w14:textId="35DD03F6" w:rsidR="008D5F24" w:rsidRPr="00CD1278" w:rsidRDefault="008D5F24" w:rsidP="005A552B">
      <w:pPr>
        <w:rPr>
          <w:color w:val="auto"/>
        </w:rPr>
      </w:pPr>
      <w:r w:rsidRPr="00CD1278">
        <w:rPr>
          <w:color w:val="auto"/>
        </w:rPr>
        <w:t xml:space="preserve">The tables below (Tables </w:t>
      </w:r>
      <w:r w:rsidR="00655D62" w:rsidRPr="00CD1278">
        <w:rPr>
          <w:color w:val="auto"/>
        </w:rPr>
        <w:t>1</w:t>
      </w:r>
      <w:r w:rsidRPr="00CD1278">
        <w:rPr>
          <w:color w:val="auto"/>
        </w:rPr>
        <w:t xml:space="preserve">-6 and </w:t>
      </w:r>
      <w:r w:rsidR="00655D62" w:rsidRPr="00CD1278">
        <w:rPr>
          <w:color w:val="auto"/>
        </w:rPr>
        <w:t>1</w:t>
      </w:r>
      <w:r w:rsidRPr="00CD1278">
        <w:rPr>
          <w:color w:val="auto"/>
        </w:rPr>
        <w:t xml:space="preserve">-7) </w:t>
      </w:r>
      <w:r w:rsidR="008E4680" w:rsidRPr="00CD1278">
        <w:rPr>
          <w:color w:val="auto"/>
        </w:rPr>
        <w:t xml:space="preserve">present </w:t>
      </w:r>
      <w:r w:rsidRPr="00CD1278">
        <w:rPr>
          <w:color w:val="auto"/>
        </w:rPr>
        <w:t>the standard presumptions applied by MBTOC for this round of CUNs for preplant soil uses. These standard presumptions were first proposed in the MBTOC report of October 2005 and were presented to the Parties at</w:t>
      </w:r>
      <w:r w:rsidR="002B573B" w:rsidRPr="00CD1278">
        <w:rPr>
          <w:color w:val="auto"/>
        </w:rPr>
        <w:t xml:space="preserve"> the</w:t>
      </w:r>
      <w:r w:rsidRPr="00CD1278">
        <w:rPr>
          <w:color w:val="auto"/>
        </w:rPr>
        <w:t xml:space="preserve"> 17</w:t>
      </w:r>
      <w:r w:rsidRPr="00CD1278">
        <w:rPr>
          <w:color w:val="auto"/>
          <w:vertAlign w:val="superscript"/>
        </w:rPr>
        <w:t>th</w:t>
      </w:r>
      <w:r w:rsidRPr="00CD1278">
        <w:rPr>
          <w:color w:val="auto"/>
        </w:rPr>
        <w:t xml:space="preserve"> MOP.  Studies and reports to support them have been provided in previous reports and were revised for some sectors after consideration by the Parties at the 19</w:t>
      </w:r>
      <w:r w:rsidRPr="00CD1278">
        <w:rPr>
          <w:color w:val="auto"/>
          <w:vertAlign w:val="superscript"/>
        </w:rPr>
        <w:t>th</w:t>
      </w:r>
      <w:r w:rsidRPr="00CD1278">
        <w:rPr>
          <w:color w:val="auto"/>
        </w:rPr>
        <w:t xml:space="preserve"> MOP. The rates and practices adopted by MBTOC as standard presumptions are based on maximum rates considered acceptable by published literature and actual commercial practice. </w:t>
      </w:r>
    </w:p>
    <w:p w14:paraId="77D610ED" w14:textId="7C7C86C8" w:rsidR="008D5F24" w:rsidRPr="00CD1278" w:rsidRDefault="008D5F24" w:rsidP="005A552B">
      <w:pPr>
        <w:rPr>
          <w:color w:val="auto"/>
        </w:rPr>
      </w:pPr>
      <w:r w:rsidRPr="00CD1278">
        <w:rPr>
          <w:color w:val="auto"/>
        </w:rPr>
        <w:t>As in the evaluations in previous years, MBTOC considered reductions to quantities of MB in particular nominations to a standard rate per treated area where technical evidence supported its use.  As a special case, MBTOC continues to accept a maximum rate of 200 kg/ ha (20 g/m</w:t>
      </w:r>
      <w:r w:rsidRPr="00CD1278">
        <w:rPr>
          <w:color w:val="auto"/>
          <w:vertAlign w:val="superscript"/>
        </w:rPr>
        <w:t>2</w:t>
      </w:r>
      <w:r w:rsidRPr="00CD1278">
        <w:rPr>
          <w:color w:val="auto"/>
        </w:rPr>
        <w:t>) in MB/Pic formulations with high Pic-containing mixtures with or without barrier films for certified nursery production, unless regulations prescribe lower or higher rates.  However, MBTOC notes that studies</w:t>
      </w:r>
      <w:r w:rsidR="002C2F9B" w:rsidRPr="00CD1278">
        <w:rPr>
          <w:color w:val="auto"/>
        </w:rPr>
        <w:t xml:space="preserve"> </w:t>
      </w:r>
      <w:r w:rsidRPr="00CD1278">
        <w:rPr>
          <w:color w:val="auto"/>
        </w:rPr>
        <w:t>have shown that rates of 200 kg/ha (20g/m</w:t>
      </w:r>
      <w:r w:rsidRPr="00CD1278">
        <w:rPr>
          <w:color w:val="auto"/>
          <w:vertAlign w:val="superscript"/>
        </w:rPr>
        <w:t>2</w:t>
      </w:r>
      <w:r w:rsidRPr="00CD1278">
        <w:rPr>
          <w:color w:val="auto"/>
        </w:rPr>
        <w:t>) or less of MB: Pic 50:50 are effective with barrier films for production of ‘certified’ nursery material and urge Parties to consider regulations which permit these lower rates. MBTOC also notes that certified runner production may involve regulations which specify the mandatory use of a fumigant such as MB or an alternative, in order for the runners to be “certified runners”.</w:t>
      </w:r>
    </w:p>
    <w:p w14:paraId="6A544EFA" w14:textId="77777777" w:rsidR="00F713B4" w:rsidRPr="00CD1278" w:rsidRDefault="008D5F24" w:rsidP="005A552B">
      <w:pPr>
        <w:rPr>
          <w:color w:val="auto"/>
        </w:rPr>
      </w:pPr>
      <w:r w:rsidRPr="00CD1278">
        <w:rPr>
          <w:color w:val="auto"/>
        </w:rPr>
        <w:t>The indicative rates used by MBTOC were maximum guideline rates, for the purpose of calculation only. MBTOC recognises that the actual rate appropriate for a specific use may vary with local circumstances, soil conditions and the target pest situation. Some nominations were based on rates lower than these indicative rate</w:t>
      </w:r>
      <w:r w:rsidR="00F713B4" w:rsidRPr="00CD1278">
        <w:rPr>
          <w:color w:val="auto"/>
        </w:rPr>
        <w:t>s.</w:t>
      </w:r>
    </w:p>
    <w:p w14:paraId="18D37ABF" w14:textId="77777777" w:rsidR="0062421F" w:rsidRPr="00CD1278" w:rsidRDefault="0062421F" w:rsidP="005A552B">
      <w:pPr>
        <w:spacing w:after="0"/>
        <w:rPr>
          <w:b/>
          <w:i/>
          <w:color w:val="auto"/>
        </w:rPr>
      </w:pPr>
      <w:r w:rsidRPr="00CD1278">
        <w:rPr>
          <w:b/>
          <w:i/>
          <w:color w:val="auto"/>
        </w:rPr>
        <w:br w:type="page"/>
      </w:r>
    </w:p>
    <w:p w14:paraId="6E9C615C" w14:textId="3343BFC8" w:rsidR="00F713B4" w:rsidRPr="00CD1278" w:rsidRDefault="00F713B4" w:rsidP="00F97A8E">
      <w:pPr>
        <w:spacing w:after="120"/>
        <w:ind w:left="90"/>
        <w:rPr>
          <w:color w:val="auto"/>
        </w:rPr>
      </w:pPr>
      <w:r w:rsidRPr="00CD1278">
        <w:rPr>
          <w:b/>
          <w:i/>
          <w:color w:val="auto"/>
        </w:rPr>
        <w:t xml:space="preserve">Table </w:t>
      </w:r>
      <w:r w:rsidR="00655D62" w:rsidRPr="00CD1278">
        <w:rPr>
          <w:b/>
          <w:i/>
          <w:color w:val="auto"/>
        </w:rPr>
        <w:t>1</w:t>
      </w:r>
      <w:r w:rsidR="00F01FB5" w:rsidRPr="00CD1278">
        <w:rPr>
          <w:b/>
          <w:i/>
          <w:color w:val="auto"/>
        </w:rPr>
        <w:t>.</w:t>
      </w:r>
      <w:r w:rsidRPr="00CD1278">
        <w:rPr>
          <w:b/>
          <w:i/>
          <w:color w:val="auto"/>
        </w:rPr>
        <w:t>6</w:t>
      </w:r>
      <w:r w:rsidR="00A639C6" w:rsidRPr="00CD1278">
        <w:rPr>
          <w:b/>
          <w:i/>
          <w:color w:val="auto"/>
        </w:rPr>
        <w:t>.</w:t>
      </w:r>
      <w:r w:rsidRPr="00CD1278">
        <w:rPr>
          <w:b/>
          <w:i/>
          <w:color w:val="auto"/>
        </w:rPr>
        <w:t xml:space="preserve">  Standard </w:t>
      </w:r>
      <w:r w:rsidR="007E22DE" w:rsidRPr="00CD1278">
        <w:rPr>
          <w:b/>
          <w:i/>
          <w:color w:val="auto"/>
        </w:rPr>
        <w:t>P</w:t>
      </w:r>
      <w:r w:rsidRPr="00CD1278">
        <w:rPr>
          <w:b/>
          <w:i/>
          <w:color w:val="auto"/>
        </w:rPr>
        <w:t xml:space="preserve">resumptions </w:t>
      </w:r>
      <w:r w:rsidR="007E22DE" w:rsidRPr="00CD1278">
        <w:rPr>
          <w:b/>
          <w:i/>
          <w:color w:val="auto"/>
        </w:rPr>
        <w:t>U</w:t>
      </w:r>
      <w:r w:rsidRPr="00CD1278">
        <w:rPr>
          <w:b/>
          <w:i/>
          <w:color w:val="auto"/>
        </w:rPr>
        <w:t xml:space="preserve">sed in </w:t>
      </w:r>
      <w:r w:rsidR="007E22DE" w:rsidRPr="00CD1278">
        <w:rPr>
          <w:b/>
          <w:i/>
          <w:color w:val="auto"/>
        </w:rPr>
        <w:t>A</w:t>
      </w:r>
      <w:r w:rsidRPr="00CD1278">
        <w:rPr>
          <w:b/>
          <w:i/>
          <w:color w:val="auto"/>
        </w:rPr>
        <w:t xml:space="preserve">ssessment of CUNs for </w:t>
      </w:r>
      <w:r w:rsidR="007E22DE" w:rsidRPr="00CD1278">
        <w:rPr>
          <w:b/>
          <w:i/>
          <w:color w:val="auto"/>
        </w:rPr>
        <w:t>P</w:t>
      </w:r>
      <w:r w:rsidRPr="00CD1278">
        <w:rPr>
          <w:b/>
          <w:i/>
          <w:color w:val="auto"/>
        </w:rPr>
        <w:t>replant</w:t>
      </w:r>
      <w:r w:rsidR="002C2F9B" w:rsidRPr="00CD1278">
        <w:rPr>
          <w:b/>
          <w:i/>
          <w:color w:val="auto"/>
        </w:rPr>
        <w:t xml:space="preserve"> </w:t>
      </w:r>
      <w:r w:rsidR="007E22DE" w:rsidRPr="00CD1278">
        <w:rPr>
          <w:b/>
          <w:i/>
          <w:color w:val="auto"/>
        </w:rPr>
        <w:t>S</w:t>
      </w:r>
      <w:r w:rsidRPr="00CD1278">
        <w:rPr>
          <w:b/>
          <w:i/>
          <w:color w:val="auto"/>
        </w:rPr>
        <w:t xml:space="preserve">oil </w:t>
      </w:r>
      <w:r w:rsidR="007E22DE" w:rsidRPr="00CD1278">
        <w:rPr>
          <w:b/>
          <w:i/>
          <w:color w:val="auto"/>
        </w:rPr>
        <w:t>U</w:t>
      </w:r>
      <w:r w:rsidRPr="00CD1278">
        <w:rPr>
          <w:b/>
          <w:i/>
          <w:color w:val="auto"/>
        </w:rPr>
        <w:t xml:space="preserve">se of MB </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30"/>
        <w:gridCol w:w="2865"/>
        <w:gridCol w:w="2409"/>
        <w:gridCol w:w="2410"/>
      </w:tblGrid>
      <w:tr w:rsidR="003C102E" w:rsidRPr="00CD1278" w14:paraId="3CE5FFF1" w14:textId="77777777" w:rsidTr="00871145">
        <w:trPr>
          <w:trHeight w:val="323"/>
        </w:trPr>
        <w:tc>
          <w:tcPr>
            <w:tcW w:w="1530" w:type="dxa"/>
            <w:vAlign w:val="center"/>
          </w:tcPr>
          <w:p w14:paraId="004FFDF0" w14:textId="77777777" w:rsidR="00F713B4" w:rsidRPr="00CD1278" w:rsidRDefault="00F713B4" w:rsidP="006D0E9A">
            <w:pPr>
              <w:spacing w:before="40" w:after="40"/>
              <w:jc w:val="center"/>
              <w:rPr>
                <w:color w:val="auto"/>
                <w:sz w:val="18"/>
                <w:szCs w:val="18"/>
              </w:rPr>
            </w:pPr>
          </w:p>
        </w:tc>
        <w:tc>
          <w:tcPr>
            <w:tcW w:w="2865" w:type="dxa"/>
            <w:vAlign w:val="center"/>
          </w:tcPr>
          <w:p w14:paraId="17CD88E0" w14:textId="77777777" w:rsidR="00F713B4" w:rsidRPr="00CD1278" w:rsidRDefault="00F713B4" w:rsidP="006D0E9A">
            <w:pPr>
              <w:pStyle w:val="Heading7"/>
              <w:tabs>
                <w:tab w:val="clear" w:pos="1296"/>
                <w:tab w:val="left" w:pos="708"/>
              </w:tabs>
              <w:spacing w:before="40" w:after="40"/>
              <w:ind w:left="0" w:firstLine="0"/>
              <w:rPr>
                <w:color w:val="auto"/>
                <w:sz w:val="18"/>
                <w:szCs w:val="18"/>
              </w:rPr>
            </w:pPr>
            <w:r w:rsidRPr="00CD1278">
              <w:rPr>
                <w:color w:val="auto"/>
                <w:sz w:val="18"/>
                <w:szCs w:val="18"/>
              </w:rPr>
              <w:t>Comment</w:t>
            </w:r>
          </w:p>
        </w:tc>
        <w:tc>
          <w:tcPr>
            <w:tcW w:w="2409" w:type="dxa"/>
            <w:vAlign w:val="center"/>
          </w:tcPr>
          <w:p w14:paraId="4308C50E" w14:textId="77777777" w:rsidR="00F713B4" w:rsidRPr="00CD1278" w:rsidRDefault="00F713B4" w:rsidP="006D0E9A">
            <w:pPr>
              <w:spacing w:before="40" w:after="40"/>
              <w:jc w:val="center"/>
              <w:rPr>
                <w:b/>
                <w:bCs/>
                <w:color w:val="auto"/>
                <w:sz w:val="18"/>
                <w:szCs w:val="18"/>
              </w:rPr>
            </w:pPr>
            <w:r w:rsidRPr="00CD1278">
              <w:rPr>
                <w:b/>
                <w:bCs/>
                <w:color w:val="auto"/>
                <w:sz w:val="18"/>
                <w:szCs w:val="18"/>
              </w:rPr>
              <w:t>CUN adjustment</w:t>
            </w:r>
          </w:p>
        </w:tc>
        <w:tc>
          <w:tcPr>
            <w:tcW w:w="2410" w:type="dxa"/>
            <w:vAlign w:val="center"/>
          </w:tcPr>
          <w:p w14:paraId="427C7D76" w14:textId="77777777" w:rsidR="00F713B4" w:rsidRPr="00CD1278" w:rsidRDefault="00F713B4" w:rsidP="006D0E9A">
            <w:pPr>
              <w:spacing w:before="40" w:after="40"/>
              <w:jc w:val="center"/>
              <w:rPr>
                <w:b/>
                <w:bCs/>
                <w:color w:val="auto"/>
                <w:sz w:val="18"/>
                <w:szCs w:val="18"/>
              </w:rPr>
            </w:pPr>
            <w:r w:rsidRPr="00CD1278">
              <w:rPr>
                <w:b/>
                <w:bCs/>
                <w:color w:val="auto"/>
                <w:sz w:val="18"/>
                <w:szCs w:val="18"/>
              </w:rPr>
              <w:t>Exceptions</w:t>
            </w:r>
          </w:p>
        </w:tc>
      </w:tr>
      <w:tr w:rsidR="003C102E" w:rsidRPr="00CD1278" w14:paraId="15A94DCC" w14:textId="77777777" w:rsidTr="00871145">
        <w:trPr>
          <w:trHeight w:val="1610"/>
        </w:trPr>
        <w:tc>
          <w:tcPr>
            <w:tcW w:w="1530" w:type="dxa"/>
          </w:tcPr>
          <w:p w14:paraId="5E98A5DA" w14:textId="77777777" w:rsidR="00F713B4" w:rsidRPr="00CD1278" w:rsidRDefault="00F713B4" w:rsidP="00DD2380">
            <w:pPr>
              <w:spacing w:before="40" w:after="40"/>
              <w:rPr>
                <w:b/>
                <w:bCs/>
                <w:color w:val="auto"/>
                <w:sz w:val="18"/>
                <w:szCs w:val="18"/>
              </w:rPr>
            </w:pPr>
            <w:r w:rsidRPr="00CD1278">
              <w:rPr>
                <w:b/>
                <w:bCs/>
                <w:color w:val="auto"/>
                <w:sz w:val="18"/>
                <w:szCs w:val="18"/>
              </w:rPr>
              <w:t>1. Dosage rates</w:t>
            </w:r>
          </w:p>
        </w:tc>
        <w:tc>
          <w:tcPr>
            <w:tcW w:w="2865" w:type="dxa"/>
          </w:tcPr>
          <w:p w14:paraId="211F8C37" w14:textId="77777777" w:rsidR="00F713B4" w:rsidRPr="00CD1278" w:rsidRDefault="00F713B4" w:rsidP="00DD2380">
            <w:pPr>
              <w:spacing w:before="40" w:after="40"/>
              <w:rPr>
                <w:color w:val="auto"/>
                <w:sz w:val="18"/>
                <w:szCs w:val="18"/>
              </w:rPr>
            </w:pPr>
            <w:r w:rsidRPr="00CD1278">
              <w:rPr>
                <w:color w:val="auto"/>
                <w:sz w:val="18"/>
                <w:szCs w:val="18"/>
              </w:rPr>
              <w:t>Maximum guideline rates for MB:Pic 98:2 are 25 to 35 g/m</w:t>
            </w:r>
            <w:r w:rsidRPr="00CD1278">
              <w:rPr>
                <w:color w:val="auto"/>
                <w:sz w:val="18"/>
                <w:szCs w:val="18"/>
                <w:vertAlign w:val="superscript"/>
              </w:rPr>
              <w:t xml:space="preserve">2 </w:t>
            </w:r>
            <w:r w:rsidRPr="00CD1278">
              <w:rPr>
                <w:color w:val="auto"/>
                <w:sz w:val="18"/>
                <w:szCs w:val="18"/>
              </w:rPr>
              <w:t>with barrier films (VIF or equivalent); for mixtures of MB/Pic are  12.5 to 17.5 g MB/m</w:t>
            </w:r>
            <w:r w:rsidRPr="00CD1278">
              <w:rPr>
                <w:color w:val="auto"/>
                <w:sz w:val="18"/>
                <w:szCs w:val="18"/>
                <w:vertAlign w:val="superscript"/>
              </w:rPr>
              <w:t>2</w:t>
            </w:r>
            <w:r w:rsidRPr="00CD1278">
              <w:rPr>
                <w:color w:val="auto"/>
                <w:sz w:val="18"/>
                <w:szCs w:val="18"/>
              </w:rPr>
              <w:t xml:space="preserve"> for pathogens and nutsedge respectively, under barrier films depending on the sector. All rates are on a ‘per treated hectare’ basis.</w:t>
            </w:r>
          </w:p>
        </w:tc>
        <w:tc>
          <w:tcPr>
            <w:tcW w:w="2409" w:type="dxa"/>
          </w:tcPr>
          <w:p w14:paraId="5252E2A9" w14:textId="77777777" w:rsidR="00F713B4" w:rsidRPr="00CD1278" w:rsidRDefault="00F713B4" w:rsidP="00DD2380">
            <w:pPr>
              <w:spacing w:before="40" w:after="40"/>
              <w:rPr>
                <w:color w:val="auto"/>
                <w:sz w:val="18"/>
                <w:szCs w:val="18"/>
              </w:rPr>
            </w:pPr>
            <w:r w:rsidRPr="00CD1278">
              <w:rPr>
                <w:color w:val="auto"/>
                <w:sz w:val="18"/>
                <w:szCs w:val="18"/>
              </w:rPr>
              <w:t xml:space="preserve">Amount adjusted to maximum guideline rates. Maximum rates set dependent on formulation and soil type and film availability.  </w:t>
            </w:r>
          </w:p>
        </w:tc>
        <w:tc>
          <w:tcPr>
            <w:tcW w:w="2410" w:type="dxa"/>
          </w:tcPr>
          <w:p w14:paraId="50CE4E93" w14:textId="77777777" w:rsidR="00F713B4" w:rsidRPr="00CD1278" w:rsidRDefault="00F713B4" w:rsidP="00DD2380">
            <w:pPr>
              <w:spacing w:before="40" w:after="40"/>
              <w:rPr>
                <w:color w:val="auto"/>
                <w:sz w:val="18"/>
                <w:szCs w:val="18"/>
              </w:rPr>
            </w:pPr>
            <w:r w:rsidRPr="00CD1278">
              <w:rPr>
                <w:color w:val="auto"/>
                <w:sz w:val="18"/>
                <w:szCs w:val="18"/>
              </w:rPr>
              <w:t>Higher rates accepted if specified under national legislation or where the Party had justified otherwise.</w:t>
            </w:r>
          </w:p>
        </w:tc>
      </w:tr>
      <w:tr w:rsidR="003C102E" w:rsidRPr="00CD1278" w14:paraId="19F64C3F" w14:textId="77777777" w:rsidTr="00871145">
        <w:trPr>
          <w:trHeight w:val="710"/>
        </w:trPr>
        <w:tc>
          <w:tcPr>
            <w:tcW w:w="1530" w:type="dxa"/>
          </w:tcPr>
          <w:p w14:paraId="1B1A5045" w14:textId="77777777" w:rsidR="00F713B4" w:rsidRPr="00CD1278" w:rsidRDefault="00F713B4" w:rsidP="00DD2380">
            <w:pPr>
              <w:spacing w:before="40" w:after="40"/>
              <w:rPr>
                <w:color w:val="auto"/>
                <w:sz w:val="18"/>
                <w:szCs w:val="18"/>
              </w:rPr>
            </w:pPr>
            <w:r w:rsidRPr="00CD1278">
              <w:rPr>
                <w:b/>
                <w:bCs/>
                <w:color w:val="auto"/>
                <w:sz w:val="18"/>
                <w:szCs w:val="18"/>
              </w:rPr>
              <w:t xml:space="preserve">2. Barrier films </w:t>
            </w:r>
          </w:p>
        </w:tc>
        <w:tc>
          <w:tcPr>
            <w:tcW w:w="2865" w:type="dxa"/>
          </w:tcPr>
          <w:p w14:paraId="5B8633A4" w14:textId="77777777" w:rsidR="00F713B4" w:rsidRPr="00CD1278" w:rsidRDefault="00F713B4" w:rsidP="00DD2380">
            <w:pPr>
              <w:spacing w:before="40" w:after="40"/>
              <w:rPr>
                <w:color w:val="auto"/>
                <w:sz w:val="18"/>
                <w:szCs w:val="18"/>
              </w:rPr>
            </w:pPr>
            <w:r w:rsidRPr="00CD1278">
              <w:rPr>
                <w:color w:val="auto"/>
                <w:sz w:val="18"/>
                <w:szCs w:val="18"/>
              </w:rPr>
              <w:t>All treatments to be carried out under low permeability barrier film (e.g. VIF, TIF)</w:t>
            </w:r>
          </w:p>
        </w:tc>
        <w:tc>
          <w:tcPr>
            <w:tcW w:w="2409" w:type="dxa"/>
          </w:tcPr>
          <w:p w14:paraId="46780CD8" w14:textId="77777777" w:rsidR="00F713B4" w:rsidRPr="00CD1278" w:rsidRDefault="00F713B4" w:rsidP="00DD2380">
            <w:pPr>
              <w:spacing w:before="40" w:after="40"/>
              <w:rPr>
                <w:color w:val="auto"/>
                <w:sz w:val="18"/>
                <w:szCs w:val="18"/>
              </w:rPr>
            </w:pPr>
            <w:r w:rsidRPr="00CD1278">
              <w:rPr>
                <w:color w:val="auto"/>
                <w:sz w:val="18"/>
                <w:szCs w:val="18"/>
              </w:rPr>
              <w:t xml:space="preserve">Nomination reduced proportionately to conform to barrier film use. </w:t>
            </w:r>
          </w:p>
        </w:tc>
        <w:tc>
          <w:tcPr>
            <w:tcW w:w="2410" w:type="dxa"/>
          </w:tcPr>
          <w:p w14:paraId="06919463" w14:textId="77777777" w:rsidR="00F713B4" w:rsidRPr="00CD1278" w:rsidRDefault="00F713B4" w:rsidP="00DD2380">
            <w:pPr>
              <w:spacing w:before="40" w:after="40"/>
              <w:rPr>
                <w:color w:val="auto"/>
                <w:sz w:val="18"/>
                <w:szCs w:val="18"/>
              </w:rPr>
            </w:pPr>
            <w:r w:rsidRPr="00CD1278">
              <w:rPr>
                <w:color w:val="auto"/>
                <w:sz w:val="18"/>
                <w:szCs w:val="18"/>
              </w:rPr>
              <w:t>Where barrier film prohibited or restricted by legislative or regulatory reasons</w:t>
            </w:r>
          </w:p>
        </w:tc>
      </w:tr>
      <w:tr w:rsidR="003C102E" w:rsidRPr="00CD1278" w14:paraId="14AA741E" w14:textId="77777777" w:rsidTr="00871145">
        <w:tc>
          <w:tcPr>
            <w:tcW w:w="1530" w:type="dxa"/>
          </w:tcPr>
          <w:p w14:paraId="18D7BBCB" w14:textId="77777777" w:rsidR="00F713B4" w:rsidRPr="00CD1278" w:rsidRDefault="00F713B4" w:rsidP="00DD2380">
            <w:pPr>
              <w:spacing w:before="40" w:after="40"/>
              <w:rPr>
                <w:b/>
                <w:bCs/>
                <w:color w:val="auto"/>
                <w:sz w:val="18"/>
                <w:szCs w:val="18"/>
              </w:rPr>
            </w:pPr>
            <w:r w:rsidRPr="00CD1278">
              <w:rPr>
                <w:b/>
                <w:bCs/>
                <w:color w:val="auto"/>
                <w:sz w:val="18"/>
                <w:szCs w:val="18"/>
              </w:rPr>
              <w:t>3. MB/Pic Formulation:       Pathogens control</w:t>
            </w:r>
          </w:p>
        </w:tc>
        <w:tc>
          <w:tcPr>
            <w:tcW w:w="2865" w:type="dxa"/>
          </w:tcPr>
          <w:p w14:paraId="274C2959" w14:textId="77777777" w:rsidR="00F713B4" w:rsidRPr="00CD1278" w:rsidRDefault="00F713B4" w:rsidP="00DD2380">
            <w:pPr>
              <w:spacing w:before="40" w:after="40"/>
              <w:rPr>
                <w:color w:val="auto"/>
                <w:sz w:val="18"/>
                <w:szCs w:val="18"/>
              </w:rPr>
            </w:pPr>
            <w:r w:rsidRPr="00CD1278">
              <w:rPr>
                <w:color w:val="auto"/>
                <w:sz w:val="18"/>
                <w:szCs w:val="18"/>
              </w:rPr>
              <w:t xml:space="preserve">Unless otherwise specified, MB/Pic 50:50 (or similar) was considered to be the standard effective formulation for pathogen control, as a transitional strategy to replace MB/Pic 98:2. </w:t>
            </w:r>
          </w:p>
        </w:tc>
        <w:tc>
          <w:tcPr>
            <w:tcW w:w="2409" w:type="dxa"/>
          </w:tcPr>
          <w:p w14:paraId="2FDB0390" w14:textId="77777777" w:rsidR="00F713B4" w:rsidRPr="00CD1278" w:rsidRDefault="00F713B4" w:rsidP="00DD2380">
            <w:pPr>
              <w:spacing w:before="40" w:after="40"/>
              <w:rPr>
                <w:color w:val="auto"/>
                <w:sz w:val="18"/>
                <w:szCs w:val="18"/>
              </w:rPr>
            </w:pPr>
            <w:r w:rsidRPr="00CD1278">
              <w:rPr>
                <w:color w:val="auto"/>
                <w:sz w:val="18"/>
                <w:szCs w:val="18"/>
              </w:rPr>
              <w:t>Nominated amount adjusted for use with MB/Pic 50:50 (or similar).</w:t>
            </w:r>
          </w:p>
        </w:tc>
        <w:tc>
          <w:tcPr>
            <w:tcW w:w="2410" w:type="dxa"/>
          </w:tcPr>
          <w:p w14:paraId="0024890D" w14:textId="77777777" w:rsidR="00F713B4" w:rsidRPr="00CD1278" w:rsidRDefault="00F713B4" w:rsidP="00DD2380">
            <w:pPr>
              <w:spacing w:before="40" w:after="40"/>
              <w:rPr>
                <w:color w:val="auto"/>
                <w:sz w:val="18"/>
                <w:szCs w:val="18"/>
              </w:rPr>
            </w:pPr>
            <w:r w:rsidRPr="00CD1278">
              <w:rPr>
                <w:color w:val="auto"/>
                <w:sz w:val="18"/>
                <w:szCs w:val="18"/>
              </w:rPr>
              <w:t>Where MB/Pic 50:50 is not registered, or Pic (Pic) is not registered</w:t>
            </w:r>
          </w:p>
        </w:tc>
      </w:tr>
      <w:tr w:rsidR="003C102E" w:rsidRPr="00CD1278" w14:paraId="11086E71" w14:textId="77777777" w:rsidTr="00871145">
        <w:tc>
          <w:tcPr>
            <w:tcW w:w="1530" w:type="dxa"/>
          </w:tcPr>
          <w:p w14:paraId="6A3565CF" w14:textId="77777777" w:rsidR="00F713B4" w:rsidRPr="00CD1278" w:rsidRDefault="00F713B4" w:rsidP="00DD2380">
            <w:pPr>
              <w:spacing w:before="40" w:after="40"/>
              <w:rPr>
                <w:b/>
                <w:bCs/>
                <w:color w:val="auto"/>
                <w:sz w:val="18"/>
                <w:szCs w:val="18"/>
              </w:rPr>
            </w:pPr>
            <w:r w:rsidRPr="00CD1278">
              <w:rPr>
                <w:b/>
                <w:bCs/>
                <w:color w:val="auto"/>
                <w:sz w:val="18"/>
                <w:szCs w:val="18"/>
              </w:rPr>
              <w:t>4. MB/Pic Formulation:  Weeds/nutsedge ass control</w:t>
            </w:r>
          </w:p>
        </w:tc>
        <w:tc>
          <w:tcPr>
            <w:tcW w:w="2865" w:type="dxa"/>
          </w:tcPr>
          <w:p w14:paraId="1D8FA647" w14:textId="77777777" w:rsidR="00F713B4" w:rsidRPr="00CD1278" w:rsidRDefault="00F713B4" w:rsidP="00DD2380">
            <w:pPr>
              <w:spacing w:before="40" w:after="40"/>
              <w:rPr>
                <w:color w:val="auto"/>
                <w:sz w:val="18"/>
                <w:szCs w:val="18"/>
              </w:rPr>
            </w:pPr>
            <w:r w:rsidRPr="00CD1278">
              <w:rPr>
                <w:color w:val="auto"/>
                <w:sz w:val="18"/>
                <w:szCs w:val="18"/>
              </w:rPr>
              <w:t>Unless otherwise specified, MB/Pic 67:33 (or similar) was used as the standard effective formulation for control of resistant (tolerant) weeds, as a transitional strategy to replace MB/Pic 98:2.</w:t>
            </w:r>
          </w:p>
        </w:tc>
        <w:tc>
          <w:tcPr>
            <w:tcW w:w="2409" w:type="dxa"/>
          </w:tcPr>
          <w:p w14:paraId="2AEAA2F3" w14:textId="77777777" w:rsidR="00F713B4" w:rsidRPr="00CD1278" w:rsidRDefault="00F713B4" w:rsidP="00DD2380">
            <w:pPr>
              <w:spacing w:before="40" w:after="40"/>
              <w:rPr>
                <w:color w:val="auto"/>
                <w:sz w:val="18"/>
                <w:szCs w:val="18"/>
              </w:rPr>
            </w:pPr>
            <w:r w:rsidRPr="00CD1278">
              <w:rPr>
                <w:color w:val="auto"/>
                <w:sz w:val="18"/>
                <w:szCs w:val="18"/>
              </w:rPr>
              <w:t>Nominated amount adjusted for use with MB/Pic 67:33 (or similar).</w:t>
            </w:r>
          </w:p>
        </w:tc>
        <w:tc>
          <w:tcPr>
            <w:tcW w:w="2410" w:type="dxa"/>
          </w:tcPr>
          <w:p w14:paraId="0679FDC0" w14:textId="77777777" w:rsidR="00F713B4" w:rsidRPr="00CD1278" w:rsidRDefault="00F713B4" w:rsidP="00DD2380">
            <w:pPr>
              <w:spacing w:before="40" w:after="40"/>
              <w:rPr>
                <w:color w:val="auto"/>
                <w:sz w:val="18"/>
                <w:szCs w:val="18"/>
              </w:rPr>
            </w:pPr>
            <w:r w:rsidRPr="00CD1278">
              <w:rPr>
                <w:color w:val="auto"/>
                <w:sz w:val="18"/>
                <w:szCs w:val="18"/>
              </w:rPr>
              <w:t>Where Pic or Pic-containing mixtures are not registered</w:t>
            </w:r>
          </w:p>
        </w:tc>
      </w:tr>
      <w:tr w:rsidR="00F713B4" w:rsidRPr="00CD1278" w14:paraId="60CA1699" w14:textId="77777777" w:rsidTr="00871145">
        <w:tc>
          <w:tcPr>
            <w:tcW w:w="1530" w:type="dxa"/>
          </w:tcPr>
          <w:p w14:paraId="0B81A7AA" w14:textId="77777777" w:rsidR="00F713B4" w:rsidRPr="00CD1278" w:rsidRDefault="00F713B4" w:rsidP="00DD2380">
            <w:pPr>
              <w:spacing w:before="40" w:after="40"/>
              <w:rPr>
                <w:b/>
                <w:bCs/>
                <w:color w:val="auto"/>
                <w:sz w:val="18"/>
                <w:szCs w:val="18"/>
              </w:rPr>
            </w:pPr>
            <w:r w:rsidRPr="00CD1278">
              <w:rPr>
                <w:b/>
                <w:bCs/>
                <w:color w:val="auto"/>
                <w:sz w:val="18"/>
                <w:szCs w:val="18"/>
              </w:rPr>
              <w:t>5. Strip vs. Broadacre</w:t>
            </w:r>
          </w:p>
        </w:tc>
        <w:tc>
          <w:tcPr>
            <w:tcW w:w="2865" w:type="dxa"/>
          </w:tcPr>
          <w:p w14:paraId="0809EA98" w14:textId="77777777" w:rsidR="00F713B4" w:rsidRPr="00CD1278" w:rsidRDefault="00F713B4" w:rsidP="00DD2380">
            <w:pPr>
              <w:spacing w:before="40" w:after="40"/>
              <w:rPr>
                <w:color w:val="auto"/>
                <w:sz w:val="18"/>
                <w:szCs w:val="18"/>
              </w:rPr>
            </w:pPr>
            <w:r w:rsidRPr="00CD1278">
              <w:rPr>
                <w:color w:val="auto"/>
                <w:sz w:val="18"/>
                <w:szCs w:val="18"/>
              </w:rPr>
              <w:t xml:space="preserve">Fumigation with MB and mixtures to be carried out under strip </w:t>
            </w:r>
          </w:p>
        </w:tc>
        <w:tc>
          <w:tcPr>
            <w:tcW w:w="2409" w:type="dxa"/>
          </w:tcPr>
          <w:p w14:paraId="7F7987C8" w14:textId="77777777" w:rsidR="00F713B4" w:rsidRPr="00CD1278" w:rsidRDefault="00F713B4" w:rsidP="00DD2380">
            <w:pPr>
              <w:spacing w:before="40" w:after="40"/>
              <w:rPr>
                <w:color w:val="auto"/>
                <w:sz w:val="18"/>
                <w:szCs w:val="18"/>
              </w:rPr>
            </w:pPr>
            <w:r w:rsidRPr="00CD1278">
              <w:rPr>
                <w:color w:val="auto"/>
                <w:sz w:val="18"/>
                <w:szCs w:val="18"/>
              </w:rPr>
              <w:t xml:space="preserve">Where rates were shown in broad acre hectares, the CUN was adjusted to the MB rate relative to strip treatment (i.e. treated area).  If not specified, the area under strip treatment was considered to represent 67% of the total area.  </w:t>
            </w:r>
          </w:p>
        </w:tc>
        <w:tc>
          <w:tcPr>
            <w:tcW w:w="2410" w:type="dxa"/>
          </w:tcPr>
          <w:p w14:paraId="745AF731" w14:textId="77777777" w:rsidR="00F713B4" w:rsidRPr="00CD1278" w:rsidRDefault="00F713B4" w:rsidP="00DD2380">
            <w:pPr>
              <w:spacing w:before="40" w:after="40"/>
              <w:ind w:right="432"/>
              <w:rPr>
                <w:color w:val="auto"/>
                <w:sz w:val="18"/>
                <w:szCs w:val="18"/>
              </w:rPr>
            </w:pPr>
            <w:r w:rsidRPr="00CD1278">
              <w:rPr>
                <w:color w:val="auto"/>
                <w:sz w:val="18"/>
                <w:szCs w:val="18"/>
              </w:rPr>
              <w:t xml:space="preserve">Where strip treatment was not feasible e.g. some protected cultivation, emission regulations on MB, or open field production of high health propagative material </w:t>
            </w:r>
          </w:p>
        </w:tc>
      </w:tr>
    </w:tbl>
    <w:p w14:paraId="43D1D8E7" w14:textId="77777777" w:rsidR="008D5F24" w:rsidRPr="00CD1278" w:rsidRDefault="008D5F24" w:rsidP="00F713B4">
      <w:pPr>
        <w:rPr>
          <w:color w:val="auto"/>
        </w:rPr>
      </w:pPr>
    </w:p>
    <w:p w14:paraId="647AF048" w14:textId="3C0515A2" w:rsidR="008D5F24" w:rsidRPr="00CD1278" w:rsidRDefault="008D5F24" w:rsidP="00F97A8E">
      <w:pPr>
        <w:pStyle w:val="Tableheading0"/>
        <w:spacing w:before="0" w:after="120"/>
        <w:ind w:left="187" w:firstLine="0"/>
        <w:rPr>
          <w:b/>
          <w:bCs/>
        </w:rPr>
      </w:pPr>
      <w:r w:rsidRPr="00CD1278">
        <w:rPr>
          <w:b/>
          <w:bCs/>
        </w:rPr>
        <w:t xml:space="preserve">Table </w:t>
      </w:r>
      <w:r w:rsidR="00655D62" w:rsidRPr="00CD1278">
        <w:rPr>
          <w:b/>
          <w:bCs/>
        </w:rPr>
        <w:t>1</w:t>
      </w:r>
      <w:r w:rsidR="00F01FB5" w:rsidRPr="00CD1278">
        <w:rPr>
          <w:b/>
          <w:bCs/>
        </w:rPr>
        <w:t>.</w:t>
      </w:r>
      <w:r w:rsidRPr="00CD1278">
        <w:rPr>
          <w:b/>
          <w:bCs/>
        </w:rPr>
        <w:t>7</w:t>
      </w:r>
      <w:r w:rsidR="00A639C6" w:rsidRPr="00CD1278">
        <w:rPr>
          <w:b/>
          <w:bCs/>
        </w:rPr>
        <w:t>.</w:t>
      </w:r>
      <w:r w:rsidRPr="00CD1278">
        <w:rPr>
          <w:b/>
          <w:bCs/>
        </w:rPr>
        <w:t xml:space="preserve">  Maximum dosage rates for preplant soil use of MB by sector used </w:t>
      </w:r>
      <w:r w:rsidR="00244B6A" w:rsidRPr="00CD1278">
        <w:rPr>
          <w:b/>
          <w:bCs/>
        </w:rPr>
        <w:t>since</w:t>
      </w:r>
      <w:r w:rsidRPr="00CD1278">
        <w:rPr>
          <w:b/>
          <w:bCs/>
        </w:rPr>
        <w:t xml:space="preserve"> 2009 (standard presumptions).</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2160"/>
        <w:gridCol w:w="1260"/>
        <w:gridCol w:w="1710"/>
        <w:gridCol w:w="1440"/>
      </w:tblGrid>
      <w:tr w:rsidR="003C102E" w:rsidRPr="00CD1278" w14:paraId="56CEFDAA" w14:textId="77777777" w:rsidTr="006D0E9A">
        <w:trPr>
          <w:cantSplit/>
          <w:trHeight w:val="323"/>
        </w:trPr>
        <w:tc>
          <w:tcPr>
            <w:tcW w:w="1530" w:type="dxa"/>
            <w:vMerge w:val="restart"/>
            <w:vAlign w:val="center"/>
          </w:tcPr>
          <w:p w14:paraId="2D07EB6E" w14:textId="77777777" w:rsidR="008D5F24" w:rsidRPr="00CD1278" w:rsidRDefault="008D5F24" w:rsidP="006D0E9A">
            <w:pPr>
              <w:spacing w:before="40" w:after="40"/>
              <w:rPr>
                <w:b/>
                <w:color w:val="auto"/>
                <w:sz w:val="18"/>
                <w:szCs w:val="18"/>
              </w:rPr>
            </w:pPr>
            <w:r w:rsidRPr="00CD1278">
              <w:rPr>
                <w:b/>
                <w:color w:val="auto"/>
                <w:szCs w:val="18"/>
              </w:rPr>
              <w:t>Film Type</w:t>
            </w:r>
          </w:p>
        </w:tc>
        <w:tc>
          <w:tcPr>
            <w:tcW w:w="6570" w:type="dxa"/>
            <w:gridSpan w:val="4"/>
            <w:vAlign w:val="center"/>
          </w:tcPr>
          <w:p w14:paraId="23DFABD0" w14:textId="77777777" w:rsidR="008D5F24" w:rsidRPr="00CD1278" w:rsidRDefault="008D5F24" w:rsidP="006D0E9A">
            <w:pPr>
              <w:pStyle w:val="Heading7"/>
              <w:tabs>
                <w:tab w:val="clear" w:pos="1296"/>
                <w:tab w:val="left" w:pos="708"/>
              </w:tabs>
              <w:spacing w:before="40" w:after="40"/>
              <w:ind w:left="0" w:firstLine="0"/>
              <w:rPr>
                <w:color w:val="auto"/>
                <w:sz w:val="18"/>
                <w:szCs w:val="18"/>
              </w:rPr>
            </w:pPr>
            <w:r w:rsidRPr="00CD1278">
              <w:rPr>
                <w:color w:val="auto"/>
              </w:rPr>
              <w:t>Maximum MB Dosage Rate (g/m</w:t>
            </w:r>
            <w:r w:rsidRPr="00CD1278">
              <w:rPr>
                <w:color w:val="auto"/>
                <w:vertAlign w:val="superscript"/>
              </w:rPr>
              <w:t>2</w:t>
            </w:r>
            <w:r w:rsidRPr="00CD1278">
              <w:rPr>
                <w:color w:val="auto"/>
              </w:rPr>
              <w:t>) in MB/Pic mixtures (67:33, 50:50) considered effective for:</w:t>
            </w:r>
          </w:p>
        </w:tc>
      </w:tr>
      <w:tr w:rsidR="003C102E" w:rsidRPr="00CD1278" w14:paraId="603C3673" w14:textId="77777777" w:rsidTr="006D0E9A">
        <w:trPr>
          <w:cantSplit/>
          <w:trHeight w:val="350"/>
        </w:trPr>
        <w:tc>
          <w:tcPr>
            <w:tcW w:w="1530" w:type="dxa"/>
            <w:vMerge/>
            <w:vAlign w:val="center"/>
          </w:tcPr>
          <w:p w14:paraId="5DE637F3" w14:textId="77777777" w:rsidR="008D5F24" w:rsidRPr="00CD1278" w:rsidRDefault="008D5F24" w:rsidP="006D0E9A">
            <w:pPr>
              <w:spacing w:before="40" w:after="40"/>
              <w:rPr>
                <w:b/>
                <w:bCs/>
                <w:color w:val="auto"/>
                <w:sz w:val="18"/>
                <w:szCs w:val="18"/>
              </w:rPr>
            </w:pPr>
          </w:p>
        </w:tc>
        <w:tc>
          <w:tcPr>
            <w:tcW w:w="2160" w:type="dxa"/>
            <w:vAlign w:val="center"/>
          </w:tcPr>
          <w:p w14:paraId="63FD5345" w14:textId="77777777" w:rsidR="008D5F24" w:rsidRPr="00CD1278" w:rsidRDefault="008D5F24" w:rsidP="006D0E9A">
            <w:pPr>
              <w:spacing w:before="40" w:after="40"/>
              <w:jc w:val="center"/>
              <w:rPr>
                <w:b/>
                <w:color w:val="auto"/>
                <w:sz w:val="20"/>
                <w:szCs w:val="18"/>
              </w:rPr>
            </w:pPr>
            <w:r w:rsidRPr="00CD1278">
              <w:rPr>
                <w:b/>
                <w:color w:val="auto"/>
                <w:sz w:val="20"/>
                <w:szCs w:val="18"/>
              </w:rPr>
              <w:t>Strawberries and Vegetables</w:t>
            </w:r>
          </w:p>
        </w:tc>
        <w:tc>
          <w:tcPr>
            <w:tcW w:w="1260" w:type="dxa"/>
            <w:vAlign w:val="center"/>
          </w:tcPr>
          <w:p w14:paraId="087070C9" w14:textId="77777777" w:rsidR="008D5F24" w:rsidRPr="00CD1278" w:rsidRDefault="008D5F24" w:rsidP="006D0E9A">
            <w:pPr>
              <w:spacing w:before="40" w:after="40"/>
              <w:jc w:val="center"/>
              <w:rPr>
                <w:b/>
                <w:color w:val="auto"/>
                <w:sz w:val="20"/>
                <w:szCs w:val="18"/>
              </w:rPr>
            </w:pPr>
            <w:r w:rsidRPr="00CD1278">
              <w:rPr>
                <w:b/>
                <w:color w:val="auto"/>
                <w:sz w:val="20"/>
                <w:szCs w:val="18"/>
              </w:rPr>
              <w:t>Plant Nurseries*</w:t>
            </w:r>
          </w:p>
        </w:tc>
        <w:tc>
          <w:tcPr>
            <w:tcW w:w="1710" w:type="dxa"/>
            <w:vAlign w:val="center"/>
          </w:tcPr>
          <w:p w14:paraId="5CA38604" w14:textId="77777777" w:rsidR="008D5F24" w:rsidRPr="00CD1278" w:rsidRDefault="008D5F24" w:rsidP="006D0E9A">
            <w:pPr>
              <w:spacing w:before="40" w:after="40"/>
              <w:jc w:val="center"/>
              <w:rPr>
                <w:b/>
                <w:color w:val="auto"/>
                <w:sz w:val="20"/>
                <w:szCs w:val="18"/>
              </w:rPr>
            </w:pPr>
            <w:r w:rsidRPr="00CD1278">
              <w:rPr>
                <w:b/>
                <w:color w:val="auto"/>
                <w:sz w:val="20"/>
                <w:szCs w:val="18"/>
              </w:rPr>
              <w:t>Orchard Replant</w:t>
            </w:r>
          </w:p>
        </w:tc>
        <w:tc>
          <w:tcPr>
            <w:tcW w:w="1440" w:type="dxa"/>
            <w:vAlign w:val="center"/>
          </w:tcPr>
          <w:p w14:paraId="08592DBC" w14:textId="77777777" w:rsidR="008D5F24" w:rsidRPr="00CD1278" w:rsidRDefault="008D5F24" w:rsidP="006D0E9A">
            <w:pPr>
              <w:spacing w:before="40" w:after="40"/>
              <w:jc w:val="center"/>
              <w:rPr>
                <w:b/>
                <w:color w:val="auto"/>
                <w:sz w:val="20"/>
                <w:szCs w:val="18"/>
              </w:rPr>
            </w:pPr>
            <w:r w:rsidRPr="00CD1278">
              <w:rPr>
                <w:b/>
                <w:color w:val="auto"/>
                <w:sz w:val="20"/>
                <w:szCs w:val="18"/>
              </w:rPr>
              <w:t>Ornamentals</w:t>
            </w:r>
          </w:p>
        </w:tc>
      </w:tr>
      <w:tr w:rsidR="003C102E" w:rsidRPr="00CD1278" w14:paraId="474857EF" w14:textId="77777777" w:rsidTr="006D0E9A">
        <w:trPr>
          <w:trHeight w:val="534"/>
        </w:trPr>
        <w:tc>
          <w:tcPr>
            <w:tcW w:w="1530" w:type="dxa"/>
            <w:vAlign w:val="center"/>
          </w:tcPr>
          <w:p w14:paraId="0101B99D" w14:textId="77777777" w:rsidR="008D5F24" w:rsidRPr="00CD1278" w:rsidRDefault="008D5F24" w:rsidP="006D0E9A">
            <w:pPr>
              <w:spacing w:before="40" w:after="40"/>
              <w:rPr>
                <w:b/>
                <w:bCs/>
                <w:color w:val="auto"/>
                <w:sz w:val="18"/>
                <w:szCs w:val="18"/>
              </w:rPr>
            </w:pPr>
            <w:r w:rsidRPr="00CD1278">
              <w:rPr>
                <w:b/>
                <w:bCs/>
                <w:color w:val="auto"/>
                <w:sz w:val="18"/>
                <w:szCs w:val="18"/>
              </w:rPr>
              <w:t>Barrier films - Pathogens</w:t>
            </w:r>
          </w:p>
        </w:tc>
        <w:tc>
          <w:tcPr>
            <w:tcW w:w="2160" w:type="dxa"/>
            <w:vAlign w:val="center"/>
          </w:tcPr>
          <w:p w14:paraId="3A3A7BBA" w14:textId="77777777" w:rsidR="008D5F24" w:rsidRPr="00CD1278" w:rsidRDefault="008D5F24" w:rsidP="006D0E9A">
            <w:pPr>
              <w:tabs>
                <w:tab w:val="right" w:pos="288"/>
              </w:tabs>
              <w:spacing w:before="40" w:after="40"/>
              <w:jc w:val="center"/>
              <w:rPr>
                <w:color w:val="auto"/>
                <w:sz w:val="20"/>
              </w:rPr>
            </w:pPr>
            <w:r w:rsidRPr="00CD1278">
              <w:rPr>
                <w:color w:val="auto"/>
                <w:sz w:val="20"/>
              </w:rPr>
              <w:t>12.5</w:t>
            </w:r>
          </w:p>
        </w:tc>
        <w:tc>
          <w:tcPr>
            <w:tcW w:w="1260" w:type="dxa"/>
            <w:vAlign w:val="center"/>
          </w:tcPr>
          <w:p w14:paraId="70A9512E" w14:textId="77777777" w:rsidR="008D5F24" w:rsidRPr="00CD1278" w:rsidRDefault="008D5F24" w:rsidP="006D0E9A">
            <w:pPr>
              <w:tabs>
                <w:tab w:val="right" w:pos="288"/>
              </w:tabs>
              <w:spacing w:before="40" w:after="40"/>
              <w:jc w:val="center"/>
              <w:rPr>
                <w:color w:val="auto"/>
                <w:sz w:val="20"/>
              </w:rPr>
            </w:pPr>
            <w:r w:rsidRPr="00CD1278">
              <w:rPr>
                <w:color w:val="auto"/>
                <w:sz w:val="20"/>
              </w:rPr>
              <w:t>15</w:t>
            </w:r>
          </w:p>
        </w:tc>
        <w:tc>
          <w:tcPr>
            <w:tcW w:w="1710" w:type="dxa"/>
            <w:vAlign w:val="center"/>
          </w:tcPr>
          <w:p w14:paraId="2A9C4960" w14:textId="77777777" w:rsidR="008D5F24" w:rsidRPr="00CD1278" w:rsidRDefault="008D5F24" w:rsidP="006D0E9A">
            <w:pPr>
              <w:tabs>
                <w:tab w:val="right" w:pos="288"/>
              </w:tabs>
              <w:spacing w:before="40" w:after="40"/>
              <w:jc w:val="center"/>
              <w:rPr>
                <w:color w:val="auto"/>
                <w:sz w:val="20"/>
              </w:rPr>
            </w:pPr>
            <w:r w:rsidRPr="00CD1278">
              <w:rPr>
                <w:color w:val="auto"/>
                <w:sz w:val="20"/>
              </w:rPr>
              <w:t>15</w:t>
            </w:r>
          </w:p>
        </w:tc>
        <w:tc>
          <w:tcPr>
            <w:tcW w:w="1440" w:type="dxa"/>
            <w:vAlign w:val="center"/>
          </w:tcPr>
          <w:p w14:paraId="48B79E7F" w14:textId="77777777" w:rsidR="008D5F24" w:rsidRPr="00CD1278" w:rsidRDefault="008D5F24" w:rsidP="006D0E9A">
            <w:pPr>
              <w:tabs>
                <w:tab w:val="right" w:pos="288"/>
              </w:tabs>
              <w:spacing w:before="40" w:after="40"/>
              <w:jc w:val="center"/>
              <w:rPr>
                <w:color w:val="auto"/>
                <w:sz w:val="20"/>
              </w:rPr>
            </w:pPr>
            <w:r w:rsidRPr="00CD1278">
              <w:rPr>
                <w:color w:val="auto"/>
                <w:sz w:val="20"/>
              </w:rPr>
              <w:t>15</w:t>
            </w:r>
          </w:p>
        </w:tc>
      </w:tr>
      <w:tr w:rsidR="003C102E" w:rsidRPr="00CD1278" w14:paraId="633DBCA4" w14:textId="77777777" w:rsidTr="006D0E9A">
        <w:trPr>
          <w:trHeight w:val="534"/>
        </w:trPr>
        <w:tc>
          <w:tcPr>
            <w:tcW w:w="1530" w:type="dxa"/>
            <w:vAlign w:val="center"/>
          </w:tcPr>
          <w:p w14:paraId="3D6257F2" w14:textId="11D875D4" w:rsidR="008D5F24" w:rsidRPr="00CD1278" w:rsidRDefault="008D5F24" w:rsidP="006D0E9A">
            <w:pPr>
              <w:spacing w:before="40" w:after="40"/>
              <w:rPr>
                <w:b/>
                <w:bCs/>
                <w:color w:val="auto"/>
                <w:sz w:val="18"/>
                <w:szCs w:val="18"/>
              </w:rPr>
            </w:pPr>
            <w:r w:rsidRPr="00CD1278">
              <w:rPr>
                <w:b/>
                <w:bCs/>
                <w:color w:val="auto"/>
                <w:sz w:val="18"/>
                <w:szCs w:val="18"/>
              </w:rPr>
              <w:t xml:space="preserve">Barrier films </w:t>
            </w:r>
            <w:r w:rsidR="008E4210" w:rsidRPr="00CD1278">
              <w:rPr>
                <w:b/>
                <w:bCs/>
                <w:color w:val="auto"/>
                <w:sz w:val="18"/>
                <w:szCs w:val="18"/>
              </w:rPr>
              <w:t>–</w:t>
            </w:r>
            <w:r w:rsidRPr="00CD1278">
              <w:rPr>
                <w:b/>
                <w:bCs/>
                <w:color w:val="auto"/>
                <w:sz w:val="18"/>
                <w:szCs w:val="18"/>
              </w:rPr>
              <w:t>Nutsedge</w:t>
            </w:r>
          </w:p>
        </w:tc>
        <w:tc>
          <w:tcPr>
            <w:tcW w:w="2160" w:type="dxa"/>
            <w:vAlign w:val="center"/>
          </w:tcPr>
          <w:p w14:paraId="00D4BCE1" w14:textId="77777777" w:rsidR="008D5F24" w:rsidRPr="00CD1278" w:rsidRDefault="008D5F24" w:rsidP="006D0E9A">
            <w:pPr>
              <w:tabs>
                <w:tab w:val="right" w:pos="288"/>
              </w:tabs>
              <w:spacing w:before="40" w:after="40"/>
              <w:jc w:val="center"/>
              <w:rPr>
                <w:color w:val="auto"/>
                <w:sz w:val="20"/>
              </w:rPr>
            </w:pPr>
            <w:r w:rsidRPr="00CD1278">
              <w:rPr>
                <w:color w:val="auto"/>
                <w:sz w:val="20"/>
              </w:rPr>
              <w:t>15.0</w:t>
            </w:r>
          </w:p>
        </w:tc>
        <w:tc>
          <w:tcPr>
            <w:tcW w:w="1260" w:type="dxa"/>
            <w:vAlign w:val="center"/>
          </w:tcPr>
          <w:p w14:paraId="7C5EAEAB" w14:textId="77777777" w:rsidR="008D5F24" w:rsidRPr="00CD1278" w:rsidRDefault="008D5F24" w:rsidP="006D0E9A">
            <w:pPr>
              <w:tabs>
                <w:tab w:val="right" w:pos="288"/>
              </w:tabs>
              <w:spacing w:before="40" w:after="40"/>
              <w:jc w:val="center"/>
              <w:rPr>
                <w:color w:val="auto"/>
                <w:sz w:val="20"/>
              </w:rPr>
            </w:pPr>
            <w:r w:rsidRPr="00CD1278">
              <w:rPr>
                <w:color w:val="auto"/>
                <w:sz w:val="20"/>
              </w:rPr>
              <w:t>17.5</w:t>
            </w:r>
          </w:p>
        </w:tc>
        <w:tc>
          <w:tcPr>
            <w:tcW w:w="1710" w:type="dxa"/>
            <w:vAlign w:val="center"/>
          </w:tcPr>
          <w:p w14:paraId="575FD965" w14:textId="77777777" w:rsidR="008D5F24" w:rsidRPr="00CD1278" w:rsidRDefault="008D5F24" w:rsidP="006D0E9A">
            <w:pPr>
              <w:tabs>
                <w:tab w:val="right" w:pos="288"/>
              </w:tabs>
              <w:spacing w:before="40" w:after="40"/>
              <w:jc w:val="center"/>
              <w:rPr>
                <w:color w:val="auto"/>
                <w:sz w:val="20"/>
              </w:rPr>
            </w:pPr>
            <w:r w:rsidRPr="00CD1278">
              <w:rPr>
                <w:color w:val="auto"/>
                <w:sz w:val="20"/>
              </w:rPr>
              <w:t>17.5</w:t>
            </w:r>
          </w:p>
        </w:tc>
        <w:tc>
          <w:tcPr>
            <w:tcW w:w="1440" w:type="dxa"/>
            <w:vAlign w:val="center"/>
          </w:tcPr>
          <w:p w14:paraId="1323E610" w14:textId="77777777" w:rsidR="008D5F24" w:rsidRPr="00CD1278" w:rsidRDefault="008D5F24" w:rsidP="006D0E9A">
            <w:pPr>
              <w:tabs>
                <w:tab w:val="right" w:pos="288"/>
              </w:tabs>
              <w:spacing w:before="40" w:after="40"/>
              <w:jc w:val="center"/>
              <w:rPr>
                <w:color w:val="auto"/>
                <w:sz w:val="20"/>
              </w:rPr>
            </w:pPr>
            <w:r w:rsidRPr="00CD1278">
              <w:rPr>
                <w:color w:val="auto"/>
                <w:sz w:val="20"/>
              </w:rPr>
              <w:t>17.5</w:t>
            </w:r>
          </w:p>
        </w:tc>
      </w:tr>
      <w:tr w:rsidR="003C102E" w:rsidRPr="00CD1278" w14:paraId="5C506A7E" w14:textId="77777777" w:rsidTr="006D0E9A">
        <w:trPr>
          <w:trHeight w:val="534"/>
        </w:trPr>
        <w:tc>
          <w:tcPr>
            <w:tcW w:w="1530" w:type="dxa"/>
            <w:vAlign w:val="center"/>
          </w:tcPr>
          <w:p w14:paraId="527ACEB2" w14:textId="77777777" w:rsidR="008D5F24" w:rsidRPr="00CD1278" w:rsidRDefault="008D5F24" w:rsidP="006D0E9A">
            <w:pPr>
              <w:spacing w:before="40" w:after="40"/>
              <w:rPr>
                <w:b/>
                <w:bCs/>
                <w:color w:val="auto"/>
                <w:sz w:val="18"/>
                <w:szCs w:val="18"/>
              </w:rPr>
            </w:pPr>
            <w:r w:rsidRPr="00CD1278">
              <w:rPr>
                <w:b/>
                <w:bCs/>
                <w:color w:val="auto"/>
                <w:sz w:val="18"/>
                <w:szCs w:val="18"/>
              </w:rPr>
              <w:t>No Barrier films – Pathogens</w:t>
            </w:r>
          </w:p>
        </w:tc>
        <w:tc>
          <w:tcPr>
            <w:tcW w:w="2160" w:type="dxa"/>
            <w:vAlign w:val="center"/>
          </w:tcPr>
          <w:p w14:paraId="4C586AD0" w14:textId="77777777" w:rsidR="008D5F24" w:rsidRPr="00CD1278" w:rsidRDefault="008D5F24" w:rsidP="006D0E9A">
            <w:pPr>
              <w:tabs>
                <w:tab w:val="right" w:pos="288"/>
              </w:tabs>
              <w:spacing w:before="40" w:after="40"/>
              <w:jc w:val="center"/>
              <w:rPr>
                <w:color w:val="auto"/>
                <w:sz w:val="20"/>
              </w:rPr>
            </w:pPr>
            <w:r w:rsidRPr="00CD1278">
              <w:rPr>
                <w:color w:val="auto"/>
                <w:sz w:val="20"/>
              </w:rPr>
              <w:t>20</w:t>
            </w:r>
          </w:p>
        </w:tc>
        <w:tc>
          <w:tcPr>
            <w:tcW w:w="1260" w:type="dxa"/>
            <w:vAlign w:val="center"/>
          </w:tcPr>
          <w:p w14:paraId="770699D5" w14:textId="77777777" w:rsidR="008D5F24" w:rsidRPr="00CD1278" w:rsidRDefault="008D5F24" w:rsidP="006D0E9A">
            <w:pPr>
              <w:tabs>
                <w:tab w:val="right" w:pos="288"/>
              </w:tabs>
              <w:spacing w:before="40" w:after="40"/>
              <w:jc w:val="center"/>
              <w:rPr>
                <w:color w:val="auto"/>
                <w:sz w:val="20"/>
              </w:rPr>
            </w:pPr>
            <w:r w:rsidRPr="00CD1278">
              <w:rPr>
                <w:color w:val="auto"/>
                <w:sz w:val="20"/>
              </w:rPr>
              <w:t>20</w:t>
            </w:r>
          </w:p>
        </w:tc>
        <w:tc>
          <w:tcPr>
            <w:tcW w:w="1710" w:type="dxa"/>
            <w:vAlign w:val="center"/>
          </w:tcPr>
          <w:p w14:paraId="53486C46" w14:textId="77777777" w:rsidR="008D5F24" w:rsidRPr="00CD1278" w:rsidRDefault="008D5F24" w:rsidP="006D0E9A">
            <w:pPr>
              <w:tabs>
                <w:tab w:val="right" w:pos="288"/>
              </w:tabs>
              <w:spacing w:before="40" w:after="40"/>
              <w:jc w:val="center"/>
              <w:rPr>
                <w:color w:val="auto"/>
                <w:sz w:val="20"/>
              </w:rPr>
            </w:pPr>
            <w:r w:rsidRPr="00CD1278">
              <w:rPr>
                <w:color w:val="auto"/>
                <w:sz w:val="20"/>
              </w:rPr>
              <w:t>20</w:t>
            </w:r>
          </w:p>
        </w:tc>
        <w:tc>
          <w:tcPr>
            <w:tcW w:w="1440" w:type="dxa"/>
            <w:vAlign w:val="center"/>
          </w:tcPr>
          <w:p w14:paraId="1C6EA8DA" w14:textId="77777777" w:rsidR="008D5F24" w:rsidRPr="00CD1278" w:rsidRDefault="008D5F24" w:rsidP="006D0E9A">
            <w:pPr>
              <w:tabs>
                <w:tab w:val="right" w:pos="288"/>
              </w:tabs>
              <w:spacing w:before="40" w:after="40"/>
              <w:jc w:val="center"/>
              <w:rPr>
                <w:color w:val="auto"/>
                <w:sz w:val="20"/>
              </w:rPr>
            </w:pPr>
            <w:r w:rsidRPr="00CD1278">
              <w:rPr>
                <w:color w:val="auto"/>
                <w:sz w:val="20"/>
              </w:rPr>
              <w:t>20</w:t>
            </w:r>
          </w:p>
        </w:tc>
      </w:tr>
      <w:tr w:rsidR="003C102E" w:rsidRPr="00CD1278" w14:paraId="6F9716FE" w14:textId="77777777" w:rsidTr="006D0E9A">
        <w:trPr>
          <w:trHeight w:val="534"/>
        </w:trPr>
        <w:tc>
          <w:tcPr>
            <w:tcW w:w="1530" w:type="dxa"/>
            <w:vAlign w:val="center"/>
          </w:tcPr>
          <w:p w14:paraId="14123F90" w14:textId="77777777" w:rsidR="008D5F24" w:rsidRPr="00CD1278" w:rsidRDefault="008D5F24" w:rsidP="006D0E9A">
            <w:pPr>
              <w:spacing w:before="40" w:after="40"/>
              <w:rPr>
                <w:b/>
                <w:bCs/>
                <w:color w:val="auto"/>
                <w:sz w:val="18"/>
                <w:szCs w:val="18"/>
              </w:rPr>
            </w:pPr>
            <w:r w:rsidRPr="00CD1278">
              <w:rPr>
                <w:b/>
                <w:bCs/>
                <w:color w:val="auto"/>
                <w:sz w:val="18"/>
                <w:szCs w:val="18"/>
              </w:rPr>
              <w:t>No Barrier films - Nut sedge</w:t>
            </w:r>
          </w:p>
        </w:tc>
        <w:tc>
          <w:tcPr>
            <w:tcW w:w="2160" w:type="dxa"/>
            <w:vAlign w:val="center"/>
          </w:tcPr>
          <w:p w14:paraId="1B1D3E59" w14:textId="77777777" w:rsidR="008D5F24" w:rsidRPr="00CD1278" w:rsidRDefault="008D5F24" w:rsidP="006D0E9A">
            <w:pPr>
              <w:tabs>
                <w:tab w:val="right" w:pos="288"/>
              </w:tabs>
              <w:spacing w:before="40" w:after="40"/>
              <w:jc w:val="center"/>
              <w:rPr>
                <w:color w:val="auto"/>
                <w:sz w:val="20"/>
              </w:rPr>
            </w:pPr>
            <w:r w:rsidRPr="00CD1278">
              <w:rPr>
                <w:color w:val="auto"/>
                <w:sz w:val="20"/>
              </w:rPr>
              <w:t>26</w:t>
            </w:r>
          </w:p>
        </w:tc>
        <w:tc>
          <w:tcPr>
            <w:tcW w:w="1260" w:type="dxa"/>
            <w:vAlign w:val="center"/>
          </w:tcPr>
          <w:p w14:paraId="4BED974D" w14:textId="77777777" w:rsidR="008D5F24" w:rsidRPr="00CD1278" w:rsidRDefault="008D5F24" w:rsidP="006D0E9A">
            <w:pPr>
              <w:tabs>
                <w:tab w:val="right" w:pos="288"/>
              </w:tabs>
              <w:spacing w:before="40" w:after="40"/>
              <w:jc w:val="center"/>
              <w:rPr>
                <w:color w:val="auto"/>
                <w:sz w:val="20"/>
              </w:rPr>
            </w:pPr>
            <w:r w:rsidRPr="00CD1278">
              <w:rPr>
                <w:color w:val="auto"/>
                <w:sz w:val="20"/>
              </w:rPr>
              <w:t>26</w:t>
            </w:r>
          </w:p>
        </w:tc>
        <w:tc>
          <w:tcPr>
            <w:tcW w:w="1710" w:type="dxa"/>
            <w:vAlign w:val="center"/>
          </w:tcPr>
          <w:p w14:paraId="74D23CF0" w14:textId="77777777" w:rsidR="008D5F24" w:rsidRPr="00CD1278" w:rsidRDefault="008D5F24" w:rsidP="006D0E9A">
            <w:pPr>
              <w:tabs>
                <w:tab w:val="right" w:pos="288"/>
              </w:tabs>
              <w:spacing w:before="40" w:after="40"/>
              <w:jc w:val="center"/>
              <w:rPr>
                <w:color w:val="auto"/>
                <w:sz w:val="20"/>
              </w:rPr>
            </w:pPr>
            <w:r w:rsidRPr="00CD1278">
              <w:rPr>
                <w:color w:val="auto"/>
                <w:sz w:val="20"/>
              </w:rPr>
              <w:t>26</w:t>
            </w:r>
          </w:p>
        </w:tc>
        <w:tc>
          <w:tcPr>
            <w:tcW w:w="1440" w:type="dxa"/>
            <w:vAlign w:val="center"/>
          </w:tcPr>
          <w:p w14:paraId="4078A678" w14:textId="77777777" w:rsidR="008D5F24" w:rsidRPr="00CD1278" w:rsidRDefault="008D5F24" w:rsidP="006D0E9A">
            <w:pPr>
              <w:tabs>
                <w:tab w:val="right" w:pos="288"/>
              </w:tabs>
              <w:spacing w:before="40" w:after="40"/>
              <w:jc w:val="center"/>
              <w:rPr>
                <w:color w:val="auto"/>
                <w:sz w:val="20"/>
              </w:rPr>
            </w:pPr>
            <w:r w:rsidRPr="00CD1278">
              <w:rPr>
                <w:color w:val="auto"/>
                <w:sz w:val="20"/>
              </w:rPr>
              <w:t>26</w:t>
            </w:r>
          </w:p>
        </w:tc>
      </w:tr>
    </w:tbl>
    <w:p w14:paraId="125A0078" w14:textId="77777777" w:rsidR="008D5F24" w:rsidRPr="00CD1278" w:rsidRDefault="008D5F24" w:rsidP="009D2B4C">
      <w:pPr>
        <w:rPr>
          <w:color w:val="auto"/>
          <w:sz w:val="18"/>
          <w:szCs w:val="18"/>
        </w:rPr>
      </w:pPr>
      <w:r w:rsidRPr="00CD1278">
        <w:rPr>
          <w:color w:val="auto"/>
          <w:sz w:val="18"/>
          <w:szCs w:val="18"/>
        </w:rPr>
        <w:t>* Maximum rate unless certification specifies otherwise</w:t>
      </w:r>
    </w:p>
    <w:p w14:paraId="21D0A82E" w14:textId="1DE4FD82" w:rsidR="008036A9" w:rsidRPr="00CD1278" w:rsidRDefault="00655D62" w:rsidP="00BE7C70">
      <w:pPr>
        <w:pStyle w:val="Heading2"/>
        <w:rPr>
          <w:lang w:val="en-GB"/>
        </w:rPr>
      </w:pPr>
      <w:bookmarkStart w:id="88" w:name="_Toc324255715"/>
      <w:bookmarkStart w:id="89" w:name="_Toc293054753"/>
      <w:bookmarkStart w:id="90" w:name="_Toc453277827"/>
      <w:bookmarkStart w:id="91" w:name="_Toc324255716"/>
      <w:r w:rsidRPr="00CD1278">
        <w:rPr>
          <w:lang w:val="en-GB"/>
        </w:rPr>
        <w:t>1</w:t>
      </w:r>
      <w:r w:rsidR="008036A9" w:rsidRPr="00CD1278">
        <w:rPr>
          <w:lang w:val="en-GB"/>
        </w:rPr>
        <w:t>.4.</w:t>
      </w:r>
      <w:r w:rsidR="001E3306" w:rsidRPr="00CD1278">
        <w:rPr>
          <w:lang w:val="en-GB"/>
        </w:rPr>
        <w:t>8</w:t>
      </w:r>
      <w:r w:rsidR="008036A9" w:rsidRPr="00CD1278">
        <w:rPr>
          <w:lang w:val="en-GB"/>
        </w:rPr>
        <w:tab/>
        <w:t xml:space="preserve">Adjustments for </w:t>
      </w:r>
      <w:r w:rsidR="007E22DE" w:rsidRPr="00CD1278">
        <w:rPr>
          <w:lang w:val="en-GB"/>
        </w:rPr>
        <w:t>S</w:t>
      </w:r>
      <w:r w:rsidR="008036A9" w:rsidRPr="00CD1278">
        <w:rPr>
          <w:lang w:val="en-GB"/>
        </w:rPr>
        <w:t xml:space="preserve">tandard </w:t>
      </w:r>
      <w:r w:rsidR="007E22DE" w:rsidRPr="00CD1278">
        <w:rPr>
          <w:lang w:val="en-GB"/>
        </w:rPr>
        <w:t>D</w:t>
      </w:r>
      <w:r w:rsidR="008036A9" w:rsidRPr="00CD1278">
        <w:rPr>
          <w:lang w:val="en-GB"/>
        </w:rPr>
        <w:t xml:space="preserve">osage </w:t>
      </w:r>
      <w:r w:rsidR="007E22DE" w:rsidRPr="00CD1278">
        <w:rPr>
          <w:lang w:val="en-GB"/>
        </w:rPr>
        <w:t>R</w:t>
      </w:r>
      <w:r w:rsidR="008036A9" w:rsidRPr="00CD1278">
        <w:rPr>
          <w:lang w:val="en-GB"/>
        </w:rPr>
        <w:t xml:space="preserve">ates using MB/Pic </w:t>
      </w:r>
      <w:r w:rsidR="007E22DE" w:rsidRPr="00CD1278">
        <w:rPr>
          <w:lang w:val="en-GB"/>
        </w:rPr>
        <w:t>F</w:t>
      </w:r>
      <w:r w:rsidR="008036A9" w:rsidRPr="00CD1278">
        <w:rPr>
          <w:lang w:val="en-GB"/>
        </w:rPr>
        <w:t>ormulations</w:t>
      </w:r>
      <w:bookmarkEnd w:id="88"/>
      <w:bookmarkEnd w:id="89"/>
      <w:bookmarkEnd w:id="90"/>
    </w:p>
    <w:p w14:paraId="5CD0A31C" w14:textId="159BCE06" w:rsidR="008036A9" w:rsidRPr="00CD1278" w:rsidRDefault="008036A9" w:rsidP="008036A9">
      <w:pPr>
        <w:rPr>
          <w:color w:val="auto"/>
        </w:rPr>
      </w:pPr>
      <w:r w:rsidRPr="00CD1278">
        <w:rPr>
          <w:color w:val="auto"/>
        </w:rPr>
        <w:t xml:space="preserve">As in previous assessments, one key transitional strategy to reduce MB dosage has been the adoption of MB/Pic formulations with lower concentrations of MB (e.g. MB/Pic 50:50, 33:67 or less).  These formulations are considered to be equally as effective in controlling soilborne pathogens as formulations containing higher quantities of MB (e.g. 98:2, 67:33) (Porter </w:t>
      </w:r>
      <w:r w:rsidR="00BC546D" w:rsidRPr="00CD1278">
        <w:rPr>
          <w:i/>
          <w:color w:val="auto"/>
        </w:rPr>
        <w:t xml:space="preserve">et al., </w:t>
      </w:r>
      <w:r w:rsidRPr="00CD1278">
        <w:rPr>
          <w:color w:val="auto"/>
        </w:rPr>
        <w:t xml:space="preserve">2006; Santos </w:t>
      </w:r>
      <w:r w:rsidR="00EF30ED" w:rsidRPr="00CD1278">
        <w:rPr>
          <w:i/>
          <w:iCs/>
          <w:color w:val="auto"/>
        </w:rPr>
        <w:t>et al</w:t>
      </w:r>
      <w:r w:rsidRPr="00CD1278">
        <w:rPr>
          <w:color w:val="auto"/>
        </w:rPr>
        <w:t xml:space="preserve">., 2007; Hamill </w:t>
      </w:r>
      <w:r w:rsidR="00CF2F84" w:rsidRPr="00CD1278">
        <w:rPr>
          <w:i/>
          <w:color w:val="auto"/>
        </w:rPr>
        <w:t>et al</w:t>
      </w:r>
      <w:r w:rsidRPr="00CD1278">
        <w:rPr>
          <w:i/>
          <w:color w:val="auto"/>
        </w:rPr>
        <w:t>.,</w:t>
      </w:r>
      <w:r w:rsidRPr="00CD1278">
        <w:rPr>
          <w:color w:val="auto"/>
        </w:rPr>
        <w:t xml:space="preserve"> 2004; Hanson </w:t>
      </w:r>
      <w:r w:rsidR="00CF2F84" w:rsidRPr="00CD1278">
        <w:rPr>
          <w:i/>
          <w:color w:val="auto"/>
        </w:rPr>
        <w:t>et a</w:t>
      </w:r>
      <w:r w:rsidR="00AC156D" w:rsidRPr="00CD1278">
        <w:rPr>
          <w:i/>
          <w:color w:val="auto"/>
        </w:rPr>
        <w:t>l</w:t>
      </w:r>
      <w:r w:rsidRPr="00CD1278">
        <w:rPr>
          <w:i/>
          <w:color w:val="auto"/>
        </w:rPr>
        <w:t>.,</w:t>
      </w:r>
      <w:r w:rsidRPr="00CD1278">
        <w:rPr>
          <w:color w:val="auto"/>
        </w:rPr>
        <w:t xml:space="preserve"> 2006</w:t>
      </w:r>
      <w:r w:rsidR="00F044A6" w:rsidRPr="00CD1278">
        <w:rPr>
          <w:color w:val="auto"/>
        </w:rPr>
        <w:t>),</w:t>
      </w:r>
      <w:r w:rsidRPr="00CD1278">
        <w:rPr>
          <w:snapToGrid w:val="0"/>
          <w:color w:val="auto"/>
        </w:rPr>
        <w:t xml:space="preserve"> (Table </w:t>
      </w:r>
      <w:r w:rsidR="00655D62" w:rsidRPr="00CD1278">
        <w:rPr>
          <w:snapToGrid w:val="0"/>
          <w:color w:val="auto"/>
        </w:rPr>
        <w:t>1</w:t>
      </w:r>
      <w:r w:rsidR="00F01FB5" w:rsidRPr="00CD1278">
        <w:rPr>
          <w:snapToGrid w:val="0"/>
          <w:color w:val="auto"/>
        </w:rPr>
        <w:t>.</w:t>
      </w:r>
      <w:r w:rsidRPr="00CD1278">
        <w:rPr>
          <w:snapToGrid w:val="0"/>
          <w:color w:val="auto"/>
        </w:rPr>
        <w:t>8).</w:t>
      </w:r>
    </w:p>
    <w:p w14:paraId="4B0E3E11" w14:textId="153B83E4" w:rsidR="008036A9" w:rsidRPr="00CD1278" w:rsidRDefault="008036A9" w:rsidP="00896422">
      <w:pPr>
        <w:pStyle w:val="Tableheading0"/>
        <w:ind w:left="90" w:firstLine="0"/>
        <w:rPr>
          <w:b/>
          <w:bCs/>
        </w:rPr>
      </w:pPr>
      <w:r w:rsidRPr="00CD1278">
        <w:rPr>
          <w:b/>
          <w:bCs/>
        </w:rPr>
        <w:t xml:space="preserve">Table </w:t>
      </w:r>
      <w:r w:rsidR="00655D62" w:rsidRPr="00CD1278">
        <w:rPr>
          <w:b/>
          <w:bCs/>
        </w:rPr>
        <w:t>1</w:t>
      </w:r>
      <w:r w:rsidR="00F01FB5" w:rsidRPr="00CD1278">
        <w:rPr>
          <w:b/>
          <w:bCs/>
        </w:rPr>
        <w:t>.</w:t>
      </w:r>
      <w:r w:rsidRPr="00CD1278">
        <w:rPr>
          <w:b/>
          <w:bCs/>
        </w:rPr>
        <w:t>8</w:t>
      </w:r>
      <w:r w:rsidR="00A639C6" w:rsidRPr="00CD1278">
        <w:rPr>
          <w:b/>
          <w:bCs/>
        </w:rPr>
        <w:t>.</w:t>
      </w:r>
      <w:r w:rsidRPr="00CD1278">
        <w:rPr>
          <w:b/>
          <w:bCs/>
        </w:rPr>
        <w:t xml:space="preserve">  Actual dosage rates applied during preplant fumigation when different rates and formulations of MB/Pic mixtures are applied with and without barrier films.  Rates of application reflect standard commercial applications rates.</w:t>
      </w:r>
    </w:p>
    <w:tbl>
      <w:tblPr>
        <w:tblW w:w="82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10"/>
        <w:gridCol w:w="1525"/>
        <w:gridCol w:w="99"/>
        <w:gridCol w:w="840"/>
        <w:gridCol w:w="195"/>
        <w:gridCol w:w="1135"/>
        <w:gridCol w:w="16"/>
        <w:gridCol w:w="1414"/>
        <w:gridCol w:w="17"/>
      </w:tblGrid>
      <w:tr w:rsidR="003C102E" w:rsidRPr="00CD1278" w14:paraId="779B3559" w14:textId="77777777" w:rsidTr="006D0E9A">
        <w:trPr>
          <w:cantSplit/>
          <w:trHeight w:val="293"/>
        </w:trPr>
        <w:tc>
          <w:tcPr>
            <w:tcW w:w="3011" w:type="dxa"/>
            <w:vMerge w:val="restart"/>
            <w:vAlign w:val="center"/>
          </w:tcPr>
          <w:p w14:paraId="7C6FE44B" w14:textId="13ECFE5D" w:rsidR="008036A9" w:rsidRPr="00CD1278" w:rsidRDefault="008036A9" w:rsidP="006D0E9A">
            <w:pPr>
              <w:spacing w:before="40" w:after="40"/>
              <w:jc w:val="center"/>
              <w:rPr>
                <w:b/>
                <w:bCs/>
                <w:iCs/>
                <w:color w:val="auto"/>
                <w:sz w:val="20"/>
              </w:rPr>
            </w:pPr>
            <w:r w:rsidRPr="00CD1278">
              <w:rPr>
                <w:b/>
                <w:bCs/>
                <w:iCs/>
                <w:color w:val="auto"/>
                <w:sz w:val="20"/>
              </w:rPr>
              <w:t>Commercial application rates (kg/ha) of MB/Pic formulation</w:t>
            </w:r>
          </w:p>
        </w:tc>
        <w:tc>
          <w:tcPr>
            <w:tcW w:w="5240" w:type="dxa"/>
            <w:gridSpan w:val="8"/>
            <w:vAlign w:val="center"/>
          </w:tcPr>
          <w:p w14:paraId="6B961471" w14:textId="77777777" w:rsidR="008036A9" w:rsidRPr="00CD1278" w:rsidRDefault="008036A9" w:rsidP="006D0E9A">
            <w:pPr>
              <w:spacing w:before="40" w:after="40"/>
              <w:jc w:val="center"/>
              <w:rPr>
                <w:b/>
                <w:bCs/>
                <w:iCs/>
                <w:color w:val="auto"/>
                <w:sz w:val="20"/>
              </w:rPr>
            </w:pPr>
            <w:r w:rsidRPr="00CD1278">
              <w:rPr>
                <w:b/>
                <w:bCs/>
                <w:iCs/>
                <w:color w:val="auto"/>
                <w:sz w:val="20"/>
              </w:rPr>
              <w:t>MB/Pic formulation (dose of MB in g/m</w:t>
            </w:r>
            <w:r w:rsidRPr="00CD1278">
              <w:rPr>
                <w:rFonts w:ascii="Times New Roman Bold" w:hAnsi="Times New Roman Bold" w:cs="Times New Roman Bold"/>
                <w:b/>
                <w:bCs/>
                <w:iCs/>
                <w:color w:val="auto"/>
                <w:sz w:val="20"/>
                <w:vertAlign w:val="superscript"/>
              </w:rPr>
              <w:t>2</w:t>
            </w:r>
            <w:r w:rsidRPr="00CD1278">
              <w:rPr>
                <w:b/>
                <w:bCs/>
                <w:iCs/>
                <w:color w:val="auto"/>
                <w:sz w:val="20"/>
              </w:rPr>
              <w:t>)</w:t>
            </w:r>
          </w:p>
        </w:tc>
      </w:tr>
      <w:tr w:rsidR="003C102E" w:rsidRPr="00CD1278" w14:paraId="25B103B1" w14:textId="77777777" w:rsidTr="006D0E9A">
        <w:trPr>
          <w:gridAfter w:val="1"/>
          <w:wAfter w:w="16" w:type="dxa"/>
          <w:cantSplit/>
          <w:trHeight w:val="357"/>
        </w:trPr>
        <w:tc>
          <w:tcPr>
            <w:tcW w:w="3011" w:type="dxa"/>
            <w:vMerge/>
            <w:vAlign w:val="center"/>
          </w:tcPr>
          <w:p w14:paraId="185A92BE" w14:textId="77777777" w:rsidR="008036A9" w:rsidRPr="00CD1278" w:rsidRDefault="008036A9" w:rsidP="006D0E9A">
            <w:pPr>
              <w:spacing w:before="40" w:after="40"/>
              <w:jc w:val="center"/>
              <w:rPr>
                <w:iCs/>
                <w:color w:val="auto"/>
                <w:sz w:val="20"/>
              </w:rPr>
            </w:pPr>
          </w:p>
        </w:tc>
        <w:tc>
          <w:tcPr>
            <w:tcW w:w="1624" w:type="dxa"/>
            <w:gridSpan w:val="2"/>
            <w:vAlign w:val="center"/>
          </w:tcPr>
          <w:p w14:paraId="65BC3CCB" w14:textId="77777777" w:rsidR="008036A9" w:rsidRPr="00CD1278" w:rsidRDefault="008036A9" w:rsidP="006D0E9A">
            <w:pPr>
              <w:spacing w:before="40" w:after="40"/>
              <w:jc w:val="center"/>
              <w:rPr>
                <w:b/>
                <w:bCs/>
                <w:iCs/>
                <w:color w:val="auto"/>
                <w:sz w:val="20"/>
              </w:rPr>
            </w:pPr>
            <w:r w:rsidRPr="00CD1278">
              <w:rPr>
                <w:b/>
                <w:bCs/>
                <w:iCs/>
                <w:color w:val="auto"/>
                <w:sz w:val="20"/>
              </w:rPr>
              <w:t>98:2</w:t>
            </w:r>
          </w:p>
        </w:tc>
        <w:tc>
          <w:tcPr>
            <w:tcW w:w="840" w:type="dxa"/>
            <w:vAlign w:val="center"/>
          </w:tcPr>
          <w:p w14:paraId="01751350" w14:textId="77777777" w:rsidR="008036A9" w:rsidRPr="00CD1278" w:rsidRDefault="008036A9" w:rsidP="006D0E9A">
            <w:pPr>
              <w:spacing w:before="40" w:after="40"/>
              <w:jc w:val="center"/>
              <w:rPr>
                <w:b/>
                <w:bCs/>
                <w:iCs/>
                <w:color w:val="auto"/>
                <w:sz w:val="20"/>
              </w:rPr>
            </w:pPr>
            <w:r w:rsidRPr="00CD1278">
              <w:rPr>
                <w:b/>
                <w:bCs/>
                <w:iCs/>
                <w:color w:val="auto"/>
                <w:sz w:val="20"/>
              </w:rPr>
              <w:t>67:33</w:t>
            </w:r>
          </w:p>
        </w:tc>
        <w:tc>
          <w:tcPr>
            <w:tcW w:w="1330" w:type="dxa"/>
            <w:gridSpan w:val="2"/>
            <w:vAlign w:val="center"/>
          </w:tcPr>
          <w:p w14:paraId="03729632" w14:textId="77777777" w:rsidR="008036A9" w:rsidRPr="00CD1278" w:rsidRDefault="008036A9" w:rsidP="006D0E9A">
            <w:pPr>
              <w:spacing w:before="40" w:after="40"/>
              <w:jc w:val="center"/>
              <w:rPr>
                <w:b/>
                <w:bCs/>
                <w:iCs/>
                <w:color w:val="auto"/>
                <w:sz w:val="20"/>
              </w:rPr>
            </w:pPr>
            <w:r w:rsidRPr="00CD1278">
              <w:rPr>
                <w:b/>
                <w:bCs/>
                <w:iCs/>
                <w:color w:val="auto"/>
                <w:sz w:val="20"/>
              </w:rPr>
              <w:t>50:50</w:t>
            </w:r>
          </w:p>
        </w:tc>
        <w:tc>
          <w:tcPr>
            <w:tcW w:w="1430" w:type="dxa"/>
            <w:gridSpan w:val="2"/>
            <w:vAlign w:val="center"/>
          </w:tcPr>
          <w:p w14:paraId="5DF89D22" w14:textId="77777777" w:rsidR="008036A9" w:rsidRPr="00CD1278" w:rsidRDefault="008036A9" w:rsidP="006D0E9A">
            <w:pPr>
              <w:spacing w:before="40" w:after="40"/>
              <w:jc w:val="center"/>
              <w:rPr>
                <w:b/>
                <w:bCs/>
                <w:iCs/>
                <w:color w:val="auto"/>
                <w:sz w:val="20"/>
              </w:rPr>
            </w:pPr>
            <w:r w:rsidRPr="00CD1278">
              <w:rPr>
                <w:b/>
                <w:bCs/>
                <w:iCs/>
                <w:color w:val="auto"/>
                <w:sz w:val="20"/>
              </w:rPr>
              <w:t>30:70</w:t>
            </w:r>
          </w:p>
        </w:tc>
      </w:tr>
      <w:tr w:rsidR="003C102E" w:rsidRPr="00CD1278" w14:paraId="53206547" w14:textId="77777777" w:rsidTr="006D0E9A">
        <w:tc>
          <w:tcPr>
            <w:tcW w:w="8251" w:type="dxa"/>
            <w:gridSpan w:val="9"/>
            <w:vAlign w:val="center"/>
          </w:tcPr>
          <w:p w14:paraId="12E76BD4" w14:textId="07195136" w:rsidR="008036A9" w:rsidRPr="00CD1278" w:rsidRDefault="008036A9" w:rsidP="006D0E9A">
            <w:pPr>
              <w:spacing w:before="40" w:after="40"/>
              <w:rPr>
                <w:b/>
                <w:bCs/>
                <w:iCs/>
                <w:color w:val="auto"/>
                <w:sz w:val="20"/>
              </w:rPr>
            </w:pPr>
            <w:r w:rsidRPr="00CD1278">
              <w:rPr>
                <w:b/>
                <w:bCs/>
                <w:iCs/>
                <w:color w:val="auto"/>
                <w:sz w:val="20"/>
              </w:rPr>
              <w:t>A. With Standard Polyethylene Films</w:t>
            </w:r>
          </w:p>
        </w:tc>
      </w:tr>
      <w:tr w:rsidR="003C102E" w:rsidRPr="00CD1278" w14:paraId="64720FF8" w14:textId="77777777" w:rsidTr="006D0E9A">
        <w:tc>
          <w:tcPr>
            <w:tcW w:w="3011" w:type="dxa"/>
            <w:vAlign w:val="center"/>
          </w:tcPr>
          <w:p w14:paraId="1CDA36A7" w14:textId="77777777" w:rsidR="008036A9" w:rsidRPr="00CD1278" w:rsidRDefault="008036A9" w:rsidP="006D0E9A">
            <w:pPr>
              <w:spacing w:before="40" w:after="40"/>
              <w:jc w:val="center"/>
              <w:rPr>
                <w:iCs/>
                <w:color w:val="auto"/>
                <w:sz w:val="20"/>
              </w:rPr>
            </w:pPr>
            <w:r w:rsidRPr="00CD1278">
              <w:rPr>
                <w:iCs/>
                <w:color w:val="auto"/>
                <w:sz w:val="20"/>
              </w:rPr>
              <w:t>400</w:t>
            </w:r>
          </w:p>
        </w:tc>
        <w:tc>
          <w:tcPr>
            <w:tcW w:w="1525" w:type="dxa"/>
            <w:vAlign w:val="center"/>
          </w:tcPr>
          <w:p w14:paraId="7A6F60AF" w14:textId="77777777" w:rsidR="008036A9" w:rsidRPr="00CD1278" w:rsidRDefault="008036A9" w:rsidP="006D0E9A">
            <w:pPr>
              <w:spacing w:before="40" w:after="40"/>
              <w:jc w:val="center"/>
              <w:rPr>
                <w:iCs/>
                <w:color w:val="auto"/>
                <w:sz w:val="20"/>
              </w:rPr>
            </w:pPr>
            <w:r w:rsidRPr="00CD1278">
              <w:rPr>
                <w:iCs/>
                <w:color w:val="auto"/>
                <w:sz w:val="20"/>
              </w:rPr>
              <w:t>39.2</w:t>
            </w:r>
          </w:p>
        </w:tc>
        <w:tc>
          <w:tcPr>
            <w:tcW w:w="1134" w:type="dxa"/>
            <w:gridSpan w:val="3"/>
            <w:vAlign w:val="center"/>
          </w:tcPr>
          <w:p w14:paraId="1DDD065F" w14:textId="77777777" w:rsidR="008036A9" w:rsidRPr="00CD1278" w:rsidRDefault="008036A9" w:rsidP="006D0E9A">
            <w:pPr>
              <w:spacing w:before="40" w:after="40"/>
              <w:jc w:val="center"/>
              <w:rPr>
                <w:iCs/>
                <w:color w:val="auto"/>
                <w:sz w:val="20"/>
              </w:rPr>
            </w:pPr>
            <w:r w:rsidRPr="00CD1278">
              <w:rPr>
                <w:iCs/>
                <w:color w:val="auto"/>
                <w:sz w:val="20"/>
              </w:rPr>
              <w:t>26.8</w:t>
            </w:r>
          </w:p>
        </w:tc>
        <w:tc>
          <w:tcPr>
            <w:tcW w:w="1151" w:type="dxa"/>
            <w:gridSpan w:val="2"/>
            <w:vAlign w:val="center"/>
          </w:tcPr>
          <w:p w14:paraId="434A3A76" w14:textId="77777777" w:rsidR="008036A9" w:rsidRPr="00CD1278" w:rsidRDefault="008036A9" w:rsidP="006D0E9A">
            <w:pPr>
              <w:spacing w:before="40" w:after="40"/>
              <w:jc w:val="center"/>
              <w:rPr>
                <w:iCs/>
                <w:color w:val="auto"/>
                <w:sz w:val="20"/>
              </w:rPr>
            </w:pPr>
            <w:r w:rsidRPr="00CD1278">
              <w:rPr>
                <w:iCs/>
                <w:color w:val="auto"/>
                <w:sz w:val="20"/>
              </w:rPr>
              <w:t>20.0</w:t>
            </w:r>
          </w:p>
        </w:tc>
        <w:tc>
          <w:tcPr>
            <w:tcW w:w="1430" w:type="dxa"/>
            <w:gridSpan w:val="2"/>
            <w:vAlign w:val="center"/>
          </w:tcPr>
          <w:p w14:paraId="11B19371" w14:textId="77777777" w:rsidR="008036A9" w:rsidRPr="00CD1278" w:rsidRDefault="008036A9" w:rsidP="006D0E9A">
            <w:pPr>
              <w:spacing w:before="40" w:after="40"/>
              <w:jc w:val="center"/>
              <w:rPr>
                <w:iCs/>
                <w:color w:val="auto"/>
                <w:sz w:val="20"/>
              </w:rPr>
            </w:pPr>
            <w:r w:rsidRPr="00CD1278">
              <w:rPr>
                <w:iCs/>
                <w:color w:val="auto"/>
                <w:sz w:val="20"/>
              </w:rPr>
              <w:t>12.0</w:t>
            </w:r>
          </w:p>
        </w:tc>
      </w:tr>
      <w:tr w:rsidR="003C102E" w:rsidRPr="00CD1278" w14:paraId="02CF33B7" w14:textId="77777777" w:rsidTr="006D0E9A">
        <w:tc>
          <w:tcPr>
            <w:tcW w:w="3011" w:type="dxa"/>
            <w:vAlign w:val="center"/>
          </w:tcPr>
          <w:p w14:paraId="06DB8699" w14:textId="77777777" w:rsidR="008036A9" w:rsidRPr="00CD1278" w:rsidRDefault="008036A9" w:rsidP="006D0E9A">
            <w:pPr>
              <w:spacing w:before="40" w:after="40"/>
              <w:jc w:val="center"/>
              <w:rPr>
                <w:iCs/>
                <w:color w:val="auto"/>
                <w:sz w:val="20"/>
              </w:rPr>
            </w:pPr>
            <w:r w:rsidRPr="00CD1278">
              <w:rPr>
                <w:iCs/>
                <w:color w:val="auto"/>
                <w:sz w:val="20"/>
              </w:rPr>
              <w:t>350</w:t>
            </w:r>
          </w:p>
        </w:tc>
        <w:tc>
          <w:tcPr>
            <w:tcW w:w="1525" w:type="dxa"/>
            <w:vAlign w:val="center"/>
          </w:tcPr>
          <w:p w14:paraId="2EC74578" w14:textId="77777777" w:rsidR="008036A9" w:rsidRPr="00CD1278" w:rsidRDefault="008036A9" w:rsidP="006D0E9A">
            <w:pPr>
              <w:spacing w:before="40" w:after="40"/>
              <w:jc w:val="center"/>
              <w:rPr>
                <w:iCs/>
                <w:color w:val="auto"/>
                <w:sz w:val="20"/>
              </w:rPr>
            </w:pPr>
            <w:r w:rsidRPr="00CD1278">
              <w:rPr>
                <w:iCs/>
                <w:color w:val="auto"/>
                <w:sz w:val="20"/>
              </w:rPr>
              <w:t>34.3</w:t>
            </w:r>
          </w:p>
        </w:tc>
        <w:tc>
          <w:tcPr>
            <w:tcW w:w="1134" w:type="dxa"/>
            <w:gridSpan w:val="3"/>
            <w:vAlign w:val="center"/>
          </w:tcPr>
          <w:p w14:paraId="2DC0D4AD" w14:textId="77777777" w:rsidR="008036A9" w:rsidRPr="00CD1278" w:rsidRDefault="008036A9" w:rsidP="006D0E9A">
            <w:pPr>
              <w:spacing w:before="40" w:after="40"/>
              <w:jc w:val="center"/>
              <w:rPr>
                <w:iCs/>
                <w:color w:val="auto"/>
                <w:sz w:val="20"/>
              </w:rPr>
            </w:pPr>
            <w:r w:rsidRPr="00CD1278">
              <w:rPr>
                <w:iCs/>
                <w:color w:val="auto"/>
                <w:sz w:val="20"/>
              </w:rPr>
              <w:t>23.5</w:t>
            </w:r>
          </w:p>
        </w:tc>
        <w:tc>
          <w:tcPr>
            <w:tcW w:w="1151" w:type="dxa"/>
            <w:gridSpan w:val="2"/>
            <w:vAlign w:val="center"/>
          </w:tcPr>
          <w:p w14:paraId="59ABC0A5" w14:textId="77777777" w:rsidR="008036A9" w:rsidRPr="00CD1278" w:rsidRDefault="008036A9" w:rsidP="006D0E9A">
            <w:pPr>
              <w:spacing w:before="40" w:after="40"/>
              <w:jc w:val="center"/>
              <w:rPr>
                <w:iCs/>
                <w:color w:val="auto"/>
                <w:sz w:val="20"/>
              </w:rPr>
            </w:pPr>
            <w:r w:rsidRPr="00CD1278">
              <w:rPr>
                <w:iCs/>
                <w:color w:val="auto"/>
                <w:sz w:val="20"/>
              </w:rPr>
              <w:t>17.5</w:t>
            </w:r>
          </w:p>
        </w:tc>
        <w:tc>
          <w:tcPr>
            <w:tcW w:w="1430" w:type="dxa"/>
            <w:gridSpan w:val="2"/>
            <w:vAlign w:val="center"/>
          </w:tcPr>
          <w:p w14:paraId="2D0A64F1" w14:textId="77777777" w:rsidR="008036A9" w:rsidRPr="00CD1278" w:rsidRDefault="008036A9" w:rsidP="006D0E9A">
            <w:pPr>
              <w:spacing w:before="40" w:after="40"/>
              <w:jc w:val="center"/>
              <w:rPr>
                <w:iCs/>
                <w:color w:val="auto"/>
                <w:sz w:val="20"/>
              </w:rPr>
            </w:pPr>
            <w:r w:rsidRPr="00CD1278">
              <w:rPr>
                <w:iCs/>
                <w:color w:val="auto"/>
                <w:sz w:val="20"/>
              </w:rPr>
              <w:t>10.5</w:t>
            </w:r>
          </w:p>
        </w:tc>
      </w:tr>
      <w:tr w:rsidR="003C102E" w:rsidRPr="00CD1278" w14:paraId="412DA274" w14:textId="77777777" w:rsidTr="006D0E9A">
        <w:tc>
          <w:tcPr>
            <w:tcW w:w="3011" w:type="dxa"/>
            <w:vAlign w:val="center"/>
          </w:tcPr>
          <w:p w14:paraId="61FFB5DD" w14:textId="77777777" w:rsidR="008036A9" w:rsidRPr="00CD1278" w:rsidRDefault="008036A9" w:rsidP="006D0E9A">
            <w:pPr>
              <w:spacing w:before="40" w:after="40"/>
              <w:jc w:val="center"/>
              <w:rPr>
                <w:iCs/>
                <w:color w:val="auto"/>
                <w:sz w:val="20"/>
              </w:rPr>
            </w:pPr>
            <w:r w:rsidRPr="00CD1278">
              <w:rPr>
                <w:iCs/>
                <w:color w:val="auto"/>
                <w:sz w:val="20"/>
              </w:rPr>
              <w:t>300</w:t>
            </w:r>
          </w:p>
        </w:tc>
        <w:tc>
          <w:tcPr>
            <w:tcW w:w="1525" w:type="dxa"/>
            <w:vAlign w:val="center"/>
          </w:tcPr>
          <w:p w14:paraId="29F0DCF2" w14:textId="77777777" w:rsidR="008036A9" w:rsidRPr="00CD1278" w:rsidRDefault="008036A9" w:rsidP="006D0E9A">
            <w:pPr>
              <w:spacing w:before="40" w:after="40"/>
              <w:jc w:val="center"/>
              <w:rPr>
                <w:iCs/>
                <w:color w:val="auto"/>
                <w:sz w:val="20"/>
              </w:rPr>
            </w:pPr>
            <w:r w:rsidRPr="00CD1278">
              <w:rPr>
                <w:iCs/>
                <w:color w:val="auto"/>
                <w:sz w:val="20"/>
              </w:rPr>
              <w:t>29.4</w:t>
            </w:r>
          </w:p>
        </w:tc>
        <w:tc>
          <w:tcPr>
            <w:tcW w:w="1134" w:type="dxa"/>
            <w:gridSpan w:val="3"/>
            <w:vAlign w:val="center"/>
          </w:tcPr>
          <w:p w14:paraId="1858EB7C" w14:textId="77777777" w:rsidR="008036A9" w:rsidRPr="00CD1278" w:rsidRDefault="008036A9" w:rsidP="006D0E9A">
            <w:pPr>
              <w:spacing w:before="40" w:after="40"/>
              <w:jc w:val="center"/>
              <w:rPr>
                <w:iCs/>
                <w:color w:val="auto"/>
                <w:sz w:val="20"/>
              </w:rPr>
            </w:pPr>
            <w:r w:rsidRPr="00CD1278">
              <w:rPr>
                <w:iCs/>
                <w:color w:val="auto"/>
                <w:sz w:val="20"/>
              </w:rPr>
              <w:t>20.1</w:t>
            </w:r>
          </w:p>
        </w:tc>
        <w:tc>
          <w:tcPr>
            <w:tcW w:w="1151" w:type="dxa"/>
            <w:gridSpan w:val="2"/>
            <w:vAlign w:val="center"/>
          </w:tcPr>
          <w:p w14:paraId="264EB709" w14:textId="77777777" w:rsidR="008036A9" w:rsidRPr="00CD1278" w:rsidRDefault="008036A9" w:rsidP="006D0E9A">
            <w:pPr>
              <w:spacing w:before="40" w:after="40"/>
              <w:jc w:val="center"/>
              <w:rPr>
                <w:iCs/>
                <w:color w:val="auto"/>
                <w:sz w:val="20"/>
              </w:rPr>
            </w:pPr>
            <w:r w:rsidRPr="00CD1278">
              <w:rPr>
                <w:iCs/>
                <w:color w:val="auto"/>
                <w:sz w:val="20"/>
              </w:rPr>
              <w:t>15.0</w:t>
            </w:r>
          </w:p>
        </w:tc>
        <w:tc>
          <w:tcPr>
            <w:tcW w:w="1430" w:type="dxa"/>
            <w:gridSpan w:val="2"/>
            <w:vAlign w:val="center"/>
          </w:tcPr>
          <w:p w14:paraId="34D09695" w14:textId="77777777" w:rsidR="008036A9" w:rsidRPr="00CD1278" w:rsidRDefault="008036A9" w:rsidP="006D0E9A">
            <w:pPr>
              <w:spacing w:before="40" w:after="40"/>
              <w:jc w:val="center"/>
              <w:rPr>
                <w:iCs/>
                <w:color w:val="auto"/>
                <w:sz w:val="20"/>
              </w:rPr>
            </w:pPr>
            <w:r w:rsidRPr="00CD1278">
              <w:rPr>
                <w:iCs/>
                <w:color w:val="auto"/>
                <w:sz w:val="20"/>
              </w:rPr>
              <w:t>9.0</w:t>
            </w:r>
          </w:p>
        </w:tc>
      </w:tr>
      <w:tr w:rsidR="003C102E" w:rsidRPr="00CD1278" w14:paraId="2BC0227B" w14:textId="77777777" w:rsidTr="006D0E9A">
        <w:tc>
          <w:tcPr>
            <w:tcW w:w="8251" w:type="dxa"/>
            <w:gridSpan w:val="9"/>
            <w:vAlign w:val="center"/>
          </w:tcPr>
          <w:p w14:paraId="0EBE0B31" w14:textId="77777777" w:rsidR="008036A9" w:rsidRPr="00CD1278" w:rsidRDefault="008036A9" w:rsidP="006D0E9A">
            <w:pPr>
              <w:tabs>
                <w:tab w:val="right" w:pos="288"/>
              </w:tabs>
              <w:spacing w:before="40" w:after="40"/>
              <w:rPr>
                <w:b/>
                <w:bCs/>
                <w:iCs/>
                <w:color w:val="auto"/>
                <w:sz w:val="20"/>
              </w:rPr>
            </w:pPr>
            <w:r w:rsidRPr="00CD1278">
              <w:rPr>
                <w:b/>
                <w:bCs/>
                <w:iCs/>
                <w:color w:val="auto"/>
                <w:sz w:val="20"/>
              </w:rPr>
              <w:t>B. With Low Permeability Barrier Films (LPBF)</w:t>
            </w:r>
          </w:p>
        </w:tc>
      </w:tr>
      <w:tr w:rsidR="003C102E" w:rsidRPr="00CD1278" w14:paraId="2FFF2B12" w14:textId="77777777" w:rsidTr="006D0E9A">
        <w:tc>
          <w:tcPr>
            <w:tcW w:w="3011" w:type="dxa"/>
            <w:vAlign w:val="center"/>
          </w:tcPr>
          <w:p w14:paraId="04F78DB2" w14:textId="77777777" w:rsidR="008036A9" w:rsidRPr="00CD1278" w:rsidRDefault="008036A9" w:rsidP="006D0E9A">
            <w:pPr>
              <w:spacing w:before="40" w:after="40"/>
              <w:jc w:val="center"/>
              <w:rPr>
                <w:iCs/>
                <w:color w:val="auto"/>
                <w:sz w:val="20"/>
              </w:rPr>
            </w:pPr>
            <w:r w:rsidRPr="00CD1278">
              <w:rPr>
                <w:iCs/>
                <w:color w:val="auto"/>
                <w:sz w:val="20"/>
              </w:rPr>
              <w:t>250</w:t>
            </w:r>
          </w:p>
        </w:tc>
        <w:tc>
          <w:tcPr>
            <w:tcW w:w="1525" w:type="dxa"/>
            <w:vAlign w:val="center"/>
          </w:tcPr>
          <w:p w14:paraId="2803A44E" w14:textId="77777777" w:rsidR="008036A9" w:rsidRPr="00CD1278" w:rsidRDefault="008036A9" w:rsidP="006D0E9A">
            <w:pPr>
              <w:spacing w:before="40" w:after="40"/>
              <w:jc w:val="center"/>
              <w:rPr>
                <w:iCs/>
                <w:color w:val="auto"/>
                <w:sz w:val="20"/>
              </w:rPr>
            </w:pPr>
            <w:r w:rsidRPr="00CD1278">
              <w:rPr>
                <w:iCs/>
                <w:color w:val="auto"/>
                <w:sz w:val="20"/>
              </w:rPr>
              <w:t>24.5</w:t>
            </w:r>
          </w:p>
        </w:tc>
        <w:tc>
          <w:tcPr>
            <w:tcW w:w="1134" w:type="dxa"/>
            <w:gridSpan w:val="3"/>
            <w:vAlign w:val="center"/>
          </w:tcPr>
          <w:p w14:paraId="2EC3187B" w14:textId="77777777" w:rsidR="008036A9" w:rsidRPr="00CD1278" w:rsidRDefault="008036A9" w:rsidP="006D0E9A">
            <w:pPr>
              <w:spacing w:before="40" w:after="40"/>
              <w:jc w:val="center"/>
              <w:rPr>
                <w:iCs/>
                <w:color w:val="auto"/>
                <w:sz w:val="20"/>
              </w:rPr>
            </w:pPr>
            <w:r w:rsidRPr="00CD1278">
              <w:rPr>
                <w:iCs/>
                <w:color w:val="auto"/>
                <w:sz w:val="20"/>
              </w:rPr>
              <w:t>16.8</w:t>
            </w:r>
          </w:p>
        </w:tc>
        <w:tc>
          <w:tcPr>
            <w:tcW w:w="1134" w:type="dxa"/>
            <w:vAlign w:val="center"/>
          </w:tcPr>
          <w:p w14:paraId="0D8EFFDA" w14:textId="77777777" w:rsidR="008036A9" w:rsidRPr="00CD1278" w:rsidRDefault="008036A9" w:rsidP="006D0E9A">
            <w:pPr>
              <w:spacing w:before="40" w:after="40"/>
              <w:jc w:val="center"/>
              <w:rPr>
                <w:iCs/>
                <w:color w:val="auto"/>
                <w:sz w:val="20"/>
              </w:rPr>
            </w:pPr>
            <w:r w:rsidRPr="00CD1278">
              <w:rPr>
                <w:iCs/>
                <w:color w:val="auto"/>
                <w:sz w:val="20"/>
              </w:rPr>
              <w:t>12.5</w:t>
            </w:r>
          </w:p>
        </w:tc>
        <w:tc>
          <w:tcPr>
            <w:tcW w:w="1447" w:type="dxa"/>
            <w:gridSpan w:val="3"/>
            <w:vAlign w:val="center"/>
          </w:tcPr>
          <w:p w14:paraId="41FA0784" w14:textId="77777777" w:rsidR="008036A9" w:rsidRPr="00CD1278" w:rsidRDefault="008036A9" w:rsidP="006D0E9A">
            <w:pPr>
              <w:spacing w:before="40" w:after="40"/>
              <w:jc w:val="center"/>
              <w:rPr>
                <w:iCs/>
                <w:color w:val="auto"/>
                <w:sz w:val="20"/>
              </w:rPr>
            </w:pPr>
            <w:r w:rsidRPr="00CD1278">
              <w:rPr>
                <w:iCs/>
                <w:color w:val="auto"/>
                <w:sz w:val="20"/>
              </w:rPr>
              <w:t>7.5</w:t>
            </w:r>
          </w:p>
        </w:tc>
      </w:tr>
      <w:tr w:rsidR="003C102E" w:rsidRPr="00CD1278" w14:paraId="3155B4ED" w14:textId="77777777" w:rsidTr="006D0E9A">
        <w:tc>
          <w:tcPr>
            <w:tcW w:w="3011" w:type="dxa"/>
            <w:vAlign w:val="center"/>
          </w:tcPr>
          <w:p w14:paraId="6B241C64" w14:textId="77777777" w:rsidR="008036A9" w:rsidRPr="00CD1278" w:rsidRDefault="008036A9" w:rsidP="006D0E9A">
            <w:pPr>
              <w:spacing w:before="40" w:after="40"/>
              <w:jc w:val="center"/>
              <w:rPr>
                <w:iCs/>
                <w:color w:val="auto"/>
                <w:sz w:val="20"/>
              </w:rPr>
            </w:pPr>
            <w:r w:rsidRPr="00CD1278">
              <w:rPr>
                <w:iCs/>
                <w:color w:val="auto"/>
                <w:sz w:val="20"/>
              </w:rPr>
              <w:t>200</w:t>
            </w:r>
          </w:p>
        </w:tc>
        <w:tc>
          <w:tcPr>
            <w:tcW w:w="1525" w:type="dxa"/>
            <w:vAlign w:val="center"/>
          </w:tcPr>
          <w:p w14:paraId="636213C6" w14:textId="77777777" w:rsidR="008036A9" w:rsidRPr="00CD1278" w:rsidRDefault="008036A9" w:rsidP="006D0E9A">
            <w:pPr>
              <w:spacing w:before="40" w:after="40"/>
              <w:jc w:val="center"/>
              <w:rPr>
                <w:iCs/>
                <w:color w:val="auto"/>
                <w:sz w:val="20"/>
              </w:rPr>
            </w:pPr>
            <w:r w:rsidRPr="00CD1278">
              <w:rPr>
                <w:iCs/>
                <w:color w:val="auto"/>
                <w:sz w:val="20"/>
              </w:rPr>
              <w:t>19.6</w:t>
            </w:r>
          </w:p>
        </w:tc>
        <w:tc>
          <w:tcPr>
            <w:tcW w:w="1134" w:type="dxa"/>
            <w:gridSpan w:val="3"/>
            <w:vAlign w:val="center"/>
          </w:tcPr>
          <w:p w14:paraId="449D7F0D" w14:textId="77777777" w:rsidR="008036A9" w:rsidRPr="00CD1278" w:rsidRDefault="008036A9" w:rsidP="006D0E9A">
            <w:pPr>
              <w:spacing w:before="40" w:after="40"/>
              <w:jc w:val="center"/>
              <w:rPr>
                <w:iCs/>
                <w:color w:val="auto"/>
                <w:sz w:val="20"/>
              </w:rPr>
            </w:pPr>
            <w:r w:rsidRPr="00CD1278">
              <w:rPr>
                <w:iCs/>
                <w:color w:val="auto"/>
                <w:sz w:val="20"/>
              </w:rPr>
              <w:t>13.4</w:t>
            </w:r>
          </w:p>
        </w:tc>
        <w:tc>
          <w:tcPr>
            <w:tcW w:w="1134" w:type="dxa"/>
            <w:vAlign w:val="center"/>
          </w:tcPr>
          <w:p w14:paraId="691FF3AE" w14:textId="77777777" w:rsidR="008036A9" w:rsidRPr="00CD1278" w:rsidRDefault="008036A9" w:rsidP="006D0E9A">
            <w:pPr>
              <w:spacing w:before="40" w:after="40"/>
              <w:jc w:val="center"/>
              <w:rPr>
                <w:b/>
                <w:bCs/>
                <w:iCs/>
                <w:color w:val="auto"/>
                <w:sz w:val="20"/>
              </w:rPr>
            </w:pPr>
            <w:r w:rsidRPr="00CD1278">
              <w:rPr>
                <w:b/>
                <w:bCs/>
                <w:iCs/>
                <w:color w:val="auto"/>
                <w:sz w:val="20"/>
              </w:rPr>
              <w:t>10.0*</w:t>
            </w:r>
          </w:p>
        </w:tc>
        <w:tc>
          <w:tcPr>
            <w:tcW w:w="1447" w:type="dxa"/>
            <w:gridSpan w:val="3"/>
            <w:vAlign w:val="center"/>
          </w:tcPr>
          <w:p w14:paraId="09D451E0" w14:textId="77777777" w:rsidR="008036A9" w:rsidRPr="00CD1278" w:rsidRDefault="008036A9" w:rsidP="006D0E9A">
            <w:pPr>
              <w:spacing w:before="40" w:after="40"/>
              <w:jc w:val="center"/>
              <w:rPr>
                <w:iCs/>
                <w:color w:val="auto"/>
                <w:sz w:val="20"/>
              </w:rPr>
            </w:pPr>
            <w:r w:rsidRPr="00CD1278">
              <w:rPr>
                <w:iCs/>
                <w:color w:val="auto"/>
                <w:sz w:val="20"/>
              </w:rPr>
              <w:t>6.0</w:t>
            </w:r>
          </w:p>
        </w:tc>
      </w:tr>
      <w:tr w:rsidR="003C102E" w:rsidRPr="00CD1278" w14:paraId="608DB6C2" w14:textId="77777777" w:rsidTr="006D0E9A">
        <w:tc>
          <w:tcPr>
            <w:tcW w:w="3011" w:type="dxa"/>
            <w:vAlign w:val="center"/>
          </w:tcPr>
          <w:p w14:paraId="400AA491" w14:textId="77777777" w:rsidR="008036A9" w:rsidRPr="00CD1278" w:rsidRDefault="008036A9" w:rsidP="006D0E9A">
            <w:pPr>
              <w:spacing w:before="40" w:after="40"/>
              <w:jc w:val="center"/>
              <w:rPr>
                <w:iCs/>
                <w:color w:val="auto"/>
                <w:sz w:val="20"/>
              </w:rPr>
            </w:pPr>
            <w:r w:rsidRPr="00CD1278">
              <w:rPr>
                <w:iCs/>
                <w:color w:val="auto"/>
                <w:sz w:val="20"/>
              </w:rPr>
              <w:t>175</w:t>
            </w:r>
          </w:p>
        </w:tc>
        <w:tc>
          <w:tcPr>
            <w:tcW w:w="1525" w:type="dxa"/>
            <w:vAlign w:val="center"/>
          </w:tcPr>
          <w:p w14:paraId="7358188D" w14:textId="77777777" w:rsidR="008036A9" w:rsidRPr="00CD1278" w:rsidRDefault="008036A9" w:rsidP="006D0E9A">
            <w:pPr>
              <w:spacing w:before="40" w:after="40"/>
              <w:jc w:val="center"/>
              <w:rPr>
                <w:iCs/>
                <w:color w:val="auto"/>
                <w:sz w:val="20"/>
              </w:rPr>
            </w:pPr>
            <w:r w:rsidRPr="00CD1278">
              <w:rPr>
                <w:iCs/>
                <w:color w:val="auto"/>
                <w:sz w:val="20"/>
              </w:rPr>
              <w:t>17.2</w:t>
            </w:r>
          </w:p>
        </w:tc>
        <w:tc>
          <w:tcPr>
            <w:tcW w:w="1134" w:type="dxa"/>
            <w:gridSpan w:val="3"/>
            <w:vAlign w:val="center"/>
          </w:tcPr>
          <w:p w14:paraId="15B2DD2D" w14:textId="77777777" w:rsidR="008036A9" w:rsidRPr="00CD1278" w:rsidRDefault="008036A9" w:rsidP="006D0E9A">
            <w:pPr>
              <w:spacing w:before="40" w:after="40"/>
              <w:jc w:val="center"/>
              <w:rPr>
                <w:iCs/>
                <w:color w:val="auto"/>
                <w:sz w:val="20"/>
              </w:rPr>
            </w:pPr>
            <w:r w:rsidRPr="00CD1278">
              <w:rPr>
                <w:iCs/>
                <w:color w:val="auto"/>
                <w:sz w:val="20"/>
              </w:rPr>
              <w:t>11.8</w:t>
            </w:r>
          </w:p>
        </w:tc>
        <w:tc>
          <w:tcPr>
            <w:tcW w:w="1134" w:type="dxa"/>
            <w:vAlign w:val="center"/>
          </w:tcPr>
          <w:p w14:paraId="09DBB5E2" w14:textId="77777777" w:rsidR="008036A9" w:rsidRPr="00CD1278" w:rsidRDefault="008036A9" w:rsidP="006D0E9A">
            <w:pPr>
              <w:spacing w:before="40" w:after="40"/>
              <w:jc w:val="center"/>
              <w:rPr>
                <w:iCs/>
                <w:color w:val="auto"/>
                <w:sz w:val="20"/>
              </w:rPr>
            </w:pPr>
            <w:r w:rsidRPr="00CD1278">
              <w:rPr>
                <w:iCs/>
                <w:color w:val="auto"/>
                <w:sz w:val="20"/>
              </w:rPr>
              <w:t>8.8</w:t>
            </w:r>
          </w:p>
        </w:tc>
        <w:tc>
          <w:tcPr>
            <w:tcW w:w="1447" w:type="dxa"/>
            <w:gridSpan w:val="3"/>
            <w:vAlign w:val="center"/>
          </w:tcPr>
          <w:p w14:paraId="4CDD4ADC" w14:textId="77777777" w:rsidR="008036A9" w:rsidRPr="00CD1278" w:rsidRDefault="008036A9" w:rsidP="006D0E9A">
            <w:pPr>
              <w:spacing w:before="40" w:after="40"/>
              <w:jc w:val="center"/>
              <w:rPr>
                <w:iCs/>
                <w:color w:val="auto"/>
                <w:sz w:val="20"/>
              </w:rPr>
            </w:pPr>
            <w:r w:rsidRPr="00CD1278">
              <w:rPr>
                <w:iCs/>
                <w:color w:val="auto"/>
                <w:sz w:val="20"/>
              </w:rPr>
              <w:t>5.3</w:t>
            </w:r>
          </w:p>
        </w:tc>
      </w:tr>
    </w:tbl>
    <w:p w14:paraId="37A90C57" w14:textId="5026A7D6" w:rsidR="008036A9" w:rsidRPr="00CD1278" w:rsidRDefault="008036A9" w:rsidP="008036A9">
      <w:pPr>
        <w:rPr>
          <w:i/>
          <w:iCs/>
          <w:color w:val="auto"/>
          <w:sz w:val="20"/>
        </w:rPr>
      </w:pPr>
      <w:r w:rsidRPr="00CD1278">
        <w:rPr>
          <w:i/>
          <w:iCs/>
          <w:color w:val="auto"/>
          <w:sz w:val="20"/>
        </w:rPr>
        <w:t>* Note:  Trials from 1996 to 2008 (</w:t>
      </w:r>
      <w:r w:rsidR="00AB7248" w:rsidRPr="00CD1278">
        <w:rPr>
          <w:i/>
          <w:iCs/>
          <w:color w:val="auto"/>
          <w:sz w:val="20"/>
        </w:rPr>
        <w:t>see pre</w:t>
      </w:r>
      <w:r w:rsidRPr="00CD1278">
        <w:rPr>
          <w:i/>
          <w:iCs/>
          <w:color w:val="auto"/>
          <w:sz w:val="20"/>
        </w:rPr>
        <w:t xml:space="preserve">vious </w:t>
      </w:r>
      <w:r w:rsidR="00AB7248" w:rsidRPr="00CD1278">
        <w:rPr>
          <w:i/>
          <w:iCs/>
          <w:color w:val="auto"/>
          <w:sz w:val="20"/>
        </w:rPr>
        <w:t xml:space="preserve">MBTOC </w:t>
      </w:r>
      <w:r w:rsidRPr="00CD1278">
        <w:rPr>
          <w:i/>
          <w:iCs/>
          <w:color w:val="auto"/>
          <w:sz w:val="20"/>
        </w:rPr>
        <w:t>CUN reports</w:t>
      </w:r>
      <w:r w:rsidR="00AB7248" w:rsidRPr="00CD1278">
        <w:rPr>
          <w:i/>
          <w:iCs/>
          <w:color w:val="auto"/>
          <w:sz w:val="20"/>
        </w:rPr>
        <w:t>: http://ozone.unep.org/en/assessment-panels/documents</w:t>
      </w:r>
      <w:r w:rsidRPr="00CD1278">
        <w:rPr>
          <w:i/>
          <w:iCs/>
          <w:color w:val="auto"/>
          <w:sz w:val="20"/>
        </w:rPr>
        <w:t>) show that a dosage of 10g/m</w:t>
      </w:r>
      <w:r w:rsidRPr="00CD1278">
        <w:rPr>
          <w:i/>
          <w:iCs/>
          <w:color w:val="auto"/>
          <w:sz w:val="20"/>
          <w:vertAlign w:val="superscript"/>
        </w:rPr>
        <w:t xml:space="preserve">2 </w:t>
      </w:r>
      <w:r w:rsidRPr="00CD1278">
        <w:rPr>
          <w:i/>
          <w:iCs/>
          <w:color w:val="auto"/>
          <w:sz w:val="20"/>
        </w:rPr>
        <w:t xml:space="preserve">(e.g. MB/Pic 50:50 at 200kg/ha with </w:t>
      </w:r>
      <w:r w:rsidR="002A08AB" w:rsidRPr="00CD1278">
        <w:rPr>
          <w:i/>
          <w:iCs/>
          <w:color w:val="auto"/>
          <w:sz w:val="20"/>
        </w:rPr>
        <w:t>L</w:t>
      </w:r>
      <w:r w:rsidRPr="00CD1278">
        <w:rPr>
          <w:i/>
          <w:iCs/>
          <w:color w:val="auto"/>
          <w:sz w:val="20"/>
        </w:rPr>
        <w:t xml:space="preserve">ow </w:t>
      </w:r>
      <w:r w:rsidR="002A08AB" w:rsidRPr="00CD1278">
        <w:rPr>
          <w:i/>
          <w:iCs/>
          <w:color w:val="auto"/>
          <w:sz w:val="20"/>
        </w:rPr>
        <w:t>P</w:t>
      </w:r>
      <w:r w:rsidRPr="00CD1278">
        <w:rPr>
          <w:i/>
          <w:iCs/>
          <w:color w:val="auto"/>
          <w:sz w:val="20"/>
        </w:rPr>
        <w:t xml:space="preserve">ermeability </w:t>
      </w:r>
      <w:r w:rsidR="002A08AB" w:rsidRPr="00CD1278">
        <w:rPr>
          <w:i/>
          <w:iCs/>
          <w:color w:val="auto"/>
          <w:sz w:val="20"/>
        </w:rPr>
        <w:t>B</w:t>
      </w:r>
      <w:r w:rsidRPr="00CD1278">
        <w:rPr>
          <w:i/>
          <w:iCs/>
          <w:color w:val="auto"/>
          <w:sz w:val="20"/>
        </w:rPr>
        <w:t>arrier Films) is technically feasible for many situations and equivalent to the standard dosage of &gt;20g/m</w:t>
      </w:r>
      <w:r w:rsidRPr="00CD1278">
        <w:rPr>
          <w:i/>
          <w:iCs/>
          <w:color w:val="auto"/>
          <w:sz w:val="20"/>
          <w:vertAlign w:val="superscript"/>
        </w:rPr>
        <w:t xml:space="preserve">2 </w:t>
      </w:r>
      <w:r w:rsidRPr="00CD1278">
        <w:rPr>
          <w:i/>
          <w:iCs/>
          <w:color w:val="auto"/>
          <w:sz w:val="20"/>
        </w:rPr>
        <w:t xml:space="preserve">using standard PE films </w:t>
      </w:r>
    </w:p>
    <w:p w14:paraId="6B4B339A" w14:textId="03F7E4DC" w:rsidR="008036A9" w:rsidRPr="00CD1278" w:rsidRDefault="00655D62" w:rsidP="00BE7C70">
      <w:pPr>
        <w:pStyle w:val="Heading2"/>
        <w:rPr>
          <w:lang w:val="en-GB"/>
        </w:rPr>
      </w:pPr>
      <w:bookmarkStart w:id="92" w:name="_Toc293054754"/>
      <w:bookmarkStart w:id="93" w:name="_Toc453277828"/>
      <w:r w:rsidRPr="00CD1278">
        <w:rPr>
          <w:lang w:val="en-GB"/>
        </w:rPr>
        <w:t>1</w:t>
      </w:r>
      <w:r w:rsidR="008036A9" w:rsidRPr="00CD1278">
        <w:rPr>
          <w:lang w:val="en-GB"/>
        </w:rPr>
        <w:t>.4.</w:t>
      </w:r>
      <w:r w:rsidR="001E3306" w:rsidRPr="00CD1278">
        <w:rPr>
          <w:lang w:val="en-GB"/>
        </w:rPr>
        <w:t>9</w:t>
      </w:r>
      <w:r w:rsidR="008036A9" w:rsidRPr="00CD1278">
        <w:rPr>
          <w:lang w:val="en-GB"/>
        </w:rPr>
        <w:tab/>
        <w:t xml:space="preserve">Use/Emission </w:t>
      </w:r>
      <w:r w:rsidR="007E22DE" w:rsidRPr="00CD1278">
        <w:rPr>
          <w:lang w:val="en-GB"/>
        </w:rPr>
        <w:t>R</w:t>
      </w:r>
      <w:r w:rsidR="008036A9" w:rsidRPr="00CD1278">
        <w:rPr>
          <w:lang w:val="en-GB"/>
        </w:rPr>
        <w:t xml:space="preserve">eduction </w:t>
      </w:r>
      <w:r w:rsidR="007E22DE" w:rsidRPr="00CD1278">
        <w:rPr>
          <w:lang w:val="en-GB"/>
        </w:rPr>
        <w:t>T</w:t>
      </w:r>
      <w:r w:rsidR="008036A9" w:rsidRPr="00CD1278">
        <w:rPr>
          <w:lang w:val="en-GB"/>
        </w:rPr>
        <w:t xml:space="preserve">echnologies - </w:t>
      </w:r>
      <w:r w:rsidR="0038722C" w:rsidRPr="00CD1278">
        <w:rPr>
          <w:lang w:val="en-GB"/>
        </w:rPr>
        <w:t>B</w:t>
      </w:r>
      <w:r w:rsidR="008036A9" w:rsidRPr="00CD1278">
        <w:rPr>
          <w:lang w:val="en-GB"/>
        </w:rPr>
        <w:t>arrier films and dosage reduction</w:t>
      </w:r>
      <w:bookmarkEnd w:id="91"/>
      <w:bookmarkEnd w:id="92"/>
      <w:bookmarkEnd w:id="93"/>
    </w:p>
    <w:p w14:paraId="3F079E85" w14:textId="74DE3106" w:rsidR="008036A9" w:rsidRPr="00CD1278" w:rsidRDefault="008036A9" w:rsidP="005A552B">
      <w:pPr>
        <w:rPr>
          <w:color w:val="auto"/>
        </w:rPr>
      </w:pPr>
      <w:r w:rsidRPr="00CD1278">
        <w:rPr>
          <w:color w:val="auto"/>
        </w:rPr>
        <w:t>Decision XXI/11 (para</w:t>
      </w:r>
      <w:r w:rsidR="00BF396C" w:rsidRPr="00CD1278">
        <w:rPr>
          <w:color w:val="auto"/>
        </w:rPr>
        <w:t>.</w:t>
      </w:r>
      <w:r w:rsidRPr="00CD1278">
        <w:rPr>
          <w:color w:val="auto"/>
        </w:rPr>
        <w:t xml:space="preserve"> 9) requested further reporting on Decision IX/6 to ensure Parties adopted emission controls where possible.  For preplant soil use, this includes the use of barrier films or other mi</w:t>
      </w:r>
      <w:r w:rsidR="00773A81" w:rsidRPr="00CD1278">
        <w:rPr>
          <w:color w:val="auto"/>
        </w:rPr>
        <w:t>t</w:t>
      </w:r>
      <w:r w:rsidRPr="00CD1278">
        <w:rPr>
          <w:color w:val="auto"/>
        </w:rPr>
        <w:t xml:space="preserve">igation strategies such as high moisture sealing and the lowest effective dose of MB with mixtures of chloropicrin.  Other methods include deep shanking and use of ammonium thiosulphate and different irrigation technologies (Yates </w:t>
      </w:r>
      <w:r w:rsidR="00EF30ED" w:rsidRPr="00CD1278">
        <w:rPr>
          <w:i/>
          <w:color w:val="auto"/>
        </w:rPr>
        <w:t>et al</w:t>
      </w:r>
      <w:r w:rsidRPr="00CD1278">
        <w:rPr>
          <w:i/>
          <w:color w:val="auto"/>
        </w:rPr>
        <w:t>.,</w:t>
      </w:r>
      <w:r w:rsidRPr="00CD1278">
        <w:rPr>
          <w:color w:val="auto"/>
        </w:rPr>
        <w:t xml:space="preserve"> 2009). These latter technologies have not been reported or adopted widely by Parties.</w:t>
      </w:r>
    </w:p>
    <w:p w14:paraId="3F450C78" w14:textId="749B1636" w:rsidR="00BC3257" w:rsidRPr="00CD1278" w:rsidRDefault="008036A9" w:rsidP="005A552B">
      <w:pPr>
        <w:spacing w:before="60" w:after="60"/>
        <w:rPr>
          <w:color w:val="auto"/>
          <w:szCs w:val="22"/>
        </w:rPr>
      </w:pPr>
      <w:r w:rsidRPr="00CD1278">
        <w:rPr>
          <w:snapToGrid w:val="0"/>
          <w:color w:val="auto"/>
        </w:rPr>
        <w:t>In southeast USA</w:t>
      </w:r>
      <w:r w:rsidR="008E4680" w:rsidRPr="00CD1278">
        <w:rPr>
          <w:snapToGrid w:val="0"/>
          <w:color w:val="auto"/>
        </w:rPr>
        <w:t>,</w:t>
      </w:r>
      <w:r w:rsidRPr="00CD1278">
        <w:rPr>
          <w:snapToGrid w:val="0"/>
          <w:color w:val="auto"/>
        </w:rPr>
        <w:t xml:space="preserve"> the reported use of ba</w:t>
      </w:r>
      <w:r w:rsidR="00B44B21" w:rsidRPr="00CD1278">
        <w:rPr>
          <w:snapToGrid w:val="0"/>
          <w:color w:val="auto"/>
        </w:rPr>
        <w:t xml:space="preserve">rrier films in vegetable crops </w:t>
      </w:r>
      <w:r w:rsidRPr="00CD1278">
        <w:rPr>
          <w:snapToGrid w:val="0"/>
          <w:color w:val="auto"/>
        </w:rPr>
        <w:t xml:space="preserve">expanded rapidly to over 20,000 hectares in </w:t>
      </w:r>
      <w:r w:rsidR="00B44B21" w:rsidRPr="00CD1278">
        <w:rPr>
          <w:snapToGrid w:val="0"/>
          <w:color w:val="auto"/>
        </w:rPr>
        <w:t>a few years.</w:t>
      </w:r>
      <w:r w:rsidRPr="00CD1278">
        <w:rPr>
          <w:snapToGrid w:val="0"/>
          <w:color w:val="auto"/>
        </w:rPr>
        <w:t xml:space="preserve"> MBTOC notes that barrier films particularly more recently developed totally impermeable (TIF) films can be used with alternatives and this is consistently improving the performance of alternatives at lower dosage rates (Driver </w:t>
      </w:r>
      <w:r w:rsidR="00EF30ED" w:rsidRPr="00CD1278">
        <w:rPr>
          <w:i/>
          <w:snapToGrid w:val="0"/>
          <w:color w:val="auto"/>
        </w:rPr>
        <w:t>et al</w:t>
      </w:r>
      <w:r w:rsidRPr="00CD1278">
        <w:rPr>
          <w:snapToGrid w:val="0"/>
          <w:color w:val="auto"/>
        </w:rPr>
        <w:t>. 2011</w:t>
      </w:r>
      <w:r w:rsidR="002B573B" w:rsidRPr="00CD1278">
        <w:rPr>
          <w:snapToGrid w:val="0"/>
          <w:color w:val="auto"/>
        </w:rPr>
        <w:t xml:space="preserve">; Cabrera </w:t>
      </w:r>
      <w:r w:rsidR="002B573B" w:rsidRPr="00CD1278">
        <w:rPr>
          <w:i/>
          <w:snapToGrid w:val="0"/>
          <w:color w:val="auto"/>
        </w:rPr>
        <w:t>et al.,</w:t>
      </w:r>
      <w:r w:rsidR="002B573B" w:rsidRPr="00CD1278">
        <w:rPr>
          <w:snapToGrid w:val="0"/>
          <w:color w:val="auto"/>
        </w:rPr>
        <w:t xml:space="preserve"> 201</w:t>
      </w:r>
      <w:r w:rsidR="00C67859" w:rsidRPr="00CD1278">
        <w:rPr>
          <w:snapToGrid w:val="0"/>
          <w:color w:val="auto"/>
        </w:rPr>
        <w:t>5</w:t>
      </w:r>
      <w:r w:rsidR="00B44B21" w:rsidRPr="00CD1278">
        <w:rPr>
          <w:snapToGrid w:val="0"/>
          <w:color w:val="auto"/>
        </w:rPr>
        <w:t>;</w:t>
      </w:r>
      <w:r w:rsidR="00B44B21" w:rsidRPr="00CD1278">
        <w:rPr>
          <w:color w:val="auto"/>
          <w:szCs w:val="22"/>
        </w:rPr>
        <w:t xml:space="preserve"> Weilland </w:t>
      </w:r>
      <w:r w:rsidR="00B44B21" w:rsidRPr="00CD1278">
        <w:rPr>
          <w:i/>
          <w:color w:val="auto"/>
          <w:szCs w:val="22"/>
        </w:rPr>
        <w:t xml:space="preserve">et al, </w:t>
      </w:r>
      <w:r w:rsidR="00B44B21" w:rsidRPr="00CD1278">
        <w:rPr>
          <w:color w:val="auto"/>
          <w:szCs w:val="22"/>
        </w:rPr>
        <w:t>2016</w:t>
      </w:r>
      <w:r w:rsidRPr="00CD1278">
        <w:rPr>
          <w:snapToGrid w:val="0"/>
          <w:color w:val="auto"/>
        </w:rPr>
        <w:t>)</w:t>
      </w:r>
      <w:r w:rsidR="00B44B21" w:rsidRPr="00CD1278">
        <w:rPr>
          <w:snapToGrid w:val="0"/>
          <w:color w:val="auto"/>
        </w:rPr>
        <w:t xml:space="preserve"> and making them more acceptable as a replacement to MB</w:t>
      </w:r>
      <w:r w:rsidRPr="00CD1278">
        <w:rPr>
          <w:snapToGrid w:val="0"/>
          <w:color w:val="auto"/>
        </w:rPr>
        <w:t xml:space="preserve">. </w:t>
      </w:r>
      <w:r w:rsidR="002B573B" w:rsidRPr="00CD1278">
        <w:rPr>
          <w:snapToGrid w:val="0"/>
          <w:color w:val="auto"/>
        </w:rPr>
        <w:t>For example, e</w:t>
      </w:r>
      <w:r w:rsidRPr="00CD1278">
        <w:rPr>
          <w:snapToGrid w:val="0"/>
          <w:color w:val="auto"/>
        </w:rPr>
        <w:t>ffectiveness at lower dosages can allow for greater areas to be treated with 1,3-D under township cap regulations</w:t>
      </w:r>
      <w:r w:rsidR="00B44B21" w:rsidRPr="00CD1278">
        <w:rPr>
          <w:snapToGrid w:val="0"/>
          <w:color w:val="auto"/>
        </w:rPr>
        <w:t xml:space="preserve"> in the US</w:t>
      </w:r>
      <w:r w:rsidR="00E41DD8" w:rsidRPr="00CD1278">
        <w:rPr>
          <w:snapToGrid w:val="0"/>
          <w:color w:val="auto"/>
        </w:rPr>
        <w:t>.</w:t>
      </w:r>
      <w:r w:rsidR="00B44B21" w:rsidRPr="00CD1278">
        <w:rPr>
          <w:snapToGrid w:val="0"/>
          <w:color w:val="auto"/>
        </w:rPr>
        <w:t xml:space="preserve">   </w:t>
      </w:r>
    </w:p>
    <w:p w14:paraId="6F080E37" w14:textId="77777777" w:rsidR="002C2F9B" w:rsidRPr="00CD1278" w:rsidRDefault="002C2F9B" w:rsidP="005A552B">
      <w:pPr>
        <w:spacing w:before="60" w:after="60"/>
        <w:rPr>
          <w:color w:val="auto"/>
          <w:szCs w:val="22"/>
        </w:rPr>
      </w:pPr>
    </w:p>
    <w:p w14:paraId="502EEECB" w14:textId="77777777" w:rsidR="002C2F9B" w:rsidRPr="00CD1278" w:rsidRDefault="002C2F9B" w:rsidP="009D2B4C">
      <w:pPr>
        <w:spacing w:before="60" w:after="60"/>
        <w:rPr>
          <w:rStyle w:val="FootnoteReference"/>
          <w:color w:val="auto"/>
        </w:rPr>
        <w:sectPr w:rsidR="002C2F9B" w:rsidRPr="00CD1278" w:rsidSect="0062421F">
          <w:headerReference w:type="even" r:id="rId54"/>
          <w:headerReference w:type="default" r:id="rId55"/>
          <w:footerReference w:type="even" r:id="rId56"/>
          <w:footerReference w:type="default" r:id="rId57"/>
          <w:headerReference w:type="first" r:id="rId58"/>
          <w:pgSz w:w="11909" w:h="16834" w:code="9"/>
          <w:pgMar w:top="1170" w:right="1440" w:bottom="1134" w:left="1440" w:header="720" w:footer="720" w:gutter="0"/>
          <w:cols w:space="720"/>
          <w:docGrid w:linePitch="360"/>
        </w:sectPr>
      </w:pPr>
    </w:p>
    <w:p w14:paraId="7CD5231D" w14:textId="666A6978" w:rsidR="009B6A47" w:rsidRPr="00CD1278" w:rsidRDefault="009B6A47" w:rsidP="00896422">
      <w:pPr>
        <w:pStyle w:val="Tableandfigureheadings"/>
        <w:ind w:left="90"/>
      </w:pPr>
      <w:r w:rsidRPr="00CD1278">
        <w:t xml:space="preserve">Table 1-9. </w:t>
      </w:r>
      <w:r w:rsidR="00D57053" w:rsidRPr="00CD1278">
        <w:t xml:space="preserve">Interim </w:t>
      </w:r>
      <w:r w:rsidRPr="00CD1278">
        <w:t xml:space="preserve">recommendations for CUNs from non A5 Parties for preplant soil </w:t>
      </w:r>
      <w:r w:rsidR="003030D4" w:rsidRPr="00CD1278">
        <w:t xml:space="preserve">fumigation </w:t>
      </w:r>
      <w:r w:rsidRPr="00CD1278">
        <w:t xml:space="preserve">submitted in 2018 for </w:t>
      </w:r>
      <w:r w:rsidR="00D57053" w:rsidRPr="00CD1278">
        <w:t xml:space="preserve">use in </w:t>
      </w:r>
      <w:r w:rsidRPr="00CD1278">
        <w:t>2019 and 2020</w:t>
      </w:r>
      <w:r w:rsidR="00D57053" w:rsidRPr="00CD1278">
        <w:t xml:space="preserve">. </w:t>
      </w:r>
    </w:p>
    <w:tbl>
      <w:tblPr>
        <w:tblW w:w="15480"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2"/>
        <w:gridCol w:w="1135"/>
        <w:gridCol w:w="737"/>
        <w:gridCol w:w="709"/>
        <w:gridCol w:w="709"/>
        <w:gridCol w:w="708"/>
        <w:gridCol w:w="709"/>
        <w:gridCol w:w="709"/>
        <w:gridCol w:w="709"/>
        <w:gridCol w:w="708"/>
        <w:gridCol w:w="709"/>
        <w:gridCol w:w="851"/>
        <w:gridCol w:w="850"/>
        <w:gridCol w:w="851"/>
        <w:gridCol w:w="850"/>
        <w:gridCol w:w="851"/>
        <w:gridCol w:w="850"/>
        <w:gridCol w:w="851"/>
        <w:gridCol w:w="992"/>
      </w:tblGrid>
      <w:tr w:rsidR="003C102E" w:rsidRPr="00CD1278" w14:paraId="7FFB8B38" w14:textId="77777777" w:rsidTr="00220027">
        <w:trPr>
          <w:trHeight w:val="440"/>
        </w:trPr>
        <w:tc>
          <w:tcPr>
            <w:tcW w:w="992" w:type="dxa"/>
            <w:tcBorders>
              <w:top w:val="single" w:sz="4" w:space="0" w:color="auto"/>
            </w:tcBorders>
            <w:vAlign w:val="center"/>
          </w:tcPr>
          <w:p w14:paraId="17B0FD02" w14:textId="77777777" w:rsidR="00176BB4" w:rsidRPr="00CD1278" w:rsidRDefault="00176BB4" w:rsidP="00A50F28">
            <w:pPr>
              <w:spacing w:before="40" w:after="40"/>
              <w:rPr>
                <w:rFonts w:ascii="Arial" w:hAnsi="Arial" w:cs="Arial"/>
                <w:b/>
                <w:color w:val="auto"/>
                <w:sz w:val="18"/>
                <w:szCs w:val="18"/>
              </w:rPr>
            </w:pPr>
            <w:r w:rsidRPr="00CD1278">
              <w:rPr>
                <w:rFonts w:ascii="Arial" w:hAnsi="Arial" w:cs="Arial"/>
                <w:b/>
                <w:color w:val="auto"/>
                <w:sz w:val="18"/>
                <w:szCs w:val="18"/>
              </w:rPr>
              <w:t>Country</w:t>
            </w:r>
          </w:p>
        </w:tc>
        <w:tc>
          <w:tcPr>
            <w:tcW w:w="1135" w:type="dxa"/>
            <w:tcBorders>
              <w:top w:val="single" w:sz="4" w:space="0" w:color="auto"/>
            </w:tcBorders>
            <w:vAlign w:val="center"/>
          </w:tcPr>
          <w:p w14:paraId="7BE6F7BC" w14:textId="77777777" w:rsidR="00176BB4" w:rsidRPr="00CD1278" w:rsidRDefault="00176BB4" w:rsidP="00A50F28">
            <w:pPr>
              <w:spacing w:before="40" w:after="40"/>
              <w:rPr>
                <w:rFonts w:ascii="Arial" w:hAnsi="Arial" w:cs="Arial"/>
                <w:b/>
                <w:color w:val="auto"/>
                <w:sz w:val="18"/>
                <w:szCs w:val="18"/>
              </w:rPr>
            </w:pPr>
            <w:r w:rsidRPr="00CD1278">
              <w:rPr>
                <w:rFonts w:ascii="Arial" w:hAnsi="Arial" w:cs="Arial"/>
                <w:b/>
                <w:color w:val="auto"/>
                <w:sz w:val="18"/>
                <w:szCs w:val="18"/>
              </w:rPr>
              <w:t>Industry</w:t>
            </w:r>
          </w:p>
        </w:tc>
        <w:tc>
          <w:tcPr>
            <w:tcW w:w="737" w:type="dxa"/>
            <w:tcBorders>
              <w:top w:val="single" w:sz="4" w:space="0" w:color="auto"/>
            </w:tcBorders>
            <w:vAlign w:val="center"/>
          </w:tcPr>
          <w:p w14:paraId="66BAE879" w14:textId="77777777" w:rsidR="00176BB4" w:rsidRPr="00CD1278" w:rsidRDefault="00176BB4" w:rsidP="00A50F28">
            <w:pPr>
              <w:spacing w:before="40" w:after="40"/>
              <w:jc w:val="center"/>
              <w:rPr>
                <w:rFonts w:ascii="Arial" w:hAnsi="Arial" w:cs="Arial"/>
                <w:b/>
                <w:color w:val="auto"/>
                <w:sz w:val="16"/>
                <w:szCs w:val="16"/>
              </w:rPr>
            </w:pPr>
            <w:r w:rsidRPr="00CD1278">
              <w:rPr>
                <w:rFonts w:ascii="Arial" w:hAnsi="Arial" w:cs="Arial"/>
                <w:b/>
                <w:color w:val="auto"/>
                <w:sz w:val="16"/>
                <w:szCs w:val="16"/>
              </w:rPr>
              <w:t>CUE for 2005</w:t>
            </w:r>
            <w:r w:rsidRPr="00CD1278">
              <w:rPr>
                <w:rFonts w:ascii="Arial" w:hAnsi="Arial" w:cs="Arial"/>
                <w:b/>
                <w:color w:val="auto"/>
                <w:sz w:val="16"/>
                <w:szCs w:val="16"/>
                <w:vertAlign w:val="superscript"/>
              </w:rPr>
              <w:t>1</w:t>
            </w:r>
          </w:p>
        </w:tc>
        <w:tc>
          <w:tcPr>
            <w:tcW w:w="709" w:type="dxa"/>
            <w:tcBorders>
              <w:top w:val="single" w:sz="4" w:space="0" w:color="auto"/>
            </w:tcBorders>
            <w:vAlign w:val="center"/>
          </w:tcPr>
          <w:p w14:paraId="2B75497E" w14:textId="77777777" w:rsidR="00176BB4" w:rsidRPr="00CD1278" w:rsidRDefault="00176BB4" w:rsidP="00A50F28">
            <w:pPr>
              <w:spacing w:before="40" w:after="40"/>
              <w:jc w:val="center"/>
              <w:rPr>
                <w:rFonts w:ascii="Arial" w:hAnsi="Arial" w:cs="Arial"/>
                <w:b/>
                <w:color w:val="auto"/>
                <w:sz w:val="16"/>
                <w:szCs w:val="16"/>
              </w:rPr>
            </w:pPr>
            <w:r w:rsidRPr="00CD1278">
              <w:rPr>
                <w:rFonts w:ascii="Arial" w:hAnsi="Arial" w:cs="Arial"/>
                <w:b/>
                <w:color w:val="auto"/>
                <w:sz w:val="16"/>
                <w:szCs w:val="16"/>
              </w:rPr>
              <w:t>CUE for 2006</w:t>
            </w:r>
            <w:r w:rsidRPr="00CD1278">
              <w:rPr>
                <w:rFonts w:ascii="Arial" w:hAnsi="Arial" w:cs="Arial"/>
                <w:b/>
                <w:color w:val="auto"/>
                <w:sz w:val="16"/>
                <w:szCs w:val="16"/>
                <w:vertAlign w:val="superscript"/>
              </w:rPr>
              <w:t>2</w:t>
            </w:r>
          </w:p>
        </w:tc>
        <w:tc>
          <w:tcPr>
            <w:tcW w:w="709" w:type="dxa"/>
            <w:tcBorders>
              <w:top w:val="single" w:sz="4" w:space="0" w:color="auto"/>
            </w:tcBorders>
            <w:vAlign w:val="center"/>
          </w:tcPr>
          <w:p w14:paraId="4D9130F4" w14:textId="77777777" w:rsidR="00176BB4" w:rsidRPr="00CD1278" w:rsidRDefault="00176BB4" w:rsidP="00A50F28">
            <w:pPr>
              <w:spacing w:before="40" w:after="40"/>
              <w:jc w:val="center"/>
              <w:rPr>
                <w:rFonts w:ascii="Arial" w:hAnsi="Arial" w:cs="Arial"/>
                <w:b/>
                <w:color w:val="auto"/>
                <w:sz w:val="16"/>
                <w:szCs w:val="16"/>
              </w:rPr>
            </w:pPr>
            <w:r w:rsidRPr="00CD1278">
              <w:rPr>
                <w:rFonts w:ascii="Arial" w:hAnsi="Arial" w:cs="Arial"/>
                <w:b/>
                <w:color w:val="auto"/>
                <w:sz w:val="16"/>
                <w:szCs w:val="16"/>
              </w:rPr>
              <w:t>CUE for 2007</w:t>
            </w:r>
            <w:r w:rsidRPr="00CD1278">
              <w:rPr>
                <w:rFonts w:ascii="Arial" w:hAnsi="Arial" w:cs="Arial"/>
                <w:b/>
                <w:color w:val="auto"/>
                <w:sz w:val="16"/>
                <w:szCs w:val="16"/>
                <w:vertAlign w:val="superscript"/>
              </w:rPr>
              <w:t>3</w:t>
            </w:r>
          </w:p>
        </w:tc>
        <w:tc>
          <w:tcPr>
            <w:tcW w:w="708" w:type="dxa"/>
            <w:tcBorders>
              <w:top w:val="single" w:sz="4" w:space="0" w:color="auto"/>
            </w:tcBorders>
            <w:vAlign w:val="center"/>
          </w:tcPr>
          <w:p w14:paraId="560FD3BC" w14:textId="77777777" w:rsidR="00176BB4" w:rsidRPr="00CD1278" w:rsidRDefault="00176BB4" w:rsidP="00A50F28">
            <w:pPr>
              <w:spacing w:before="40" w:after="40"/>
              <w:jc w:val="center"/>
              <w:rPr>
                <w:rFonts w:ascii="Arial" w:hAnsi="Arial" w:cs="Arial"/>
                <w:b/>
                <w:color w:val="auto"/>
                <w:sz w:val="16"/>
                <w:szCs w:val="16"/>
              </w:rPr>
            </w:pPr>
            <w:r w:rsidRPr="00CD1278">
              <w:rPr>
                <w:rFonts w:ascii="Arial" w:hAnsi="Arial" w:cs="Arial"/>
                <w:b/>
                <w:color w:val="auto"/>
                <w:sz w:val="16"/>
                <w:szCs w:val="16"/>
              </w:rPr>
              <w:t>CUE for 2008</w:t>
            </w:r>
            <w:r w:rsidRPr="00CD1278">
              <w:rPr>
                <w:rFonts w:ascii="Arial" w:hAnsi="Arial" w:cs="Arial"/>
                <w:b/>
                <w:color w:val="auto"/>
                <w:sz w:val="16"/>
                <w:szCs w:val="16"/>
                <w:vertAlign w:val="superscript"/>
              </w:rPr>
              <w:t>4</w:t>
            </w:r>
          </w:p>
        </w:tc>
        <w:tc>
          <w:tcPr>
            <w:tcW w:w="709" w:type="dxa"/>
            <w:tcBorders>
              <w:top w:val="single" w:sz="4" w:space="0" w:color="auto"/>
            </w:tcBorders>
            <w:vAlign w:val="center"/>
          </w:tcPr>
          <w:p w14:paraId="383ABDFF" w14:textId="77777777" w:rsidR="00176BB4" w:rsidRPr="00CD1278" w:rsidRDefault="00176BB4" w:rsidP="00A50F28">
            <w:pPr>
              <w:tabs>
                <w:tab w:val="left" w:pos="35"/>
              </w:tabs>
              <w:spacing w:before="40" w:after="40"/>
              <w:jc w:val="center"/>
              <w:rPr>
                <w:rFonts w:ascii="Arial" w:hAnsi="Arial" w:cs="Arial"/>
                <w:b/>
                <w:color w:val="auto"/>
                <w:sz w:val="16"/>
                <w:szCs w:val="16"/>
              </w:rPr>
            </w:pPr>
            <w:r w:rsidRPr="00CD1278">
              <w:rPr>
                <w:rFonts w:ascii="Arial" w:hAnsi="Arial" w:cs="Arial"/>
                <w:b/>
                <w:color w:val="auto"/>
                <w:sz w:val="16"/>
                <w:szCs w:val="16"/>
              </w:rPr>
              <w:t>CUE for 2009</w:t>
            </w:r>
            <w:r w:rsidRPr="00CD1278">
              <w:rPr>
                <w:rFonts w:ascii="Arial" w:hAnsi="Arial" w:cs="Arial"/>
                <w:b/>
                <w:color w:val="auto"/>
                <w:sz w:val="16"/>
                <w:szCs w:val="16"/>
                <w:vertAlign w:val="superscript"/>
              </w:rPr>
              <w:t>5</w:t>
            </w:r>
          </w:p>
        </w:tc>
        <w:tc>
          <w:tcPr>
            <w:tcW w:w="709" w:type="dxa"/>
            <w:tcBorders>
              <w:top w:val="single" w:sz="4" w:space="0" w:color="auto"/>
            </w:tcBorders>
            <w:vAlign w:val="center"/>
          </w:tcPr>
          <w:p w14:paraId="4097AC4A" w14:textId="77777777" w:rsidR="00176BB4" w:rsidRPr="00CD1278" w:rsidRDefault="00176BB4" w:rsidP="00A50F28">
            <w:pPr>
              <w:spacing w:before="40" w:after="40"/>
              <w:jc w:val="center"/>
              <w:rPr>
                <w:rFonts w:ascii="Arial" w:hAnsi="Arial" w:cs="Arial"/>
                <w:b/>
                <w:color w:val="auto"/>
                <w:sz w:val="16"/>
                <w:szCs w:val="16"/>
              </w:rPr>
            </w:pPr>
            <w:r w:rsidRPr="00CD1278">
              <w:rPr>
                <w:rFonts w:ascii="Arial" w:hAnsi="Arial" w:cs="Arial"/>
                <w:b/>
                <w:color w:val="auto"/>
                <w:sz w:val="16"/>
                <w:szCs w:val="16"/>
              </w:rPr>
              <w:t>CUE for 2010</w:t>
            </w:r>
            <w:r w:rsidRPr="00CD1278">
              <w:rPr>
                <w:rFonts w:ascii="Arial" w:hAnsi="Arial" w:cs="Arial"/>
                <w:b/>
                <w:color w:val="auto"/>
                <w:sz w:val="16"/>
                <w:szCs w:val="16"/>
                <w:vertAlign w:val="superscript"/>
              </w:rPr>
              <w:t>6</w:t>
            </w:r>
          </w:p>
        </w:tc>
        <w:tc>
          <w:tcPr>
            <w:tcW w:w="709" w:type="dxa"/>
            <w:tcBorders>
              <w:top w:val="single" w:sz="4" w:space="0" w:color="auto"/>
            </w:tcBorders>
            <w:vAlign w:val="center"/>
          </w:tcPr>
          <w:p w14:paraId="15B965C2" w14:textId="77777777" w:rsidR="00176BB4" w:rsidRPr="00CD1278" w:rsidRDefault="00176BB4" w:rsidP="00A50F28">
            <w:pPr>
              <w:spacing w:before="40" w:after="40"/>
              <w:jc w:val="center"/>
              <w:rPr>
                <w:rFonts w:ascii="Arial" w:hAnsi="Arial" w:cs="Arial"/>
                <w:b/>
                <w:color w:val="auto"/>
                <w:sz w:val="16"/>
                <w:szCs w:val="16"/>
              </w:rPr>
            </w:pPr>
            <w:r w:rsidRPr="00CD1278">
              <w:rPr>
                <w:rFonts w:ascii="Arial" w:hAnsi="Arial" w:cs="Arial"/>
                <w:b/>
                <w:color w:val="auto"/>
                <w:sz w:val="16"/>
                <w:szCs w:val="16"/>
              </w:rPr>
              <w:t>CUE for 2011</w:t>
            </w:r>
            <w:r w:rsidRPr="00CD1278">
              <w:rPr>
                <w:rFonts w:ascii="Arial" w:hAnsi="Arial" w:cs="Arial"/>
                <w:b/>
                <w:color w:val="auto"/>
                <w:sz w:val="16"/>
                <w:szCs w:val="16"/>
                <w:vertAlign w:val="superscript"/>
              </w:rPr>
              <w:t>7</w:t>
            </w:r>
          </w:p>
        </w:tc>
        <w:tc>
          <w:tcPr>
            <w:tcW w:w="708" w:type="dxa"/>
            <w:tcBorders>
              <w:top w:val="single" w:sz="4" w:space="0" w:color="auto"/>
            </w:tcBorders>
            <w:vAlign w:val="center"/>
          </w:tcPr>
          <w:p w14:paraId="048172E9" w14:textId="77777777" w:rsidR="00176BB4" w:rsidRPr="00CD1278" w:rsidRDefault="00176BB4" w:rsidP="00A50F28">
            <w:pPr>
              <w:spacing w:before="40" w:after="40"/>
              <w:jc w:val="center"/>
              <w:rPr>
                <w:rFonts w:ascii="Arial" w:hAnsi="Arial" w:cs="Arial"/>
                <w:b/>
                <w:color w:val="auto"/>
                <w:sz w:val="16"/>
                <w:szCs w:val="16"/>
              </w:rPr>
            </w:pPr>
            <w:r w:rsidRPr="00CD1278">
              <w:rPr>
                <w:rFonts w:ascii="Arial" w:hAnsi="Arial" w:cs="Arial"/>
                <w:b/>
                <w:color w:val="auto"/>
                <w:sz w:val="16"/>
                <w:szCs w:val="16"/>
              </w:rPr>
              <w:t>CUE for 2012</w:t>
            </w:r>
            <w:r w:rsidRPr="00CD1278">
              <w:rPr>
                <w:rFonts w:ascii="Arial" w:hAnsi="Arial" w:cs="Arial"/>
                <w:b/>
                <w:color w:val="auto"/>
                <w:sz w:val="16"/>
                <w:szCs w:val="16"/>
                <w:vertAlign w:val="superscript"/>
              </w:rPr>
              <w:t>8</w:t>
            </w:r>
          </w:p>
        </w:tc>
        <w:tc>
          <w:tcPr>
            <w:tcW w:w="709" w:type="dxa"/>
            <w:tcBorders>
              <w:top w:val="single" w:sz="4" w:space="0" w:color="auto"/>
            </w:tcBorders>
            <w:vAlign w:val="center"/>
          </w:tcPr>
          <w:p w14:paraId="7522074B" w14:textId="77777777" w:rsidR="00176BB4" w:rsidRPr="00CD1278" w:rsidRDefault="00176BB4" w:rsidP="00A50F28">
            <w:pPr>
              <w:spacing w:before="40" w:after="40"/>
              <w:jc w:val="center"/>
              <w:rPr>
                <w:rFonts w:ascii="Arial" w:hAnsi="Arial" w:cs="Arial"/>
                <w:b/>
                <w:color w:val="auto"/>
                <w:sz w:val="16"/>
                <w:szCs w:val="16"/>
                <w:vertAlign w:val="superscript"/>
              </w:rPr>
            </w:pPr>
            <w:r w:rsidRPr="00CD1278">
              <w:rPr>
                <w:rFonts w:ascii="Arial" w:hAnsi="Arial" w:cs="Arial"/>
                <w:b/>
                <w:color w:val="auto"/>
                <w:sz w:val="16"/>
                <w:szCs w:val="16"/>
              </w:rPr>
              <w:t>CUE for 2013</w:t>
            </w:r>
            <w:r w:rsidRPr="00CD1278">
              <w:rPr>
                <w:rFonts w:ascii="Arial" w:hAnsi="Arial" w:cs="Arial"/>
                <w:b/>
                <w:color w:val="auto"/>
                <w:sz w:val="16"/>
                <w:szCs w:val="16"/>
                <w:vertAlign w:val="superscript"/>
              </w:rPr>
              <w:t>9</w:t>
            </w:r>
          </w:p>
        </w:tc>
        <w:tc>
          <w:tcPr>
            <w:tcW w:w="851" w:type="dxa"/>
            <w:tcBorders>
              <w:top w:val="single" w:sz="4" w:space="0" w:color="auto"/>
            </w:tcBorders>
            <w:vAlign w:val="center"/>
          </w:tcPr>
          <w:p w14:paraId="357EC05B" w14:textId="6D620EB4" w:rsidR="00176BB4" w:rsidRPr="00CD1278" w:rsidRDefault="00176BB4" w:rsidP="00176BB4">
            <w:pPr>
              <w:spacing w:before="40" w:after="40"/>
              <w:jc w:val="center"/>
              <w:rPr>
                <w:rFonts w:ascii="Arial" w:hAnsi="Arial" w:cs="Arial"/>
                <w:b/>
                <w:color w:val="auto"/>
                <w:sz w:val="16"/>
                <w:szCs w:val="16"/>
              </w:rPr>
            </w:pPr>
            <w:r w:rsidRPr="00CD1278">
              <w:rPr>
                <w:rFonts w:ascii="Arial" w:hAnsi="Arial" w:cs="Arial"/>
                <w:b/>
                <w:color w:val="auto"/>
                <w:sz w:val="16"/>
                <w:szCs w:val="16"/>
              </w:rPr>
              <w:t>CUE for 2014</w:t>
            </w:r>
            <w:r w:rsidRPr="00CD1278">
              <w:rPr>
                <w:rFonts w:ascii="Arial" w:hAnsi="Arial" w:cs="Arial"/>
                <w:b/>
                <w:color w:val="auto"/>
                <w:sz w:val="16"/>
                <w:szCs w:val="16"/>
                <w:vertAlign w:val="superscript"/>
              </w:rPr>
              <w:t>10</w:t>
            </w:r>
          </w:p>
        </w:tc>
        <w:tc>
          <w:tcPr>
            <w:tcW w:w="850" w:type="dxa"/>
            <w:tcBorders>
              <w:top w:val="single" w:sz="4" w:space="0" w:color="auto"/>
            </w:tcBorders>
            <w:vAlign w:val="center"/>
          </w:tcPr>
          <w:p w14:paraId="5AA6437D" w14:textId="77777777" w:rsidR="00176BB4" w:rsidRPr="00CD1278" w:rsidRDefault="00176BB4" w:rsidP="00A50F28">
            <w:pPr>
              <w:spacing w:before="40" w:after="40"/>
              <w:jc w:val="center"/>
              <w:rPr>
                <w:rFonts w:ascii="Arial" w:hAnsi="Arial" w:cs="Arial"/>
                <w:b/>
                <w:color w:val="auto"/>
                <w:sz w:val="16"/>
                <w:szCs w:val="16"/>
              </w:rPr>
            </w:pPr>
            <w:r w:rsidRPr="00CD1278">
              <w:rPr>
                <w:rFonts w:ascii="Arial" w:hAnsi="Arial" w:cs="Arial"/>
                <w:b/>
                <w:color w:val="auto"/>
                <w:sz w:val="16"/>
                <w:szCs w:val="16"/>
              </w:rPr>
              <w:t>CUE for 2015</w:t>
            </w:r>
            <w:r w:rsidRPr="00CD1278">
              <w:rPr>
                <w:rFonts w:ascii="Arial" w:hAnsi="Arial" w:cs="Arial"/>
                <w:b/>
                <w:color w:val="auto"/>
                <w:sz w:val="16"/>
                <w:szCs w:val="16"/>
                <w:vertAlign w:val="superscript"/>
              </w:rPr>
              <w:t>11</w:t>
            </w:r>
          </w:p>
        </w:tc>
        <w:tc>
          <w:tcPr>
            <w:tcW w:w="851" w:type="dxa"/>
            <w:tcBorders>
              <w:top w:val="single" w:sz="4" w:space="0" w:color="auto"/>
            </w:tcBorders>
            <w:vAlign w:val="center"/>
          </w:tcPr>
          <w:p w14:paraId="377809D9" w14:textId="77777777" w:rsidR="00176BB4" w:rsidRPr="00CD1278" w:rsidRDefault="00176BB4" w:rsidP="00A50F28">
            <w:pPr>
              <w:spacing w:before="40" w:after="40"/>
              <w:jc w:val="center"/>
              <w:rPr>
                <w:rFonts w:ascii="Arial" w:hAnsi="Arial" w:cs="Arial"/>
                <w:b/>
                <w:color w:val="auto"/>
                <w:sz w:val="16"/>
                <w:szCs w:val="16"/>
              </w:rPr>
            </w:pPr>
            <w:r w:rsidRPr="00CD1278">
              <w:rPr>
                <w:rFonts w:ascii="Arial" w:hAnsi="Arial" w:cs="Arial"/>
                <w:b/>
                <w:color w:val="auto"/>
                <w:sz w:val="16"/>
                <w:szCs w:val="16"/>
              </w:rPr>
              <w:t>CUE for 2016</w:t>
            </w:r>
            <w:r w:rsidRPr="00CD1278">
              <w:rPr>
                <w:rFonts w:ascii="Arial" w:hAnsi="Arial" w:cs="Arial"/>
                <w:b/>
                <w:color w:val="auto"/>
                <w:sz w:val="16"/>
                <w:szCs w:val="16"/>
                <w:vertAlign w:val="superscript"/>
              </w:rPr>
              <w:t>12</w:t>
            </w:r>
          </w:p>
        </w:tc>
        <w:tc>
          <w:tcPr>
            <w:tcW w:w="850" w:type="dxa"/>
            <w:tcBorders>
              <w:top w:val="single" w:sz="4" w:space="0" w:color="auto"/>
            </w:tcBorders>
            <w:vAlign w:val="center"/>
          </w:tcPr>
          <w:p w14:paraId="131E91D7" w14:textId="77777777" w:rsidR="00176BB4" w:rsidRPr="00CD1278" w:rsidRDefault="00176BB4" w:rsidP="00A50F28">
            <w:pPr>
              <w:spacing w:before="40" w:after="0"/>
              <w:jc w:val="center"/>
              <w:rPr>
                <w:rFonts w:ascii="Arial" w:hAnsi="Arial" w:cs="Arial"/>
                <w:b/>
                <w:color w:val="auto"/>
                <w:sz w:val="16"/>
                <w:szCs w:val="16"/>
              </w:rPr>
            </w:pPr>
            <w:r w:rsidRPr="00CD1278">
              <w:rPr>
                <w:rFonts w:ascii="Arial" w:hAnsi="Arial" w:cs="Arial"/>
                <w:b/>
                <w:color w:val="auto"/>
                <w:sz w:val="16"/>
                <w:szCs w:val="16"/>
              </w:rPr>
              <w:t>CUE for 2017</w:t>
            </w:r>
            <w:r w:rsidRPr="00CD1278">
              <w:rPr>
                <w:rFonts w:ascii="Arial" w:hAnsi="Arial" w:cs="Arial"/>
                <w:b/>
                <w:color w:val="auto"/>
                <w:sz w:val="16"/>
                <w:szCs w:val="16"/>
                <w:vertAlign w:val="superscript"/>
              </w:rPr>
              <w:t>13</w:t>
            </w:r>
          </w:p>
        </w:tc>
        <w:tc>
          <w:tcPr>
            <w:tcW w:w="851" w:type="dxa"/>
            <w:tcBorders>
              <w:top w:val="single" w:sz="4" w:space="0" w:color="auto"/>
            </w:tcBorders>
            <w:vAlign w:val="center"/>
          </w:tcPr>
          <w:p w14:paraId="16CDADF0" w14:textId="7235AED3" w:rsidR="00176BB4" w:rsidRPr="00CD1278" w:rsidRDefault="00176BB4" w:rsidP="00176BB4">
            <w:pPr>
              <w:spacing w:before="40" w:after="0"/>
              <w:jc w:val="center"/>
              <w:rPr>
                <w:rFonts w:ascii="Arial" w:hAnsi="Arial" w:cs="Arial"/>
                <w:b/>
                <w:color w:val="auto"/>
                <w:sz w:val="16"/>
                <w:szCs w:val="16"/>
              </w:rPr>
            </w:pPr>
            <w:r w:rsidRPr="00CD1278">
              <w:rPr>
                <w:rFonts w:ascii="Arial" w:hAnsi="Arial" w:cs="Arial"/>
                <w:b/>
                <w:color w:val="auto"/>
                <w:sz w:val="16"/>
                <w:szCs w:val="16"/>
              </w:rPr>
              <w:t>CUE for 2018</w:t>
            </w:r>
            <w:r w:rsidRPr="00CD1278">
              <w:rPr>
                <w:rFonts w:ascii="Arial" w:hAnsi="Arial" w:cs="Arial"/>
                <w:b/>
                <w:color w:val="auto"/>
                <w:sz w:val="16"/>
                <w:szCs w:val="16"/>
                <w:vertAlign w:val="superscript"/>
              </w:rPr>
              <w:t>14</w:t>
            </w:r>
          </w:p>
        </w:tc>
        <w:tc>
          <w:tcPr>
            <w:tcW w:w="850" w:type="dxa"/>
            <w:tcBorders>
              <w:top w:val="single" w:sz="4" w:space="0" w:color="auto"/>
            </w:tcBorders>
            <w:vAlign w:val="center"/>
          </w:tcPr>
          <w:p w14:paraId="0B763DB4" w14:textId="783204F9" w:rsidR="00176BB4" w:rsidRPr="00CD1278" w:rsidRDefault="00176BB4" w:rsidP="00220027">
            <w:pPr>
              <w:spacing w:before="40" w:after="0"/>
              <w:jc w:val="center"/>
              <w:rPr>
                <w:rFonts w:ascii="Arial" w:hAnsi="Arial" w:cs="Arial"/>
                <w:b/>
                <w:color w:val="auto"/>
                <w:sz w:val="16"/>
                <w:szCs w:val="16"/>
              </w:rPr>
            </w:pPr>
            <w:r w:rsidRPr="00CD1278">
              <w:rPr>
                <w:rFonts w:ascii="Arial" w:hAnsi="Arial" w:cs="Arial"/>
                <w:b/>
                <w:color w:val="auto"/>
                <w:sz w:val="16"/>
                <w:szCs w:val="16"/>
              </w:rPr>
              <w:t>CUE for 2019</w:t>
            </w:r>
            <w:r w:rsidRPr="00CD1278">
              <w:rPr>
                <w:rFonts w:ascii="Arial" w:hAnsi="Arial" w:cs="Arial"/>
                <w:b/>
                <w:color w:val="auto"/>
                <w:sz w:val="16"/>
                <w:szCs w:val="16"/>
                <w:vertAlign w:val="superscript"/>
              </w:rPr>
              <w:t>15</w:t>
            </w:r>
          </w:p>
        </w:tc>
        <w:tc>
          <w:tcPr>
            <w:tcW w:w="851" w:type="dxa"/>
            <w:tcBorders>
              <w:top w:val="single" w:sz="4" w:space="0" w:color="auto"/>
            </w:tcBorders>
            <w:vAlign w:val="center"/>
          </w:tcPr>
          <w:p w14:paraId="7DC88C61" w14:textId="2689A71D" w:rsidR="00176BB4" w:rsidRPr="00CD1278" w:rsidRDefault="00176BB4" w:rsidP="00220027">
            <w:pPr>
              <w:spacing w:before="40" w:after="0"/>
              <w:jc w:val="center"/>
              <w:rPr>
                <w:rFonts w:ascii="Arial" w:hAnsi="Arial" w:cs="Arial"/>
                <w:b/>
                <w:color w:val="auto"/>
                <w:sz w:val="16"/>
                <w:szCs w:val="16"/>
              </w:rPr>
            </w:pPr>
            <w:r w:rsidRPr="00CD1278">
              <w:rPr>
                <w:rFonts w:ascii="Arial" w:hAnsi="Arial" w:cs="Arial"/>
                <w:b/>
                <w:color w:val="auto"/>
                <w:sz w:val="16"/>
                <w:szCs w:val="16"/>
              </w:rPr>
              <w:t>CUN for 2020</w:t>
            </w:r>
          </w:p>
        </w:tc>
        <w:tc>
          <w:tcPr>
            <w:tcW w:w="992" w:type="dxa"/>
            <w:tcBorders>
              <w:top w:val="single" w:sz="4" w:space="0" w:color="auto"/>
            </w:tcBorders>
          </w:tcPr>
          <w:p w14:paraId="59141DB9" w14:textId="77777777" w:rsidR="00176BB4" w:rsidRPr="00CD1278" w:rsidRDefault="00176BB4" w:rsidP="00176BB4">
            <w:pPr>
              <w:spacing w:before="40" w:after="0"/>
              <w:jc w:val="center"/>
              <w:rPr>
                <w:rFonts w:ascii="Arial" w:hAnsi="Arial" w:cs="Arial"/>
                <w:b/>
                <w:color w:val="auto"/>
                <w:sz w:val="16"/>
                <w:szCs w:val="16"/>
              </w:rPr>
            </w:pPr>
          </w:p>
          <w:p w14:paraId="03B5F9C7" w14:textId="70611FF6" w:rsidR="00176BB4" w:rsidRPr="00CD1278" w:rsidRDefault="00176BB4" w:rsidP="00176BB4">
            <w:pPr>
              <w:spacing w:before="40" w:after="0"/>
              <w:jc w:val="center"/>
              <w:rPr>
                <w:rFonts w:ascii="Arial" w:hAnsi="Arial" w:cs="Arial"/>
                <w:b/>
                <w:color w:val="auto"/>
                <w:sz w:val="16"/>
                <w:szCs w:val="16"/>
              </w:rPr>
            </w:pPr>
            <w:r w:rsidRPr="00CD1278">
              <w:rPr>
                <w:rFonts w:ascii="Arial" w:hAnsi="Arial" w:cs="Arial"/>
                <w:b/>
                <w:color w:val="auto"/>
                <w:sz w:val="16"/>
                <w:szCs w:val="16"/>
              </w:rPr>
              <w:t>Interim Rec. for 2020</w:t>
            </w:r>
          </w:p>
          <w:p w14:paraId="766AF30F" w14:textId="77777777" w:rsidR="00176BB4" w:rsidRPr="00CD1278" w:rsidRDefault="00176BB4" w:rsidP="00176BB4">
            <w:pPr>
              <w:spacing w:before="40" w:after="0"/>
              <w:jc w:val="center"/>
              <w:rPr>
                <w:rFonts w:ascii="Arial" w:hAnsi="Arial" w:cs="Arial"/>
                <w:b/>
                <w:color w:val="auto"/>
                <w:sz w:val="16"/>
                <w:szCs w:val="16"/>
              </w:rPr>
            </w:pPr>
          </w:p>
        </w:tc>
      </w:tr>
      <w:tr w:rsidR="003C102E" w:rsidRPr="00CD1278" w14:paraId="3E180E04" w14:textId="77777777" w:rsidTr="00220027">
        <w:trPr>
          <w:trHeight w:val="491"/>
        </w:trPr>
        <w:tc>
          <w:tcPr>
            <w:tcW w:w="992" w:type="dxa"/>
            <w:vMerge w:val="restart"/>
          </w:tcPr>
          <w:p w14:paraId="7018DE73" w14:textId="77777777" w:rsidR="00176BB4" w:rsidRPr="00CD1278" w:rsidRDefault="00176BB4" w:rsidP="00A50F28">
            <w:pPr>
              <w:spacing w:before="40" w:after="40"/>
              <w:rPr>
                <w:rFonts w:ascii="Arial" w:hAnsi="Arial" w:cs="Arial"/>
                <w:color w:val="auto"/>
                <w:sz w:val="18"/>
                <w:szCs w:val="18"/>
              </w:rPr>
            </w:pPr>
            <w:r w:rsidRPr="00CD1278">
              <w:rPr>
                <w:rFonts w:ascii="Arial" w:hAnsi="Arial" w:cs="Arial"/>
                <w:color w:val="auto"/>
                <w:sz w:val="18"/>
                <w:szCs w:val="18"/>
              </w:rPr>
              <w:t>Australia</w:t>
            </w:r>
          </w:p>
        </w:tc>
        <w:tc>
          <w:tcPr>
            <w:tcW w:w="1135" w:type="dxa"/>
            <w:shd w:val="clear" w:color="auto" w:fill="FFFF99"/>
            <w:vAlign w:val="center"/>
          </w:tcPr>
          <w:p w14:paraId="051ACC67" w14:textId="77777777" w:rsidR="00176BB4" w:rsidRPr="00CD1278" w:rsidRDefault="00176BB4" w:rsidP="00A50F28">
            <w:pPr>
              <w:keepNext/>
              <w:keepLines/>
              <w:widowControl w:val="0"/>
              <w:spacing w:before="40" w:after="0"/>
              <w:jc w:val="center"/>
              <w:rPr>
                <w:rFonts w:ascii="Arial" w:hAnsi="Arial"/>
                <w:color w:val="auto"/>
                <w:sz w:val="18"/>
              </w:rPr>
            </w:pPr>
            <w:r w:rsidRPr="00CD1278">
              <w:rPr>
                <w:rFonts w:ascii="Arial" w:hAnsi="Arial"/>
                <w:color w:val="auto"/>
                <w:sz w:val="18"/>
              </w:rPr>
              <w:t>Strawberry runners</w:t>
            </w:r>
          </w:p>
        </w:tc>
        <w:tc>
          <w:tcPr>
            <w:tcW w:w="737" w:type="dxa"/>
            <w:shd w:val="clear" w:color="auto" w:fill="FFFF99"/>
            <w:vAlign w:val="center"/>
          </w:tcPr>
          <w:p w14:paraId="7020512C" w14:textId="77777777" w:rsidR="00176BB4" w:rsidRPr="00CD1278" w:rsidRDefault="00176BB4" w:rsidP="00A50F28">
            <w:pPr>
              <w:spacing w:before="40" w:after="0"/>
              <w:jc w:val="center"/>
              <w:rPr>
                <w:rFonts w:ascii="Arial" w:hAnsi="Arial" w:cs="Arial"/>
                <w:color w:val="auto"/>
                <w:sz w:val="16"/>
                <w:szCs w:val="16"/>
              </w:rPr>
            </w:pPr>
            <w:r w:rsidRPr="00CD1278">
              <w:rPr>
                <w:rFonts w:ascii="Arial" w:hAnsi="Arial" w:cs="Arial"/>
                <w:color w:val="auto"/>
                <w:sz w:val="16"/>
                <w:szCs w:val="16"/>
              </w:rPr>
              <w:t>35.750</w:t>
            </w:r>
          </w:p>
        </w:tc>
        <w:tc>
          <w:tcPr>
            <w:tcW w:w="709" w:type="dxa"/>
            <w:shd w:val="clear" w:color="auto" w:fill="FFFF99"/>
            <w:vAlign w:val="center"/>
          </w:tcPr>
          <w:p w14:paraId="22D7094F" w14:textId="77777777" w:rsidR="00176BB4" w:rsidRPr="00CD1278" w:rsidRDefault="00176BB4" w:rsidP="00A50F28">
            <w:pPr>
              <w:spacing w:before="40" w:after="0"/>
              <w:jc w:val="center"/>
              <w:rPr>
                <w:rFonts w:ascii="Arial" w:hAnsi="Arial" w:cs="Arial"/>
                <w:color w:val="auto"/>
                <w:sz w:val="16"/>
                <w:szCs w:val="16"/>
              </w:rPr>
            </w:pPr>
            <w:r w:rsidRPr="00CD1278">
              <w:rPr>
                <w:rFonts w:ascii="Arial" w:hAnsi="Arial" w:cs="Arial"/>
                <w:color w:val="auto"/>
                <w:sz w:val="16"/>
                <w:szCs w:val="16"/>
              </w:rPr>
              <w:t>37.500</w:t>
            </w:r>
          </w:p>
        </w:tc>
        <w:tc>
          <w:tcPr>
            <w:tcW w:w="709" w:type="dxa"/>
            <w:shd w:val="clear" w:color="auto" w:fill="FFFF99"/>
            <w:vAlign w:val="center"/>
          </w:tcPr>
          <w:p w14:paraId="2E8CED26" w14:textId="77777777" w:rsidR="00176BB4" w:rsidRPr="00CD1278" w:rsidRDefault="00176BB4" w:rsidP="00A50F28">
            <w:pPr>
              <w:spacing w:before="40" w:after="0"/>
              <w:jc w:val="center"/>
              <w:rPr>
                <w:rFonts w:ascii="Arial" w:hAnsi="Arial" w:cs="Arial"/>
                <w:color w:val="auto"/>
                <w:sz w:val="16"/>
                <w:szCs w:val="16"/>
              </w:rPr>
            </w:pPr>
            <w:r w:rsidRPr="00CD1278">
              <w:rPr>
                <w:rFonts w:ascii="Arial" w:hAnsi="Arial" w:cs="Arial"/>
                <w:color w:val="auto"/>
                <w:sz w:val="16"/>
                <w:szCs w:val="16"/>
              </w:rPr>
              <w:t>35.750</w:t>
            </w:r>
          </w:p>
        </w:tc>
        <w:tc>
          <w:tcPr>
            <w:tcW w:w="708" w:type="dxa"/>
            <w:shd w:val="clear" w:color="auto" w:fill="FFFF99"/>
            <w:vAlign w:val="center"/>
          </w:tcPr>
          <w:p w14:paraId="6F728F49" w14:textId="77777777" w:rsidR="00176BB4" w:rsidRPr="00CD1278" w:rsidRDefault="00176BB4" w:rsidP="00A50F28">
            <w:pPr>
              <w:spacing w:before="40" w:after="0"/>
              <w:jc w:val="center"/>
              <w:rPr>
                <w:rFonts w:ascii="Arial" w:hAnsi="Arial" w:cs="Arial"/>
                <w:color w:val="auto"/>
                <w:sz w:val="16"/>
                <w:szCs w:val="16"/>
              </w:rPr>
            </w:pPr>
            <w:r w:rsidRPr="00CD1278">
              <w:rPr>
                <w:rFonts w:ascii="Arial" w:hAnsi="Arial" w:cs="Arial"/>
                <w:color w:val="auto"/>
                <w:sz w:val="16"/>
                <w:szCs w:val="16"/>
              </w:rPr>
              <w:t>35.750</w:t>
            </w:r>
          </w:p>
        </w:tc>
        <w:tc>
          <w:tcPr>
            <w:tcW w:w="709" w:type="dxa"/>
            <w:shd w:val="clear" w:color="auto" w:fill="FFFF99"/>
            <w:vAlign w:val="center"/>
          </w:tcPr>
          <w:p w14:paraId="18EFE479" w14:textId="77777777" w:rsidR="00176BB4" w:rsidRPr="00CD1278" w:rsidRDefault="00176BB4" w:rsidP="00A50F28">
            <w:pPr>
              <w:spacing w:before="40" w:after="0"/>
              <w:jc w:val="center"/>
              <w:rPr>
                <w:rFonts w:ascii="Arial" w:hAnsi="Arial" w:cs="Arial"/>
                <w:color w:val="auto"/>
                <w:sz w:val="16"/>
                <w:szCs w:val="16"/>
              </w:rPr>
            </w:pPr>
            <w:r w:rsidRPr="00CD1278">
              <w:rPr>
                <w:rFonts w:ascii="Arial" w:hAnsi="Arial" w:cs="Arial"/>
                <w:color w:val="auto"/>
                <w:sz w:val="16"/>
                <w:szCs w:val="16"/>
              </w:rPr>
              <w:t>29.790</w:t>
            </w:r>
          </w:p>
        </w:tc>
        <w:tc>
          <w:tcPr>
            <w:tcW w:w="709" w:type="dxa"/>
            <w:shd w:val="clear" w:color="auto" w:fill="FFFF99"/>
            <w:vAlign w:val="center"/>
          </w:tcPr>
          <w:p w14:paraId="461CC0A9" w14:textId="77777777" w:rsidR="00176BB4" w:rsidRPr="00CD1278" w:rsidRDefault="00176BB4" w:rsidP="00A50F28">
            <w:pPr>
              <w:spacing w:before="40" w:after="0"/>
              <w:jc w:val="center"/>
              <w:rPr>
                <w:rFonts w:ascii="Arial" w:hAnsi="Arial" w:cs="Arial"/>
                <w:color w:val="auto"/>
                <w:sz w:val="16"/>
                <w:szCs w:val="16"/>
              </w:rPr>
            </w:pPr>
            <w:r w:rsidRPr="00CD1278">
              <w:rPr>
                <w:rFonts w:ascii="Arial" w:hAnsi="Arial" w:cs="Arial"/>
                <w:color w:val="auto"/>
                <w:sz w:val="16"/>
                <w:szCs w:val="16"/>
              </w:rPr>
              <w:t>29.790</w:t>
            </w:r>
          </w:p>
        </w:tc>
        <w:tc>
          <w:tcPr>
            <w:tcW w:w="709" w:type="dxa"/>
            <w:shd w:val="clear" w:color="auto" w:fill="FFFF99"/>
            <w:vAlign w:val="center"/>
          </w:tcPr>
          <w:p w14:paraId="5817F0E7" w14:textId="77777777" w:rsidR="00176BB4" w:rsidRPr="00CD1278" w:rsidRDefault="00176BB4" w:rsidP="00A50F28">
            <w:pPr>
              <w:spacing w:before="40" w:after="0"/>
              <w:jc w:val="center"/>
              <w:rPr>
                <w:rFonts w:ascii="Arial" w:hAnsi="Arial" w:cs="Arial"/>
                <w:color w:val="auto"/>
                <w:sz w:val="16"/>
                <w:szCs w:val="16"/>
              </w:rPr>
            </w:pPr>
            <w:r w:rsidRPr="00CD1278">
              <w:rPr>
                <w:rFonts w:ascii="Arial" w:hAnsi="Arial" w:cs="Arial"/>
                <w:color w:val="auto"/>
                <w:sz w:val="16"/>
                <w:szCs w:val="16"/>
              </w:rPr>
              <w:t>29.790</w:t>
            </w:r>
          </w:p>
        </w:tc>
        <w:tc>
          <w:tcPr>
            <w:tcW w:w="708" w:type="dxa"/>
            <w:shd w:val="clear" w:color="auto" w:fill="FFFF99"/>
            <w:vAlign w:val="center"/>
          </w:tcPr>
          <w:p w14:paraId="2981C222" w14:textId="77777777" w:rsidR="00176BB4" w:rsidRPr="00CD1278" w:rsidRDefault="00176BB4" w:rsidP="00A50F28">
            <w:pPr>
              <w:spacing w:before="40" w:after="0"/>
              <w:jc w:val="center"/>
              <w:rPr>
                <w:rFonts w:ascii="Arial" w:hAnsi="Arial" w:cs="Arial"/>
                <w:color w:val="auto"/>
                <w:sz w:val="16"/>
                <w:szCs w:val="16"/>
              </w:rPr>
            </w:pPr>
            <w:r w:rsidRPr="00CD1278">
              <w:rPr>
                <w:rFonts w:ascii="Arial" w:hAnsi="Arial" w:cs="Arial"/>
                <w:color w:val="auto"/>
                <w:sz w:val="16"/>
                <w:szCs w:val="16"/>
              </w:rPr>
              <w:t>29.760</w:t>
            </w:r>
          </w:p>
        </w:tc>
        <w:tc>
          <w:tcPr>
            <w:tcW w:w="709" w:type="dxa"/>
            <w:shd w:val="clear" w:color="auto" w:fill="FFFF99"/>
            <w:vAlign w:val="center"/>
          </w:tcPr>
          <w:p w14:paraId="7201619F" w14:textId="77777777" w:rsidR="00176BB4" w:rsidRPr="00CD1278" w:rsidRDefault="00176BB4" w:rsidP="00A50F28">
            <w:pPr>
              <w:spacing w:before="40" w:after="0"/>
              <w:jc w:val="center"/>
              <w:rPr>
                <w:rFonts w:ascii="Arial" w:hAnsi="Arial" w:cs="Arial"/>
                <w:color w:val="auto"/>
                <w:sz w:val="16"/>
                <w:szCs w:val="16"/>
              </w:rPr>
            </w:pPr>
            <w:r w:rsidRPr="00CD1278">
              <w:rPr>
                <w:rFonts w:ascii="Arial" w:hAnsi="Arial" w:cs="Arial"/>
                <w:color w:val="auto"/>
                <w:sz w:val="16"/>
                <w:szCs w:val="16"/>
              </w:rPr>
              <w:t>29.760</w:t>
            </w:r>
          </w:p>
        </w:tc>
        <w:tc>
          <w:tcPr>
            <w:tcW w:w="851" w:type="dxa"/>
            <w:shd w:val="clear" w:color="auto" w:fill="FFFF99"/>
            <w:vAlign w:val="center"/>
          </w:tcPr>
          <w:p w14:paraId="3A0B17B5" w14:textId="77777777" w:rsidR="00176BB4" w:rsidRPr="00CD1278" w:rsidRDefault="00176BB4" w:rsidP="00A50F28">
            <w:pPr>
              <w:spacing w:before="40" w:after="0"/>
              <w:jc w:val="center"/>
              <w:rPr>
                <w:rFonts w:ascii="Arial" w:hAnsi="Arial"/>
                <w:color w:val="auto"/>
                <w:sz w:val="16"/>
                <w:szCs w:val="16"/>
              </w:rPr>
            </w:pPr>
            <w:r w:rsidRPr="00CD1278">
              <w:rPr>
                <w:rFonts w:ascii="Arial" w:hAnsi="Arial"/>
                <w:color w:val="auto"/>
                <w:sz w:val="16"/>
                <w:szCs w:val="16"/>
              </w:rPr>
              <w:t>29.760</w:t>
            </w:r>
          </w:p>
        </w:tc>
        <w:tc>
          <w:tcPr>
            <w:tcW w:w="850" w:type="dxa"/>
            <w:shd w:val="clear" w:color="auto" w:fill="FFFF99"/>
            <w:vAlign w:val="center"/>
          </w:tcPr>
          <w:p w14:paraId="569959D6" w14:textId="77777777" w:rsidR="00176BB4" w:rsidRPr="00CD1278" w:rsidRDefault="00176BB4" w:rsidP="00A50F28">
            <w:pPr>
              <w:spacing w:before="40" w:after="0"/>
              <w:jc w:val="center"/>
              <w:rPr>
                <w:rFonts w:ascii="Arial" w:hAnsi="Arial"/>
                <w:color w:val="auto"/>
                <w:sz w:val="16"/>
                <w:szCs w:val="16"/>
              </w:rPr>
            </w:pPr>
            <w:r w:rsidRPr="00CD1278">
              <w:rPr>
                <w:rFonts w:ascii="Arial" w:hAnsi="Arial"/>
                <w:color w:val="auto"/>
                <w:sz w:val="16"/>
                <w:szCs w:val="16"/>
              </w:rPr>
              <w:t>29.760</w:t>
            </w:r>
          </w:p>
        </w:tc>
        <w:tc>
          <w:tcPr>
            <w:tcW w:w="851" w:type="dxa"/>
            <w:shd w:val="clear" w:color="auto" w:fill="FFFF99"/>
            <w:vAlign w:val="center"/>
          </w:tcPr>
          <w:p w14:paraId="541853D6" w14:textId="77777777" w:rsidR="00176BB4" w:rsidRPr="00CD1278" w:rsidRDefault="00176BB4" w:rsidP="00A50F28">
            <w:pPr>
              <w:spacing w:before="40" w:after="0"/>
              <w:jc w:val="center"/>
              <w:rPr>
                <w:rFonts w:ascii="Arial" w:hAnsi="Arial"/>
                <w:color w:val="auto"/>
                <w:sz w:val="16"/>
                <w:szCs w:val="16"/>
              </w:rPr>
            </w:pPr>
            <w:r w:rsidRPr="00CD1278">
              <w:rPr>
                <w:rFonts w:ascii="Arial" w:hAnsi="Arial"/>
                <w:color w:val="auto"/>
                <w:sz w:val="16"/>
                <w:szCs w:val="16"/>
              </w:rPr>
              <w:t>29.760</w:t>
            </w:r>
          </w:p>
        </w:tc>
        <w:tc>
          <w:tcPr>
            <w:tcW w:w="850" w:type="dxa"/>
            <w:shd w:val="clear" w:color="auto" w:fill="FFFF99"/>
            <w:vAlign w:val="center"/>
          </w:tcPr>
          <w:p w14:paraId="44552490" w14:textId="77777777" w:rsidR="00176BB4" w:rsidRPr="00CD1278" w:rsidRDefault="00176BB4" w:rsidP="00A50F28">
            <w:pPr>
              <w:spacing w:before="40" w:after="0"/>
              <w:jc w:val="center"/>
              <w:rPr>
                <w:rFonts w:ascii="Arial" w:hAnsi="Arial"/>
                <w:color w:val="auto"/>
                <w:sz w:val="16"/>
                <w:szCs w:val="16"/>
              </w:rPr>
            </w:pPr>
            <w:r w:rsidRPr="00CD1278">
              <w:rPr>
                <w:rFonts w:ascii="Arial" w:hAnsi="Arial"/>
                <w:color w:val="auto"/>
                <w:sz w:val="16"/>
                <w:szCs w:val="16"/>
              </w:rPr>
              <w:t>29.760</w:t>
            </w:r>
          </w:p>
        </w:tc>
        <w:tc>
          <w:tcPr>
            <w:tcW w:w="851" w:type="dxa"/>
            <w:shd w:val="clear" w:color="auto" w:fill="FFFF99"/>
            <w:vAlign w:val="center"/>
          </w:tcPr>
          <w:p w14:paraId="116890C4" w14:textId="77777777" w:rsidR="00176BB4" w:rsidRPr="00CD1278" w:rsidRDefault="00176BB4" w:rsidP="00A50F28">
            <w:pPr>
              <w:spacing w:before="40" w:after="0"/>
              <w:jc w:val="center"/>
              <w:rPr>
                <w:rFonts w:ascii="Arial" w:hAnsi="Arial"/>
                <w:color w:val="auto"/>
                <w:sz w:val="16"/>
                <w:szCs w:val="18"/>
              </w:rPr>
            </w:pPr>
            <w:r w:rsidRPr="00CD1278">
              <w:rPr>
                <w:rFonts w:ascii="Arial" w:hAnsi="Arial" w:cs="Arial"/>
                <w:color w:val="auto"/>
                <w:sz w:val="16"/>
                <w:szCs w:val="18"/>
              </w:rPr>
              <w:t>29.760</w:t>
            </w:r>
          </w:p>
        </w:tc>
        <w:tc>
          <w:tcPr>
            <w:tcW w:w="850" w:type="dxa"/>
            <w:shd w:val="clear" w:color="auto" w:fill="FFFF99"/>
            <w:vAlign w:val="center"/>
          </w:tcPr>
          <w:p w14:paraId="73866A9E" w14:textId="77777777" w:rsidR="00176BB4" w:rsidRPr="00CD1278" w:rsidRDefault="00176BB4" w:rsidP="00220027">
            <w:pPr>
              <w:spacing w:before="40" w:after="0"/>
              <w:jc w:val="center"/>
              <w:rPr>
                <w:rFonts w:ascii="Arial" w:hAnsi="Arial"/>
                <w:color w:val="auto"/>
                <w:sz w:val="16"/>
                <w:szCs w:val="18"/>
              </w:rPr>
            </w:pPr>
            <w:r w:rsidRPr="00CD1278">
              <w:rPr>
                <w:rFonts w:ascii="Arial" w:hAnsi="Arial"/>
                <w:color w:val="auto"/>
                <w:sz w:val="16"/>
                <w:szCs w:val="18"/>
              </w:rPr>
              <w:t>28.98</w:t>
            </w:r>
          </w:p>
        </w:tc>
        <w:tc>
          <w:tcPr>
            <w:tcW w:w="851" w:type="dxa"/>
            <w:shd w:val="clear" w:color="auto" w:fill="FFFF99"/>
            <w:vAlign w:val="center"/>
          </w:tcPr>
          <w:p w14:paraId="73361B77" w14:textId="5440E8DF" w:rsidR="00176BB4" w:rsidRPr="00CD1278" w:rsidRDefault="00176BB4" w:rsidP="00220027">
            <w:pPr>
              <w:spacing w:before="40" w:after="0"/>
              <w:jc w:val="center"/>
              <w:rPr>
                <w:rFonts w:ascii="Arial" w:hAnsi="Arial"/>
                <w:color w:val="auto"/>
                <w:sz w:val="16"/>
                <w:szCs w:val="18"/>
              </w:rPr>
            </w:pPr>
            <w:r w:rsidRPr="00CD1278">
              <w:rPr>
                <w:rFonts w:ascii="Arial" w:hAnsi="Arial"/>
                <w:color w:val="auto"/>
                <w:sz w:val="16"/>
                <w:szCs w:val="18"/>
              </w:rPr>
              <w:t>28.98</w:t>
            </w:r>
          </w:p>
        </w:tc>
        <w:tc>
          <w:tcPr>
            <w:tcW w:w="992" w:type="dxa"/>
            <w:shd w:val="clear" w:color="auto" w:fill="FFFF99"/>
            <w:vAlign w:val="center"/>
          </w:tcPr>
          <w:p w14:paraId="6FE84E7D" w14:textId="29D3227A" w:rsidR="00176BB4" w:rsidRPr="00CD1278" w:rsidRDefault="00176BB4" w:rsidP="00220027">
            <w:pPr>
              <w:spacing w:before="40" w:after="0"/>
              <w:jc w:val="center"/>
              <w:rPr>
                <w:rFonts w:ascii="Arial" w:hAnsi="Arial"/>
                <w:color w:val="auto"/>
                <w:sz w:val="16"/>
                <w:szCs w:val="18"/>
              </w:rPr>
            </w:pPr>
            <w:r w:rsidRPr="00CD1278">
              <w:rPr>
                <w:rFonts w:ascii="Arial" w:hAnsi="Arial"/>
                <w:color w:val="auto"/>
                <w:sz w:val="16"/>
                <w:szCs w:val="18"/>
              </w:rPr>
              <w:t>[26.08]</w:t>
            </w:r>
          </w:p>
        </w:tc>
      </w:tr>
      <w:tr w:rsidR="003C102E" w:rsidRPr="00CD1278" w14:paraId="56D31717" w14:textId="77777777" w:rsidTr="00A50F28">
        <w:trPr>
          <w:trHeight w:val="282"/>
        </w:trPr>
        <w:tc>
          <w:tcPr>
            <w:tcW w:w="992" w:type="dxa"/>
            <w:vMerge/>
            <w:tcBorders>
              <w:bottom w:val="single" w:sz="4" w:space="0" w:color="auto"/>
            </w:tcBorders>
          </w:tcPr>
          <w:p w14:paraId="3BDE8BFD" w14:textId="77777777" w:rsidR="009B6A47" w:rsidRPr="00CD1278" w:rsidRDefault="009B6A47" w:rsidP="00A50F28">
            <w:pPr>
              <w:spacing w:before="40" w:after="40"/>
              <w:rPr>
                <w:rFonts w:ascii="Arial" w:hAnsi="Arial" w:cs="Arial"/>
                <w:color w:val="auto"/>
                <w:sz w:val="20"/>
              </w:rPr>
            </w:pPr>
          </w:p>
        </w:tc>
        <w:tc>
          <w:tcPr>
            <w:tcW w:w="14488" w:type="dxa"/>
            <w:gridSpan w:val="18"/>
            <w:tcBorders>
              <w:bottom w:val="single" w:sz="4" w:space="0" w:color="auto"/>
            </w:tcBorders>
          </w:tcPr>
          <w:p w14:paraId="2D17E689" w14:textId="2AA92514" w:rsidR="00962E86" w:rsidRPr="00CD1278" w:rsidRDefault="00962E86" w:rsidP="00962E86">
            <w:pPr>
              <w:spacing w:before="120" w:after="120"/>
              <w:rPr>
                <w:rFonts w:ascii="Arial" w:hAnsi="Arial" w:cs="Arial"/>
                <w:b/>
                <w:color w:val="auto"/>
                <w:sz w:val="18"/>
                <w:szCs w:val="18"/>
              </w:rPr>
            </w:pPr>
            <w:r w:rsidRPr="00CD1278">
              <w:rPr>
                <w:rFonts w:ascii="Arial" w:hAnsi="Arial" w:cs="Arial"/>
                <w:b/>
                <w:color w:val="auto"/>
                <w:sz w:val="18"/>
                <w:szCs w:val="18"/>
              </w:rPr>
              <w:t>MBTOC interim recommendation for 2020:</w:t>
            </w:r>
          </w:p>
          <w:p w14:paraId="63AD4F43" w14:textId="6C8C7602"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MBTOC recommends 26.08 tonnes which is a 10% reduction from the nominated amount of recognising that the CUN is for 2020 and that non-chemical alternatives (soilless culture) for runner production are in widespread use in many countries for production of high plant health status runners. Chemical alternatives continue to be trialled but results sufficient to allow acceptance by the certification authorities (VSICA) will not probably be available until after 2020.</w:t>
            </w:r>
          </w:p>
          <w:p w14:paraId="0AC69BD4"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MBTOC acknowledges that the transition plan for phasing-out MB put forward by the Party, represents good progress as it states that if MI is registered by 2021, then in 2021 the nomination could be cut by half, and that there will be no more requests in 2022. MBTOC acknowledges that significant progress has been made with adoption of soilless culture by the industry and considers that in the absence of adoption of any other control methods, that this technology be considered for all generations of the runner production. MBTOC notes that outdoor soilless systems are available in other parts of the world and that their technical and economic feasibility should be considered for this nomination.  MBTOC also notes the significant progress with TF80 (1,3-D/Pic 20:80) and encourages continuation of this promising research to replace MB.</w:t>
            </w:r>
          </w:p>
          <w:p w14:paraId="0054C95E" w14:textId="77777777" w:rsidR="009B6A47" w:rsidRPr="00CD1278" w:rsidRDefault="009B6A47" w:rsidP="00A50F28">
            <w:pPr>
              <w:rPr>
                <w:rFonts w:ascii="Arial" w:hAnsi="Arial" w:cs="Arial"/>
                <w:color w:val="auto"/>
                <w:sz w:val="18"/>
                <w:szCs w:val="18"/>
              </w:rPr>
            </w:pPr>
            <w:r w:rsidRPr="00CD1278">
              <w:rPr>
                <w:rFonts w:ascii="Arial" w:hAnsi="Arial" w:cs="Arial"/>
                <w:b/>
                <w:color w:val="auto"/>
                <w:sz w:val="18"/>
                <w:szCs w:val="18"/>
              </w:rPr>
              <w:t>Nomination by the Party:</w:t>
            </w:r>
            <w:r w:rsidRPr="00CD1278">
              <w:rPr>
                <w:rFonts w:ascii="Arial" w:hAnsi="Arial" w:cs="Arial"/>
                <w:color w:val="auto"/>
                <w:sz w:val="18"/>
                <w:szCs w:val="18"/>
              </w:rPr>
              <w:br/>
              <w:t>The Party nominated 28.98 t to treat 119 ha (at a dose rate of 25 g/m</w:t>
            </w:r>
            <w:r w:rsidRPr="00CD1278">
              <w:rPr>
                <w:rFonts w:ascii="Arial" w:hAnsi="Arial" w:cs="Arial"/>
                <w:color w:val="auto"/>
                <w:sz w:val="18"/>
                <w:szCs w:val="18"/>
                <w:vertAlign w:val="superscript"/>
              </w:rPr>
              <w:t>2</w:t>
            </w:r>
            <w:r w:rsidRPr="00CD1278">
              <w:rPr>
                <w:rFonts w:ascii="Arial" w:hAnsi="Arial" w:cs="Arial"/>
                <w:color w:val="auto"/>
                <w:sz w:val="18"/>
                <w:szCs w:val="18"/>
              </w:rPr>
              <w:t>). The party states that the mother stock (2 million plants) will be produced on substrates without MB by 2019, but the fourth generation of certified runners (60 million plants) will still be produced in soil treated with MB because no feasible alternatives are presently available.</w:t>
            </w:r>
          </w:p>
          <w:p w14:paraId="4FBDDB36" w14:textId="77777777" w:rsidR="009B6A47" w:rsidRPr="00CD1278" w:rsidRDefault="009B6A47" w:rsidP="00A50F28">
            <w:pPr>
              <w:rPr>
                <w:rFonts w:ascii="Arial" w:hAnsi="Arial" w:cs="Arial"/>
                <w:color w:val="auto"/>
                <w:sz w:val="18"/>
                <w:szCs w:val="18"/>
              </w:rPr>
            </w:pPr>
            <w:r w:rsidRPr="00CD1278">
              <w:rPr>
                <w:rFonts w:ascii="Arial" w:hAnsi="Arial" w:cs="Arial"/>
                <w:b/>
                <w:color w:val="auto"/>
                <w:sz w:val="18"/>
                <w:szCs w:val="18"/>
              </w:rPr>
              <w:t>Circumstances of the nomination by the Party:</w:t>
            </w:r>
            <w:r w:rsidRPr="00CD1278">
              <w:rPr>
                <w:rFonts w:ascii="Arial" w:hAnsi="Arial" w:cs="Arial"/>
                <w:color w:val="auto"/>
                <w:sz w:val="18"/>
                <w:szCs w:val="18"/>
              </w:rPr>
              <w:br/>
              <w:t>The combination of the particular environmental conditions of Toolangi, Victoria, (e.g. soil type, temperatures, wind), together with a small-size economic sector (10 growers spanning 119 ha) and very stringent regulations (e.g. registration requirements, minimum dosages, runners´ certification system) constitute a huge barrier for implementing alternatives. The region is uniquely suited for runner production in Victoria. Its climate and elevation allow production of runners in the correct physiological state for fruit production, however heavy clay soils that are difficult to fumigate to required depth to produce pathogen-free runners at the appropriate standard level plus cold soil temperatures negatively impact the performance of alternatives. Elsewhere in Australia where conditions are different, runners are produced without recourse to MB, usually using alternative fumigants; however these runners are also not certified to the Victorian standard. Nevertheless, after 15 years of CUEs for MB for this use in Australia, MBTOC feels that the continuous recommendation of MB could have in itself become a barrier for technological change and adoption of alternatives – since it almost certainly guarantees a MB supply to the growers involved.</w:t>
            </w:r>
          </w:p>
          <w:p w14:paraId="418F8C12"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Key pests affecting strawberry runner production are fungi (</w:t>
            </w:r>
            <w:r w:rsidRPr="00CD1278">
              <w:rPr>
                <w:rFonts w:ascii="Arial" w:hAnsi="Arial" w:cs="Arial"/>
                <w:i/>
                <w:color w:val="auto"/>
                <w:sz w:val="18"/>
                <w:szCs w:val="18"/>
              </w:rPr>
              <w:t>Phytophthora, Pythium, Rhizoctonia</w:t>
            </w:r>
            <w:r w:rsidRPr="00CD1278">
              <w:rPr>
                <w:rFonts w:ascii="Arial" w:hAnsi="Arial" w:cs="Arial"/>
                <w:color w:val="auto"/>
                <w:sz w:val="18"/>
                <w:szCs w:val="18"/>
              </w:rPr>
              <w:t xml:space="preserve"> and </w:t>
            </w:r>
            <w:r w:rsidRPr="00CD1278">
              <w:rPr>
                <w:rFonts w:ascii="Arial" w:hAnsi="Arial" w:cs="Arial"/>
                <w:i/>
                <w:color w:val="auto"/>
                <w:sz w:val="18"/>
                <w:szCs w:val="18"/>
              </w:rPr>
              <w:t>Verticillium</w:t>
            </w:r>
            <w:r w:rsidRPr="00CD1278">
              <w:rPr>
                <w:rFonts w:ascii="Arial" w:hAnsi="Arial" w:cs="Arial"/>
                <w:color w:val="auto"/>
                <w:sz w:val="18"/>
                <w:szCs w:val="18"/>
              </w:rPr>
              <w:t xml:space="preserve"> spp.) and weeds (</w:t>
            </w:r>
            <w:r w:rsidRPr="00CD1278">
              <w:rPr>
                <w:rFonts w:ascii="Arial" w:hAnsi="Arial" w:cs="Arial"/>
                <w:i/>
                <w:color w:val="auto"/>
                <w:sz w:val="18"/>
                <w:szCs w:val="18"/>
              </w:rPr>
              <w:t>S. arvensis, Agrostis tenuis, Raphanus</w:t>
            </w:r>
            <w:r w:rsidRPr="00CD1278">
              <w:rPr>
                <w:rFonts w:ascii="Arial" w:hAnsi="Arial" w:cs="Arial"/>
                <w:color w:val="auto"/>
                <w:sz w:val="18"/>
                <w:szCs w:val="18"/>
              </w:rPr>
              <w:t xml:space="preserve"> spp., </w:t>
            </w:r>
            <w:r w:rsidRPr="00CD1278">
              <w:rPr>
                <w:rFonts w:ascii="Arial" w:hAnsi="Arial" w:cs="Arial"/>
                <w:i/>
                <w:color w:val="auto"/>
                <w:sz w:val="18"/>
                <w:szCs w:val="18"/>
              </w:rPr>
              <w:t>Poa annua</w:t>
            </w:r>
            <w:r w:rsidRPr="00CD1278">
              <w:rPr>
                <w:rFonts w:ascii="Arial" w:hAnsi="Arial" w:cs="Arial"/>
                <w:color w:val="auto"/>
                <w:sz w:val="18"/>
                <w:szCs w:val="18"/>
              </w:rPr>
              <w:t xml:space="preserve">, </w:t>
            </w:r>
            <w:r w:rsidRPr="00CD1278">
              <w:rPr>
                <w:rFonts w:ascii="Arial" w:hAnsi="Arial" w:cs="Arial"/>
                <w:i/>
                <w:color w:val="auto"/>
                <w:sz w:val="18"/>
                <w:szCs w:val="18"/>
              </w:rPr>
              <w:t>Cyperus</w:t>
            </w:r>
            <w:r w:rsidRPr="00CD1278">
              <w:rPr>
                <w:rFonts w:ascii="Arial" w:hAnsi="Arial" w:cs="Arial"/>
                <w:color w:val="auto"/>
                <w:sz w:val="18"/>
                <w:szCs w:val="18"/>
              </w:rPr>
              <w:t xml:space="preserve"> spp).  The nomination is based on a particular soil type and temperature situation: soils with very high clay and organic matter content requiring fumigation at cold temperatures. </w:t>
            </w:r>
          </w:p>
          <w:p w14:paraId="3AFD7484"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In its CUN, the Party states that runner production under such conditions, requires treatment with MB:Pic (50:50 at a MB dosage of 25 g/m</w:t>
            </w:r>
            <w:r w:rsidRPr="00CD1278">
              <w:rPr>
                <w:rFonts w:ascii="Arial" w:hAnsi="Arial" w:cs="Arial"/>
                <w:color w:val="auto"/>
                <w:sz w:val="18"/>
                <w:szCs w:val="18"/>
                <w:vertAlign w:val="superscript"/>
              </w:rPr>
              <w:t>2</w:t>
            </w:r>
            <w:r w:rsidRPr="00CD1278">
              <w:rPr>
                <w:rFonts w:ascii="Arial" w:hAnsi="Arial" w:cs="Arial"/>
                <w:color w:val="auto"/>
                <w:sz w:val="18"/>
                <w:szCs w:val="18"/>
              </w:rPr>
              <w:t xml:space="preserve">)  to meet certification standards. Other registered soil fumigants, such as 1,3-dichloropropene (1,3-D)/Pic (65:35), cause crop phytotoxicity and yield losses of up to 40%. Phytotoxicity is related to the high organic matter (5-10%) and clay content (&gt; 50%) of soils at Toolangi, and the long residual times of alternative fumigants in these soils (Mattner </w:t>
            </w:r>
            <w:r w:rsidRPr="00CD1278">
              <w:rPr>
                <w:rFonts w:ascii="Arial" w:hAnsi="Arial" w:cs="Arial"/>
                <w:i/>
                <w:color w:val="auto"/>
                <w:sz w:val="18"/>
                <w:szCs w:val="18"/>
              </w:rPr>
              <w:t>et al</w:t>
            </w:r>
            <w:r w:rsidRPr="00CD1278">
              <w:rPr>
                <w:rFonts w:ascii="Arial" w:hAnsi="Arial" w:cs="Arial"/>
                <w:color w:val="auto"/>
                <w:sz w:val="18"/>
                <w:szCs w:val="18"/>
              </w:rPr>
              <w:t>., 2014).</w:t>
            </w:r>
          </w:p>
          <w:p w14:paraId="286BCDF6" w14:textId="2124ED7F" w:rsidR="009B6A47" w:rsidRPr="00CD1278" w:rsidRDefault="00896422" w:rsidP="00A50F28">
            <w:pPr>
              <w:rPr>
                <w:rFonts w:ascii="Arial" w:hAnsi="Arial" w:cs="Arial"/>
                <w:color w:val="auto"/>
                <w:sz w:val="18"/>
                <w:szCs w:val="18"/>
              </w:rPr>
            </w:pPr>
            <w:r w:rsidRPr="00CD1278">
              <w:rPr>
                <w:rFonts w:ascii="Arial" w:hAnsi="Arial" w:cs="Arial"/>
                <w:color w:val="auto"/>
                <w:sz w:val="18"/>
                <w:szCs w:val="18"/>
              </w:rPr>
              <w:br/>
            </w:r>
            <w:r w:rsidR="009B6A47" w:rsidRPr="00CD1278">
              <w:rPr>
                <w:rFonts w:ascii="Arial" w:hAnsi="Arial" w:cs="Arial"/>
                <w:color w:val="auto"/>
                <w:sz w:val="18"/>
                <w:szCs w:val="18"/>
              </w:rPr>
              <w:t xml:space="preserve">Presently, the Victorian runner industry only produces runners in soils treated with MB:Pic, except for the foundation stock production stage, which is produced in soilless substrates (Mattner </w:t>
            </w:r>
            <w:r w:rsidR="009B6A47" w:rsidRPr="00CD1278">
              <w:rPr>
                <w:rFonts w:ascii="Arial" w:hAnsi="Arial" w:cs="Arial"/>
                <w:i/>
                <w:color w:val="auto"/>
                <w:sz w:val="18"/>
                <w:szCs w:val="18"/>
              </w:rPr>
              <w:t>et al</w:t>
            </w:r>
            <w:r w:rsidR="009B6A47" w:rsidRPr="00CD1278">
              <w:rPr>
                <w:rFonts w:ascii="Arial" w:hAnsi="Arial" w:cs="Arial"/>
                <w:color w:val="auto"/>
                <w:sz w:val="18"/>
                <w:szCs w:val="18"/>
              </w:rPr>
              <w:t>., 2015). The Party has found other non-chemical alternatives</w:t>
            </w:r>
            <w:r w:rsidR="006E1047" w:rsidRPr="00CD1278">
              <w:rPr>
                <w:rFonts w:ascii="Arial" w:hAnsi="Arial" w:cs="Arial"/>
                <w:color w:val="auto"/>
                <w:sz w:val="18"/>
                <w:szCs w:val="18"/>
              </w:rPr>
              <w:t xml:space="preserve"> in</w:t>
            </w:r>
            <w:r w:rsidR="009B6A47" w:rsidRPr="00CD1278">
              <w:rPr>
                <w:rFonts w:ascii="Arial" w:hAnsi="Arial" w:cs="Arial"/>
                <w:color w:val="auto"/>
                <w:sz w:val="18"/>
                <w:szCs w:val="18"/>
              </w:rPr>
              <w:t xml:space="preserve">feasible. Plant resistance is unreliable as an alternative to MB:Pic for delivering certified runners (Fang </w:t>
            </w:r>
            <w:r w:rsidR="009B6A47" w:rsidRPr="00CD1278">
              <w:rPr>
                <w:rFonts w:ascii="Arial" w:hAnsi="Arial" w:cs="Arial"/>
                <w:i/>
                <w:color w:val="auto"/>
                <w:sz w:val="18"/>
                <w:szCs w:val="18"/>
              </w:rPr>
              <w:t>et a</w:t>
            </w:r>
            <w:r w:rsidR="009B6A47" w:rsidRPr="00CD1278">
              <w:rPr>
                <w:rFonts w:ascii="Arial" w:hAnsi="Arial" w:cs="Arial"/>
                <w:color w:val="auto"/>
                <w:sz w:val="18"/>
                <w:szCs w:val="18"/>
              </w:rPr>
              <w:t xml:space="preserve">l., 2012). Integrated soil disinfestation with combinations of existing registered fumigants and herbicides that are not yet registered is presently the most likely approach for replacing MB in the runner industry. This strategy entails applying low doses of registered fumigants (e.g. Pic, 1,3-D, and MITC generators) and herbicides (e.g. isoxaben, metolachlor, napropamide) in combinations that avoid crop phytotoxicity. </w:t>
            </w:r>
          </w:p>
          <w:p w14:paraId="4AC92052" w14:textId="54CF0884"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TF-80® (1,3-D/Pic, 20:80), which was recently registered, showed promise in trials by reducing the risk of phytotoxicity in strawberry runners in Toolangi due to its low concentration of 1,3-D; however, this fumigant is not technically feasible on its own as it does not control pathogens to the same soil depth, or weeds as effectively, as MB/Pic. Runners produced in soils treated with TriForm-80 later produced 15% lower fruit yields than runners produced in soils treated with MB/Pic. Co-application of alternative fumigants (Pic Plus® and TF-80®) with the herbicides (isoxaben and phenmedipham) increased weed control and runner yields in replicated trials to levels equivalent to MB/Pic, but these herbicides are not yet registered for the Australian strawberry industry, nor have the been approved by VSICA (</w:t>
            </w:r>
            <w:r w:rsidR="00D57053" w:rsidRPr="00CD1278">
              <w:rPr>
                <w:rFonts w:ascii="Arial" w:hAnsi="Arial" w:cs="Arial"/>
                <w:color w:val="auto"/>
                <w:sz w:val="18"/>
                <w:szCs w:val="18"/>
              </w:rPr>
              <w:t>Victorian Strawberry Industry C</w:t>
            </w:r>
            <w:r w:rsidRPr="00CD1278">
              <w:rPr>
                <w:rFonts w:ascii="Arial" w:hAnsi="Arial" w:cs="Arial"/>
                <w:color w:val="auto"/>
                <w:sz w:val="18"/>
                <w:szCs w:val="18"/>
              </w:rPr>
              <w:t xml:space="preserve">ertification </w:t>
            </w:r>
            <w:r w:rsidR="00D57053" w:rsidRPr="00CD1278">
              <w:rPr>
                <w:rFonts w:ascii="Arial" w:hAnsi="Arial" w:cs="Arial"/>
                <w:color w:val="auto"/>
                <w:sz w:val="18"/>
                <w:szCs w:val="18"/>
              </w:rPr>
              <w:t>A</w:t>
            </w:r>
            <w:r w:rsidRPr="00CD1278">
              <w:rPr>
                <w:rFonts w:ascii="Arial" w:hAnsi="Arial" w:cs="Arial"/>
                <w:color w:val="auto"/>
                <w:sz w:val="18"/>
                <w:szCs w:val="18"/>
              </w:rPr>
              <w:t>uthority). Historically, VSICA has only approved MB/Pic as a treatment for runners, arguing that high levels of pathogen control are essential for production of certified high health runners with reduced risk of litigation. Although the MB dosage rate exceeds MBTOC’s standard presumption of 20 g/m</w:t>
            </w:r>
            <w:r w:rsidRPr="00CD1278">
              <w:rPr>
                <w:rFonts w:ascii="Arial" w:hAnsi="Arial" w:cs="Arial"/>
                <w:color w:val="auto"/>
                <w:sz w:val="18"/>
                <w:szCs w:val="18"/>
                <w:vertAlign w:val="superscript"/>
              </w:rPr>
              <w:t>2</w:t>
            </w:r>
            <w:r w:rsidRPr="00CD1278">
              <w:rPr>
                <w:rFonts w:ascii="Arial" w:hAnsi="Arial" w:cs="Arial"/>
                <w:color w:val="auto"/>
                <w:sz w:val="18"/>
                <w:szCs w:val="18"/>
              </w:rPr>
              <w:t>, lower rates are not registered in Australia; the Party has put forward evidence that three years of trials with lower MB rates do not support bio-equivalency of such rates. MBTOC notes that these trials were conducted over a decade ago, with no updates since that time.</w:t>
            </w:r>
          </w:p>
          <w:p w14:paraId="20E9CE58"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 xml:space="preserve">Trials conducted since 2014 in Australia have shown that treatment with dimethyl disuphide (DMDS) and DMDS/Pic significantly reduced the total populations of soil borne pathogens (up to 95%), restricted weed emergence (up to 70%) and increased runner yields by up to 45%. The plant-back time required for DMDS and DMDS/Pic was 3 weeks which is comparable to MB/Pic and Pic (2.5 weeks), and shorter than 1,3-D-/Pic and Pic + Dazomet (6-12 weeks) (Mattner </w:t>
            </w:r>
            <w:r w:rsidRPr="00CD1278">
              <w:rPr>
                <w:rFonts w:ascii="Arial" w:hAnsi="Arial" w:cs="Arial"/>
                <w:i/>
                <w:color w:val="auto"/>
                <w:sz w:val="18"/>
                <w:szCs w:val="18"/>
              </w:rPr>
              <w:t>et al.,</w:t>
            </w:r>
            <w:r w:rsidRPr="00CD1278">
              <w:rPr>
                <w:rFonts w:ascii="Arial" w:hAnsi="Arial" w:cs="Arial"/>
                <w:color w:val="auto"/>
                <w:sz w:val="18"/>
                <w:szCs w:val="18"/>
              </w:rPr>
              <w:t xml:space="preserve"> 2015). These results show that in Australia, DMDS and DMDS/Pic have good potential for soil disinfestation in runner production. Application of dazomet well in advance of DMDS fumigants shows higher efficacy. </w:t>
            </w:r>
          </w:p>
          <w:p w14:paraId="449DD6AB"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 xml:space="preserve">In California, steam is currently considered as alternative soil disinfestation method for strawberry production, providing similar pest and weed control efficacy to chemical and non-chemical soil disinfestation methods, and new options are making this alternative economically feasible (Hoffman </w:t>
            </w:r>
            <w:r w:rsidRPr="00CD1278">
              <w:rPr>
                <w:rFonts w:ascii="Arial" w:hAnsi="Arial" w:cs="Arial"/>
                <w:i/>
                <w:color w:val="auto"/>
                <w:sz w:val="18"/>
                <w:szCs w:val="18"/>
              </w:rPr>
              <w:t>et al.,</w:t>
            </w:r>
            <w:r w:rsidRPr="00CD1278">
              <w:rPr>
                <w:rFonts w:ascii="Arial" w:hAnsi="Arial" w:cs="Arial"/>
                <w:color w:val="auto"/>
                <w:sz w:val="18"/>
                <w:szCs w:val="18"/>
              </w:rPr>
              <w:t xml:space="preserve"> 2015). </w:t>
            </w:r>
          </w:p>
          <w:p w14:paraId="764129A5" w14:textId="4E764555" w:rsidR="009B6A47" w:rsidRPr="00CD1278" w:rsidRDefault="009B6A47" w:rsidP="00A50F28">
            <w:pPr>
              <w:rPr>
                <w:rFonts w:ascii="Arial" w:hAnsi="Arial" w:cs="Arial"/>
                <w:color w:val="auto"/>
                <w:sz w:val="18"/>
                <w:szCs w:val="18"/>
              </w:rPr>
            </w:pPr>
            <w:r w:rsidRPr="00CD1278">
              <w:rPr>
                <w:rFonts w:ascii="Arial" w:hAnsi="Arial" w:cs="Arial"/>
                <w:b/>
                <w:color w:val="auto"/>
                <w:sz w:val="18"/>
                <w:szCs w:val="18"/>
              </w:rPr>
              <w:t>MBTOC final assessment for MB use in this sector in 2019:</w:t>
            </w:r>
            <w:r w:rsidRPr="00CD1278">
              <w:rPr>
                <w:rFonts w:ascii="Arial" w:hAnsi="Arial" w:cs="Arial"/>
                <w:color w:val="auto"/>
                <w:sz w:val="18"/>
                <w:szCs w:val="18"/>
              </w:rPr>
              <w:br/>
              <w:t>During the MB</w:t>
            </w:r>
            <w:r w:rsidR="00B44B21" w:rsidRPr="00CD1278">
              <w:rPr>
                <w:rFonts w:ascii="Arial" w:hAnsi="Arial" w:cs="Arial"/>
                <w:color w:val="auto"/>
                <w:sz w:val="18"/>
                <w:szCs w:val="18"/>
              </w:rPr>
              <w:t>TOC meeting in Melbourne, the V</w:t>
            </w:r>
            <w:r w:rsidRPr="00CD1278">
              <w:rPr>
                <w:rFonts w:ascii="Arial" w:hAnsi="Arial" w:cs="Arial"/>
                <w:color w:val="auto"/>
                <w:sz w:val="18"/>
                <w:szCs w:val="18"/>
              </w:rPr>
              <w:t>SICA showed recent results indicating that control of pathogens at greater soil depths is still not adequate to meet the requirements of their Certification standard, and could thus lead to economic losses too large for growers. As a result, further R&amp;D is required in 2019 and 2020.</w:t>
            </w:r>
          </w:p>
          <w:p w14:paraId="3CE7A2BE" w14:textId="50C53285" w:rsidR="009B6A47" w:rsidRPr="00CD1278" w:rsidRDefault="0083457C" w:rsidP="00A50F28">
            <w:pPr>
              <w:rPr>
                <w:rFonts w:ascii="Arial" w:hAnsi="Arial" w:cs="Arial"/>
                <w:color w:val="auto"/>
                <w:sz w:val="18"/>
                <w:szCs w:val="18"/>
              </w:rPr>
            </w:pPr>
            <w:r w:rsidRPr="00CD1278">
              <w:rPr>
                <w:rFonts w:ascii="Arial" w:hAnsi="Arial" w:cs="Arial"/>
                <w:color w:val="auto"/>
                <w:sz w:val="18"/>
                <w:szCs w:val="18"/>
              </w:rPr>
              <w:t>MBTOC notes that c</w:t>
            </w:r>
            <w:r w:rsidR="009B6A47" w:rsidRPr="00CD1278">
              <w:rPr>
                <w:rFonts w:ascii="Arial" w:hAnsi="Arial" w:cs="Arial"/>
                <w:color w:val="auto"/>
                <w:sz w:val="18"/>
                <w:szCs w:val="18"/>
              </w:rPr>
              <w:t>hanging the MB/Pic label to allow lower dosage rates (which are not registered at present) would require an application through the State Government of Victoria and would take two years of field trials demonstrating equivalent efficacy (bioequivalence) between the registered application rate (25 g MB/m</w:t>
            </w:r>
            <w:r w:rsidR="009B6A47" w:rsidRPr="00CD1278">
              <w:rPr>
                <w:rFonts w:ascii="Arial" w:hAnsi="Arial" w:cs="Arial"/>
                <w:color w:val="auto"/>
                <w:sz w:val="18"/>
                <w:szCs w:val="18"/>
                <w:vertAlign w:val="superscript"/>
              </w:rPr>
              <w:t>2</w:t>
            </w:r>
            <w:r w:rsidR="009B6A47" w:rsidRPr="00CD1278">
              <w:rPr>
                <w:rFonts w:ascii="Arial" w:hAnsi="Arial" w:cs="Arial"/>
                <w:color w:val="auto"/>
                <w:sz w:val="18"/>
                <w:szCs w:val="18"/>
              </w:rPr>
              <w:t>) and the lower application rate (20 g MB/m</w:t>
            </w:r>
            <w:r w:rsidR="009B6A47" w:rsidRPr="00CD1278">
              <w:rPr>
                <w:rFonts w:ascii="Arial" w:hAnsi="Arial" w:cs="Arial"/>
                <w:color w:val="auto"/>
                <w:sz w:val="18"/>
                <w:szCs w:val="18"/>
                <w:vertAlign w:val="superscript"/>
              </w:rPr>
              <w:t>2</w:t>
            </w:r>
            <w:r w:rsidR="009B6A47" w:rsidRPr="00CD1278">
              <w:rPr>
                <w:rFonts w:ascii="Arial" w:hAnsi="Arial" w:cs="Arial"/>
                <w:color w:val="auto"/>
                <w:sz w:val="18"/>
                <w:szCs w:val="18"/>
              </w:rPr>
              <w:t xml:space="preserve">). </w:t>
            </w:r>
            <w:r w:rsidRPr="00CD1278">
              <w:rPr>
                <w:rFonts w:ascii="Arial" w:hAnsi="Arial" w:cs="Arial"/>
                <w:color w:val="auto"/>
                <w:sz w:val="18"/>
                <w:szCs w:val="18"/>
              </w:rPr>
              <w:t>The party has shown in the past that lower rates are not totally effective.</w:t>
            </w:r>
          </w:p>
          <w:p w14:paraId="1D5B19FC" w14:textId="180F6F9F"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When using alternative fumigants that are available for fruit production, the Australian strawberry fruit industry has reported significant losses due to charcoal rot (</w:t>
            </w:r>
            <w:r w:rsidRPr="00CD1278">
              <w:rPr>
                <w:rFonts w:ascii="Arial" w:hAnsi="Arial" w:cs="Arial"/>
                <w:i/>
                <w:color w:val="auto"/>
                <w:sz w:val="18"/>
                <w:szCs w:val="18"/>
              </w:rPr>
              <w:t>Macrophomina phaseolina</w:t>
            </w:r>
            <w:r w:rsidRPr="00CD1278">
              <w:rPr>
                <w:rFonts w:ascii="Arial" w:hAnsi="Arial" w:cs="Arial"/>
                <w:color w:val="auto"/>
                <w:sz w:val="18"/>
                <w:szCs w:val="18"/>
              </w:rPr>
              <w:t>) and crop phytotoxicity</w:t>
            </w:r>
            <w:r w:rsidR="00F133BB" w:rsidRPr="00CD1278">
              <w:rPr>
                <w:rFonts w:ascii="Arial" w:hAnsi="Arial" w:cs="Arial"/>
                <w:color w:val="auto"/>
                <w:sz w:val="18"/>
                <w:szCs w:val="18"/>
              </w:rPr>
              <w:t xml:space="preserve"> subsequent to MB phase out.</w:t>
            </w:r>
            <w:r w:rsidRPr="00CD1278">
              <w:rPr>
                <w:rFonts w:ascii="Arial" w:hAnsi="Arial" w:cs="Arial"/>
                <w:color w:val="auto"/>
                <w:sz w:val="18"/>
                <w:szCs w:val="18"/>
              </w:rPr>
              <w:t xml:space="preserve"> However, MBTOC understands that there is not enough evidence (in Australia or elsewhere) of a strong correlation between MB phase</w:t>
            </w:r>
            <w:r w:rsidR="006E1047" w:rsidRPr="00CD1278">
              <w:rPr>
                <w:rFonts w:ascii="Arial" w:hAnsi="Arial" w:cs="Arial"/>
                <w:color w:val="auto"/>
                <w:sz w:val="18"/>
                <w:szCs w:val="18"/>
              </w:rPr>
              <w:t xml:space="preserve"> </w:t>
            </w:r>
            <w:r w:rsidRPr="00CD1278">
              <w:rPr>
                <w:rFonts w:ascii="Arial" w:hAnsi="Arial" w:cs="Arial"/>
                <w:color w:val="auto"/>
                <w:sz w:val="18"/>
                <w:szCs w:val="18"/>
              </w:rPr>
              <w:t xml:space="preserve">out and the appearance of this disease. </w:t>
            </w:r>
          </w:p>
          <w:p w14:paraId="4B008C8C"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 xml:space="preserve">Soilless substrates in protected production systems are now in place for the Nucleus stocks and will be implemented in 2019 for the Mother Stock. This option is however not economically feasible for Certified runner generations according to the economic assessments conducted by the Party. MBTOC still considers that simplified soilless culture systems - including outdoors – are widely used around the world for producing strawberry runners and prove technically and economically suitable for certified nursery production operations as well as stock plants, resulting in healthy nursery material (López-Galarza </w:t>
            </w:r>
            <w:r w:rsidRPr="00CD1278">
              <w:rPr>
                <w:rFonts w:ascii="Arial" w:hAnsi="Arial" w:cs="Arial"/>
                <w:i/>
                <w:color w:val="auto"/>
                <w:sz w:val="18"/>
                <w:szCs w:val="18"/>
              </w:rPr>
              <w:t>et al</w:t>
            </w:r>
            <w:r w:rsidRPr="00CD1278">
              <w:rPr>
                <w:rFonts w:ascii="Arial" w:hAnsi="Arial" w:cs="Arial"/>
                <w:color w:val="auto"/>
                <w:sz w:val="18"/>
                <w:szCs w:val="18"/>
              </w:rPr>
              <w:t xml:space="preserve">., 2010, Rodríguez-Delfín, 2012). </w:t>
            </w:r>
          </w:p>
          <w:p w14:paraId="6F1CB2F2" w14:textId="471B858B" w:rsidR="009B6A47" w:rsidRPr="00CD1278" w:rsidRDefault="00896422" w:rsidP="00A50F28">
            <w:pPr>
              <w:ind w:right="14"/>
              <w:rPr>
                <w:rFonts w:ascii="Arial" w:hAnsi="Arial" w:cs="Arial"/>
                <w:color w:val="auto"/>
                <w:sz w:val="18"/>
                <w:szCs w:val="18"/>
              </w:rPr>
            </w:pPr>
            <w:r w:rsidRPr="00CD1278">
              <w:rPr>
                <w:rFonts w:ascii="Arial" w:hAnsi="Arial" w:cs="Arial"/>
                <w:color w:val="auto"/>
                <w:sz w:val="18"/>
                <w:szCs w:val="18"/>
              </w:rPr>
              <w:br/>
            </w:r>
            <w:r w:rsidR="009B6A47" w:rsidRPr="00CD1278">
              <w:rPr>
                <w:rFonts w:ascii="Arial" w:hAnsi="Arial" w:cs="Arial"/>
                <w:color w:val="auto"/>
                <w:sz w:val="18"/>
                <w:szCs w:val="18"/>
              </w:rPr>
              <w:t xml:space="preserve">MBTOC was unclear on the source of MB used for conducting trials and the Party clarified that the allocation of MB to VSICA previously used for soil disinfestation in the production of Foundation stock is now used for research purposes, so this is not a contingency use.  </w:t>
            </w:r>
          </w:p>
          <w:p w14:paraId="3B09D0D2"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 xml:space="preserve">In a recent paper, Lopez Aranda </w:t>
            </w:r>
            <w:r w:rsidRPr="00CD1278">
              <w:rPr>
                <w:rFonts w:ascii="Arial" w:hAnsi="Arial" w:cs="Arial"/>
                <w:i/>
                <w:color w:val="auto"/>
                <w:sz w:val="18"/>
                <w:szCs w:val="18"/>
              </w:rPr>
              <w:t>et al</w:t>
            </w:r>
            <w:r w:rsidRPr="00CD1278">
              <w:rPr>
                <w:rFonts w:ascii="Arial" w:hAnsi="Arial" w:cs="Arial"/>
                <w:color w:val="auto"/>
                <w:sz w:val="18"/>
                <w:szCs w:val="18"/>
              </w:rPr>
              <w:t>. (2016) conducted a comprehensive survey of 41 strawberry industries, mostly in Europe but also other countries, comprising more than 5,755 ha of strawberry nurseries with different soil and climate situations. Results showed that 32% of the area is fumigated with metham sodium (spading), 31% uses crop rotation (with cereals, grasses, oilseed crops, legumes, and other crops as green manure, such as oil radish, mustards, winter rye, and buckwheat) and/or a change of location; 19.3% is fumigated with 1,3D:Pic and/or 1,3D+Chloropicrin; 8.6% relies on non-chemical methods (cover/catch crops, soil solarisation, and ASD), 7.2% on fumigation with dazomet (Mix-Tiller), and the remaining 1.9% on other chemical solutions. None of the nurseries presently use MB.</w:t>
            </w:r>
          </w:p>
          <w:p w14:paraId="029CD924"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While MBTOC once more recognizes the Party’s continued efforts in researching and developing an array of MB alternatives (Mattner, 2017), it is also noted that these efforts have not resulted in commercial uptake of alternatives, so there has been no significant reduction in MB use in this sector since 2005 and no change in the VSICA certification standard. MBTOC commends Australia for renewed research efforts (in line with Decision XXV/4), which are showing promising results.</w:t>
            </w:r>
          </w:p>
          <w:p w14:paraId="5642ED2E"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The combination of particular environmental conditions of Toolangi (e.g. soils, temperatures, winds), the sector’s small size (10 growers and 119 ha</w:t>
            </w:r>
            <w:r w:rsidRPr="00CD1278">
              <w:rPr>
                <w:rStyle w:val="FootnoteReference"/>
                <w:rFonts w:ascii="Arial" w:hAnsi="Arial" w:cs="Arial"/>
                <w:color w:val="auto"/>
                <w:sz w:val="18"/>
                <w:szCs w:val="18"/>
              </w:rPr>
              <w:footnoteReference w:id="2"/>
            </w:r>
            <w:r w:rsidRPr="00CD1278">
              <w:rPr>
                <w:rFonts w:ascii="Arial" w:hAnsi="Arial" w:cs="Arial"/>
                <w:color w:val="auto"/>
                <w:sz w:val="18"/>
                <w:szCs w:val="18"/>
              </w:rPr>
              <w:t xml:space="preserve">) and very strict regulations (e.g. registration requirements, minimum dosages, runners´ certification system) continue to be a huge barrier for the implementation of alternatives for this particular use. </w:t>
            </w:r>
          </w:p>
          <w:p w14:paraId="6091D2E8"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After 15 years of granting MB exemptions for this use in Australia, MBTOC feels that its continuous recommendation virtually guarantees a MB supply to these growers and could in itself be becoming a barrier for technological change and adoption of alternatives. A recent study (Guthman, 2016) in reference to the California strawberry industry suggested that “</w:t>
            </w:r>
            <w:r w:rsidRPr="00CD1278">
              <w:rPr>
                <w:rFonts w:ascii="Arial" w:hAnsi="Arial" w:cs="Arial"/>
                <w:i/>
                <w:color w:val="auto"/>
                <w:sz w:val="18"/>
                <w:szCs w:val="18"/>
              </w:rPr>
              <w:t>CUEs induced complacency in the industry, giving growers hope that the exemptions would persist and slowing down the development and testing of other alternatives, including less toxic alternatives</w:t>
            </w:r>
            <w:r w:rsidRPr="00CD1278">
              <w:rPr>
                <w:rFonts w:ascii="Arial" w:hAnsi="Arial" w:cs="Arial"/>
                <w:color w:val="auto"/>
                <w:sz w:val="18"/>
                <w:szCs w:val="18"/>
              </w:rPr>
              <w:t>”, even putting the industry in a weak position, with no scalable solutions for the near future.</w:t>
            </w:r>
          </w:p>
          <w:p w14:paraId="5554ECEA" w14:textId="67C710D5"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 xml:space="preserve">MBTOC is aware that EDN was just recently registered in Australia for soil disinfestation including </w:t>
            </w:r>
            <w:r w:rsidR="00F133BB" w:rsidRPr="00CD1278">
              <w:rPr>
                <w:rFonts w:ascii="Arial" w:hAnsi="Arial" w:cs="Arial"/>
                <w:color w:val="auto"/>
                <w:sz w:val="18"/>
                <w:szCs w:val="18"/>
              </w:rPr>
              <w:t xml:space="preserve">for </w:t>
            </w:r>
            <w:r w:rsidRPr="00CD1278">
              <w:rPr>
                <w:rFonts w:ascii="Arial" w:hAnsi="Arial" w:cs="Arial"/>
                <w:color w:val="auto"/>
                <w:sz w:val="18"/>
                <w:szCs w:val="18"/>
              </w:rPr>
              <w:t>strawberr</w:t>
            </w:r>
            <w:r w:rsidR="00F133BB" w:rsidRPr="00CD1278">
              <w:rPr>
                <w:rFonts w:ascii="Arial" w:hAnsi="Arial" w:cs="Arial"/>
                <w:color w:val="auto"/>
                <w:sz w:val="18"/>
                <w:szCs w:val="18"/>
              </w:rPr>
              <w:t>y fruit production</w:t>
            </w:r>
            <w:r w:rsidRPr="00CD1278">
              <w:rPr>
                <w:rFonts w:ascii="Arial" w:hAnsi="Arial" w:cs="Arial"/>
                <w:color w:val="auto"/>
                <w:sz w:val="18"/>
                <w:szCs w:val="18"/>
              </w:rPr>
              <w:t>, so the Party may have another available alternative that when mixed with Pic may render good results equivalent to MB.</w:t>
            </w:r>
          </w:p>
          <w:p w14:paraId="3611B6A8"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MBTOC urges the Party to review regulations and other hurdles to the adoption of alternatives, to set forth the phase-out process. Although the nomination is in line with Decision IX/6, MBTOC strongly encourages the Party to work on a reduction of MB in future nominations, particularly since these are submitted two years ahead, with time for implementation of the selected options.</w:t>
            </w:r>
          </w:p>
          <w:p w14:paraId="60992937"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MBTOC understands that certification authorities require at least two years of data demonstrating alternatives deliver equivalent efficacy to MB/Pic before changes to the rules of the Certification Scheme can be introduced, but urges the Party to be more flexible with regulations and accelerate the schedule in order to phase out MB as soon as possible. A revision of certification rules, to allow for greater adoption of any effective alternatives, plus new technologies with barrier films etc. may need to be considered.</w:t>
            </w:r>
          </w:p>
          <w:p w14:paraId="6ECF092E"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 xml:space="preserve">This will be in line with the situation of various countries around the world who phased-out MB use in strawberry runners in the past and have implemented alternatives successfully (García-Sinovas </w:t>
            </w:r>
            <w:r w:rsidRPr="00CD1278">
              <w:rPr>
                <w:rFonts w:ascii="Arial" w:hAnsi="Arial" w:cs="Arial"/>
                <w:i/>
                <w:color w:val="auto"/>
                <w:sz w:val="18"/>
                <w:szCs w:val="18"/>
              </w:rPr>
              <w:t>et al</w:t>
            </w:r>
            <w:r w:rsidRPr="00CD1278">
              <w:rPr>
                <w:rFonts w:ascii="Arial" w:hAnsi="Arial" w:cs="Arial"/>
                <w:color w:val="auto"/>
                <w:sz w:val="18"/>
                <w:szCs w:val="18"/>
              </w:rPr>
              <w:t>., 2014; López-Aranda, 2016).</w:t>
            </w:r>
          </w:p>
          <w:p w14:paraId="17A020A0" w14:textId="538A2B15" w:rsidR="009B6A47" w:rsidRPr="00CD1278" w:rsidRDefault="00896422" w:rsidP="00A26C61">
            <w:pPr>
              <w:tabs>
                <w:tab w:val="left" w:pos="0"/>
              </w:tabs>
              <w:rPr>
                <w:rFonts w:ascii="Arial" w:hAnsi="Arial" w:cs="Arial"/>
                <w:color w:val="auto"/>
                <w:sz w:val="18"/>
                <w:szCs w:val="18"/>
              </w:rPr>
            </w:pPr>
            <w:r w:rsidRPr="00CD1278">
              <w:rPr>
                <w:rFonts w:ascii="Arial" w:hAnsi="Arial" w:cs="Arial"/>
                <w:color w:val="auto"/>
                <w:sz w:val="18"/>
                <w:szCs w:val="18"/>
              </w:rPr>
              <w:br/>
            </w:r>
            <w:r w:rsidR="009B6A47" w:rsidRPr="00CD1278">
              <w:rPr>
                <w:rFonts w:ascii="Arial" w:hAnsi="Arial" w:cs="Arial"/>
                <w:color w:val="auto"/>
                <w:sz w:val="18"/>
                <w:szCs w:val="18"/>
              </w:rPr>
              <w:t>MBTOC acknowledges that the transition plan for phasing-out MB put forward by the Party represents good progress: if MI is registered by 2021, then in 2021 the nomination could be cut by half, and there will be no more requests in 2022, however MBTOC notes that MI registration is not guaranteed. Significant progress has been made with adoption of soilless culture and MBTOC considers that in the absence of any other alternative control methods, this technology could be considered for all generations of the runner production, particularly outdoor soilless systems currently used in other parts of the world.  Significant progress with TF80 is also noted and continuation of this promising research to replace MB is encouraged.</w:t>
            </w:r>
          </w:p>
          <w:p w14:paraId="751057CA" w14:textId="77777777" w:rsidR="009B6A47" w:rsidRPr="00CD1278" w:rsidRDefault="009B6A47" w:rsidP="00A50F28">
            <w:pPr>
              <w:rPr>
                <w:rFonts w:ascii="Arial" w:hAnsi="Arial" w:cs="Arial"/>
                <w:color w:val="auto"/>
                <w:sz w:val="18"/>
                <w:szCs w:val="18"/>
              </w:rPr>
            </w:pPr>
            <w:r w:rsidRPr="00CD1278">
              <w:rPr>
                <w:rFonts w:ascii="Arial" w:hAnsi="Arial" w:cs="Arial"/>
                <w:b/>
                <w:color w:val="auto"/>
                <w:sz w:val="18"/>
                <w:szCs w:val="18"/>
              </w:rPr>
              <w:t xml:space="preserve">MBTOC comments on economics provided in CUN for 2020: </w:t>
            </w:r>
            <w:r w:rsidRPr="00CD1278">
              <w:rPr>
                <w:rFonts w:ascii="Arial" w:hAnsi="Arial" w:cs="Arial"/>
                <w:color w:val="auto"/>
                <w:sz w:val="18"/>
                <w:szCs w:val="18"/>
              </w:rPr>
              <w:br/>
              <w:t>Previously, it was believed that while the Foundation stock can be grown in a soilless system, the Mother and Certified stock stages could not. However new research shows that improved soilless production methods can increase runner yields. Such systems are based on hydroponic tip production and plug plants for transplant production, inside screen houses. Previous partial budget analyses were based on soilless substrates in large bins for production of bare-rooted transplants.</w:t>
            </w:r>
          </w:p>
          <w:p w14:paraId="0F04CD08"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Under the current price of runners, production of Mother Stock as plug plants would result in a net revenue loss per hectare of A$920,000. The price of Mother Stock needs to increase from A$0.34 per runner to A$1.01 for hydroponic production systems to break even.</w:t>
            </w:r>
          </w:p>
          <w:p w14:paraId="463A6E11"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However, the increased cost for Mother stock could be absorbed into the cost of Certified stock runners. Results show that adoption of the hydroponics system in the Mother generation would require a price increase of A$0.01 per runner in the Certified generation. Therefore, the use of the hydroponic system is considered economically feasible for the Mother generation of runners.</w:t>
            </w:r>
          </w:p>
          <w:p w14:paraId="4A9D6AED" w14:textId="77777777" w:rsidR="009B6A47" w:rsidRPr="00CD1278" w:rsidRDefault="009B6A47" w:rsidP="00C84DC3">
            <w:pPr>
              <w:spacing w:after="120"/>
              <w:rPr>
                <w:rFonts w:ascii="Arial" w:hAnsi="Arial" w:cs="Arial"/>
                <w:b/>
                <w:color w:val="auto"/>
                <w:sz w:val="18"/>
                <w:szCs w:val="18"/>
              </w:rPr>
            </w:pPr>
            <w:r w:rsidRPr="00CD1278">
              <w:rPr>
                <w:rFonts w:ascii="Arial" w:hAnsi="Arial" w:cs="Arial"/>
                <w:b/>
                <w:color w:val="auto"/>
                <w:sz w:val="18"/>
                <w:szCs w:val="18"/>
              </w:rPr>
              <w:t>Comments Requested in Dec. XX1/11 (para 9):</w:t>
            </w:r>
          </w:p>
          <w:p w14:paraId="141BDD64" w14:textId="1463E676" w:rsidR="009B6A47" w:rsidRPr="00CD1278" w:rsidRDefault="009B6A47" w:rsidP="00C84DC3">
            <w:pPr>
              <w:spacing w:after="120"/>
              <w:ind w:left="1077" w:hanging="1077"/>
              <w:rPr>
                <w:rFonts w:ascii="Arial" w:hAnsi="Arial" w:cs="Arial"/>
                <w:color w:val="auto"/>
                <w:sz w:val="18"/>
                <w:szCs w:val="18"/>
              </w:rPr>
            </w:pPr>
            <w:r w:rsidRPr="00CD1278">
              <w:rPr>
                <w:rFonts w:ascii="Arial" w:hAnsi="Arial" w:cs="Arial"/>
                <w:color w:val="auto"/>
                <w:sz w:val="18"/>
                <w:szCs w:val="18"/>
              </w:rPr>
              <w:t>•</w:t>
            </w:r>
            <w:r w:rsidR="001B28F0" w:rsidRPr="00CD1278">
              <w:rPr>
                <w:rFonts w:ascii="Arial" w:hAnsi="Arial" w:cs="Arial"/>
                <w:color w:val="auto"/>
                <w:sz w:val="18"/>
                <w:szCs w:val="18"/>
              </w:rPr>
              <w:t xml:space="preserve">     </w:t>
            </w:r>
            <w:r w:rsidRPr="00CD1278">
              <w:rPr>
                <w:rFonts w:ascii="Arial" w:hAnsi="Arial" w:cs="Arial"/>
                <w:b/>
                <w:color w:val="auto"/>
                <w:sz w:val="18"/>
                <w:szCs w:val="18"/>
              </w:rPr>
              <w:t>Dec. IX/6 b (i) Emission reduction:</w:t>
            </w:r>
            <w:r w:rsidRPr="00CD1278">
              <w:rPr>
                <w:rFonts w:ascii="Arial" w:hAnsi="Arial" w:cs="Arial"/>
                <w:color w:val="auto"/>
                <w:sz w:val="18"/>
                <w:szCs w:val="18"/>
              </w:rPr>
              <w:t xml:space="preserve">  No, but the Party states that standard films perform the same as VIF for the reduction of emissions in the cold temperatures and heavy wet soils typical for strawberry runner production in Victoria. The Party also states that use of VIF did not improve the efficacy of reduced rates of MB to an acceptable level for the strawberry runner industry. </w:t>
            </w:r>
          </w:p>
          <w:p w14:paraId="0C091043" w14:textId="3B311A8E" w:rsidR="009B6A47" w:rsidRPr="00CD1278" w:rsidRDefault="009B6A47" w:rsidP="00C84DC3">
            <w:pPr>
              <w:spacing w:after="120"/>
              <w:rPr>
                <w:rFonts w:ascii="Arial" w:hAnsi="Arial" w:cs="Arial"/>
                <w:color w:val="auto"/>
                <w:sz w:val="18"/>
                <w:szCs w:val="18"/>
              </w:rPr>
            </w:pPr>
            <w:r w:rsidRPr="00CD1278">
              <w:rPr>
                <w:rFonts w:ascii="Arial" w:hAnsi="Arial" w:cs="Arial"/>
                <w:color w:val="auto"/>
                <w:sz w:val="18"/>
                <w:szCs w:val="18"/>
              </w:rPr>
              <w:t>•</w:t>
            </w:r>
            <w:r w:rsidR="001B28F0" w:rsidRPr="00CD1278">
              <w:rPr>
                <w:rFonts w:ascii="Arial" w:hAnsi="Arial" w:cs="Arial"/>
                <w:color w:val="auto"/>
                <w:sz w:val="18"/>
                <w:szCs w:val="18"/>
              </w:rPr>
              <w:t xml:space="preserve">     </w:t>
            </w:r>
            <w:r w:rsidRPr="00CD1278">
              <w:rPr>
                <w:rFonts w:ascii="Arial" w:hAnsi="Arial" w:cs="Arial"/>
                <w:b/>
                <w:color w:val="auto"/>
                <w:sz w:val="18"/>
                <w:szCs w:val="18"/>
              </w:rPr>
              <w:t>Dec. IX/6 b (ii) Research program:</w:t>
            </w:r>
            <w:r w:rsidRPr="00CD1278">
              <w:rPr>
                <w:rFonts w:ascii="Arial" w:hAnsi="Arial" w:cs="Arial"/>
                <w:color w:val="auto"/>
                <w:sz w:val="18"/>
                <w:szCs w:val="18"/>
              </w:rPr>
              <w:t xml:space="preserve"> Approved and funded research program is currently in place at the time of this nomination.</w:t>
            </w:r>
          </w:p>
          <w:p w14:paraId="52C18007" w14:textId="505538E3" w:rsidR="009B6A47" w:rsidRPr="00CD1278" w:rsidRDefault="009B6A47" w:rsidP="00C84DC3">
            <w:pPr>
              <w:spacing w:after="120"/>
              <w:rPr>
                <w:rFonts w:ascii="Arial" w:hAnsi="Arial" w:cs="Arial"/>
                <w:color w:val="auto"/>
                <w:sz w:val="18"/>
                <w:szCs w:val="18"/>
              </w:rPr>
            </w:pPr>
            <w:r w:rsidRPr="00CD1278">
              <w:rPr>
                <w:rFonts w:ascii="Arial" w:hAnsi="Arial" w:cs="Arial"/>
                <w:color w:val="auto"/>
                <w:sz w:val="18"/>
                <w:szCs w:val="18"/>
              </w:rPr>
              <w:t>•</w:t>
            </w:r>
            <w:r w:rsidR="001B28F0" w:rsidRPr="00CD1278">
              <w:rPr>
                <w:rFonts w:ascii="Arial" w:hAnsi="Arial" w:cs="Arial"/>
                <w:color w:val="auto"/>
                <w:sz w:val="18"/>
                <w:szCs w:val="18"/>
              </w:rPr>
              <w:t xml:space="preserve">     </w:t>
            </w:r>
            <w:r w:rsidRPr="00CD1278">
              <w:rPr>
                <w:rFonts w:ascii="Arial" w:hAnsi="Arial" w:cs="Arial"/>
                <w:b/>
                <w:color w:val="auto"/>
                <w:sz w:val="18"/>
                <w:szCs w:val="18"/>
              </w:rPr>
              <w:t>Dec. IX/6 b (</w:t>
            </w:r>
            <w:r w:rsidR="001B28F0" w:rsidRPr="00CD1278">
              <w:rPr>
                <w:rFonts w:ascii="Arial" w:hAnsi="Arial" w:cs="Arial"/>
                <w:b/>
                <w:color w:val="auto"/>
                <w:sz w:val="18"/>
                <w:szCs w:val="18"/>
              </w:rPr>
              <w:t>I</w:t>
            </w:r>
            <w:r w:rsidRPr="00CD1278">
              <w:rPr>
                <w:rFonts w:ascii="Arial" w:hAnsi="Arial" w:cs="Arial"/>
                <w:b/>
                <w:color w:val="auto"/>
                <w:sz w:val="18"/>
                <w:szCs w:val="18"/>
              </w:rPr>
              <w:t>ii) Appropriate effort:</w:t>
            </w:r>
            <w:r w:rsidRPr="00CD1278">
              <w:rPr>
                <w:rFonts w:ascii="Arial" w:hAnsi="Arial" w:cs="Arial"/>
                <w:color w:val="auto"/>
                <w:sz w:val="18"/>
                <w:szCs w:val="18"/>
              </w:rPr>
              <w:t xml:space="preserve"> Research effort is adequate - funded research program currently in place at the time of this nomination.</w:t>
            </w:r>
          </w:p>
          <w:p w14:paraId="64597464" w14:textId="77777777" w:rsidR="009B6A47" w:rsidRPr="00CD1278" w:rsidRDefault="009B6A47" w:rsidP="00A50F28">
            <w:pPr>
              <w:spacing w:after="200" w:line="276" w:lineRule="auto"/>
              <w:jc w:val="both"/>
              <w:rPr>
                <w:rFonts w:ascii="Arial" w:hAnsi="Arial" w:cs="Arial"/>
                <w:color w:val="auto"/>
                <w:szCs w:val="32"/>
              </w:rPr>
            </w:pPr>
          </w:p>
        </w:tc>
      </w:tr>
      <w:tr w:rsidR="003C102E" w:rsidRPr="00CD1278" w14:paraId="6666127A" w14:textId="77777777" w:rsidTr="00220027">
        <w:trPr>
          <w:trHeight w:val="70"/>
          <w:tblHeader/>
        </w:trPr>
        <w:tc>
          <w:tcPr>
            <w:tcW w:w="992" w:type="dxa"/>
            <w:tcBorders>
              <w:top w:val="single" w:sz="4" w:space="0" w:color="auto"/>
            </w:tcBorders>
            <w:vAlign w:val="center"/>
          </w:tcPr>
          <w:p w14:paraId="7B29A35F" w14:textId="77777777" w:rsidR="009B6A47" w:rsidRPr="00CD1278" w:rsidRDefault="009B6A47" w:rsidP="00A50F28">
            <w:pPr>
              <w:pageBreakBefore/>
              <w:spacing w:before="40" w:after="40"/>
              <w:rPr>
                <w:rFonts w:ascii="Arial" w:hAnsi="Arial"/>
                <w:b/>
                <w:color w:val="auto"/>
                <w:sz w:val="18"/>
              </w:rPr>
            </w:pPr>
            <w:r w:rsidRPr="00CD1278">
              <w:rPr>
                <w:rFonts w:ascii="Arial" w:hAnsi="Arial"/>
                <w:b/>
                <w:color w:val="auto"/>
                <w:sz w:val="18"/>
              </w:rPr>
              <w:t>Country</w:t>
            </w:r>
          </w:p>
        </w:tc>
        <w:tc>
          <w:tcPr>
            <w:tcW w:w="1135" w:type="dxa"/>
            <w:tcBorders>
              <w:top w:val="single" w:sz="4" w:space="0" w:color="auto"/>
            </w:tcBorders>
            <w:vAlign w:val="center"/>
          </w:tcPr>
          <w:p w14:paraId="076D616F" w14:textId="77777777" w:rsidR="009B6A47" w:rsidRPr="00CD1278" w:rsidRDefault="009B6A47" w:rsidP="00A50F28">
            <w:pPr>
              <w:spacing w:before="40" w:after="40"/>
              <w:rPr>
                <w:rFonts w:ascii="Arial" w:hAnsi="Arial"/>
                <w:b/>
                <w:color w:val="auto"/>
                <w:sz w:val="18"/>
              </w:rPr>
            </w:pPr>
            <w:r w:rsidRPr="00CD1278">
              <w:rPr>
                <w:rFonts w:ascii="Arial" w:hAnsi="Arial"/>
                <w:b/>
                <w:color w:val="auto"/>
                <w:sz w:val="18"/>
              </w:rPr>
              <w:t>Industry</w:t>
            </w:r>
          </w:p>
        </w:tc>
        <w:tc>
          <w:tcPr>
            <w:tcW w:w="737" w:type="dxa"/>
            <w:tcBorders>
              <w:top w:val="single" w:sz="4" w:space="0" w:color="auto"/>
            </w:tcBorders>
            <w:vAlign w:val="center"/>
          </w:tcPr>
          <w:p w14:paraId="0A3FA4C9" w14:textId="77777777" w:rsidR="009B6A47" w:rsidRPr="00CD1278" w:rsidRDefault="009B6A47" w:rsidP="00A50F28">
            <w:pPr>
              <w:spacing w:before="40" w:after="40"/>
              <w:jc w:val="center"/>
              <w:rPr>
                <w:rFonts w:ascii="Arial" w:hAnsi="Arial"/>
                <w:b/>
                <w:color w:val="auto"/>
                <w:sz w:val="18"/>
              </w:rPr>
            </w:pPr>
            <w:r w:rsidRPr="00CD1278">
              <w:rPr>
                <w:rFonts w:ascii="Arial" w:hAnsi="Arial"/>
                <w:b/>
                <w:color w:val="auto"/>
                <w:sz w:val="18"/>
              </w:rPr>
              <w:t>CUE for 2005</w:t>
            </w:r>
            <w:r w:rsidRPr="00CD1278">
              <w:rPr>
                <w:rFonts w:ascii="Arial" w:hAnsi="Arial"/>
                <w:b/>
                <w:color w:val="auto"/>
                <w:sz w:val="18"/>
                <w:vertAlign w:val="superscript"/>
              </w:rPr>
              <w:t>1</w:t>
            </w:r>
          </w:p>
        </w:tc>
        <w:tc>
          <w:tcPr>
            <w:tcW w:w="709" w:type="dxa"/>
            <w:tcBorders>
              <w:top w:val="single" w:sz="4" w:space="0" w:color="auto"/>
            </w:tcBorders>
            <w:vAlign w:val="center"/>
          </w:tcPr>
          <w:p w14:paraId="46A1751B" w14:textId="77777777" w:rsidR="009B6A47" w:rsidRPr="00CD1278" w:rsidRDefault="009B6A47" w:rsidP="00A50F28">
            <w:pPr>
              <w:spacing w:before="40" w:after="40"/>
              <w:jc w:val="center"/>
              <w:rPr>
                <w:rFonts w:ascii="Arial" w:hAnsi="Arial"/>
                <w:b/>
                <w:color w:val="auto"/>
                <w:sz w:val="18"/>
              </w:rPr>
            </w:pPr>
            <w:r w:rsidRPr="00CD1278">
              <w:rPr>
                <w:rFonts w:ascii="Arial" w:hAnsi="Arial"/>
                <w:b/>
                <w:color w:val="auto"/>
                <w:sz w:val="18"/>
              </w:rPr>
              <w:t>CUE for 2006</w:t>
            </w:r>
            <w:r w:rsidRPr="00CD1278">
              <w:rPr>
                <w:rFonts w:ascii="Arial" w:hAnsi="Arial"/>
                <w:b/>
                <w:color w:val="auto"/>
                <w:sz w:val="18"/>
                <w:vertAlign w:val="superscript"/>
              </w:rPr>
              <w:t>2</w:t>
            </w:r>
          </w:p>
        </w:tc>
        <w:tc>
          <w:tcPr>
            <w:tcW w:w="709" w:type="dxa"/>
            <w:tcBorders>
              <w:top w:val="single" w:sz="4" w:space="0" w:color="auto"/>
            </w:tcBorders>
            <w:vAlign w:val="center"/>
          </w:tcPr>
          <w:p w14:paraId="3B166E97" w14:textId="77777777" w:rsidR="009B6A47" w:rsidRPr="00CD1278" w:rsidRDefault="009B6A47" w:rsidP="00A50F28">
            <w:pPr>
              <w:spacing w:before="40" w:after="40"/>
              <w:jc w:val="center"/>
              <w:rPr>
                <w:rFonts w:ascii="Arial" w:hAnsi="Arial"/>
                <w:b/>
                <w:color w:val="auto"/>
                <w:sz w:val="18"/>
              </w:rPr>
            </w:pPr>
            <w:r w:rsidRPr="00CD1278">
              <w:rPr>
                <w:rFonts w:ascii="Arial" w:hAnsi="Arial"/>
                <w:b/>
                <w:color w:val="auto"/>
                <w:sz w:val="18"/>
              </w:rPr>
              <w:t>CUE for 2007</w:t>
            </w:r>
            <w:r w:rsidRPr="00CD1278">
              <w:rPr>
                <w:rFonts w:ascii="Arial" w:hAnsi="Arial"/>
                <w:b/>
                <w:color w:val="auto"/>
                <w:sz w:val="18"/>
                <w:vertAlign w:val="superscript"/>
              </w:rPr>
              <w:t>3</w:t>
            </w:r>
          </w:p>
        </w:tc>
        <w:tc>
          <w:tcPr>
            <w:tcW w:w="708" w:type="dxa"/>
            <w:tcBorders>
              <w:top w:val="single" w:sz="4" w:space="0" w:color="auto"/>
            </w:tcBorders>
            <w:vAlign w:val="center"/>
          </w:tcPr>
          <w:p w14:paraId="669D7244" w14:textId="77777777" w:rsidR="009B6A47" w:rsidRPr="00CD1278" w:rsidRDefault="009B6A47" w:rsidP="00A50F28">
            <w:pPr>
              <w:spacing w:before="40" w:after="40"/>
              <w:jc w:val="center"/>
              <w:rPr>
                <w:rFonts w:ascii="Arial" w:hAnsi="Arial"/>
                <w:b/>
                <w:color w:val="auto"/>
                <w:sz w:val="18"/>
              </w:rPr>
            </w:pPr>
            <w:r w:rsidRPr="00CD1278">
              <w:rPr>
                <w:rFonts w:ascii="Arial" w:hAnsi="Arial"/>
                <w:b/>
                <w:color w:val="auto"/>
                <w:sz w:val="18"/>
              </w:rPr>
              <w:t>CUE for 2008</w:t>
            </w:r>
            <w:r w:rsidRPr="00CD1278">
              <w:rPr>
                <w:rFonts w:ascii="Arial" w:hAnsi="Arial"/>
                <w:b/>
                <w:color w:val="auto"/>
                <w:sz w:val="18"/>
                <w:vertAlign w:val="superscript"/>
              </w:rPr>
              <w:t>4</w:t>
            </w:r>
          </w:p>
        </w:tc>
        <w:tc>
          <w:tcPr>
            <w:tcW w:w="709" w:type="dxa"/>
            <w:tcBorders>
              <w:top w:val="single" w:sz="4" w:space="0" w:color="auto"/>
            </w:tcBorders>
            <w:vAlign w:val="center"/>
          </w:tcPr>
          <w:p w14:paraId="41358B9F" w14:textId="77777777" w:rsidR="009B6A47" w:rsidRPr="00CD1278" w:rsidRDefault="009B6A47" w:rsidP="00A50F28">
            <w:pPr>
              <w:tabs>
                <w:tab w:val="left" w:pos="35"/>
              </w:tabs>
              <w:spacing w:before="40" w:after="40"/>
              <w:jc w:val="center"/>
              <w:rPr>
                <w:rFonts w:ascii="Arial" w:hAnsi="Arial"/>
                <w:b/>
                <w:color w:val="auto"/>
                <w:sz w:val="18"/>
              </w:rPr>
            </w:pPr>
            <w:r w:rsidRPr="00CD1278">
              <w:rPr>
                <w:rFonts w:ascii="Arial" w:hAnsi="Arial"/>
                <w:b/>
                <w:color w:val="auto"/>
                <w:sz w:val="18"/>
              </w:rPr>
              <w:t>CUE for 2009</w:t>
            </w:r>
            <w:r w:rsidRPr="00CD1278">
              <w:rPr>
                <w:rFonts w:ascii="Arial" w:hAnsi="Arial"/>
                <w:b/>
                <w:color w:val="auto"/>
                <w:sz w:val="18"/>
                <w:vertAlign w:val="superscript"/>
              </w:rPr>
              <w:t>5</w:t>
            </w:r>
          </w:p>
        </w:tc>
        <w:tc>
          <w:tcPr>
            <w:tcW w:w="709" w:type="dxa"/>
            <w:tcBorders>
              <w:top w:val="single" w:sz="4" w:space="0" w:color="auto"/>
            </w:tcBorders>
            <w:vAlign w:val="center"/>
          </w:tcPr>
          <w:p w14:paraId="3E3A2256" w14:textId="77777777" w:rsidR="009B6A47" w:rsidRPr="00CD1278" w:rsidRDefault="009B6A47" w:rsidP="00A50F28">
            <w:pPr>
              <w:spacing w:before="40" w:after="40"/>
              <w:jc w:val="center"/>
              <w:rPr>
                <w:rFonts w:ascii="Arial" w:hAnsi="Arial"/>
                <w:b/>
                <w:color w:val="auto"/>
                <w:sz w:val="18"/>
              </w:rPr>
            </w:pPr>
            <w:r w:rsidRPr="00CD1278">
              <w:rPr>
                <w:rFonts w:ascii="Arial" w:hAnsi="Arial"/>
                <w:b/>
                <w:color w:val="auto"/>
                <w:sz w:val="18"/>
              </w:rPr>
              <w:t>CUE for 2010</w:t>
            </w:r>
            <w:r w:rsidRPr="00CD1278">
              <w:rPr>
                <w:rFonts w:ascii="Arial" w:hAnsi="Arial"/>
                <w:b/>
                <w:color w:val="auto"/>
                <w:sz w:val="18"/>
                <w:vertAlign w:val="superscript"/>
              </w:rPr>
              <w:t>6</w:t>
            </w:r>
          </w:p>
        </w:tc>
        <w:tc>
          <w:tcPr>
            <w:tcW w:w="709" w:type="dxa"/>
            <w:tcBorders>
              <w:top w:val="single" w:sz="4" w:space="0" w:color="auto"/>
            </w:tcBorders>
            <w:vAlign w:val="center"/>
          </w:tcPr>
          <w:p w14:paraId="57441355" w14:textId="77777777" w:rsidR="009B6A47" w:rsidRPr="00CD1278" w:rsidRDefault="009B6A47" w:rsidP="00A50F28">
            <w:pPr>
              <w:spacing w:before="40" w:after="40"/>
              <w:jc w:val="center"/>
              <w:rPr>
                <w:rFonts w:ascii="Arial" w:hAnsi="Arial"/>
                <w:b/>
                <w:color w:val="auto"/>
                <w:sz w:val="18"/>
              </w:rPr>
            </w:pPr>
            <w:r w:rsidRPr="00CD1278">
              <w:rPr>
                <w:rFonts w:ascii="Arial" w:hAnsi="Arial"/>
                <w:b/>
                <w:color w:val="auto"/>
                <w:sz w:val="18"/>
              </w:rPr>
              <w:t>CUE for 2011</w:t>
            </w:r>
            <w:r w:rsidRPr="00CD1278">
              <w:rPr>
                <w:rFonts w:ascii="Arial" w:hAnsi="Arial"/>
                <w:b/>
                <w:color w:val="auto"/>
                <w:sz w:val="18"/>
                <w:vertAlign w:val="superscript"/>
              </w:rPr>
              <w:t>7</w:t>
            </w:r>
          </w:p>
        </w:tc>
        <w:tc>
          <w:tcPr>
            <w:tcW w:w="708" w:type="dxa"/>
            <w:tcBorders>
              <w:top w:val="single" w:sz="4" w:space="0" w:color="auto"/>
            </w:tcBorders>
            <w:vAlign w:val="center"/>
          </w:tcPr>
          <w:p w14:paraId="69A698C4" w14:textId="77777777" w:rsidR="009B6A47" w:rsidRPr="00CD1278" w:rsidRDefault="009B6A47" w:rsidP="00A50F28">
            <w:pPr>
              <w:spacing w:before="40" w:after="40"/>
              <w:jc w:val="center"/>
              <w:rPr>
                <w:rFonts w:ascii="Arial" w:hAnsi="Arial"/>
                <w:b/>
                <w:color w:val="auto"/>
                <w:sz w:val="18"/>
              </w:rPr>
            </w:pPr>
            <w:r w:rsidRPr="00CD1278">
              <w:rPr>
                <w:rFonts w:ascii="Arial" w:hAnsi="Arial"/>
                <w:b/>
                <w:color w:val="auto"/>
                <w:sz w:val="18"/>
              </w:rPr>
              <w:t>CUE for 2012</w:t>
            </w:r>
            <w:r w:rsidRPr="00CD1278">
              <w:rPr>
                <w:rFonts w:ascii="Arial" w:hAnsi="Arial"/>
                <w:b/>
                <w:color w:val="auto"/>
                <w:sz w:val="18"/>
                <w:vertAlign w:val="superscript"/>
              </w:rPr>
              <w:t>8</w:t>
            </w:r>
          </w:p>
        </w:tc>
        <w:tc>
          <w:tcPr>
            <w:tcW w:w="709" w:type="dxa"/>
            <w:tcBorders>
              <w:top w:val="single" w:sz="4" w:space="0" w:color="auto"/>
            </w:tcBorders>
            <w:vAlign w:val="center"/>
          </w:tcPr>
          <w:p w14:paraId="373F7ED4" w14:textId="77777777" w:rsidR="009B6A47" w:rsidRPr="00CD1278" w:rsidRDefault="009B6A47" w:rsidP="00A50F28">
            <w:pPr>
              <w:spacing w:before="40" w:after="40"/>
              <w:jc w:val="center"/>
              <w:rPr>
                <w:rFonts w:ascii="Arial" w:hAnsi="Arial"/>
                <w:b/>
                <w:color w:val="auto"/>
                <w:sz w:val="18"/>
                <w:vertAlign w:val="superscript"/>
              </w:rPr>
            </w:pPr>
            <w:r w:rsidRPr="00CD1278">
              <w:rPr>
                <w:rFonts w:ascii="Arial" w:hAnsi="Arial"/>
                <w:b/>
                <w:color w:val="auto"/>
                <w:sz w:val="18"/>
              </w:rPr>
              <w:t>CUE for 2013</w:t>
            </w:r>
            <w:r w:rsidRPr="00CD1278">
              <w:rPr>
                <w:rFonts w:ascii="Arial" w:hAnsi="Arial"/>
                <w:b/>
                <w:color w:val="auto"/>
                <w:sz w:val="18"/>
                <w:vertAlign w:val="superscript"/>
              </w:rPr>
              <w:t>9</w:t>
            </w:r>
          </w:p>
        </w:tc>
        <w:tc>
          <w:tcPr>
            <w:tcW w:w="851" w:type="dxa"/>
            <w:tcBorders>
              <w:top w:val="single" w:sz="4" w:space="0" w:color="auto"/>
            </w:tcBorders>
            <w:vAlign w:val="center"/>
          </w:tcPr>
          <w:p w14:paraId="19F16CE0" w14:textId="77777777" w:rsidR="009B6A47" w:rsidRPr="00CD1278" w:rsidRDefault="009B6A47" w:rsidP="00A50F28">
            <w:pPr>
              <w:spacing w:before="40" w:after="40"/>
              <w:jc w:val="center"/>
              <w:rPr>
                <w:rFonts w:ascii="Arial" w:hAnsi="Arial"/>
                <w:b/>
                <w:color w:val="auto"/>
                <w:sz w:val="18"/>
              </w:rPr>
            </w:pPr>
            <w:r w:rsidRPr="00CD1278">
              <w:rPr>
                <w:rFonts w:ascii="Arial" w:hAnsi="Arial"/>
                <w:b/>
                <w:color w:val="auto"/>
                <w:sz w:val="18"/>
              </w:rPr>
              <w:t>CUE for 2014</w:t>
            </w:r>
            <w:r w:rsidRPr="00CD1278">
              <w:rPr>
                <w:rFonts w:ascii="Arial" w:hAnsi="Arial"/>
                <w:b/>
                <w:color w:val="auto"/>
                <w:sz w:val="18"/>
                <w:vertAlign w:val="superscript"/>
              </w:rPr>
              <w:t>10</w:t>
            </w:r>
          </w:p>
        </w:tc>
        <w:tc>
          <w:tcPr>
            <w:tcW w:w="850" w:type="dxa"/>
            <w:tcBorders>
              <w:top w:val="single" w:sz="4" w:space="0" w:color="auto"/>
            </w:tcBorders>
            <w:vAlign w:val="center"/>
          </w:tcPr>
          <w:p w14:paraId="5DEA8964" w14:textId="77777777" w:rsidR="009B6A47" w:rsidRPr="00CD1278" w:rsidRDefault="009B6A47" w:rsidP="00A50F28">
            <w:pPr>
              <w:spacing w:before="40" w:after="40"/>
              <w:jc w:val="center"/>
              <w:rPr>
                <w:rFonts w:ascii="Arial" w:hAnsi="Arial"/>
                <w:b/>
                <w:color w:val="auto"/>
                <w:sz w:val="18"/>
              </w:rPr>
            </w:pPr>
            <w:r w:rsidRPr="00CD1278">
              <w:rPr>
                <w:rFonts w:ascii="Arial" w:hAnsi="Arial"/>
                <w:b/>
                <w:color w:val="auto"/>
                <w:sz w:val="18"/>
              </w:rPr>
              <w:t>CUE for 2015</w:t>
            </w:r>
            <w:r w:rsidRPr="00CD1278">
              <w:rPr>
                <w:rFonts w:ascii="Arial" w:hAnsi="Arial"/>
                <w:b/>
                <w:color w:val="auto"/>
                <w:sz w:val="18"/>
                <w:vertAlign w:val="superscript"/>
              </w:rPr>
              <w:t>11</w:t>
            </w:r>
          </w:p>
        </w:tc>
        <w:tc>
          <w:tcPr>
            <w:tcW w:w="851" w:type="dxa"/>
            <w:tcBorders>
              <w:top w:val="single" w:sz="4" w:space="0" w:color="auto"/>
              <w:bottom w:val="single" w:sz="6" w:space="0" w:color="auto"/>
            </w:tcBorders>
            <w:vAlign w:val="center"/>
          </w:tcPr>
          <w:p w14:paraId="09A5AE21" w14:textId="77777777" w:rsidR="009B6A47" w:rsidRPr="00CD1278" w:rsidRDefault="009B6A47" w:rsidP="00A50F28">
            <w:pPr>
              <w:spacing w:before="40" w:after="40"/>
              <w:jc w:val="center"/>
              <w:rPr>
                <w:rFonts w:ascii="Arial" w:hAnsi="Arial"/>
                <w:b/>
                <w:color w:val="auto"/>
                <w:sz w:val="18"/>
              </w:rPr>
            </w:pPr>
            <w:r w:rsidRPr="00CD1278">
              <w:rPr>
                <w:rFonts w:ascii="Arial" w:hAnsi="Arial"/>
                <w:b/>
                <w:color w:val="auto"/>
                <w:sz w:val="18"/>
              </w:rPr>
              <w:t>CUE for 2016</w:t>
            </w:r>
            <w:r w:rsidRPr="00CD1278">
              <w:rPr>
                <w:rFonts w:ascii="Arial" w:hAnsi="Arial"/>
                <w:b/>
                <w:color w:val="auto"/>
                <w:sz w:val="18"/>
                <w:vertAlign w:val="superscript"/>
              </w:rPr>
              <w:t>12</w:t>
            </w:r>
          </w:p>
        </w:tc>
        <w:tc>
          <w:tcPr>
            <w:tcW w:w="850" w:type="dxa"/>
            <w:tcBorders>
              <w:top w:val="single" w:sz="4" w:space="0" w:color="auto"/>
              <w:bottom w:val="single" w:sz="6" w:space="0" w:color="auto"/>
            </w:tcBorders>
            <w:vAlign w:val="center"/>
          </w:tcPr>
          <w:p w14:paraId="3415D193" w14:textId="77777777" w:rsidR="009B6A47" w:rsidRPr="00CD1278" w:rsidRDefault="009B6A47" w:rsidP="00A50F28">
            <w:pPr>
              <w:spacing w:before="40" w:after="40"/>
              <w:jc w:val="center"/>
              <w:rPr>
                <w:rFonts w:ascii="Arial" w:hAnsi="Arial"/>
                <w:b/>
                <w:color w:val="auto"/>
                <w:sz w:val="18"/>
              </w:rPr>
            </w:pPr>
            <w:r w:rsidRPr="00CD1278">
              <w:rPr>
                <w:rFonts w:ascii="Arial" w:hAnsi="Arial"/>
                <w:b/>
                <w:color w:val="auto"/>
                <w:sz w:val="18"/>
              </w:rPr>
              <w:t>CUE for 2017</w:t>
            </w:r>
            <w:r w:rsidRPr="00CD1278">
              <w:rPr>
                <w:rFonts w:ascii="Arial" w:hAnsi="Arial"/>
                <w:b/>
                <w:color w:val="auto"/>
                <w:sz w:val="18"/>
                <w:vertAlign w:val="superscript"/>
              </w:rPr>
              <w:t>14</w:t>
            </w:r>
          </w:p>
        </w:tc>
        <w:tc>
          <w:tcPr>
            <w:tcW w:w="851" w:type="dxa"/>
            <w:tcBorders>
              <w:top w:val="single" w:sz="4" w:space="0" w:color="auto"/>
              <w:bottom w:val="single" w:sz="6" w:space="0" w:color="auto"/>
            </w:tcBorders>
            <w:vAlign w:val="center"/>
          </w:tcPr>
          <w:p w14:paraId="127F1EBE" w14:textId="77777777" w:rsidR="009B6A47" w:rsidRPr="00CD1278" w:rsidRDefault="009B6A47" w:rsidP="00176BB4">
            <w:pPr>
              <w:spacing w:after="40"/>
              <w:jc w:val="center"/>
              <w:rPr>
                <w:rFonts w:ascii="Arial" w:hAnsi="Arial"/>
                <w:b/>
                <w:color w:val="auto"/>
                <w:sz w:val="18"/>
              </w:rPr>
            </w:pPr>
            <w:r w:rsidRPr="00CD1278">
              <w:rPr>
                <w:rFonts w:ascii="Arial" w:hAnsi="Arial"/>
                <w:b/>
                <w:color w:val="auto"/>
                <w:sz w:val="18"/>
              </w:rPr>
              <w:t>CUE for  2018</w:t>
            </w:r>
            <w:r w:rsidRPr="00CD1278">
              <w:rPr>
                <w:rFonts w:ascii="Arial" w:hAnsi="Arial"/>
                <w:b/>
                <w:color w:val="auto"/>
                <w:sz w:val="18"/>
                <w:vertAlign w:val="superscript"/>
              </w:rPr>
              <w:t>15</w:t>
            </w:r>
          </w:p>
        </w:tc>
        <w:tc>
          <w:tcPr>
            <w:tcW w:w="850" w:type="dxa"/>
            <w:tcBorders>
              <w:top w:val="single" w:sz="4" w:space="0" w:color="auto"/>
              <w:bottom w:val="single" w:sz="6" w:space="0" w:color="auto"/>
            </w:tcBorders>
          </w:tcPr>
          <w:p w14:paraId="58EA4F24" w14:textId="77777777" w:rsidR="009B6A47" w:rsidRPr="00CD1278" w:rsidRDefault="009B6A47" w:rsidP="00176BB4">
            <w:pPr>
              <w:spacing w:before="120" w:after="40"/>
              <w:jc w:val="center"/>
              <w:rPr>
                <w:rFonts w:ascii="Arial" w:hAnsi="Arial"/>
                <w:b/>
                <w:color w:val="auto"/>
                <w:sz w:val="18"/>
              </w:rPr>
            </w:pPr>
            <w:r w:rsidRPr="00CD1278">
              <w:rPr>
                <w:rFonts w:ascii="Arial" w:hAnsi="Arial"/>
                <w:b/>
                <w:color w:val="auto"/>
                <w:sz w:val="18"/>
              </w:rPr>
              <w:t>CUN for 2019</w:t>
            </w:r>
          </w:p>
        </w:tc>
        <w:tc>
          <w:tcPr>
            <w:tcW w:w="1843" w:type="dxa"/>
            <w:gridSpan w:val="2"/>
            <w:tcBorders>
              <w:top w:val="single" w:sz="4" w:space="0" w:color="auto"/>
              <w:bottom w:val="single" w:sz="6" w:space="0" w:color="auto"/>
            </w:tcBorders>
            <w:vAlign w:val="center"/>
          </w:tcPr>
          <w:p w14:paraId="2FEB0686" w14:textId="317936FA" w:rsidR="009B6A47" w:rsidRPr="00CD1278" w:rsidRDefault="009B6A47" w:rsidP="00220027">
            <w:pPr>
              <w:spacing w:before="40" w:after="40"/>
              <w:jc w:val="center"/>
              <w:rPr>
                <w:rFonts w:ascii="Arial" w:hAnsi="Arial"/>
                <w:b/>
                <w:color w:val="auto"/>
                <w:sz w:val="18"/>
              </w:rPr>
            </w:pPr>
            <w:r w:rsidRPr="00CD1278">
              <w:rPr>
                <w:rFonts w:ascii="Arial" w:hAnsi="Arial"/>
                <w:b/>
                <w:color w:val="auto"/>
                <w:sz w:val="18"/>
              </w:rPr>
              <w:t xml:space="preserve">Interim </w:t>
            </w:r>
            <w:r w:rsidR="00220027" w:rsidRPr="00CD1278">
              <w:rPr>
                <w:rFonts w:ascii="Arial" w:hAnsi="Arial"/>
                <w:b/>
                <w:color w:val="auto"/>
                <w:sz w:val="18"/>
              </w:rPr>
              <w:t>r</w:t>
            </w:r>
            <w:r w:rsidRPr="00CD1278">
              <w:rPr>
                <w:rFonts w:ascii="Arial" w:hAnsi="Arial"/>
                <w:b/>
                <w:color w:val="auto"/>
                <w:sz w:val="18"/>
              </w:rPr>
              <w:t>ec. for 2019</w:t>
            </w:r>
          </w:p>
        </w:tc>
      </w:tr>
      <w:tr w:rsidR="003C102E" w:rsidRPr="00CD1278" w14:paraId="515B7285" w14:textId="77777777" w:rsidTr="00220027">
        <w:trPr>
          <w:trHeight w:val="70"/>
        </w:trPr>
        <w:tc>
          <w:tcPr>
            <w:tcW w:w="992" w:type="dxa"/>
            <w:vMerge w:val="restart"/>
            <w:tcBorders>
              <w:top w:val="single" w:sz="4" w:space="0" w:color="auto"/>
            </w:tcBorders>
          </w:tcPr>
          <w:p w14:paraId="74DFBD51" w14:textId="77777777" w:rsidR="009B6A47" w:rsidRPr="00CD1278" w:rsidRDefault="009B6A47" w:rsidP="00A50F28">
            <w:pPr>
              <w:spacing w:before="40" w:after="40"/>
              <w:rPr>
                <w:rFonts w:ascii="Arial" w:hAnsi="Arial" w:cs="Arial"/>
                <w:color w:val="auto"/>
                <w:sz w:val="18"/>
                <w:szCs w:val="18"/>
              </w:rPr>
            </w:pPr>
            <w:r w:rsidRPr="00CD1278">
              <w:rPr>
                <w:rFonts w:ascii="Arial" w:hAnsi="Arial" w:cs="Arial"/>
                <w:color w:val="auto"/>
                <w:sz w:val="18"/>
                <w:szCs w:val="18"/>
              </w:rPr>
              <w:t xml:space="preserve">Canada </w:t>
            </w:r>
          </w:p>
        </w:tc>
        <w:tc>
          <w:tcPr>
            <w:tcW w:w="1135" w:type="dxa"/>
            <w:tcBorders>
              <w:top w:val="single" w:sz="4" w:space="0" w:color="auto"/>
            </w:tcBorders>
            <w:shd w:val="clear" w:color="auto" w:fill="FFFF99"/>
          </w:tcPr>
          <w:p w14:paraId="466EB4F3" w14:textId="77777777" w:rsidR="009B6A47" w:rsidRPr="00CD1278" w:rsidRDefault="009B6A47" w:rsidP="00A50F28">
            <w:pPr>
              <w:spacing w:before="40" w:after="40"/>
              <w:rPr>
                <w:rFonts w:ascii="Arial" w:hAnsi="Arial" w:cs="Arial"/>
                <w:color w:val="auto"/>
                <w:sz w:val="18"/>
                <w:szCs w:val="18"/>
              </w:rPr>
            </w:pPr>
            <w:r w:rsidRPr="00CD1278">
              <w:rPr>
                <w:rFonts w:ascii="Arial" w:hAnsi="Arial" w:cs="Arial"/>
                <w:color w:val="auto"/>
                <w:sz w:val="18"/>
                <w:szCs w:val="18"/>
              </w:rPr>
              <w:t>Strawberry runners (PEI)</w:t>
            </w:r>
          </w:p>
        </w:tc>
        <w:tc>
          <w:tcPr>
            <w:tcW w:w="737" w:type="dxa"/>
            <w:tcBorders>
              <w:top w:val="single" w:sz="4" w:space="0" w:color="auto"/>
            </w:tcBorders>
            <w:shd w:val="clear" w:color="auto" w:fill="FFFF99"/>
            <w:vAlign w:val="center"/>
          </w:tcPr>
          <w:p w14:paraId="2020B71B" w14:textId="77777777" w:rsidR="009B6A47" w:rsidRPr="00CD1278" w:rsidRDefault="009B6A47" w:rsidP="00A50F28">
            <w:pPr>
              <w:spacing w:before="40" w:after="40"/>
              <w:jc w:val="center"/>
              <w:rPr>
                <w:rFonts w:ascii="Arial" w:hAnsi="Arial" w:cs="Arial"/>
                <w:color w:val="auto"/>
                <w:sz w:val="18"/>
                <w:szCs w:val="18"/>
              </w:rPr>
            </w:pPr>
            <w:r w:rsidRPr="00CD1278">
              <w:rPr>
                <w:rFonts w:ascii="Arial" w:hAnsi="Arial" w:cs="Arial"/>
                <w:color w:val="auto"/>
                <w:sz w:val="18"/>
                <w:szCs w:val="18"/>
              </w:rPr>
              <w:t>6.840</w:t>
            </w:r>
          </w:p>
        </w:tc>
        <w:tc>
          <w:tcPr>
            <w:tcW w:w="709" w:type="dxa"/>
            <w:tcBorders>
              <w:top w:val="single" w:sz="4" w:space="0" w:color="auto"/>
            </w:tcBorders>
            <w:shd w:val="clear" w:color="auto" w:fill="FFFF99"/>
            <w:vAlign w:val="center"/>
          </w:tcPr>
          <w:p w14:paraId="221D3EB5" w14:textId="77777777" w:rsidR="009B6A47" w:rsidRPr="00CD1278" w:rsidRDefault="009B6A47" w:rsidP="00A50F28">
            <w:pPr>
              <w:spacing w:before="40" w:after="40"/>
              <w:jc w:val="center"/>
              <w:rPr>
                <w:rFonts w:ascii="Arial" w:hAnsi="Arial" w:cs="Arial"/>
                <w:color w:val="auto"/>
                <w:sz w:val="18"/>
                <w:szCs w:val="18"/>
              </w:rPr>
            </w:pPr>
            <w:r w:rsidRPr="00CD1278">
              <w:rPr>
                <w:rFonts w:ascii="Arial" w:hAnsi="Arial" w:cs="Arial"/>
                <w:color w:val="auto"/>
                <w:sz w:val="18"/>
                <w:szCs w:val="18"/>
              </w:rPr>
              <w:t>6.840</w:t>
            </w:r>
          </w:p>
        </w:tc>
        <w:tc>
          <w:tcPr>
            <w:tcW w:w="709" w:type="dxa"/>
            <w:tcBorders>
              <w:top w:val="single" w:sz="4" w:space="0" w:color="auto"/>
            </w:tcBorders>
            <w:shd w:val="clear" w:color="auto" w:fill="FFFF99"/>
            <w:vAlign w:val="center"/>
          </w:tcPr>
          <w:p w14:paraId="56FB6C8F" w14:textId="77777777" w:rsidR="009B6A47" w:rsidRPr="00CD1278" w:rsidRDefault="009B6A47" w:rsidP="00A50F28">
            <w:pPr>
              <w:spacing w:before="40" w:after="40"/>
              <w:jc w:val="center"/>
              <w:rPr>
                <w:rFonts w:ascii="Arial" w:hAnsi="Arial" w:cs="Arial"/>
                <w:color w:val="auto"/>
                <w:sz w:val="18"/>
                <w:szCs w:val="18"/>
              </w:rPr>
            </w:pPr>
            <w:r w:rsidRPr="00CD1278">
              <w:rPr>
                <w:rFonts w:ascii="Arial" w:hAnsi="Arial" w:cs="Arial"/>
                <w:color w:val="auto"/>
                <w:sz w:val="18"/>
                <w:szCs w:val="18"/>
              </w:rPr>
              <w:t>7.995</w:t>
            </w:r>
          </w:p>
        </w:tc>
        <w:tc>
          <w:tcPr>
            <w:tcW w:w="708" w:type="dxa"/>
            <w:tcBorders>
              <w:top w:val="single" w:sz="4" w:space="0" w:color="auto"/>
            </w:tcBorders>
            <w:shd w:val="clear" w:color="auto" w:fill="FFFF99"/>
            <w:vAlign w:val="center"/>
          </w:tcPr>
          <w:p w14:paraId="06809CBE" w14:textId="77777777" w:rsidR="009B6A47" w:rsidRPr="00CD1278" w:rsidRDefault="009B6A47" w:rsidP="00A50F28">
            <w:pPr>
              <w:spacing w:before="40" w:after="40"/>
              <w:jc w:val="center"/>
              <w:rPr>
                <w:rFonts w:ascii="Arial" w:hAnsi="Arial" w:cs="Arial"/>
                <w:color w:val="auto"/>
                <w:sz w:val="18"/>
                <w:szCs w:val="18"/>
              </w:rPr>
            </w:pPr>
            <w:r w:rsidRPr="00CD1278">
              <w:rPr>
                <w:rFonts w:ascii="Arial" w:hAnsi="Arial" w:cs="Arial"/>
                <w:color w:val="auto"/>
                <w:sz w:val="18"/>
                <w:szCs w:val="18"/>
              </w:rPr>
              <w:t>7.462</w:t>
            </w:r>
          </w:p>
        </w:tc>
        <w:tc>
          <w:tcPr>
            <w:tcW w:w="709" w:type="dxa"/>
            <w:tcBorders>
              <w:top w:val="single" w:sz="4" w:space="0" w:color="auto"/>
            </w:tcBorders>
            <w:shd w:val="clear" w:color="auto" w:fill="FFFF99"/>
            <w:vAlign w:val="center"/>
          </w:tcPr>
          <w:p w14:paraId="0F09E2FE" w14:textId="77777777" w:rsidR="009B6A47" w:rsidRPr="00CD1278" w:rsidRDefault="009B6A47" w:rsidP="00A50F28">
            <w:pPr>
              <w:spacing w:before="40" w:after="40"/>
              <w:jc w:val="center"/>
              <w:rPr>
                <w:rFonts w:ascii="Arial" w:hAnsi="Arial" w:cs="Arial"/>
                <w:color w:val="auto"/>
                <w:sz w:val="18"/>
                <w:szCs w:val="18"/>
              </w:rPr>
            </w:pPr>
            <w:r w:rsidRPr="00CD1278">
              <w:rPr>
                <w:rFonts w:ascii="Arial" w:hAnsi="Arial" w:cs="Arial"/>
                <w:color w:val="auto"/>
                <w:sz w:val="18"/>
                <w:szCs w:val="18"/>
              </w:rPr>
              <w:t>7.462</w:t>
            </w:r>
          </w:p>
        </w:tc>
        <w:tc>
          <w:tcPr>
            <w:tcW w:w="709" w:type="dxa"/>
            <w:tcBorders>
              <w:top w:val="single" w:sz="4" w:space="0" w:color="auto"/>
            </w:tcBorders>
            <w:shd w:val="clear" w:color="auto" w:fill="FFFF99"/>
            <w:vAlign w:val="center"/>
          </w:tcPr>
          <w:p w14:paraId="0955E612" w14:textId="77777777" w:rsidR="009B6A47" w:rsidRPr="00CD1278" w:rsidRDefault="009B6A47" w:rsidP="00A50F28">
            <w:pPr>
              <w:spacing w:before="40" w:after="40"/>
              <w:jc w:val="center"/>
              <w:rPr>
                <w:rFonts w:ascii="Arial" w:hAnsi="Arial" w:cs="Arial"/>
                <w:color w:val="auto"/>
                <w:sz w:val="18"/>
                <w:szCs w:val="18"/>
              </w:rPr>
            </w:pPr>
            <w:r w:rsidRPr="00CD1278">
              <w:rPr>
                <w:rFonts w:ascii="Arial" w:hAnsi="Arial" w:cs="Arial"/>
                <w:color w:val="auto"/>
                <w:sz w:val="18"/>
                <w:szCs w:val="18"/>
              </w:rPr>
              <w:t>7.462</w:t>
            </w:r>
          </w:p>
        </w:tc>
        <w:tc>
          <w:tcPr>
            <w:tcW w:w="709" w:type="dxa"/>
            <w:tcBorders>
              <w:top w:val="single" w:sz="4" w:space="0" w:color="auto"/>
            </w:tcBorders>
            <w:shd w:val="clear" w:color="auto" w:fill="FFFF99"/>
            <w:vAlign w:val="center"/>
          </w:tcPr>
          <w:p w14:paraId="3F67F211" w14:textId="77777777" w:rsidR="009B6A47" w:rsidRPr="00CD1278" w:rsidRDefault="009B6A47" w:rsidP="00A50F28">
            <w:pPr>
              <w:spacing w:before="40" w:after="40"/>
              <w:jc w:val="center"/>
              <w:rPr>
                <w:rFonts w:ascii="Arial" w:hAnsi="Arial" w:cs="Arial"/>
                <w:color w:val="auto"/>
                <w:sz w:val="18"/>
                <w:szCs w:val="18"/>
              </w:rPr>
            </w:pPr>
            <w:r w:rsidRPr="00CD1278">
              <w:rPr>
                <w:rFonts w:ascii="Arial" w:hAnsi="Arial" w:cs="Arial"/>
                <w:color w:val="auto"/>
                <w:sz w:val="18"/>
                <w:szCs w:val="18"/>
              </w:rPr>
              <w:t>5.261</w:t>
            </w:r>
          </w:p>
        </w:tc>
        <w:tc>
          <w:tcPr>
            <w:tcW w:w="708" w:type="dxa"/>
            <w:tcBorders>
              <w:top w:val="single" w:sz="4" w:space="0" w:color="auto"/>
            </w:tcBorders>
            <w:shd w:val="clear" w:color="auto" w:fill="FFFF99"/>
            <w:vAlign w:val="center"/>
          </w:tcPr>
          <w:p w14:paraId="11BE527E" w14:textId="77777777" w:rsidR="009B6A47" w:rsidRPr="00CD1278" w:rsidRDefault="009B6A47" w:rsidP="00A50F28">
            <w:pPr>
              <w:spacing w:before="40" w:after="40"/>
              <w:jc w:val="center"/>
              <w:rPr>
                <w:rFonts w:ascii="Arial" w:hAnsi="Arial" w:cs="Arial"/>
                <w:color w:val="auto"/>
                <w:sz w:val="18"/>
                <w:szCs w:val="18"/>
              </w:rPr>
            </w:pPr>
            <w:r w:rsidRPr="00CD1278">
              <w:rPr>
                <w:rFonts w:ascii="Arial" w:hAnsi="Arial" w:cs="Arial"/>
                <w:color w:val="auto"/>
                <w:sz w:val="18"/>
                <w:szCs w:val="18"/>
              </w:rPr>
              <w:t>5.261</w:t>
            </w:r>
          </w:p>
        </w:tc>
        <w:tc>
          <w:tcPr>
            <w:tcW w:w="709" w:type="dxa"/>
            <w:tcBorders>
              <w:top w:val="single" w:sz="4" w:space="0" w:color="auto"/>
            </w:tcBorders>
            <w:shd w:val="clear" w:color="auto" w:fill="FFFF99"/>
            <w:vAlign w:val="center"/>
          </w:tcPr>
          <w:p w14:paraId="4D6F56DB" w14:textId="77777777" w:rsidR="009B6A47" w:rsidRPr="00CD1278" w:rsidRDefault="009B6A47" w:rsidP="00A50F28">
            <w:pPr>
              <w:spacing w:before="40" w:after="40"/>
              <w:jc w:val="center"/>
              <w:rPr>
                <w:rFonts w:ascii="Arial" w:hAnsi="Arial" w:cs="Arial"/>
                <w:color w:val="auto"/>
                <w:sz w:val="18"/>
                <w:szCs w:val="18"/>
              </w:rPr>
            </w:pPr>
            <w:r w:rsidRPr="00CD1278">
              <w:rPr>
                <w:rFonts w:ascii="Arial" w:hAnsi="Arial" w:cs="Arial"/>
                <w:color w:val="auto"/>
                <w:sz w:val="18"/>
                <w:szCs w:val="18"/>
              </w:rPr>
              <w:t>5.261</w:t>
            </w:r>
          </w:p>
        </w:tc>
        <w:tc>
          <w:tcPr>
            <w:tcW w:w="851" w:type="dxa"/>
            <w:shd w:val="clear" w:color="auto" w:fill="FFFF99"/>
            <w:vAlign w:val="center"/>
          </w:tcPr>
          <w:p w14:paraId="4363FA68" w14:textId="77777777" w:rsidR="009B6A47" w:rsidRPr="00CD1278" w:rsidRDefault="009B6A47" w:rsidP="00A50F28">
            <w:pPr>
              <w:spacing w:before="40" w:after="40"/>
              <w:jc w:val="center"/>
              <w:rPr>
                <w:rFonts w:ascii="Arial" w:hAnsi="Arial" w:cs="Arial"/>
                <w:b/>
                <w:color w:val="auto"/>
                <w:sz w:val="18"/>
                <w:szCs w:val="18"/>
              </w:rPr>
            </w:pPr>
            <w:r w:rsidRPr="00CD1278">
              <w:rPr>
                <w:rFonts w:ascii="Arial" w:hAnsi="Arial" w:cs="Arial"/>
                <w:color w:val="auto"/>
                <w:sz w:val="18"/>
                <w:szCs w:val="18"/>
              </w:rPr>
              <w:t>5.261</w:t>
            </w:r>
          </w:p>
        </w:tc>
        <w:tc>
          <w:tcPr>
            <w:tcW w:w="850" w:type="dxa"/>
            <w:shd w:val="clear" w:color="auto" w:fill="FFFF99"/>
            <w:vAlign w:val="center"/>
          </w:tcPr>
          <w:p w14:paraId="6D8A425E" w14:textId="77777777" w:rsidR="009B6A47" w:rsidRPr="00CD1278" w:rsidRDefault="009B6A47" w:rsidP="00A50F28">
            <w:pPr>
              <w:spacing w:before="40" w:after="40"/>
              <w:jc w:val="center"/>
              <w:rPr>
                <w:rFonts w:ascii="Arial" w:hAnsi="Arial" w:cs="Arial"/>
                <w:color w:val="auto"/>
                <w:sz w:val="18"/>
                <w:szCs w:val="18"/>
              </w:rPr>
            </w:pPr>
            <w:r w:rsidRPr="00CD1278">
              <w:rPr>
                <w:rFonts w:ascii="Arial" w:hAnsi="Arial" w:cs="Arial"/>
                <w:color w:val="auto"/>
                <w:sz w:val="18"/>
                <w:szCs w:val="18"/>
              </w:rPr>
              <w:t>5.261</w:t>
            </w:r>
          </w:p>
        </w:tc>
        <w:tc>
          <w:tcPr>
            <w:tcW w:w="851" w:type="dxa"/>
            <w:tcBorders>
              <w:top w:val="single" w:sz="6" w:space="0" w:color="auto"/>
              <w:bottom w:val="single" w:sz="6" w:space="0" w:color="auto"/>
            </w:tcBorders>
            <w:shd w:val="clear" w:color="auto" w:fill="FFFF99"/>
            <w:vAlign w:val="center"/>
          </w:tcPr>
          <w:p w14:paraId="6C210123" w14:textId="77777777" w:rsidR="009B6A47" w:rsidRPr="00CD1278" w:rsidRDefault="009B6A47" w:rsidP="00A50F28">
            <w:pPr>
              <w:spacing w:before="40" w:after="40"/>
              <w:jc w:val="center"/>
              <w:rPr>
                <w:rFonts w:ascii="Arial" w:hAnsi="Arial" w:cs="Arial"/>
                <w:color w:val="auto"/>
                <w:sz w:val="18"/>
                <w:szCs w:val="18"/>
              </w:rPr>
            </w:pPr>
            <w:r w:rsidRPr="00CD1278">
              <w:rPr>
                <w:rFonts w:ascii="Arial" w:hAnsi="Arial" w:cs="Arial"/>
                <w:color w:val="auto"/>
                <w:sz w:val="18"/>
                <w:szCs w:val="18"/>
              </w:rPr>
              <w:t>5.261</w:t>
            </w:r>
          </w:p>
        </w:tc>
        <w:tc>
          <w:tcPr>
            <w:tcW w:w="850" w:type="dxa"/>
            <w:tcBorders>
              <w:top w:val="single" w:sz="6" w:space="0" w:color="auto"/>
              <w:bottom w:val="single" w:sz="6" w:space="0" w:color="auto"/>
            </w:tcBorders>
            <w:shd w:val="clear" w:color="auto" w:fill="FFFF99"/>
            <w:vAlign w:val="center"/>
          </w:tcPr>
          <w:p w14:paraId="4935989F" w14:textId="77777777" w:rsidR="009B6A47" w:rsidRPr="00CD1278" w:rsidRDefault="009B6A47" w:rsidP="00A50F28">
            <w:pPr>
              <w:spacing w:before="40" w:after="40"/>
              <w:jc w:val="center"/>
              <w:rPr>
                <w:rFonts w:ascii="Arial" w:hAnsi="Arial" w:cs="Arial"/>
                <w:color w:val="auto"/>
                <w:sz w:val="18"/>
                <w:szCs w:val="18"/>
              </w:rPr>
            </w:pPr>
            <w:r w:rsidRPr="00CD1278">
              <w:rPr>
                <w:rFonts w:ascii="Arial" w:hAnsi="Arial" w:cs="Arial"/>
                <w:color w:val="auto"/>
                <w:sz w:val="18"/>
                <w:szCs w:val="18"/>
              </w:rPr>
              <w:t>5.261</w:t>
            </w:r>
          </w:p>
        </w:tc>
        <w:tc>
          <w:tcPr>
            <w:tcW w:w="851" w:type="dxa"/>
            <w:tcBorders>
              <w:top w:val="single" w:sz="6" w:space="0" w:color="auto"/>
              <w:bottom w:val="single" w:sz="6" w:space="0" w:color="auto"/>
            </w:tcBorders>
            <w:shd w:val="clear" w:color="auto" w:fill="FFFF99"/>
            <w:vAlign w:val="center"/>
          </w:tcPr>
          <w:p w14:paraId="282CDDCF" w14:textId="77777777" w:rsidR="009B6A47" w:rsidRPr="00CD1278" w:rsidRDefault="009B6A47" w:rsidP="00A50F28">
            <w:pPr>
              <w:spacing w:before="40" w:after="40"/>
              <w:rPr>
                <w:rFonts w:ascii="Arial" w:hAnsi="Arial" w:cs="Arial"/>
                <w:color w:val="auto"/>
                <w:sz w:val="18"/>
                <w:szCs w:val="18"/>
              </w:rPr>
            </w:pPr>
            <w:r w:rsidRPr="00CD1278">
              <w:rPr>
                <w:rFonts w:ascii="Arial" w:hAnsi="Arial" w:cs="Arial"/>
                <w:color w:val="auto"/>
                <w:sz w:val="18"/>
                <w:szCs w:val="18"/>
              </w:rPr>
              <w:t>5.261</w:t>
            </w:r>
          </w:p>
        </w:tc>
        <w:tc>
          <w:tcPr>
            <w:tcW w:w="850" w:type="dxa"/>
            <w:tcBorders>
              <w:top w:val="single" w:sz="6" w:space="0" w:color="auto"/>
              <w:bottom w:val="single" w:sz="6" w:space="0" w:color="auto"/>
            </w:tcBorders>
            <w:shd w:val="clear" w:color="auto" w:fill="FFFF99"/>
            <w:vAlign w:val="center"/>
          </w:tcPr>
          <w:p w14:paraId="5C462411" w14:textId="77777777" w:rsidR="009B6A47" w:rsidRPr="00CD1278" w:rsidRDefault="009B6A47" w:rsidP="00A50F28">
            <w:pPr>
              <w:spacing w:before="40" w:after="40"/>
              <w:jc w:val="center"/>
              <w:rPr>
                <w:rFonts w:ascii="Arial" w:hAnsi="Arial" w:cs="Arial"/>
                <w:color w:val="auto"/>
                <w:sz w:val="18"/>
                <w:szCs w:val="18"/>
                <w:u w:val="single"/>
              </w:rPr>
            </w:pPr>
            <w:r w:rsidRPr="00CD1278">
              <w:rPr>
                <w:rFonts w:ascii="Arial" w:hAnsi="Arial" w:cs="Arial"/>
                <w:color w:val="auto"/>
                <w:sz w:val="18"/>
                <w:szCs w:val="18"/>
                <w:u w:val="single"/>
              </w:rPr>
              <w:t>5.261</w:t>
            </w:r>
          </w:p>
        </w:tc>
        <w:tc>
          <w:tcPr>
            <w:tcW w:w="1843" w:type="dxa"/>
            <w:gridSpan w:val="2"/>
            <w:tcBorders>
              <w:top w:val="single" w:sz="6" w:space="0" w:color="auto"/>
              <w:bottom w:val="single" w:sz="6" w:space="0" w:color="auto"/>
            </w:tcBorders>
            <w:shd w:val="clear" w:color="auto" w:fill="FFFF99"/>
            <w:vAlign w:val="center"/>
          </w:tcPr>
          <w:p w14:paraId="09E2802A" w14:textId="038847FD" w:rsidR="009B6A47" w:rsidRPr="00CD1278" w:rsidRDefault="009B6A47" w:rsidP="00962E86">
            <w:pPr>
              <w:spacing w:before="40" w:after="40"/>
              <w:jc w:val="center"/>
              <w:rPr>
                <w:rFonts w:ascii="Arial" w:hAnsi="Arial" w:cs="Arial"/>
                <w:color w:val="auto"/>
                <w:sz w:val="18"/>
                <w:szCs w:val="18"/>
                <w:u w:val="single"/>
              </w:rPr>
            </w:pPr>
            <w:r w:rsidRPr="00CD1278">
              <w:rPr>
                <w:rFonts w:ascii="Arial" w:hAnsi="Arial" w:cs="Arial"/>
                <w:color w:val="auto"/>
                <w:sz w:val="18"/>
                <w:szCs w:val="18"/>
                <w:u w:val="single"/>
              </w:rPr>
              <w:t>4.</w:t>
            </w:r>
            <w:r w:rsidR="00962E86" w:rsidRPr="00CD1278">
              <w:rPr>
                <w:rFonts w:ascii="Arial" w:hAnsi="Arial" w:cs="Arial"/>
                <w:color w:val="auto"/>
                <w:sz w:val="18"/>
                <w:szCs w:val="18"/>
                <w:u w:val="single"/>
              </w:rPr>
              <w:t>735</w:t>
            </w:r>
          </w:p>
        </w:tc>
      </w:tr>
      <w:tr w:rsidR="003C102E" w:rsidRPr="00CD1278" w14:paraId="59E442D1" w14:textId="77777777" w:rsidTr="00A50F28">
        <w:trPr>
          <w:trHeight w:val="480"/>
        </w:trPr>
        <w:tc>
          <w:tcPr>
            <w:tcW w:w="992" w:type="dxa"/>
            <w:vMerge/>
          </w:tcPr>
          <w:p w14:paraId="3C45390D" w14:textId="77777777" w:rsidR="009B6A47" w:rsidRPr="00CD1278" w:rsidRDefault="009B6A47" w:rsidP="00A50F28">
            <w:pPr>
              <w:spacing w:before="40" w:after="40"/>
              <w:rPr>
                <w:rFonts w:ascii="Arial" w:hAnsi="Arial"/>
                <w:color w:val="auto"/>
                <w:sz w:val="18"/>
              </w:rPr>
            </w:pPr>
          </w:p>
        </w:tc>
        <w:tc>
          <w:tcPr>
            <w:tcW w:w="14488" w:type="dxa"/>
            <w:gridSpan w:val="18"/>
          </w:tcPr>
          <w:p w14:paraId="49A271EA" w14:textId="77777777" w:rsidR="00962E86" w:rsidRPr="00CD1278" w:rsidRDefault="009B6A47" w:rsidP="000836CD">
            <w:pPr>
              <w:spacing w:before="120" w:after="0"/>
              <w:rPr>
                <w:rFonts w:ascii="Arial" w:hAnsi="Arial" w:cs="Arial"/>
                <w:b/>
                <w:color w:val="auto"/>
                <w:sz w:val="18"/>
                <w:szCs w:val="18"/>
              </w:rPr>
            </w:pPr>
            <w:r w:rsidRPr="00CD1278">
              <w:rPr>
                <w:rFonts w:ascii="Arial" w:hAnsi="Arial" w:cs="Arial"/>
                <w:b/>
                <w:color w:val="auto"/>
                <w:sz w:val="18"/>
                <w:szCs w:val="18"/>
              </w:rPr>
              <w:t>MBTOC interim recommendation for 2019:</w:t>
            </w:r>
          </w:p>
          <w:p w14:paraId="46AA6E4E" w14:textId="3B7B2A6B" w:rsidR="009B6A47" w:rsidRPr="00CD1278" w:rsidRDefault="009B6A47" w:rsidP="000836CD">
            <w:pPr>
              <w:spacing w:before="120" w:after="0"/>
              <w:rPr>
                <w:rFonts w:ascii="Arial" w:hAnsi="Arial" w:cs="Arial"/>
                <w:b/>
                <w:color w:val="auto"/>
                <w:sz w:val="18"/>
                <w:szCs w:val="18"/>
              </w:rPr>
            </w:pPr>
            <w:r w:rsidRPr="00CD1278">
              <w:rPr>
                <w:rFonts w:ascii="Arial" w:hAnsi="Arial" w:cs="Arial"/>
                <w:color w:val="auto"/>
                <w:sz w:val="18"/>
                <w:szCs w:val="18"/>
              </w:rPr>
              <w:t>MBTOC recommends a reduced amount of 4.</w:t>
            </w:r>
            <w:r w:rsidR="00962E86" w:rsidRPr="00CD1278">
              <w:rPr>
                <w:rFonts w:ascii="Arial" w:hAnsi="Arial" w:cs="Arial"/>
                <w:color w:val="auto"/>
                <w:sz w:val="18"/>
                <w:szCs w:val="18"/>
              </w:rPr>
              <w:t>735</w:t>
            </w:r>
            <w:r w:rsidRPr="00CD1278">
              <w:rPr>
                <w:rFonts w:ascii="Arial" w:hAnsi="Arial" w:cs="Arial"/>
                <w:color w:val="auto"/>
                <w:sz w:val="18"/>
                <w:szCs w:val="18"/>
              </w:rPr>
              <w:t xml:space="preserve"> tonnes, which represents a 10% reduction on the nominated amount, for adoption of substrate production for foundation stock and adoption of suitable varieties that positively impact subsequent generations. </w:t>
            </w:r>
          </w:p>
          <w:p w14:paraId="13568439" w14:textId="77777777" w:rsidR="009B6A47" w:rsidRPr="00CD1278" w:rsidRDefault="009B6A47" w:rsidP="00A50F28">
            <w:pPr>
              <w:rPr>
                <w:rFonts w:ascii="Arial" w:eastAsia="DengXian" w:hAnsi="Arial" w:cs="Arial"/>
                <w:color w:val="auto"/>
                <w:sz w:val="18"/>
                <w:szCs w:val="18"/>
              </w:rPr>
            </w:pPr>
            <w:r w:rsidRPr="00CD1278">
              <w:rPr>
                <w:rFonts w:ascii="Arial" w:hAnsi="Arial" w:cs="Arial"/>
                <w:color w:val="auto"/>
                <w:sz w:val="18"/>
                <w:szCs w:val="18"/>
              </w:rPr>
              <w:t xml:space="preserve">MBTOC acknowledges that an effective chemical alternative, chloropicrin, is registered in Canada, but not permitted to be used in PEI because of potential </w:t>
            </w:r>
            <w:r w:rsidRPr="00CD1278">
              <w:rPr>
                <w:rFonts w:ascii="Arial" w:eastAsia="DengXian" w:hAnsi="Arial" w:cs="Arial"/>
                <w:color w:val="auto"/>
                <w:sz w:val="18"/>
                <w:szCs w:val="18"/>
              </w:rPr>
              <w:t xml:space="preserve">groundwater contamination concerns by the government of Prince Edward Island. These same concerns exist for methyl bromide and several alternatives like metam sodium or metam potassium. The label for these products approved by Health Canada’s </w:t>
            </w:r>
            <w:r w:rsidRPr="00CD1278">
              <w:rPr>
                <w:rFonts w:ascii="Arial" w:eastAsia="DengXian" w:hAnsi="Arial" w:cs="Arial"/>
                <w:i/>
                <w:color w:val="auto"/>
                <w:sz w:val="18"/>
                <w:szCs w:val="18"/>
              </w:rPr>
              <w:t>Pest Management Regulatory Agency</w:t>
            </w:r>
            <w:r w:rsidRPr="00CD1278">
              <w:rPr>
                <w:rFonts w:ascii="Arial" w:eastAsia="DengXian" w:hAnsi="Arial" w:cs="Arial"/>
                <w:color w:val="auto"/>
                <w:sz w:val="18"/>
                <w:szCs w:val="18"/>
              </w:rPr>
              <w:t xml:space="preserve"> contains a warning of potential of groundwater contamination. In applying a risk-averse approach and in the absence of any routine groundwater monitoring, the authorities in Prince Edward Island will not issue permits to use these substances, even for the purposes of trialling/testing but do allow use of the MB/Pic mixture despite the concerns. In view of this situation, MBTOC considers that the Party’s approach to adopt open field soilless substrate production is suitable to replace MB and should be rapidly implemented </w:t>
            </w:r>
            <w:r w:rsidRPr="00CD1278">
              <w:rPr>
                <w:rFonts w:ascii="Arial" w:hAnsi="Arial" w:cs="Arial"/>
                <w:color w:val="auto"/>
                <w:sz w:val="18"/>
                <w:szCs w:val="18"/>
              </w:rPr>
              <w:t>to phase out MB as soon as possible.</w:t>
            </w:r>
            <w:r w:rsidRPr="00CD1278">
              <w:rPr>
                <w:rFonts w:ascii="Arial" w:eastAsia="DengXian" w:hAnsi="Arial" w:cs="Arial"/>
                <w:color w:val="auto"/>
                <w:sz w:val="18"/>
                <w:szCs w:val="18"/>
              </w:rPr>
              <w:t xml:space="preserve"> </w:t>
            </w:r>
          </w:p>
          <w:p w14:paraId="791B4908"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 xml:space="preserve">Since 2016, the grower has received funding to conduct research on soilless media and determine the efficiency and viability of adopting this approach in its commercial operation. The Party indicated that the shift to soilless cultivation would mean a significant change in production methods and that strawberry runners production costs would increase, but that transition to soilless cultures for foundation stock presents an option, which can eliminate the use of MB for the sector. </w:t>
            </w:r>
          </w:p>
          <w:p w14:paraId="2D3127C7" w14:textId="77777777" w:rsidR="00AB6262" w:rsidRDefault="00AB6262" w:rsidP="00A50F28">
            <w:pPr>
              <w:pStyle w:val="Default"/>
              <w:rPr>
                <w:rFonts w:ascii="Arial" w:hAnsi="Arial" w:cs="Arial"/>
                <w:color w:val="auto"/>
                <w:sz w:val="18"/>
                <w:szCs w:val="18"/>
                <w:lang w:val="en-GB" w:eastAsia="fr-FR"/>
              </w:rPr>
            </w:pPr>
            <w:r w:rsidRPr="00AB6262">
              <w:rPr>
                <w:rFonts w:ascii="Arial" w:hAnsi="Arial" w:cs="Arial"/>
                <w:color w:val="auto"/>
                <w:sz w:val="18"/>
                <w:szCs w:val="18"/>
                <w:lang w:val="en-GB" w:eastAsia="fr-FR"/>
              </w:rPr>
              <w:t>MBTOC acknowledges that soilless production is a non-chemical alternative to MB widely used in strawberry runner (López-Galarza et al., 2010, Rodríguez-Delfín 2012). Trials being performed in PEI are showing that excellent progress is being made with the evaluation of a soilless outdoor system for runner production with performance presently being comparable to existing soil-based production systems for some varieties.</w:t>
            </w:r>
          </w:p>
          <w:p w14:paraId="3E30CF81" w14:textId="77777777" w:rsidR="009B6A47" w:rsidRPr="00CD1278" w:rsidRDefault="009B6A47" w:rsidP="00A50F28">
            <w:pPr>
              <w:autoSpaceDE w:val="0"/>
              <w:autoSpaceDN w:val="0"/>
              <w:adjustRightInd w:val="0"/>
              <w:spacing w:after="120"/>
              <w:jc w:val="both"/>
              <w:rPr>
                <w:rFonts w:ascii="Arial" w:hAnsi="Arial" w:cs="Arial"/>
                <w:b/>
                <w:color w:val="auto"/>
                <w:sz w:val="18"/>
                <w:szCs w:val="18"/>
              </w:rPr>
            </w:pPr>
            <w:r w:rsidRPr="00CD1278">
              <w:rPr>
                <w:rFonts w:ascii="Arial" w:hAnsi="Arial" w:cs="Arial"/>
                <w:color w:val="auto"/>
                <w:sz w:val="18"/>
                <w:szCs w:val="18"/>
                <w:lang w:eastAsia="fr-FR"/>
              </w:rPr>
              <w:br/>
            </w:r>
            <w:r w:rsidRPr="00CD1278">
              <w:rPr>
                <w:rFonts w:ascii="Arial" w:hAnsi="Arial" w:cs="Arial"/>
                <w:b/>
                <w:color w:val="auto"/>
                <w:sz w:val="18"/>
                <w:szCs w:val="18"/>
              </w:rPr>
              <w:t>Nomination by the Party for 2019:</w:t>
            </w:r>
          </w:p>
          <w:p w14:paraId="71955C3B" w14:textId="77777777" w:rsidR="009B6A47" w:rsidRPr="00CD1278" w:rsidRDefault="009B6A47" w:rsidP="00A50F28">
            <w:pPr>
              <w:spacing w:after="120"/>
              <w:jc w:val="both"/>
              <w:rPr>
                <w:rFonts w:ascii="Arial" w:hAnsi="Arial" w:cs="Arial"/>
                <w:color w:val="auto"/>
                <w:sz w:val="18"/>
                <w:szCs w:val="18"/>
              </w:rPr>
            </w:pPr>
            <w:r w:rsidRPr="00CD1278">
              <w:rPr>
                <w:rFonts w:ascii="Arial" w:hAnsi="Arial" w:cs="Arial"/>
                <w:color w:val="auto"/>
                <w:sz w:val="18"/>
                <w:szCs w:val="18"/>
              </w:rPr>
              <w:t>The Party nominated 5.261 t of MB, which is the same amount granted as a CUE for 2018 and all previous CUEs since 2011. It is for strawberry runner production on 26.3 ha of land, including the two final stages (G2 and G3) of multiplication of plants, which are exported from PEI.  The nomination is based on a reduced rate of MB of 20 g/m² (instead of 50 g/m</w:t>
            </w:r>
            <w:r w:rsidRPr="00CD1278">
              <w:rPr>
                <w:rFonts w:ascii="Arial" w:hAnsi="Arial" w:cs="Arial"/>
                <w:color w:val="auto"/>
                <w:sz w:val="18"/>
                <w:szCs w:val="18"/>
                <w:vertAlign w:val="superscript"/>
              </w:rPr>
              <w:t>2</w:t>
            </w:r>
            <w:r w:rsidRPr="00CD1278">
              <w:rPr>
                <w:rFonts w:ascii="Arial" w:hAnsi="Arial" w:cs="Arial"/>
                <w:color w:val="auto"/>
                <w:sz w:val="18"/>
                <w:szCs w:val="18"/>
              </w:rPr>
              <w:t>) under high barrier films of the entire cropping area, which is consistent with MBTOC’s standard presumptions.</w:t>
            </w:r>
          </w:p>
          <w:p w14:paraId="0A003182" w14:textId="77777777" w:rsidR="009B6A47" w:rsidRPr="00CD1278" w:rsidRDefault="009B6A47" w:rsidP="00A50F28">
            <w:pPr>
              <w:spacing w:after="120"/>
              <w:jc w:val="both"/>
              <w:rPr>
                <w:rFonts w:ascii="Arial" w:hAnsi="Arial" w:cs="Arial"/>
                <w:color w:val="auto"/>
                <w:sz w:val="18"/>
                <w:szCs w:val="18"/>
              </w:rPr>
            </w:pPr>
            <w:r w:rsidRPr="00CD1278">
              <w:rPr>
                <w:rFonts w:ascii="Arial" w:hAnsi="Arial" w:cs="Arial"/>
                <w:b/>
                <w:color w:val="auto"/>
                <w:sz w:val="18"/>
                <w:szCs w:val="18"/>
              </w:rPr>
              <w:t>Circumstances of the nomination by the Party</w:t>
            </w:r>
            <w:r w:rsidRPr="00CD1278">
              <w:rPr>
                <w:rFonts w:ascii="Arial" w:hAnsi="Arial" w:cs="Arial"/>
                <w:color w:val="auto"/>
                <w:sz w:val="18"/>
                <w:szCs w:val="18"/>
              </w:rPr>
              <w:t>:</w:t>
            </w:r>
          </w:p>
          <w:p w14:paraId="4477F542" w14:textId="77777777" w:rsidR="009B6A47" w:rsidRPr="00CD1278" w:rsidRDefault="009B6A47" w:rsidP="00A50F28">
            <w:pPr>
              <w:spacing w:after="0"/>
              <w:rPr>
                <w:rFonts w:ascii="Arial" w:hAnsi="Arial" w:cs="Arial"/>
                <w:color w:val="auto"/>
                <w:sz w:val="18"/>
                <w:szCs w:val="18"/>
              </w:rPr>
            </w:pPr>
            <w:r w:rsidRPr="00CD1278">
              <w:rPr>
                <w:rFonts w:ascii="Arial" w:hAnsi="Arial" w:cs="Arial"/>
                <w:color w:val="auto"/>
                <w:sz w:val="18"/>
                <w:szCs w:val="18"/>
              </w:rPr>
              <w:t>Chloropicrin is registered for use in Canada and thus can be used as a pre-plant fumigant for strawberry runners under certain conditions, however, the government of PEI does not allow its use due to concerns regarding groundwater contamination (the Island relies on groundwater for their potable water and the soil are sandy). </w:t>
            </w:r>
            <w:r w:rsidRPr="00CD1278" w:rsidDel="002B2D16">
              <w:rPr>
                <w:rFonts w:ascii="Arial" w:hAnsi="Arial" w:cs="Arial"/>
                <w:color w:val="auto"/>
                <w:sz w:val="18"/>
                <w:szCs w:val="18"/>
              </w:rPr>
              <w:t xml:space="preserve"> </w:t>
            </w:r>
            <w:r w:rsidRPr="00CD1278">
              <w:rPr>
                <w:rFonts w:ascii="Arial" w:hAnsi="Arial" w:cs="Arial"/>
                <w:color w:val="auto"/>
                <w:sz w:val="18"/>
                <w:szCs w:val="18"/>
              </w:rPr>
              <w:t>Metam sodium or metam potassium are also prohibited due to the same concerns. In applying a risk-averse approach, the authorities in Prince Edward Island will not issue permits for trialling or use of these alternative fumigant products, nevertheless Terr-O-Gas (MB/Pic 67:33) use by the strawberry runner grower as a pre-plant fumigant is permitted because it has been successfully used by the grower for over 30 years and has not resulted in the contamination of groundwater.</w:t>
            </w:r>
          </w:p>
          <w:p w14:paraId="4908C52F" w14:textId="77777777" w:rsidR="009B6A47" w:rsidRPr="00CD1278" w:rsidRDefault="009B6A47" w:rsidP="00A50F28">
            <w:pPr>
              <w:spacing w:after="0"/>
              <w:rPr>
                <w:rFonts w:ascii="Arial" w:hAnsi="Arial" w:cs="Arial"/>
                <w:color w:val="auto"/>
                <w:sz w:val="18"/>
                <w:szCs w:val="18"/>
              </w:rPr>
            </w:pPr>
            <w:r w:rsidRPr="00CD1278">
              <w:rPr>
                <w:rFonts w:ascii="Arial" w:hAnsi="Arial" w:cs="Arial"/>
                <w:color w:val="auto"/>
                <w:sz w:val="18"/>
                <w:szCs w:val="18"/>
              </w:rPr>
              <w:br/>
              <w:t xml:space="preserve">For the past two growing seasons the Party has focussed on large scale trials with local and imported substrates which appear successful. Previous data and analysis on different soilless systems have shown that the annual estimated cost per G2b foundation stock plant is $0.425, which was at the time 3.15 times higher than the grower’s annual production cost for bare rooted runners ($0.135). An update on the newer systems is anticipated as the Party has recently stated that these systems are likely to be more productive than traditional soil production systems. </w:t>
            </w:r>
          </w:p>
          <w:p w14:paraId="70817E9A" w14:textId="5A446C5C" w:rsidR="009B6A47" w:rsidRPr="00CD1278" w:rsidRDefault="009B6A47" w:rsidP="00A50F28">
            <w:pPr>
              <w:spacing w:after="0"/>
              <w:rPr>
                <w:rFonts w:ascii="Arial" w:hAnsi="Arial" w:cs="Arial"/>
                <w:color w:val="auto"/>
                <w:sz w:val="18"/>
                <w:szCs w:val="18"/>
              </w:rPr>
            </w:pPr>
            <w:r w:rsidRPr="00CD1278">
              <w:rPr>
                <w:rFonts w:ascii="Arial" w:hAnsi="Arial" w:cs="Arial"/>
                <w:color w:val="auto"/>
                <w:sz w:val="18"/>
                <w:szCs w:val="18"/>
              </w:rPr>
              <w:br/>
              <w:t>The company at PEI also tested organic production from 2006 - 2009 with different varieties, but found significant reductions in yield ranging from 40% to 70%, with only one variety comparing favourably to conventional production. MB: Pic 67:33 at 50 g/m</w:t>
            </w:r>
            <w:r w:rsidRPr="00CD1278">
              <w:rPr>
                <w:rFonts w:ascii="Arial" w:hAnsi="Arial" w:cs="Arial"/>
                <w:color w:val="auto"/>
                <w:sz w:val="18"/>
                <w:szCs w:val="18"/>
                <w:vertAlign w:val="superscript"/>
              </w:rPr>
              <w:t>2</w:t>
            </w:r>
            <w:r w:rsidRPr="00CD1278">
              <w:rPr>
                <w:rFonts w:ascii="Arial" w:hAnsi="Arial" w:cs="Arial"/>
                <w:color w:val="auto"/>
                <w:sz w:val="18"/>
                <w:szCs w:val="18"/>
              </w:rPr>
              <w:t xml:space="preserve"> is the only formulation and rate registered for use in strawberry runners in PEI, and although this exceeds MBTOC’s standard presumption of 20 g/m</w:t>
            </w:r>
            <w:r w:rsidRPr="00CD1278">
              <w:rPr>
                <w:rFonts w:ascii="Arial" w:hAnsi="Arial" w:cs="Arial"/>
                <w:color w:val="auto"/>
                <w:sz w:val="18"/>
                <w:szCs w:val="18"/>
                <w:vertAlign w:val="superscript"/>
              </w:rPr>
              <w:t>2</w:t>
            </w:r>
            <w:r w:rsidRPr="00CD1278">
              <w:rPr>
                <w:rFonts w:ascii="Arial" w:hAnsi="Arial" w:cs="Arial"/>
                <w:color w:val="auto"/>
                <w:sz w:val="18"/>
                <w:szCs w:val="18"/>
              </w:rPr>
              <w:t>, the grower petitioned PMRA to use a lower rate under barrier films, albeit at the company’s own risk and liability. As in previous occasions, the CUN for 2019 is based on a reduced rate for MB of 20 g/m</w:t>
            </w:r>
            <w:r w:rsidRPr="00CD1278">
              <w:rPr>
                <w:rFonts w:ascii="Arial" w:hAnsi="Arial" w:cs="Arial"/>
                <w:color w:val="auto"/>
                <w:sz w:val="18"/>
                <w:szCs w:val="18"/>
                <w:vertAlign w:val="superscript"/>
              </w:rPr>
              <w:t>2</w:t>
            </w:r>
            <w:r w:rsidRPr="00CD1278">
              <w:rPr>
                <w:rFonts w:ascii="Arial" w:hAnsi="Arial" w:cs="Arial"/>
                <w:color w:val="auto"/>
                <w:sz w:val="18"/>
                <w:szCs w:val="18"/>
              </w:rPr>
              <w:t xml:space="preserve"> for the entire critical area (26.3 ha).</w:t>
            </w:r>
          </w:p>
          <w:p w14:paraId="32E2D4AE" w14:textId="77777777" w:rsidR="009B6A47" w:rsidRPr="00CD1278" w:rsidRDefault="009B6A47" w:rsidP="00A50F28">
            <w:pPr>
              <w:spacing w:after="0"/>
              <w:rPr>
                <w:rFonts w:ascii="Arial" w:hAnsi="Arial" w:cs="Arial"/>
                <w:color w:val="auto"/>
                <w:sz w:val="18"/>
                <w:szCs w:val="18"/>
              </w:rPr>
            </w:pPr>
          </w:p>
          <w:p w14:paraId="4305DF11" w14:textId="77777777" w:rsidR="009B6A47" w:rsidRPr="00CD1278" w:rsidRDefault="009B6A47" w:rsidP="00A50F28">
            <w:pPr>
              <w:spacing w:after="120"/>
              <w:rPr>
                <w:rFonts w:ascii="Arial" w:eastAsia="DengXian" w:hAnsi="Arial" w:cs="Arial"/>
                <w:color w:val="auto"/>
                <w:sz w:val="18"/>
                <w:szCs w:val="18"/>
              </w:rPr>
            </w:pPr>
            <w:r w:rsidRPr="00CD1278">
              <w:rPr>
                <w:rFonts w:ascii="Arial" w:hAnsi="Arial" w:cs="Arial"/>
                <w:b/>
                <w:color w:val="auto"/>
                <w:sz w:val="18"/>
                <w:szCs w:val="18"/>
              </w:rPr>
              <w:t>MBTOC assessment for MB use in this sector in 2019: [update]</w:t>
            </w:r>
            <w:r w:rsidRPr="00CD1278">
              <w:rPr>
                <w:rFonts w:ascii="Arial" w:hAnsi="Arial" w:cs="Arial"/>
                <w:color w:val="auto"/>
                <w:sz w:val="18"/>
                <w:szCs w:val="18"/>
              </w:rPr>
              <w:br/>
              <w:t xml:space="preserve">MBTOC is aware that chloropicrin (Pic) although an effective alternative, will not be used in PEI due to groundwater concerns, and continues to be unclear as to why PEI allows the use of Pic in mixtures with MB, urging the Party and regulators in PEI to use a consistent regulatory approach to all alternatives.  </w:t>
            </w:r>
            <w:r w:rsidRPr="00CD1278">
              <w:rPr>
                <w:rFonts w:ascii="Arial" w:eastAsia="DengXian" w:hAnsi="Arial" w:cs="Arial"/>
                <w:color w:val="auto"/>
                <w:sz w:val="18"/>
                <w:szCs w:val="18"/>
              </w:rPr>
              <w:t xml:space="preserve">The label for all key alternatives and MB is approved by Health Canada’s </w:t>
            </w:r>
            <w:r w:rsidRPr="00CD1278">
              <w:rPr>
                <w:rFonts w:ascii="Arial" w:eastAsia="DengXian" w:hAnsi="Arial" w:cs="Arial"/>
                <w:i/>
                <w:color w:val="auto"/>
                <w:sz w:val="18"/>
                <w:szCs w:val="18"/>
              </w:rPr>
              <w:t>Pest Management Regulatory Agency</w:t>
            </w:r>
            <w:r w:rsidRPr="00CD1278">
              <w:rPr>
                <w:rFonts w:ascii="Arial" w:eastAsia="DengXian" w:hAnsi="Arial" w:cs="Arial"/>
                <w:color w:val="auto"/>
                <w:sz w:val="18"/>
                <w:szCs w:val="18"/>
              </w:rPr>
              <w:t xml:space="preserve"> and contains a similar warning on all of potential to contaminate groundwater. In applying a risk-averse approach and in the absence of any routine groundwater monitoring, the authorities in Prince Edward Island will not issue permits to use these substances, even for the purposes of trialling/testing but do allow use of the MB/Pic mixture despite the concerns. In view of this, MBTOC considers that the parties approach to adopt open field soilless substrate production is a suitable option to replace MB and should be fully implemented </w:t>
            </w:r>
            <w:r w:rsidRPr="00CD1278">
              <w:rPr>
                <w:rFonts w:ascii="Arial" w:hAnsi="Arial" w:cs="Arial"/>
                <w:color w:val="auto"/>
                <w:sz w:val="18"/>
                <w:szCs w:val="18"/>
              </w:rPr>
              <w:t>to accelerate MB phase out.</w:t>
            </w:r>
            <w:r w:rsidRPr="00CD1278">
              <w:rPr>
                <w:rFonts w:ascii="Arial" w:eastAsia="DengXian" w:hAnsi="Arial" w:cs="Arial"/>
                <w:color w:val="auto"/>
                <w:sz w:val="18"/>
                <w:szCs w:val="18"/>
              </w:rPr>
              <w:t xml:space="preserve"> This approach is more sustainable and safer than chemical fumigants. The open field substrate production scheme evaluated offers a less costly option than protected production in greenhouses, which is also being considered. Low plastic tunnels to cover outdoor soilless production rows may offer a further low cost option to help reduce the impact of excess rain.</w:t>
            </w:r>
          </w:p>
          <w:p w14:paraId="534B706F" w14:textId="77777777" w:rsidR="009B6A47" w:rsidRPr="00CD1278" w:rsidRDefault="009B6A47" w:rsidP="00A50F28">
            <w:pPr>
              <w:spacing w:after="120"/>
              <w:rPr>
                <w:rFonts w:ascii="Arial" w:hAnsi="Arial" w:cs="Arial"/>
                <w:color w:val="auto"/>
                <w:sz w:val="18"/>
                <w:szCs w:val="18"/>
              </w:rPr>
            </w:pPr>
            <w:r w:rsidRPr="00CD1278">
              <w:rPr>
                <w:rFonts w:ascii="Arial" w:hAnsi="Arial" w:cs="Arial"/>
                <w:color w:val="auto"/>
                <w:sz w:val="18"/>
                <w:szCs w:val="18"/>
              </w:rPr>
              <w:t xml:space="preserve">MBTOC acknowledges that soilless is a suitable alternative for runner production and encourages the Party to continue testing and adopting the soilless cultivation system to phase out MB in this sector. MBTOC understands that using micro-propagated plants, and scaling up soilless substrates, are geared at the first stage of multiplication, to produce approximately 75,000 runners, and that 420kg MB included in previous nominations could be replaced or avoided if soilless was effectively adopted for this stage.  MBTOC considers soilless production is technically feasible for all stages of production (López-Galarza </w:t>
            </w:r>
            <w:r w:rsidRPr="00CD1278">
              <w:rPr>
                <w:rFonts w:ascii="Arial" w:hAnsi="Arial" w:cs="Arial"/>
                <w:i/>
                <w:color w:val="auto"/>
                <w:sz w:val="18"/>
                <w:szCs w:val="18"/>
              </w:rPr>
              <w:t>et al.</w:t>
            </w:r>
            <w:r w:rsidRPr="00CD1278">
              <w:rPr>
                <w:rFonts w:ascii="Arial" w:hAnsi="Arial" w:cs="Arial"/>
                <w:color w:val="auto"/>
                <w:sz w:val="18"/>
                <w:szCs w:val="18"/>
              </w:rPr>
              <w:t xml:space="preserve">, 2010, Rodríguez-Delfín; 2012; Miranda </w:t>
            </w:r>
            <w:r w:rsidRPr="00CD1278">
              <w:rPr>
                <w:rFonts w:ascii="Arial" w:hAnsi="Arial" w:cs="Arial"/>
                <w:i/>
                <w:color w:val="auto"/>
                <w:sz w:val="18"/>
                <w:szCs w:val="18"/>
              </w:rPr>
              <w:t>et al</w:t>
            </w:r>
            <w:r w:rsidRPr="00CD1278">
              <w:rPr>
                <w:rFonts w:ascii="Arial" w:hAnsi="Arial" w:cs="Arial"/>
                <w:color w:val="auto"/>
                <w:sz w:val="18"/>
                <w:szCs w:val="18"/>
              </w:rPr>
              <w:t xml:space="preserve">., 2014). MBTOC recognizes the efforts to expand adoption of substrates for subsequent production stages and urges the Party to expedite these efforts to secure alternatives as indicated by Dec. IX/6 b (iii). </w:t>
            </w:r>
          </w:p>
          <w:p w14:paraId="10252353" w14:textId="77777777" w:rsidR="009B6A47" w:rsidRPr="00CD1278" w:rsidRDefault="009B6A47" w:rsidP="00A50F28">
            <w:pPr>
              <w:rPr>
                <w:rFonts w:ascii="Arial" w:hAnsi="Arial" w:cs="Arial"/>
                <w:color w:val="auto"/>
                <w:sz w:val="18"/>
                <w:szCs w:val="18"/>
                <w:lang w:eastAsia="en-US"/>
              </w:rPr>
            </w:pPr>
            <w:r w:rsidRPr="00CD1278">
              <w:rPr>
                <w:rFonts w:ascii="Arial" w:hAnsi="Arial" w:cs="Arial"/>
                <w:b/>
                <w:color w:val="auto"/>
                <w:sz w:val="18"/>
                <w:szCs w:val="18"/>
              </w:rPr>
              <w:t xml:space="preserve">MBTOC comments on economics provided in CUN for 2019: </w:t>
            </w:r>
            <w:r w:rsidRPr="00CD1278">
              <w:rPr>
                <w:rFonts w:ascii="Arial" w:hAnsi="Arial" w:cs="Arial"/>
                <w:color w:val="auto"/>
                <w:sz w:val="18"/>
                <w:szCs w:val="18"/>
              </w:rPr>
              <w:br/>
              <w:t xml:space="preserve">The economic information has not been updated in this year’s nomination. </w:t>
            </w:r>
          </w:p>
          <w:p w14:paraId="7BC8E830" w14:textId="77777777" w:rsidR="009B6A47" w:rsidRPr="00CD1278" w:rsidRDefault="009B6A47" w:rsidP="00A50F28">
            <w:pPr>
              <w:spacing w:after="120"/>
              <w:jc w:val="both"/>
              <w:rPr>
                <w:rFonts w:ascii="Arial" w:hAnsi="Arial" w:cs="Arial"/>
                <w:b/>
                <w:color w:val="auto"/>
                <w:sz w:val="18"/>
                <w:szCs w:val="18"/>
              </w:rPr>
            </w:pPr>
            <w:r w:rsidRPr="00CD1278">
              <w:rPr>
                <w:rFonts w:ascii="Arial" w:hAnsi="Arial" w:cs="Arial"/>
                <w:b/>
                <w:color w:val="auto"/>
                <w:sz w:val="18"/>
                <w:szCs w:val="18"/>
              </w:rPr>
              <w:t xml:space="preserve">Comments requested in Dec. XX1/11 (para 9):OK </w:t>
            </w:r>
          </w:p>
          <w:p w14:paraId="65806CC0" w14:textId="77777777" w:rsidR="009B6A47" w:rsidRPr="00CD1278" w:rsidRDefault="009B6A47" w:rsidP="00A50F28">
            <w:pPr>
              <w:numPr>
                <w:ilvl w:val="0"/>
                <w:numId w:val="7"/>
              </w:numPr>
              <w:spacing w:after="120"/>
              <w:ind w:left="317" w:hanging="317"/>
              <w:jc w:val="both"/>
              <w:rPr>
                <w:rFonts w:ascii="Arial" w:hAnsi="Arial" w:cs="Arial"/>
                <w:color w:val="auto"/>
                <w:sz w:val="18"/>
                <w:szCs w:val="18"/>
              </w:rPr>
            </w:pPr>
            <w:r w:rsidRPr="00CD1278">
              <w:rPr>
                <w:rFonts w:ascii="Arial" w:hAnsi="Arial" w:cs="Arial"/>
                <w:b/>
                <w:color w:val="auto"/>
                <w:sz w:val="18"/>
                <w:szCs w:val="18"/>
              </w:rPr>
              <w:t xml:space="preserve">Dec. IX/6 b(i) Emission Reduction: </w:t>
            </w:r>
            <w:r w:rsidRPr="00CD1278">
              <w:rPr>
                <w:rFonts w:ascii="Arial" w:hAnsi="Arial" w:cs="Arial"/>
                <w:color w:val="auto"/>
                <w:sz w:val="18"/>
                <w:szCs w:val="18"/>
              </w:rPr>
              <w:t>Yes, uses barrier films with a reduced application rate of MB conforming to MBTOC’s presumptions.</w:t>
            </w:r>
          </w:p>
          <w:p w14:paraId="0AD8F093" w14:textId="77777777" w:rsidR="009B6A47" w:rsidRPr="00CD1278" w:rsidRDefault="009B6A47" w:rsidP="00A50F28">
            <w:pPr>
              <w:numPr>
                <w:ilvl w:val="0"/>
                <w:numId w:val="7"/>
              </w:numPr>
              <w:spacing w:after="120"/>
              <w:ind w:left="317" w:hanging="317"/>
              <w:jc w:val="both"/>
              <w:rPr>
                <w:rFonts w:ascii="Arial" w:hAnsi="Arial"/>
                <w:color w:val="auto"/>
                <w:sz w:val="18"/>
              </w:rPr>
            </w:pPr>
            <w:r w:rsidRPr="00CD1278">
              <w:rPr>
                <w:rFonts w:ascii="Arial" w:hAnsi="Arial" w:cs="Arial"/>
                <w:b/>
                <w:color w:val="auto"/>
                <w:sz w:val="18"/>
                <w:szCs w:val="18"/>
              </w:rPr>
              <w:t xml:space="preserve">Dec. IX/6 b (iii) Research Program: </w:t>
            </w:r>
            <w:r w:rsidRPr="00CD1278">
              <w:rPr>
                <w:rFonts w:ascii="Arial" w:hAnsi="Arial" w:cs="Arial"/>
                <w:color w:val="auto"/>
                <w:sz w:val="18"/>
                <w:szCs w:val="18"/>
              </w:rPr>
              <w:t xml:space="preserve">A new research program focussed on substrate production as a key alternative to MB has been operational for two years. </w:t>
            </w:r>
          </w:p>
          <w:p w14:paraId="3F91DD51" w14:textId="77777777" w:rsidR="009B6A47" w:rsidRPr="00CD1278" w:rsidRDefault="009B6A47" w:rsidP="00A50F28">
            <w:pPr>
              <w:numPr>
                <w:ilvl w:val="0"/>
                <w:numId w:val="7"/>
              </w:numPr>
              <w:spacing w:after="120"/>
              <w:ind w:left="317" w:hanging="317"/>
              <w:jc w:val="both"/>
              <w:rPr>
                <w:rFonts w:ascii="Arial" w:hAnsi="Arial"/>
                <w:color w:val="auto"/>
                <w:sz w:val="18"/>
              </w:rPr>
            </w:pPr>
            <w:r w:rsidRPr="00CD1278">
              <w:rPr>
                <w:rFonts w:ascii="Arial" w:hAnsi="Arial" w:cs="Arial"/>
                <w:b/>
                <w:color w:val="auto"/>
                <w:sz w:val="18"/>
                <w:szCs w:val="18"/>
              </w:rPr>
              <w:t xml:space="preserve">Dec. IX/6 b (iii) Appropriate Effort: </w:t>
            </w:r>
            <w:r w:rsidRPr="00CD1278">
              <w:rPr>
                <w:rFonts w:ascii="Arial" w:hAnsi="Arial" w:cs="Arial"/>
                <w:color w:val="auto"/>
                <w:sz w:val="18"/>
                <w:szCs w:val="18"/>
              </w:rPr>
              <w:t xml:space="preserve">MBTOC recognizes the efforts to research substrates for later production stages and urges the Party to expedite these research efforts to secure alternatives as indicated by Dec. IX/6 b (iii). MBTOC is concerned that no groundwater measurements are being conducted on PEI, yet its use is allowed with mixtures of MB/Pic, but accept that local regulations prevent use of the fumigant alternatives.  </w:t>
            </w:r>
          </w:p>
        </w:tc>
      </w:tr>
    </w:tbl>
    <w:p w14:paraId="24E43653" w14:textId="77777777" w:rsidR="009B6A47" w:rsidRPr="00CD1278" w:rsidRDefault="009B6A47" w:rsidP="009B6A47">
      <w:pPr>
        <w:spacing w:before="120" w:after="120"/>
        <w:rPr>
          <w:rFonts w:ascii="Arial" w:hAnsi="Arial" w:cs="Arial"/>
          <w:b/>
          <w:bCs/>
          <w:color w:val="auto"/>
          <w:sz w:val="16"/>
          <w:szCs w:val="18"/>
        </w:rPr>
      </w:pPr>
      <w:r w:rsidRPr="00CD1278">
        <w:rPr>
          <w:rFonts w:ascii="Arial" w:hAnsi="Arial" w:cs="Arial"/>
          <w:color w:val="auto"/>
          <w:sz w:val="16"/>
          <w:szCs w:val="18"/>
          <w:vertAlign w:val="superscript"/>
        </w:rPr>
        <w:t>1</w:t>
      </w:r>
      <w:r w:rsidRPr="00CD1278">
        <w:rPr>
          <w:rFonts w:ascii="Arial" w:hAnsi="Arial" w:cs="Arial"/>
          <w:color w:val="auto"/>
          <w:sz w:val="16"/>
          <w:szCs w:val="18"/>
        </w:rPr>
        <w:t xml:space="preserve">1ExMOP and 16MOP; </w:t>
      </w:r>
      <w:r w:rsidRPr="00CD1278">
        <w:rPr>
          <w:rFonts w:ascii="Arial" w:hAnsi="Arial" w:cs="Arial"/>
          <w:color w:val="auto"/>
          <w:sz w:val="16"/>
          <w:szCs w:val="18"/>
          <w:vertAlign w:val="superscript"/>
        </w:rPr>
        <w:t>2</w:t>
      </w:r>
      <w:r w:rsidRPr="00CD1278">
        <w:rPr>
          <w:rFonts w:ascii="Arial" w:hAnsi="Arial" w:cs="Arial"/>
          <w:color w:val="auto"/>
          <w:sz w:val="16"/>
          <w:szCs w:val="18"/>
        </w:rPr>
        <w:t xml:space="preserve">16MOP+2ExMOP+17MOP; </w:t>
      </w:r>
      <w:r w:rsidRPr="00CD1278">
        <w:rPr>
          <w:rFonts w:ascii="Arial" w:hAnsi="Arial" w:cs="Arial"/>
          <w:color w:val="auto"/>
          <w:sz w:val="16"/>
          <w:szCs w:val="18"/>
          <w:vertAlign w:val="superscript"/>
        </w:rPr>
        <w:t>3</w:t>
      </w:r>
      <w:r w:rsidRPr="00CD1278">
        <w:rPr>
          <w:rFonts w:ascii="Arial" w:hAnsi="Arial" w:cs="Arial"/>
          <w:color w:val="auto"/>
          <w:sz w:val="16"/>
          <w:szCs w:val="18"/>
        </w:rPr>
        <w:t xml:space="preserve">MOP17+MOP18; </w:t>
      </w:r>
      <w:r w:rsidRPr="00CD1278">
        <w:rPr>
          <w:rFonts w:ascii="Arial" w:hAnsi="Arial" w:cs="Arial"/>
          <w:color w:val="auto"/>
          <w:sz w:val="16"/>
          <w:szCs w:val="18"/>
          <w:vertAlign w:val="superscript"/>
        </w:rPr>
        <w:t>4</w:t>
      </w:r>
      <w:r w:rsidRPr="00CD1278">
        <w:rPr>
          <w:rFonts w:ascii="Arial" w:hAnsi="Arial" w:cs="Arial"/>
          <w:color w:val="auto"/>
          <w:sz w:val="16"/>
          <w:szCs w:val="18"/>
        </w:rPr>
        <w:t xml:space="preserve">MOP18+MOP19; </w:t>
      </w:r>
      <w:r w:rsidRPr="00CD1278">
        <w:rPr>
          <w:rFonts w:ascii="Arial" w:hAnsi="Arial" w:cs="Arial"/>
          <w:color w:val="auto"/>
          <w:sz w:val="16"/>
          <w:szCs w:val="18"/>
          <w:vertAlign w:val="superscript"/>
        </w:rPr>
        <w:t>5</w:t>
      </w:r>
      <w:r w:rsidRPr="00CD1278">
        <w:rPr>
          <w:rFonts w:ascii="Arial" w:hAnsi="Arial" w:cs="Arial"/>
          <w:color w:val="auto"/>
          <w:sz w:val="16"/>
          <w:szCs w:val="18"/>
        </w:rPr>
        <w:t xml:space="preserve">MOP19+MOP20; </w:t>
      </w:r>
      <w:r w:rsidRPr="00CD1278">
        <w:rPr>
          <w:rFonts w:ascii="Arial" w:hAnsi="Arial" w:cs="Arial"/>
          <w:color w:val="auto"/>
          <w:sz w:val="16"/>
          <w:szCs w:val="18"/>
          <w:vertAlign w:val="superscript"/>
        </w:rPr>
        <w:t>6</w:t>
      </w:r>
      <w:r w:rsidRPr="00CD1278">
        <w:rPr>
          <w:rFonts w:ascii="Arial" w:hAnsi="Arial" w:cs="Arial"/>
          <w:color w:val="auto"/>
          <w:sz w:val="16"/>
          <w:szCs w:val="18"/>
        </w:rPr>
        <w:t xml:space="preserve">MOP20+MOP21; </w:t>
      </w:r>
      <w:r w:rsidRPr="00CD1278">
        <w:rPr>
          <w:rFonts w:ascii="Arial" w:hAnsi="Arial" w:cs="Arial"/>
          <w:color w:val="auto"/>
          <w:sz w:val="16"/>
          <w:szCs w:val="18"/>
          <w:vertAlign w:val="superscript"/>
        </w:rPr>
        <w:t>7</w:t>
      </w:r>
      <w:r w:rsidRPr="00CD1278">
        <w:rPr>
          <w:rFonts w:ascii="Arial" w:hAnsi="Arial" w:cs="Arial"/>
          <w:color w:val="auto"/>
          <w:sz w:val="16"/>
          <w:szCs w:val="18"/>
        </w:rPr>
        <w:t xml:space="preserve">MOP21+MOP22; </w:t>
      </w:r>
      <w:r w:rsidRPr="00CD1278">
        <w:rPr>
          <w:rFonts w:ascii="Arial" w:hAnsi="Arial" w:cs="Arial"/>
          <w:color w:val="auto"/>
          <w:sz w:val="16"/>
          <w:szCs w:val="18"/>
          <w:vertAlign w:val="superscript"/>
        </w:rPr>
        <w:t>8</w:t>
      </w:r>
      <w:r w:rsidRPr="00CD1278">
        <w:rPr>
          <w:rFonts w:ascii="Arial" w:hAnsi="Arial" w:cs="Arial"/>
          <w:color w:val="auto"/>
          <w:sz w:val="16"/>
          <w:szCs w:val="18"/>
        </w:rPr>
        <w:t xml:space="preserve">MOP22, </w:t>
      </w:r>
      <w:r w:rsidRPr="00CD1278">
        <w:rPr>
          <w:rFonts w:ascii="Arial" w:hAnsi="Arial" w:cs="Arial"/>
          <w:color w:val="auto"/>
          <w:sz w:val="16"/>
          <w:szCs w:val="18"/>
          <w:vertAlign w:val="superscript"/>
        </w:rPr>
        <w:t>9</w:t>
      </w:r>
      <w:r w:rsidRPr="00CD1278">
        <w:rPr>
          <w:rFonts w:ascii="Arial" w:hAnsi="Arial" w:cs="Arial"/>
          <w:color w:val="auto"/>
          <w:sz w:val="16"/>
          <w:szCs w:val="18"/>
        </w:rPr>
        <w:t xml:space="preserve">MOP23, </w:t>
      </w:r>
      <w:r w:rsidRPr="00CD1278">
        <w:rPr>
          <w:rFonts w:ascii="Arial" w:hAnsi="Arial" w:cs="Arial"/>
          <w:color w:val="auto"/>
          <w:sz w:val="16"/>
          <w:szCs w:val="18"/>
          <w:vertAlign w:val="superscript"/>
        </w:rPr>
        <w:t>10</w:t>
      </w:r>
      <w:r w:rsidRPr="00CD1278">
        <w:rPr>
          <w:rFonts w:ascii="Arial" w:hAnsi="Arial" w:cs="Arial"/>
          <w:color w:val="auto"/>
          <w:sz w:val="16"/>
          <w:szCs w:val="18"/>
        </w:rPr>
        <w:t xml:space="preserve">MOP24, </w:t>
      </w:r>
      <w:r w:rsidRPr="00CD1278">
        <w:rPr>
          <w:rFonts w:ascii="Arial" w:hAnsi="Arial" w:cs="Arial"/>
          <w:color w:val="auto"/>
          <w:sz w:val="16"/>
          <w:szCs w:val="18"/>
          <w:vertAlign w:val="superscript"/>
        </w:rPr>
        <w:t>11</w:t>
      </w:r>
      <w:r w:rsidRPr="00CD1278">
        <w:rPr>
          <w:rFonts w:ascii="Arial" w:hAnsi="Arial" w:cs="Arial"/>
          <w:color w:val="auto"/>
          <w:sz w:val="16"/>
          <w:szCs w:val="18"/>
        </w:rPr>
        <w:t xml:space="preserve">MOP25, </w:t>
      </w:r>
      <w:r w:rsidRPr="00CD1278">
        <w:rPr>
          <w:rFonts w:ascii="Arial" w:hAnsi="Arial" w:cs="Arial"/>
          <w:color w:val="auto"/>
          <w:sz w:val="16"/>
          <w:szCs w:val="18"/>
          <w:vertAlign w:val="superscript"/>
        </w:rPr>
        <w:t>12</w:t>
      </w:r>
      <w:r w:rsidRPr="00CD1278">
        <w:rPr>
          <w:rFonts w:ascii="Arial" w:hAnsi="Arial" w:cs="Arial"/>
          <w:color w:val="auto"/>
          <w:sz w:val="16"/>
          <w:szCs w:val="18"/>
        </w:rPr>
        <w:t xml:space="preserve">MOP26, </w:t>
      </w:r>
      <w:r w:rsidRPr="00CD1278">
        <w:rPr>
          <w:rFonts w:ascii="Arial" w:hAnsi="Arial" w:cs="Arial"/>
          <w:color w:val="auto"/>
          <w:sz w:val="16"/>
          <w:szCs w:val="18"/>
          <w:vertAlign w:val="superscript"/>
        </w:rPr>
        <w:t>12</w:t>
      </w:r>
      <w:r w:rsidRPr="00CD1278">
        <w:rPr>
          <w:rFonts w:ascii="Arial" w:hAnsi="Arial" w:cs="Arial"/>
          <w:color w:val="auto"/>
          <w:sz w:val="16"/>
          <w:szCs w:val="18"/>
        </w:rPr>
        <w:t>MOP26</w:t>
      </w:r>
      <w:r w:rsidRPr="00CD1278">
        <w:rPr>
          <w:rFonts w:ascii="Arial" w:hAnsi="Arial" w:cs="Arial"/>
          <w:b/>
          <w:bCs/>
          <w:color w:val="auto"/>
          <w:sz w:val="16"/>
          <w:szCs w:val="18"/>
        </w:rPr>
        <w:t xml:space="preserve">, </w:t>
      </w:r>
      <w:r w:rsidRPr="00CD1278">
        <w:rPr>
          <w:rFonts w:ascii="Arial" w:hAnsi="Arial" w:cs="Arial"/>
          <w:bCs/>
          <w:color w:val="auto"/>
          <w:sz w:val="16"/>
          <w:szCs w:val="18"/>
          <w:vertAlign w:val="superscript"/>
        </w:rPr>
        <w:t>13</w:t>
      </w:r>
      <w:r w:rsidRPr="00CD1278">
        <w:rPr>
          <w:rFonts w:ascii="Arial" w:hAnsi="Arial" w:cs="Arial"/>
          <w:bCs/>
          <w:color w:val="auto"/>
          <w:sz w:val="16"/>
          <w:szCs w:val="18"/>
        </w:rPr>
        <w:t xml:space="preserve">MOP27, </w:t>
      </w:r>
      <w:r w:rsidRPr="00CD1278">
        <w:rPr>
          <w:rFonts w:ascii="Arial" w:hAnsi="Arial" w:cs="Arial"/>
          <w:bCs/>
          <w:color w:val="auto"/>
          <w:sz w:val="16"/>
          <w:szCs w:val="18"/>
          <w:vertAlign w:val="superscript"/>
        </w:rPr>
        <w:t>14</w:t>
      </w:r>
      <w:r w:rsidRPr="00CD1278">
        <w:rPr>
          <w:rFonts w:ascii="Arial" w:hAnsi="Arial" w:cs="Arial"/>
          <w:bCs/>
          <w:color w:val="auto"/>
          <w:sz w:val="16"/>
          <w:szCs w:val="18"/>
        </w:rPr>
        <w:t xml:space="preserve">MOP28, </w:t>
      </w:r>
      <w:r w:rsidRPr="00CD1278">
        <w:rPr>
          <w:rFonts w:ascii="Arial" w:hAnsi="Arial" w:cs="Arial"/>
          <w:bCs/>
          <w:color w:val="auto"/>
          <w:sz w:val="16"/>
          <w:szCs w:val="18"/>
          <w:vertAlign w:val="superscript"/>
        </w:rPr>
        <w:t>15</w:t>
      </w:r>
      <w:r w:rsidRPr="00CD1278">
        <w:rPr>
          <w:rFonts w:ascii="Arial" w:hAnsi="Arial" w:cs="Arial"/>
          <w:bCs/>
          <w:color w:val="auto"/>
          <w:sz w:val="16"/>
          <w:szCs w:val="18"/>
        </w:rPr>
        <w:t>MOP29</w:t>
      </w:r>
    </w:p>
    <w:p w14:paraId="6204E54B" w14:textId="336E45CB" w:rsidR="009B6A47" w:rsidRPr="00CD1278" w:rsidRDefault="009B6A47" w:rsidP="00896422">
      <w:pPr>
        <w:pStyle w:val="Tableandfigureheadings"/>
        <w:ind w:left="90"/>
      </w:pPr>
      <w:r w:rsidRPr="00CD1278">
        <w:rPr>
          <w:sz w:val="22"/>
        </w:rPr>
        <w:br w:type="page"/>
      </w:r>
      <w:r w:rsidRPr="00CD1278">
        <w:t xml:space="preserve">Table 1.10 </w:t>
      </w:r>
      <w:r w:rsidR="00D57053" w:rsidRPr="00CD1278">
        <w:t xml:space="preserve">Interim </w:t>
      </w:r>
      <w:r w:rsidRPr="00CD1278">
        <w:t xml:space="preserve">recommendations </w:t>
      </w:r>
      <w:r w:rsidR="00626B1A" w:rsidRPr="00CD1278">
        <w:t>for CUNs</w:t>
      </w:r>
      <w:r w:rsidRPr="00CD1278">
        <w:t xml:space="preserve"> from A5 Parties for preplant soil </w:t>
      </w:r>
      <w:r w:rsidR="003030D4" w:rsidRPr="00CD1278">
        <w:t xml:space="preserve">fumigation </w:t>
      </w:r>
      <w:r w:rsidRPr="00CD1278">
        <w:t>submitted in 201</w:t>
      </w:r>
      <w:r w:rsidR="006B2D18" w:rsidRPr="00CD1278">
        <w:t>8</w:t>
      </w:r>
      <w:r w:rsidRPr="00CD1278">
        <w:t xml:space="preserve"> for</w:t>
      </w:r>
      <w:r w:rsidR="00D57053" w:rsidRPr="00CD1278">
        <w:t xml:space="preserve"> use in</w:t>
      </w:r>
      <w:r w:rsidRPr="00CD1278">
        <w:t xml:space="preserve"> 20</w:t>
      </w:r>
      <w:r w:rsidR="00D57053" w:rsidRPr="00CD1278">
        <w:t>1</w:t>
      </w:r>
      <w:r w:rsidR="006B2D18" w:rsidRPr="00CD1278">
        <w:t>9</w:t>
      </w:r>
      <w:r w:rsidRPr="00CD1278">
        <w:t>.</w:t>
      </w:r>
    </w:p>
    <w:tbl>
      <w:tblPr>
        <w:tblW w:w="15338"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3"/>
        <w:gridCol w:w="1419"/>
        <w:gridCol w:w="992"/>
        <w:gridCol w:w="636"/>
        <w:gridCol w:w="356"/>
        <w:gridCol w:w="1070"/>
        <w:gridCol w:w="202"/>
        <w:gridCol w:w="855"/>
        <w:gridCol w:w="773"/>
        <w:gridCol w:w="531"/>
        <w:gridCol w:w="992"/>
        <w:gridCol w:w="106"/>
        <w:gridCol w:w="1595"/>
        <w:gridCol w:w="33"/>
        <w:gridCol w:w="1385"/>
        <w:gridCol w:w="243"/>
        <w:gridCol w:w="1741"/>
        <w:gridCol w:w="1276"/>
      </w:tblGrid>
      <w:tr w:rsidR="003C102E" w:rsidRPr="00CD1278" w14:paraId="159E6DD7" w14:textId="77777777" w:rsidTr="00A94F7E">
        <w:trPr>
          <w:trHeight w:val="440"/>
        </w:trPr>
        <w:tc>
          <w:tcPr>
            <w:tcW w:w="1133" w:type="dxa"/>
            <w:tcBorders>
              <w:top w:val="single" w:sz="4" w:space="0" w:color="auto"/>
            </w:tcBorders>
            <w:vAlign w:val="center"/>
          </w:tcPr>
          <w:p w14:paraId="70DD5199" w14:textId="77777777" w:rsidR="009B6A47" w:rsidRPr="00CD1278" w:rsidRDefault="009B6A47" w:rsidP="00A50F28">
            <w:pPr>
              <w:spacing w:after="0"/>
              <w:rPr>
                <w:rFonts w:ascii="Arial" w:hAnsi="Arial" w:cs="Arial"/>
                <w:b/>
                <w:color w:val="auto"/>
                <w:sz w:val="18"/>
                <w:szCs w:val="18"/>
              </w:rPr>
            </w:pPr>
            <w:r w:rsidRPr="00CD1278">
              <w:rPr>
                <w:rFonts w:ascii="Arial" w:hAnsi="Arial" w:cs="Arial"/>
                <w:b/>
                <w:color w:val="auto"/>
                <w:sz w:val="18"/>
                <w:szCs w:val="18"/>
              </w:rPr>
              <w:t>Country</w:t>
            </w:r>
          </w:p>
        </w:tc>
        <w:tc>
          <w:tcPr>
            <w:tcW w:w="1419" w:type="dxa"/>
            <w:tcBorders>
              <w:top w:val="single" w:sz="4" w:space="0" w:color="auto"/>
            </w:tcBorders>
            <w:vAlign w:val="center"/>
          </w:tcPr>
          <w:p w14:paraId="7590553D" w14:textId="77777777" w:rsidR="009B6A47" w:rsidRPr="00CD1278" w:rsidRDefault="009B6A47" w:rsidP="00A50F28">
            <w:pPr>
              <w:spacing w:after="0"/>
              <w:rPr>
                <w:rFonts w:ascii="Arial" w:hAnsi="Arial" w:cs="Arial"/>
                <w:b/>
                <w:color w:val="auto"/>
                <w:sz w:val="18"/>
                <w:szCs w:val="18"/>
              </w:rPr>
            </w:pPr>
            <w:r w:rsidRPr="00CD1278">
              <w:rPr>
                <w:rFonts w:ascii="Arial" w:hAnsi="Arial" w:cs="Arial"/>
                <w:b/>
                <w:color w:val="auto"/>
                <w:sz w:val="18"/>
                <w:szCs w:val="18"/>
              </w:rPr>
              <w:t>Industry</w:t>
            </w:r>
          </w:p>
        </w:tc>
        <w:tc>
          <w:tcPr>
            <w:tcW w:w="992" w:type="dxa"/>
            <w:tcBorders>
              <w:top w:val="single" w:sz="4" w:space="0" w:color="auto"/>
            </w:tcBorders>
            <w:vAlign w:val="center"/>
          </w:tcPr>
          <w:p w14:paraId="3D22EC56" w14:textId="77777777" w:rsidR="009B6A47" w:rsidRPr="00CD1278" w:rsidRDefault="009B6A47" w:rsidP="00A50F28">
            <w:pPr>
              <w:spacing w:after="0"/>
              <w:jc w:val="center"/>
              <w:rPr>
                <w:rFonts w:ascii="Arial" w:hAnsi="Arial" w:cs="Arial"/>
                <w:b/>
                <w:color w:val="auto"/>
                <w:sz w:val="18"/>
                <w:szCs w:val="18"/>
              </w:rPr>
            </w:pPr>
            <w:r w:rsidRPr="00CD1278">
              <w:rPr>
                <w:rFonts w:ascii="Arial" w:hAnsi="Arial" w:cs="Arial"/>
                <w:b/>
                <w:color w:val="auto"/>
                <w:sz w:val="18"/>
                <w:szCs w:val="18"/>
              </w:rPr>
              <w:t>CUE for 2015</w:t>
            </w:r>
            <w:r w:rsidRPr="00CD1278">
              <w:rPr>
                <w:rFonts w:ascii="Arial" w:hAnsi="Arial" w:cs="Arial"/>
                <w:b/>
                <w:color w:val="auto"/>
                <w:sz w:val="18"/>
                <w:szCs w:val="18"/>
                <w:vertAlign w:val="superscript"/>
              </w:rPr>
              <w:t>1</w:t>
            </w:r>
          </w:p>
        </w:tc>
        <w:tc>
          <w:tcPr>
            <w:tcW w:w="992" w:type="dxa"/>
            <w:gridSpan w:val="2"/>
            <w:tcBorders>
              <w:top w:val="single" w:sz="4" w:space="0" w:color="auto"/>
            </w:tcBorders>
            <w:vAlign w:val="center"/>
          </w:tcPr>
          <w:p w14:paraId="7FD17DB9" w14:textId="77777777" w:rsidR="009B6A47" w:rsidRPr="00CD1278" w:rsidRDefault="009B6A47" w:rsidP="00A50F28">
            <w:pPr>
              <w:spacing w:after="0"/>
              <w:jc w:val="center"/>
              <w:rPr>
                <w:rFonts w:ascii="Arial" w:hAnsi="Arial" w:cs="Arial"/>
                <w:b/>
                <w:color w:val="auto"/>
                <w:sz w:val="18"/>
                <w:szCs w:val="18"/>
              </w:rPr>
            </w:pPr>
            <w:r w:rsidRPr="00CD1278">
              <w:rPr>
                <w:rFonts w:ascii="Arial" w:hAnsi="Arial" w:cs="Arial"/>
                <w:b/>
                <w:color w:val="auto"/>
                <w:sz w:val="18"/>
                <w:szCs w:val="18"/>
              </w:rPr>
              <w:t>CUE for 2016</w:t>
            </w:r>
            <w:r w:rsidRPr="00CD1278">
              <w:rPr>
                <w:rFonts w:ascii="Arial" w:hAnsi="Arial" w:cs="Arial"/>
                <w:b/>
                <w:color w:val="auto"/>
                <w:sz w:val="18"/>
                <w:szCs w:val="18"/>
                <w:vertAlign w:val="superscript"/>
              </w:rPr>
              <w:t>2</w:t>
            </w:r>
          </w:p>
        </w:tc>
        <w:tc>
          <w:tcPr>
            <w:tcW w:w="1070" w:type="dxa"/>
            <w:tcBorders>
              <w:top w:val="single" w:sz="4" w:space="0" w:color="auto"/>
            </w:tcBorders>
            <w:vAlign w:val="center"/>
          </w:tcPr>
          <w:p w14:paraId="22D12449" w14:textId="77777777" w:rsidR="009B6A47" w:rsidRPr="00CD1278" w:rsidRDefault="009B6A47" w:rsidP="00A50F28">
            <w:pPr>
              <w:spacing w:after="0"/>
              <w:jc w:val="center"/>
              <w:rPr>
                <w:rFonts w:ascii="Arial" w:hAnsi="Arial" w:cs="Arial"/>
                <w:b/>
                <w:color w:val="auto"/>
                <w:sz w:val="18"/>
                <w:szCs w:val="18"/>
              </w:rPr>
            </w:pPr>
            <w:r w:rsidRPr="00CD1278">
              <w:rPr>
                <w:rFonts w:ascii="Arial" w:hAnsi="Arial" w:cs="Arial"/>
                <w:b/>
                <w:color w:val="auto"/>
                <w:sz w:val="18"/>
                <w:szCs w:val="18"/>
              </w:rPr>
              <w:t>CUE for 2017</w:t>
            </w:r>
            <w:r w:rsidRPr="00CD1278">
              <w:rPr>
                <w:rFonts w:ascii="Arial" w:hAnsi="Arial" w:cs="Arial"/>
                <w:b/>
                <w:color w:val="auto"/>
                <w:sz w:val="18"/>
                <w:szCs w:val="18"/>
                <w:vertAlign w:val="superscript"/>
              </w:rPr>
              <w:t>3</w:t>
            </w:r>
          </w:p>
        </w:tc>
        <w:tc>
          <w:tcPr>
            <w:tcW w:w="1057" w:type="dxa"/>
            <w:gridSpan w:val="2"/>
            <w:tcBorders>
              <w:top w:val="single" w:sz="4" w:space="0" w:color="auto"/>
            </w:tcBorders>
            <w:vAlign w:val="center"/>
          </w:tcPr>
          <w:p w14:paraId="4C69C495" w14:textId="77777777" w:rsidR="009B6A47" w:rsidRPr="00CD1278" w:rsidRDefault="009B6A47" w:rsidP="00A50F28">
            <w:pPr>
              <w:spacing w:after="0"/>
              <w:jc w:val="center"/>
              <w:rPr>
                <w:rFonts w:ascii="Arial" w:hAnsi="Arial" w:cs="Arial"/>
                <w:b/>
                <w:color w:val="auto"/>
                <w:sz w:val="18"/>
                <w:szCs w:val="18"/>
              </w:rPr>
            </w:pPr>
            <w:r w:rsidRPr="00CD1278">
              <w:rPr>
                <w:rFonts w:ascii="Arial" w:hAnsi="Arial" w:cs="Arial"/>
                <w:b/>
                <w:color w:val="auto"/>
                <w:sz w:val="18"/>
                <w:szCs w:val="18"/>
              </w:rPr>
              <w:t>CUN for 2018</w:t>
            </w:r>
          </w:p>
        </w:tc>
        <w:tc>
          <w:tcPr>
            <w:tcW w:w="1304" w:type="dxa"/>
            <w:gridSpan w:val="2"/>
            <w:tcBorders>
              <w:top w:val="single" w:sz="4" w:space="0" w:color="auto"/>
            </w:tcBorders>
            <w:vAlign w:val="center"/>
          </w:tcPr>
          <w:p w14:paraId="10A76D96" w14:textId="77777777" w:rsidR="009B6A47" w:rsidRPr="00CD1278" w:rsidRDefault="009B6A47" w:rsidP="00A50F28">
            <w:pPr>
              <w:spacing w:before="40" w:after="40"/>
              <w:jc w:val="center"/>
              <w:rPr>
                <w:rFonts w:ascii="Arial" w:hAnsi="Arial" w:cs="Arial"/>
                <w:b/>
                <w:color w:val="auto"/>
                <w:sz w:val="18"/>
                <w:szCs w:val="18"/>
              </w:rPr>
            </w:pPr>
            <w:r w:rsidRPr="00CD1278">
              <w:rPr>
                <w:rFonts w:ascii="Arial" w:hAnsi="Arial" w:cs="Arial"/>
                <w:b/>
                <w:color w:val="auto"/>
                <w:sz w:val="18"/>
                <w:szCs w:val="18"/>
              </w:rPr>
              <w:t>CUE for 2018</w:t>
            </w:r>
            <w:r w:rsidRPr="00CD1278">
              <w:rPr>
                <w:rFonts w:ascii="Arial" w:hAnsi="Arial" w:cs="Arial"/>
                <w:b/>
                <w:color w:val="auto"/>
                <w:sz w:val="18"/>
                <w:szCs w:val="18"/>
                <w:vertAlign w:val="superscript"/>
              </w:rPr>
              <w:t>4</w:t>
            </w:r>
          </w:p>
        </w:tc>
        <w:tc>
          <w:tcPr>
            <w:tcW w:w="992" w:type="dxa"/>
            <w:tcBorders>
              <w:top w:val="single" w:sz="4" w:space="0" w:color="auto"/>
            </w:tcBorders>
            <w:vAlign w:val="center"/>
          </w:tcPr>
          <w:p w14:paraId="0223C4B9" w14:textId="77777777" w:rsidR="009B6A47" w:rsidRPr="00CD1278" w:rsidRDefault="009B6A47" w:rsidP="00A50F28">
            <w:pPr>
              <w:spacing w:before="40" w:after="40"/>
              <w:jc w:val="center"/>
              <w:rPr>
                <w:rFonts w:ascii="Arial" w:hAnsi="Arial" w:cs="Arial"/>
                <w:b/>
                <w:color w:val="auto"/>
                <w:sz w:val="18"/>
                <w:szCs w:val="18"/>
              </w:rPr>
            </w:pPr>
            <w:r w:rsidRPr="00CD1278">
              <w:rPr>
                <w:rFonts w:ascii="Arial" w:hAnsi="Arial" w:cs="Arial"/>
                <w:b/>
                <w:color w:val="auto"/>
                <w:sz w:val="18"/>
                <w:szCs w:val="18"/>
              </w:rPr>
              <w:t>CUN for 2019</w:t>
            </w:r>
          </w:p>
        </w:tc>
        <w:tc>
          <w:tcPr>
            <w:tcW w:w="1701" w:type="dxa"/>
            <w:gridSpan w:val="2"/>
            <w:tcBorders>
              <w:top w:val="single" w:sz="4" w:space="0" w:color="auto"/>
            </w:tcBorders>
          </w:tcPr>
          <w:p w14:paraId="313EADA6" w14:textId="007B5DA2" w:rsidR="009B6A47" w:rsidRPr="00CD1278" w:rsidRDefault="00220027" w:rsidP="00A94F7E">
            <w:pPr>
              <w:spacing w:before="40" w:after="40"/>
              <w:rPr>
                <w:rFonts w:ascii="Arial" w:hAnsi="Arial" w:cs="Arial"/>
                <w:b/>
                <w:color w:val="auto"/>
                <w:sz w:val="18"/>
                <w:szCs w:val="18"/>
              </w:rPr>
            </w:pPr>
            <w:r w:rsidRPr="00CD1278">
              <w:rPr>
                <w:rFonts w:ascii="Arial" w:hAnsi="Arial" w:cs="Arial"/>
                <w:b/>
                <w:color w:val="auto"/>
                <w:sz w:val="18"/>
                <w:szCs w:val="18"/>
              </w:rPr>
              <w:t>I</w:t>
            </w:r>
            <w:r w:rsidR="009B6A47" w:rsidRPr="00CD1278">
              <w:rPr>
                <w:rFonts w:ascii="Arial" w:hAnsi="Arial" w:cs="Arial"/>
                <w:b/>
                <w:color w:val="auto"/>
                <w:sz w:val="18"/>
                <w:szCs w:val="18"/>
              </w:rPr>
              <w:t>nterim rec</w:t>
            </w:r>
            <w:r w:rsidR="00A94F7E" w:rsidRPr="00CD1278">
              <w:rPr>
                <w:rFonts w:ascii="Arial" w:hAnsi="Arial" w:cs="Arial"/>
                <w:b/>
                <w:color w:val="auto"/>
                <w:sz w:val="18"/>
                <w:szCs w:val="18"/>
              </w:rPr>
              <w:t>ommendation</w:t>
            </w:r>
            <w:r w:rsidR="009B6A47" w:rsidRPr="00CD1278">
              <w:rPr>
                <w:rFonts w:ascii="Arial" w:hAnsi="Arial" w:cs="Arial"/>
                <w:b/>
                <w:color w:val="auto"/>
                <w:sz w:val="18"/>
                <w:szCs w:val="18"/>
              </w:rPr>
              <w:t xml:space="preserve"> for 2019</w:t>
            </w:r>
          </w:p>
        </w:tc>
        <w:tc>
          <w:tcPr>
            <w:tcW w:w="1418" w:type="dxa"/>
            <w:gridSpan w:val="2"/>
            <w:tcBorders>
              <w:top w:val="single" w:sz="4" w:space="0" w:color="auto"/>
            </w:tcBorders>
          </w:tcPr>
          <w:p w14:paraId="4C9874E0" w14:textId="77777777" w:rsidR="009B6A47" w:rsidRPr="00CD1278" w:rsidRDefault="009B6A47" w:rsidP="00A50F28">
            <w:pPr>
              <w:spacing w:before="40" w:after="0"/>
              <w:rPr>
                <w:rFonts w:ascii="Arial" w:hAnsi="Arial" w:cs="Arial"/>
                <w:b/>
                <w:color w:val="auto"/>
                <w:sz w:val="18"/>
                <w:szCs w:val="18"/>
              </w:rPr>
            </w:pPr>
          </w:p>
        </w:tc>
        <w:tc>
          <w:tcPr>
            <w:tcW w:w="1984" w:type="dxa"/>
            <w:gridSpan w:val="2"/>
            <w:tcBorders>
              <w:top w:val="single" w:sz="4" w:space="0" w:color="auto"/>
            </w:tcBorders>
          </w:tcPr>
          <w:p w14:paraId="0FC88F5E" w14:textId="77777777" w:rsidR="009B6A47" w:rsidRPr="00CD1278" w:rsidRDefault="009B6A47" w:rsidP="00A50F28">
            <w:pPr>
              <w:spacing w:before="40" w:after="40"/>
              <w:rPr>
                <w:rFonts w:ascii="Arial" w:hAnsi="Arial" w:cs="Arial"/>
                <w:b/>
                <w:color w:val="auto"/>
                <w:sz w:val="18"/>
                <w:szCs w:val="18"/>
              </w:rPr>
            </w:pPr>
          </w:p>
        </w:tc>
        <w:tc>
          <w:tcPr>
            <w:tcW w:w="1276" w:type="dxa"/>
            <w:tcBorders>
              <w:top w:val="single" w:sz="4" w:space="0" w:color="auto"/>
            </w:tcBorders>
          </w:tcPr>
          <w:p w14:paraId="1C30C265" w14:textId="77777777" w:rsidR="009B6A47" w:rsidRPr="00CD1278" w:rsidRDefault="009B6A47" w:rsidP="00A50F28">
            <w:pPr>
              <w:spacing w:before="40" w:after="0"/>
              <w:rPr>
                <w:rFonts w:ascii="Arial" w:hAnsi="Arial" w:cs="Arial"/>
                <w:b/>
                <w:color w:val="auto"/>
                <w:sz w:val="18"/>
                <w:szCs w:val="18"/>
              </w:rPr>
            </w:pPr>
          </w:p>
        </w:tc>
      </w:tr>
      <w:tr w:rsidR="003C102E" w:rsidRPr="00CD1278" w14:paraId="49399A03" w14:textId="77777777" w:rsidTr="00A94F7E">
        <w:trPr>
          <w:trHeight w:val="357"/>
        </w:trPr>
        <w:tc>
          <w:tcPr>
            <w:tcW w:w="1133" w:type="dxa"/>
            <w:vMerge w:val="restart"/>
          </w:tcPr>
          <w:p w14:paraId="79E8A014" w14:textId="77777777" w:rsidR="009B6A47" w:rsidRPr="00CD1278" w:rsidRDefault="009B6A47" w:rsidP="00A50F28">
            <w:pPr>
              <w:spacing w:after="0"/>
              <w:rPr>
                <w:rFonts w:ascii="Arial" w:hAnsi="Arial" w:cs="Arial"/>
                <w:color w:val="auto"/>
                <w:sz w:val="18"/>
              </w:rPr>
            </w:pPr>
            <w:r w:rsidRPr="00CD1278">
              <w:rPr>
                <w:rFonts w:ascii="Arial" w:hAnsi="Arial" w:cs="Arial"/>
                <w:color w:val="auto"/>
                <w:sz w:val="18"/>
              </w:rPr>
              <w:t>Argentina</w:t>
            </w:r>
          </w:p>
        </w:tc>
        <w:tc>
          <w:tcPr>
            <w:tcW w:w="1419" w:type="dxa"/>
            <w:shd w:val="clear" w:color="auto" w:fill="FFFF99"/>
            <w:vAlign w:val="center"/>
          </w:tcPr>
          <w:p w14:paraId="6C520A56" w14:textId="77777777" w:rsidR="009B6A47" w:rsidRPr="00CD1278" w:rsidRDefault="009B6A47" w:rsidP="00A50F28">
            <w:pPr>
              <w:spacing w:after="0"/>
              <w:rPr>
                <w:rFonts w:ascii="Arial" w:hAnsi="Arial" w:cs="Arial"/>
                <w:color w:val="auto"/>
                <w:sz w:val="18"/>
                <w:szCs w:val="18"/>
              </w:rPr>
            </w:pPr>
            <w:r w:rsidRPr="00CD1278">
              <w:rPr>
                <w:rFonts w:ascii="Arial" w:hAnsi="Arial" w:cs="Arial"/>
                <w:color w:val="auto"/>
                <w:sz w:val="18"/>
                <w:szCs w:val="18"/>
              </w:rPr>
              <w:t>Strawberry Fruit</w:t>
            </w:r>
          </w:p>
        </w:tc>
        <w:tc>
          <w:tcPr>
            <w:tcW w:w="992" w:type="dxa"/>
            <w:shd w:val="clear" w:color="auto" w:fill="FFFF99"/>
            <w:vAlign w:val="center"/>
          </w:tcPr>
          <w:p w14:paraId="226374D0" w14:textId="77777777" w:rsidR="009B6A47" w:rsidRPr="00CD1278" w:rsidRDefault="009B6A47" w:rsidP="00A50F28">
            <w:pPr>
              <w:spacing w:after="0"/>
              <w:jc w:val="center"/>
              <w:rPr>
                <w:rFonts w:ascii="Arial" w:hAnsi="Arial" w:cs="Arial"/>
                <w:b/>
                <w:color w:val="auto"/>
                <w:sz w:val="18"/>
                <w:szCs w:val="18"/>
              </w:rPr>
            </w:pPr>
            <w:r w:rsidRPr="00CD1278">
              <w:rPr>
                <w:rFonts w:ascii="Arial" w:hAnsi="Arial" w:cs="Arial"/>
                <w:color w:val="auto"/>
                <w:sz w:val="18"/>
                <w:szCs w:val="18"/>
              </w:rPr>
              <w:t>70</w:t>
            </w:r>
          </w:p>
        </w:tc>
        <w:tc>
          <w:tcPr>
            <w:tcW w:w="992" w:type="dxa"/>
            <w:gridSpan w:val="2"/>
            <w:shd w:val="clear" w:color="auto" w:fill="FFFF99"/>
            <w:vAlign w:val="center"/>
          </w:tcPr>
          <w:p w14:paraId="5C8514DF" w14:textId="77777777" w:rsidR="009B6A47" w:rsidRPr="00CD1278" w:rsidRDefault="009B6A47" w:rsidP="00A50F28">
            <w:pPr>
              <w:spacing w:after="0"/>
              <w:jc w:val="center"/>
              <w:rPr>
                <w:rFonts w:ascii="Arial" w:hAnsi="Arial" w:cs="Arial"/>
                <w:b/>
                <w:color w:val="auto"/>
                <w:sz w:val="18"/>
                <w:szCs w:val="18"/>
              </w:rPr>
            </w:pPr>
            <w:r w:rsidRPr="00CD1278">
              <w:rPr>
                <w:rFonts w:ascii="Arial" w:hAnsi="Arial" w:cs="Arial"/>
                <w:color w:val="auto"/>
                <w:sz w:val="18"/>
                <w:szCs w:val="18"/>
              </w:rPr>
              <w:t>58</w:t>
            </w:r>
          </w:p>
        </w:tc>
        <w:tc>
          <w:tcPr>
            <w:tcW w:w="1070" w:type="dxa"/>
            <w:shd w:val="clear" w:color="auto" w:fill="FFFF99"/>
            <w:vAlign w:val="center"/>
          </w:tcPr>
          <w:p w14:paraId="787E8986" w14:textId="77777777" w:rsidR="009B6A47" w:rsidRPr="00CD1278" w:rsidRDefault="009B6A47" w:rsidP="00A50F28">
            <w:pPr>
              <w:spacing w:after="0"/>
              <w:jc w:val="center"/>
              <w:rPr>
                <w:rFonts w:ascii="Arial" w:hAnsi="Arial" w:cs="Arial"/>
                <w:color w:val="auto"/>
                <w:sz w:val="18"/>
                <w:szCs w:val="18"/>
              </w:rPr>
            </w:pPr>
            <w:r w:rsidRPr="00CD1278">
              <w:rPr>
                <w:rFonts w:ascii="Arial" w:hAnsi="Arial" w:cs="Arial"/>
                <w:color w:val="auto"/>
                <w:sz w:val="18"/>
                <w:szCs w:val="18"/>
              </w:rPr>
              <w:t>38.84</w:t>
            </w:r>
          </w:p>
        </w:tc>
        <w:tc>
          <w:tcPr>
            <w:tcW w:w="1057" w:type="dxa"/>
            <w:gridSpan w:val="2"/>
            <w:shd w:val="clear" w:color="auto" w:fill="FFFF99"/>
            <w:vAlign w:val="center"/>
          </w:tcPr>
          <w:p w14:paraId="296EC3B4" w14:textId="77777777" w:rsidR="009B6A47" w:rsidRPr="00CD1278" w:rsidRDefault="009B6A47" w:rsidP="00A50F28">
            <w:pPr>
              <w:spacing w:after="0"/>
              <w:jc w:val="center"/>
              <w:rPr>
                <w:rFonts w:ascii="Arial" w:hAnsi="Arial" w:cs="Arial"/>
                <w:color w:val="auto"/>
                <w:sz w:val="18"/>
                <w:szCs w:val="18"/>
              </w:rPr>
            </w:pPr>
            <w:r w:rsidRPr="00CD1278">
              <w:rPr>
                <w:rFonts w:ascii="Arial" w:hAnsi="Arial" w:cs="Arial"/>
                <w:color w:val="auto"/>
                <w:sz w:val="18"/>
                <w:szCs w:val="18"/>
              </w:rPr>
              <w:t>45.30</w:t>
            </w:r>
          </w:p>
        </w:tc>
        <w:tc>
          <w:tcPr>
            <w:tcW w:w="1304" w:type="dxa"/>
            <w:gridSpan w:val="2"/>
            <w:shd w:val="clear" w:color="auto" w:fill="FFFF99"/>
            <w:vAlign w:val="center"/>
          </w:tcPr>
          <w:p w14:paraId="1956AB22" w14:textId="77777777" w:rsidR="009B6A47" w:rsidRPr="00CD1278" w:rsidRDefault="009B6A47" w:rsidP="00A50F28">
            <w:pPr>
              <w:spacing w:before="40" w:after="0"/>
              <w:jc w:val="center"/>
              <w:rPr>
                <w:rFonts w:ascii="Arial" w:hAnsi="Arial" w:cs="Arial"/>
                <w:color w:val="auto"/>
                <w:sz w:val="18"/>
                <w:szCs w:val="18"/>
              </w:rPr>
            </w:pPr>
            <w:r w:rsidRPr="00CD1278">
              <w:rPr>
                <w:rFonts w:ascii="Arial" w:hAnsi="Arial" w:cs="Arial"/>
                <w:color w:val="auto"/>
                <w:sz w:val="18"/>
                <w:szCs w:val="18"/>
              </w:rPr>
              <w:t>29.00</w:t>
            </w:r>
          </w:p>
        </w:tc>
        <w:tc>
          <w:tcPr>
            <w:tcW w:w="992" w:type="dxa"/>
            <w:shd w:val="clear" w:color="auto" w:fill="FFFF99"/>
            <w:vAlign w:val="center"/>
          </w:tcPr>
          <w:p w14:paraId="2CEFE98E" w14:textId="77777777" w:rsidR="009B6A47" w:rsidRPr="00CD1278" w:rsidRDefault="009B6A47" w:rsidP="00A50F28">
            <w:pPr>
              <w:spacing w:before="40" w:after="0"/>
              <w:jc w:val="center"/>
              <w:rPr>
                <w:rFonts w:ascii="Arial" w:hAnsi="Arial" w:cs="Arial"/>
                <w:color w:val="auto"/>
                <w:sz w:val="18"/>
                <w:szCs w:val="18"/>
              </w:rPr>
            </w:pPr>
            <w:r w:rsidRPr="00CD1278">
              <w:rPr>
                <w:rFonts w:ascii="Arial" w:hAnsi="Arial" w:cs="Arial"/>
                <w:color w:val="auto"/>
                <w:sz w:val="18"/>
                <w:szCs w:val="18"/>
              </w:rPr>
              <w:t>27.1</w:t>
            </w:r>
          </w:p>
        </w:tc>
        <w:tc>
          <w:tcPr>
            <w:tcW w:w="1701" w:type="dxa"/>
            <w:gridSpan w:val="2"/>
            <w:shd w:val="clear" w:color="auto" w:fill="FFFF99"/>
            <w:vAlign w:val="center"/>
          </w:tcPr>
          <w:p w14:paraId="0ADFBAE4" w14:textId="77777777" w:rsidR="009B6A47" w:rsidRPr="00CD1278" w:rsidRDefault="009B6A47" w:rsidP="00A50F28">
            <w:pPr>
              <w:spacing w:before="40" w:after="0"/>
              <w:jc w:val="center"/>
              <w:rPr>
                <w:rFonts w:ascii="Arial" w:hAnsi="Arial" w:cs="Arial"/>
                <w:color w:val="auto"/>
                <w:sz w:val="18"/>
              </w:rPr>
            </w:pPr>
            <w:r w:rsidRPr="00CD1278">
              <w:rPr>
                <w:rFonts w:ascii="Arial" w:hAnsi="Arial" w:cs="Arial"/>
                <w:color w:val="auto"/>
                <w:sz w:val="18"/>
              </w:rPr>
              <w:t>[15.71]</w:t>
            </w:r>
          </w:p>
        </w:tc>
        <w:tc>
          <w:tcPr>
            <w:tcW w:w="1418" w:type="dxa"/>
            <w:gridSpan w:val="2"/>
            <w:shd w:val="clear" w:color="auto" w:fill="FFFF99"/>
          </w:tcPr>
          <w:p w14:paraId="44116930" w14:textId="77777777" w:rsidR="009B6A47" w:rsidRPr="00CD1278" w:rsidRDefault="009B6A47" w:rsidP="00A50F28">
            <w:pPr>
              <w:spacing w:before="40" w:after="0"/>
              <w:rPr>
                <w:rFonts w:ascii="Arial" w:hAnsi="Arial" w:cs="Arial"/>
                <w:color w:val="auto"/>
                <w:sz w:val="18"/>
              </w:rPr>
            </w:pPr>
          </w:p>
        </w:tc>
        <w:tc>
          <w:tcPr>
            <w:tcW w:w="1984" w:type="dxa"/>
            <w:gridSpan w:val="2"/>
            <w:shd w:val="clear" w:color="auto" w:fill="FFFF99"/>
          </w:tcPr>
          <w:p w14:paraId="6AFD1E4B" w14:textId="77777777" w:rsidR="009B6A47" w:rsidRPr="00CD1278" w:rsidRDefault="009B6A47" w:rsidP="00A50F28">
            <w:pPr>
              <w:spacing w:before="40" w:after="0"/>
              <w:rPr>
                <w:rFonts w:ascii="Arial" w:hAnsi="Arial" w:cs="Arial"/>
                <w:color w:val="auto"/>
                <w:sz w:val="18"/>
              </w:rPr>
            </w:pPr>
          </w:p>
        </w:tc>
        <w:tc>
          <w:tcPr>
            <w:tcW w:w="1276" w:type="dxa"/>
            <w:shd w:val="clear" w:color="auto" w:fill="FFFF99"/>
          </w:tcPr>
          <w:p w14:paraId="0B800482" w14:textId="77777777" w:rsidR="009B6A47" w:rsidRPr="00CD1278" w:rsidRDefault="009B6A47" w:rsidP="00A50F28">
            <w:pPr>
              <w:spacing w:before="40" w:after="0"/>
              <w:rPr>
                <w:rFonts w:ascii="Arial" w:hAnsi="Arial" w:cs="Arial"/>
                <w:color w:val="auto"/>
                <w:sz w:val="18"/>
              </w:rPr>
            </w:pPr>
          </w:p>
        </w:tc>
      </w:tr>
      <w:tr w:rsidR="003C102E" w:rsidRPr="00CD1278" w14:paraId="163DBF2A" w14:textId="77777777" w:rsidTr="001B28F0">
        <w:trPr>
          <w:trHeight w:val="282"/>
        </w:trPr>
        <w:tc>
          <w:tcPr>
            <w:tcW w:w="1133" w:type="dxa"/>
            <w:vMerge/>
            <w:tcBorders>
              <w:bottom w:val="single" w:sz="4" w:space="0" w:color="auto"/>
            </w:tcBorders>
          </w:tcPr>
          <w:p w14:paraId="41D63411" w14:textId="77777777" w:rsidR="009B6A47" w:rsidRPr="00CD1278" w:rsidRDefault="009B6A47" w:rsidP="00A50F28">
            <w:pPr>
              <w:spacing w:before="40" w:after="40"/>
              <w:rPr>
                <w:rFonts w:ascii="Arial" w:hAnsi="Arial" w:cs="Arial"/>
                <w:color w:val="auto"/>
                <w:sz w:val="18"/>
              </w:rPr>
            </w:pPr>
          </w:p>
        </w:tc>
        <w:tc>
          <w:tcPr>
            <w:tcW w:w="14205" w:type="dxa"/>
            <w:gridSpan w:val="17"/>
            <w:tcBorders>
              <w:bottom w:val="single" w:sz="4" w:space="0" w:color="auto"/>
            </w:tcBorders>
          </w:tcPr>
          <w:p w14:paraId="519834E2" w14:textId="4EACE0F3" w:rsidR="009B6A47" w:rsidRPr="00CD1278" w:rsidRDefault="009B6A47" w:rsidP="00A50F28">
            <w:pPr>
              <w:spacing w:before="120" w:after="120"/>
              <w:rPr>
                <w:rFonts w:ascii="Arial" w:hAnsi="Arial" w:cs="Arial"/>
                <w:color w:val="auto"/>
                <w:sz w:val="18"/>
                <w:szCs w:val="18"/>
              </w:rPr>
            </w:pPr>
            <w:r w:rsidRPr="00CD1278">
              <w:rPr>
                <w:rFonts w:ascii="Arial" w:hAnsi="Arial" w:cs="Arial"/>
                <w:b/>
                <w:color w:val="auto"/>
                <w:sz w:val="18"/>
                <w:szCs w:val="18"/>
              </w:rPr>
              <w:t>MBTOC interim recommendation for 2019:</w:t>
            </w:r>
            <w:r w:rsidRPr="00CD1278">
              <w:rPr>
                <w:rFonts w:ascii="Arial" w:hAnsi="Arial" w:cs="Arial"/>
                <w:color w:val="auto"/>
                <w:sz w:val="18"/>
                <w:szCs w:val="18"/>
              </w:rPr>
              <w:br/>
              <w:t>MBTOC recommends a reduced amount of 15.71 tonnes for this use in 2019.</w:t>
            </w:r>
            <w:r w:rsidR="00732FFC" w:rsidRPr="00CD1278">
              <w:rPr>
                <w:rFonts w:ascii="Arial" w:hAnsi="Arial" w:cs="Arial"/>
                <w:color w:val="auto"/>
                <w:sz w:val="18"/>
                <w:szCs w:val="18"/>
              </w:rPr>
              <w:t xml:space="preserve"> </w:t>
            </w:r>
            <w:r w:rsidRPr="00CD1278">
              <w:rPr>
                <w:rFonts w:ascii="Arial" w:hAnsi="Arial" w:cs="Arial"/>
                <w:color w:val="auto"/>
                <w:sz w:val="18"/>
                <w:szCs w:val="18"/>
              </w:rPr>
              <w:t xml:space="preserve">This reduction is based on the adoption of barrier films (e.g. TIF) on one third of the nominated area, </w:t>
            </w:r>
            <w:r w:rsidR="00104D01" w:rsidRPr="00CD1278">
              <w:rPr>
                <w:rFonts w:ascii="Arial" w:hAnsi="Arial" w:cs="Arial"/>
                <w:color w:val="auto"/>
                <w:sz w:val="18"/>
                <w:szCs w:val="18"/>
              </w:rPr>
              <w:t>which results in a d</w:t>
            </w:r>
            <w:r w:rsidRPr="00CD1278">
              <w:rPr>
                <w:rFonts w:ascii="Arial" w:hAnsi="Arial" w:cs="Arial"/>
                <w:color w:val="auto"/>
                <w:sz w:val="18"/>
                <w:szCs w:val="18"/>
              </w:rPr>
              <w:t>ecrease</w:t>
            </w:r>
            <w:r w:rsidR="00104D01" w:rsidRPr="00CD1278">
              <w:rPr>
                <w:rFonts w:ascii="Arial" w:hAnsi="Arial" w:cs="Arial"/>
                <w:color w:val="auto"/>
                <w:sz w:val="18"/>
                <w:szCs w:val="18"/>
              </w:rPr>
              <w:t xml:space="preserve"> in</w:t>
            </w:r>
            <w:r w:rsidRPr="00CD1278">
              <w:rPr>
                <w:rFonts w:ascii="Arial" w:hAnsi="Arial" w:cs="Arial"/>
                <w:color w:val="auto"/>
                <w:sz w:val="18"/>
                <w:szCs w:val="18"/>
              </w:rPr>
              <w:t xml:space="preserve"> dosage rates </w:t>
            </w:r>
            <w:r w:rsidR="00104D01" w:rsidRPr="00CD1278">
              <w:rPr>
                <w:rFonts w:ascii="Arial" w:hAnsi="Arial" w:cs="Arial"/>
                <w:color w:val="auto"/>
                <w:sz w:val="18"/>
                <w:szCs w:val="18"/>
              </w:rPr>
              <w:t xml:space="preserve">recommended for the nomination from </w:t>
            </w:r>
            <w:r w:rsidRPr="00CD1278">
              <w:rPr>
                <w:rFonts w:ascii="Arial" w:hAnsi="Arial" w:cs="Arial"/>
                <w:color w:val="auto"/>
                <w:sz w:val="18"/>
                <w:szCs w:val="18"/>
              </w:rPr>
              <w:t>26 to 15.0 g/m</w:t>
            </w:r>
            <w:r w:rsidRPr="00CD1278">
              <w:rPr>
                <w:rFonts w:ascii="Arial" w:hAnsi="Arial" w:cs="Arial"/>
                <w:color w:val="auto"/>
                <w:sz w:val="18"/>
                <w:szCs w:val="18"/>
                <w:vertAlign w:val="superscript"/>
              </w:rPr>
              <w:t>2</w:t>
            </w:r>
            <w:r w:rsidR="00104D01" w:rsidRPr="00CD1278">
              <w:rPr>
                <w:rFonts w:ascii="Arial" w:hAnsi="Arial" w:cs="Arial"/>
                <w:color w:val="auto"/>
                <w:sz w:val="18"/>
                <w:szCs w:val="18"/>
              </w:rPr>
              <w:t xml:space="preserve">. The </w:t>
            </w:r>
            <w:r w:rsidRPr="00CD1278">
              <w:rPr>
                <w:rFonts w:ascii="Arial" w:hAnsi="Arial" w:cs="Arial"/>
                <w:color w:val="auto"/>
                <w:sz w:val="18"/>
                <w:szCs w:val="18"/>
              </w:rPr>
              <w:t>reduc</w:t>
            </w:r>
            <w:r w:rsidR="00104D01" w:rsidRPr="00CD1278">
              <w:rPr>
                <w:rFonts w:ascii="Arial" w:hAnsi="Arial" w:cs="Arial"/>
                <w:color w:val="auto"/>
                <w:sz w:val="18"/>
                <w:szCs w:val="18"/>
              </w:rPr>
              <w:t xml:space="preserve">ed </w:t>
            </w:r>
            <w:r w:rsidRPr="00CD1278">
              <w:rPr>
                <w:rFonts w:ascii="Arial" w:hAnsi="Arial" w:cs="Arial"/>
                <w:color w:val="auto"/>
                <w:sz w:val="18"/>
                <w:szCs w:val="18"/>
              </w:rPr>
              <w:t xml:space="preserve">amount </w:t>
            </w:r>
            <w:r w:rsidR="00104D01" w:rsidRPr="00CD1278">
              <w:rPr>
                <w:rFonts w:ascii="Arial" w:hAnsi="Arial" w:cs="Arial"/>
                <w:color w:val="auto"/>
                <w:sz w:val="18"/>
                <w:szCs w:val="18"/>
              </w:rPr>
              <w:t>is</w:t>
            </w:r>
            <w:r w:rsidRPr="00CD1278">
              <w:rPr>
                <w:rFonts w:ascii="Arial" w:hAnsi="Arial" w:cs="Arial"/>
                <w:color w:val="auto"/>
                <w:sz w:val="18"/>
                <w:szCs w:val="18"/>
              </w:rPr>
              <w:t xml:space="preserve"> 15.71 t [27.1 t x (15/26) =15.71 t]. MBTOC considers barrier films to be consistent with efforts to minimize emissions of MB, and for this reason, has made a reduction of MB for a final year of a three</w:t>
            </w:r>
            <w:r w:rsidR="00427443" w:rsidRPr="00CD1278">
              <w:rPr>
                <w:rFonts w:ascii="Arial" w:hAnsi="Arial" w:cs="Arial"/>
                <w:color w:val="auto"/>
                <w:sz w:val="18"/>
                <w:szCs w:val="18"/>
              </w:rPr>
              <w:t>-</w:t>
            </w:r>
            <w:r w:rsidRPr="00CD1278">
              <w:rPr>
                <w:rFonts w:ascii="Arial" w:hAnsi="Arial" w:cs="Arial"/>
                <w:color w:val="auto"/>
                <w:sz w:val="18"/>
                <w:szCs w:val="18"/>
              </w:rPr>
              <w:t xml:space="preserve">year adoption period. </w:t>
            </w:r>
          </w:p>
          <w:p w14:paraId="5731B198" w14:textId="70547C10"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 xml:space="preserve">MBTOC is concerned that the Party has not provided data from any recent field trials in its CUN nominations. Of particular concern is that recent data showing the ineffectiveness of alternatives has not been provided and this lack of effort is inconsistent with the requirements of Decision IX/6. In the absence of such data, MBTOC has relied on data from trials in similar sectors and situations worldwide (Lopez Aranda </w:t>
            </w:r>
            <w:r w:rsidRPr="00CD1278">
              <w:rPr>
                <w:rFonts w:ascii="Arial" w:hAnsi="Arial" w:cs="Arial"/>
                <w:i/>
                <w:color w:val="auto"/>
                <w:sz w:val="18"/>
                <w:szCs w:val="18"/>
              </w:rPr>
              <w:t>et al</w:t>
            </w:r>
            <w:r w:rsidRPr="00CD1278">
              <w:rPr>
                <w:rFonts w:ascii="Arial" w:hAnsi="Arial" w:cs="Arial"/>
                <w:color w:val="auto"/>
                <w:sz w:val="18"/>
                <w:szCs w:val="18"/>
              </w:rPr>
              <w:t>., 2016) when making its recommendation. MBTOC urges the Party to provide such data if future nominations are submitted. The Party states that the climate of the critical areas is too cold and wet for effective anaerobic soil disinfection (ASD) or soil solarisation. MBTOC encourages the Party to consider researching other non-chemical methods such as soil-less or hydroponic production methods, cover crops and crop rotations that can prevent or inhibit many pests, pathogens, and weeds (</w:t>
            </w:r>
            <w:r w:rsidR="000836CD" w:rsidRPr="00CD1278">
              <w:rPr>
                <w:rFonts w:ascii="Arial" w:hAnsi="Arial" w:cs="Arial"/>
                <w:color w:val="auto"/>
                <w:sz w:val="18"/>
                <w:szCs w:val="18"/>
              </w:rPr>
              <w:t>MBTOC 2014</w:t>
            </w:r>
            <w:r w:rsidRPr="00CD1278">
              <w:rPr>
                <w:rFonts w:ascii="Arial" w:hAnsi="Arial" w:cs="Arial"/>
                <w:color w:val="auto"/>
                <w:sz w:val="18"/>
                <w:szCs w:val="18"/>
              </w:rPr>
              <w:t xml:space="preserve">). </w:t>
            </w:r>
          </w:p>
          <w:p w14:paraId="2876F8D9" w14:textId="01A6CB6D" w:rsidR="009B6A47" w:rsidRPr="00CD1278" w:rsidRDefault="009B6A47" w:rsidP="00A50F28">
            <w:pPr>
              <w:rPr>
                <w:rFonts w:ascii="Arial" w:hAnsi="Arial" w:cs="Arial"/>
                <w:color w:val="auto"/>
                <w:sz w:val="18"/>
                <w:szCs w:val="18"/>
                <w:u w:val="double"/>
              </w:rPr>
            </w:pPr>
            <w:r w:rsidRPr="00CD1278">
              <w:rPr>
                <w:rFonts w:ascii="Arial" w:hAnsi="Arial" w:cs="Arial"/>
                <w:color w:val="auto"/>
                <w:sz w:val="18"/>
                <w:szCs w:val="18"/>
              </w:rPr>
              <w:t xml:space="preserve">MBTOC reiterates that efficient use of alternatives may require change in the agronomic practices presently in place in the sectors involved. In further urges the Party to provide technical or economic evidence showing that properly applied alternatives (i.e. with soil injection methods for 1,3-D/Pic) do not perform as effectively as MB.  MBTOC is concerned that a regulation (Decree) is in place in the Mar del Plata region making MB (70:30) use mandatory, whilst banning alternative fumigants, as this goes against the intent of the Montreal Protocol.  MBTOC welcomes comments in the CUN that this decree is being considered for revocation by the current government.   Additionally there is evidence that growers are currently using some chemical alternatives to MB illegally, as the decree is still in place. If this decree is to continue, then MBTOC urges the party to focus research into non-chemical alternatives.  </w:t>
            </w:r>
          </w:p>
          <w:p w14:paraId="7735747F" w14:textId="3E723164" w:rsidR="009B6A47" w:rsidRPr="00CD1278" w:rsidRDefault="009B6A47" w:rsidP="00A50F28">
            <w:pPr>
              <w:rPr>
                <w:rFonts w:ascii="Arial" w:hAnsi="Arial" w:cs="Arial"/>
                <w:b/>
                <w:color w:val="auto"/>
                <w:sz w:val="18"/>
                <w:szCs w:val="18"/>
              </w:rPr>
            </w:pPr>
            <w:r w:rsidRPr="00CD1278">
              <w:rPr>
                <w:rFonts w:ascii="Arial" w:hAnsi="Arial" w:cs="Arial"/>
                <w:b/>
                <w:color w:val="auto"/>
                <w:sz w:val="18"/>
                <w:szCs w:val="18"/>
              </w:rPr>
              <w:t xml:space="preserve">Nomination by the Party for 2019: </w:t>
            </w:r>
            <w:r w:rsidRPr="00CD1278">
              <w:rPr>
                <w:rFonts w:ascii="Arial" w:hAnsi="Arial" w:cs="Arial"/>
                <w:color w:val="auto"/>
                <w:sz w:val="18"/>
                <w:szCs w:val="18"/>
              </w:rPr>
              <w:br/>
              <w:t xml:space="preserve">The Party nominated 27.1 t of MB for critical uses for field production of strawberry fruit in the critical regions of Mar del Plata and Lules. </w:t>
            </w:r>
            <w:r w:rsidR="00732FFC" w:rsidRPr="00CD1278">
              <w:rPr>
                <w:rFonts w:ascii="Arial" w:hAnsi="Arial" w:cs="Arial"/>
                <w:color w:val="auto"/>
                <w:sz w:val="18"/>
                <w:szCs w:val="18"/>
              </w:rPr>
              <w:t>W</w:t>
            </w:r>
            <w:r w:rsidRPr="00CD1278">
              <w:rPr>
                <w:rFonts w:ascii="Arial" w:hAnsi="Arial" w:cs="Arial"/>
                <w:color w:val="auto"/>
                <w:sz w:val="18"/>
                <w:szCs w:val="18"/>
              </w:rPr>
              <w:t>hen considering the nominated rates and critical areas (hectares)</w:t>
            </w:r>
            <w:r w:rsidR="00104D01" w:rsidRPr="00CD1278">
              <w:rPr>
                <w:rFonts w:ascii="Arial" w:hAnsi="Arial" w:cs="Arial"/>
                <w:color w:val="auto"/>
                <w:sz w:val="18"/>
                <w:szCs w:val="18"/>
              </w:rPr>
              <w:t xml:space="preserve"> supplied in the nomination, the amount of MB required </w:t>
            </w:r>
            <w:r w:rsidR="00732FFC" w:rsidRPr="00CD1278">
              <w:rPr>
                <w:rFonts w:ascii="Arial" w:hAnsi="Arial" w:cs="Arial"/>
                <w:color w:val="auto"/>
                <w:sz w:val="18"/>
                <w:szCs w:val="18"/>
              </w:rPr>
              <w:t xml:space="preserve">equated to </w:t>
            </w:r>
            <w:r w:rsidRPr="00CD1278">
              <w:rPr>
                <w:rFonts w:ascii="Arial" w:hAnsi="Arial" w:cs="Arial"/>
                <w:color w:val="auto"/>
                <w:sz w:val="18"/>
                <w:szCs w:val="18"/>
              </w:rPr>
              <w:t>22.62 t.</w:t>
            </w:r>
          </w:p>
          <w:p w14:paraId="58C319E8" w14:textId="2F246E10"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The nomination is based on a dosage rate of 26 g/m</w:t>
            </w:r>
            <w:r w:rsidRPr="00CD1278">
              <w:rPr>
                <w:rFonts w:ascii="Arial" w:hAnsi="Arial" w:cs="Arial"/>
                <w:color w:val="auto"/>
                <w:sz w:val="18"/>
                <w:szCs w:val="18"/>
                <w:vertAlign w:val="superscript"/>
              </w:rPr>
              <w:t xml:space="preserve">2 </w:t>
            </w:r>
            <w:r w:rsidRPr="00CD1278">
              <w:rPr>
                <w:rFonts w:ascii="Arial" w:hAnsi="Arial" w:cs="Arial"/>
                <w:color w:val="auto"/>
                <w:sz w:val="18"/>
                <w:szCs w:val="18"/>
              </w:rPr>
              <w:t>of MB with standard polyethylene films (not barrier films).  This includes</w:t>
            </w:r>
            <w:r w:rsidR="00104D01" w:rsidRPr="00CD1278">
              <w:rPr>
                <w:rFonts w:ascii="Arial" w:hAnsi="Arial" w:cs="Arial"/>
                <w:color w:val="auto"/>
                <w:sz w:val="18"/>
                <w:szCs w:val="18"/>
              </w:rPr>
              <w:t xml:space="preserve"> 50 ha for Mar del Plata </w:t>
            </w:r>
            <w:r w:rsidRPr="00CD1278">
              <w:rPr>
                <w:rFonts w:ascii="Arial" w:hAnsi="Arial" w:cs="Arial"/>
                <w:color w:val="auto"/>
                <w:sz w:val="18"/>
                <w:szCs w:val="18"/>
              </w:rPr>
              <w:t>and 100 ha for Lules, with 58% of the area effectively fumigated. The key pests in Mar del Plata are fungi (</w:t>
            </w:r>
            <w:r w:rsidRPr="00CD1278">
              <w:rPr>
                <w:rFonts w:ascii="Arial" w:hAnsi="Arial" w:cs="Arial"/>
                <w:i/>
                <w:color w:val="auto"/>
                <w:sz w:val="18"/>
                <w:szCs w:val="18"/>
              </w:rPr>
              <w:t>Phytophthora, Verticillium</w:t>
            </w:r>
            <w:r w:rsidRPr="00CD1278">
              <w:rPr>
                <w:rFonts w:ascii="Arial" w:hAnsi="Arial" w:cs="Arial"/>
                <w:color w:val="auto"/>
                <w:sz w:val="18"/>
                <w:szCs w:val="18"/>
              </w:rPr>
              <w:t>), soil insects, nematodes and nutsedge weeds (</w:t>
            </w:r>
            <w:r w:rsidRPr="00CD1278">
              <w:rPr>
                <w:rFonts w:ascii="Arial" w:hAnsi="Arial" w:cs="Arial"/>
                <w:i/>
                <w:color w:val="auto"/>
                <w:sz w:val="18"/>
                <w:szCs w:val="18"/>
              </w:rPr>
              <w:t>Cyperus</w:t>
            </w:r>
            <w:r w:rsidRPr="00CD1278">
              <w:rPr>
                <w:rFonts w:ascii="Arial" w:hAnsi="Arial" w:cs="Arial"/>
                <w:color w:val="auto"/>
                <w:sz w:val="18"/>
                <w:szCs w:val="18"/>
              </w:rPr>
              <w:t>). Key pests in Lules are fungi (</w:t>
            </w:r>
            <w:r w:rsidRPr="00CD1278">
              <w:rPr>
                <w:rFonts w:ascii="Arial" w:hAnsi="Arial" w:cs="Arial"/>
                <w:i/>
                <w:color w:val="auto"/>
                <w:sz w:val="18"/>
                <w:szCs w:val="18"/>
              </w:rPr>
              <w:t>Phytophthora, Verticillium</w:t>
            </w:r>
            <w:r w:rsidRPr="00CD1278">
              <w:rPr>
                <w:rFonts w:ascii="Arial" w:hAnsi="Arial" w:cs="Arial"/>
                <w:color w:val="auto"/>
                <w:sz w:val="18"/>
                <w:szCs w:val="18"/>
              </w:rPr>
              <w:t xml:space="preserve">, Anthracnose, </w:t>
            </w:r>
            <w:r w:rsidRPr="00CD1278">
              <w:rPr>
                <w:rFonts w:ascii="Arial" w:hAnsi="Arial" w:cs="Arial"/>
                <w:i/>
                <w:color w:val="auto"/>
                <w:sz w:val="18"/>
                <w:szCs w:val="18"/>
              </w:rPr>
              <w:t>Rhizoctonia, Fusarium, Pythium, Macrophomina</w:t>
            </w:r>
            <w:r w:rsidRPr="00CD1278">
              <w:rPr>
                <w:rFonts w:ascii="Arial" w:hAnsi="Arial" w:cs="Arial"/>
                <w:color w:val="auto"/>
                <w:sz w:val="18"/>
                <w:szCs w:val="18"/>
              </w:rPr>
              <w:t xml:space="preserve">).  A MB:Pic 70:30 formulation is </w:t>
            </w:r>
            <w:r w:rsidR="00104D01" w:rsidRPr="00CD1278">
              <w:rPr>
                <w:rFonts w:ascii="Arial" w:hAnsi="Arial" w:cs="Arial"/>
                <w:color w:val="auto"/>
                <w:sz w:val="18"/>
                <w:szCs w:val="18"/>
              </w:rPr>
              <w:t xml:space="preserve">shank applied to the total </w:t>
            </w:r>
            <w:r w:rsidRPr="00CD1278">
              <w:rPr>
                <w:rFonts w:ascii="Arial" w:hAnsi="Arial" w:cs="Arial"/>
                <w:color w:val="auto"/>
                <w:sz w:val="18"/>
                <w:szCs w:val="18"/>
              </w:rPr>
              <w:t>beds</w:t>
            </w:r>
            <w:r w:rsidR="00104D01" w:rsidRPr="00CD1278">
              <w:rPr>
                <w:rFonts w:ascii="Arial" w:hAnsi="Arial" w:cs="Arial"/>
                <w:color w:val="auto"/>
                <w:sz w:val="18"/>
                <w:szCs w:val="18"/>
              </w:rPr>
              <w:t xml:space="preserve"> (i.e 58% of land area)</w:t>
            </w:r>
            <w:r w:rsidRPr="00CD1278">
              <w:rPr>
                <w:rFonts w:ascii="Arial" w:hAnsi="Arial" w:cs="Arial"/>
                <w:color w:val="auto"/>
                <w:sz w:val="18"/>
                <w:szCs w:val="18"/>
              </w:rPr>
              <w:t>. The nomination bases the need for MB on the fact that alternatives, particularly 1,3-D/Pic, are not effective for high moisture soils and heavy clay soils in warmer regions (Lules) and that phytotoxicity occurs in the cold soil conditions of Mar del Plata. Missing specific market windows is also of concern.</w:t>
            </w:r>
          </w:p>
          <w:p w14:paraId="4FC5B72A" w14:textId="77777777" w:rsidR="009B6A47" w:rsidRPr="00CD1278" w:rsidRDefault="009B6A47" w:rsidP="00A50F28">
            <w:pPr>
              <w:spacing w:after="120"/>
              <w:rPr>
                <w:rFonts w:ascii="Arial" w:hAnsi="Arial" w:cs="Arial"/>
                <w:color w:val="auto"/>
                <w:sz w:val="18"/>
                <w:szCs w:val="18"/>
              </w:rPr>
            </w:pPr>
            <w:r w:rsidRPr="00CD1278">
              <w:rPr>
                <w:rFonts w:ascii="Arial" w:hAnsi="Arial" w:cs="Arial"/>
                <w:b/>
                <w:color w:val="auto"/>
                <w:sz w:val="18"/>
                <w:szCs w:val="18"/>
              </w:rPr>
              <w:t>Circumstances of the nomination by the Party:</w:t>
            </w:r>
            <w:r w:rsidRPr="00CD1278">
              <w:rPr>
                <w:rFonts w:ascii="Arial" w:hAnsi="Arial" w:cs="Arial"/>
                <w:color w:val="auto"/>
                <w:sz w:val="18"/>
                <w:szCs w:val="18"/>
              </w:rPr>
              <w:br/>
              <w:t>The Party states that 1,3-D/Pic does not control the entire pest spectrum attacking strawberries and has a longer plant back time and/or a phytotoxic effect, which leads to missed market windows. Metham sodium at the registered rate does not achieve yields comparable to MB treatments. According to the Party, low soil temperatures and heavy rainfall typically present at the required time of fumigation, challenge the adoption of ASD and solarisation alternatives. Chloropicrin alone, although technically and economically feasible is not registered and does not control weeds. Methyl iodide, which proved effective in trials, is no longer being considered for registration in Argentina. According to the Party, results of trials conducted from 2001 to 2013 showed that 1,3-D/PIC, an alternative that is widely adopted in strawberry fruit crops worldwide, gave variable results in the Mar del Plata region, but good yields in the Lules region. Dazomet is not registered for edible crops. Metham sodium at a high rate of 0.25 l/m</w:t>
            </w:r>
            <w:r w:rsidRPr="00CD1278">
              <w:rPr>
                <w:rFonts w:ascii="Arial" w:hAnsi="Arial" w:cs="Arial"/>
                <w:color w:val="auto"/>
                <w:sz w:val="18"/>
                <w:szCs w:val="18"/>
                <w:vertAlign w:val="superscript"/>
              </w:rPr>
              <w:t>2</w:t>
            </w:r>
            <w:r w:rsidRPr="00CD1278">
              <w:rPr>
                <w:rFonts w:ascii="Arial" w:hAnsi="Arial" w:cs="Arial"/>
                <w:color w:val="auto"/>
                <w:sz w:val="18"/>
                <w:szCs w:val="18"/>
              </w:rPr>
              <w:t xml:space="preserve"> with two drip tapes obtained similar yields as MB: Pic (70:30) at a rate of 40 g/m</w:t>
            </w:r>
            <w:r w:rsidRPr="00CD1278">
              <w:rPr>
                <w:rFonts w:ascii="Arial" w:hAnsi="Arial" w:cs="Arial"/>
                <w:color w:val="auto"/>
                <w:sz w:val="18"/>
                <w:szCs w:val="18"/>
                <w:vertAlign w:val="superscript"/>
              </w:rPr>
              <w:t>2</w:t>
            </w:r>
            <w:r w:rsidRPr="00CD1278">
              <w:rPr>
                <w:rFonts w:ascii="Arial" w:hAnsi="Arial" w:cs="Arial"/>
                <w:color w:val="auto"/>
                <w:sz w:val="18"/>
                <w:szCs w:val="18"/>
              </w:rPr>
              <w:t>, but that rate is not registered. DMDS is a promising alternative to MB, but it is also not available. Non-chemical alternatives, in particular solarisation, are widely used in the North, East and West of Argentina, but cannot be used in the central areas.</w:t>
            </w:r>
          </w:p>
          <w:p w14:paraId="6F10B6F3" w14:textId="703B4CC1" w:rsidR="009B6A47" w:rsidRPr="00CD1278" w:rsidRDefault="009B6A47" w:rsidP="00A50F28">
            <w:pPr>
              <w:spacing w:before="60" w:after="120"/>
              <w:rPr>
                <w:rFonts w:ascii="Arial" w:hAnsi="Arial" w:cs="Arial"/>
                <w:b/>
                <w:color w:val="auto"/>
                <w:sz w:val="18"/>
                <w:szCs w:val="18"/>
              </w:rPr>
            </w:pPr>
            <w:r w:rsidRPr="00CD1278">
              <w:rPr>
                <w:rFonts w:ascii="Arial" w:hAnsi="Arial" w:cs="Arial"/>
                <w:b/>
                <w:color w:val="auto"/>
                <w:sz w:val="18"/>
                <w:szCs w:val="18"/>
              </w:rPr>
              <w:t xml:space="preserve">MBTOC assessment for MB use in this sector in 2019: </w:t>
            </w:r>
            <w:r w:rsidRPr="00CD1278">
              <w:rPr>
                <w:rFonts w:ascii="Arial" w:hAnsi="Arial" w:cs="Arial"/>
                <w:color w:val="auto"/>
                <w:sz w:val="18"/>
                <w:szCs w:val="18"/>
              </w:rPr>
              <w:br/>
              <w:t>The Party stated that 1,3-D/Pic and other alternatives (i.e. metham sodium, metham potassium, metham ammonium) are ineffective under the particular circumstances of the nomination, however the nomination shows that higher yields can be obtained with 1,3-D/Pic in Lules.  The Party shows economic information which assumes an 11</w:t>
            </w:r>
            <w:r w:rsidR="00427443" w:rsidRPr="00CD1278">
              <w:rPr>
                <w:rFonts w:ascii="Arial" w:hAnsi="Arial" w:cs="Arial"/>
                <w:color w:val="auto"/>
                <w:sz w:val="18"/>
                <w:szCs w:val="18"/>
              </w:rPr>
              <w:t>-</w:t>
            </w:r>
            <w:r w:rsidRPr="00CD1278">
              <w:rPr>
                <w:rFonts w:ascii="Arial" w:hAnsi="Arial" w:cs="Arial"/>
                <w:color w:val="auto"/>
                <w:sz w:val="18"/>
                <w:szCs w:val="18"/>
              </w:rPr>
              <w:t>week delay in plant back times for 1,3-D/Pic, but this is inconsistent with results reported in other regions of the world where similar sub-tropical conditions prevail. MBTOC considers that 1, 3-D/Pic or Pic alone, which are the major chemical alternatives adopted worldwide, would be suitable for this sector, and considers uptake of shank applied 1,3-D/Pic part of the reduced recommendation.</w:t>
            </w:r>
          </w:p>
          <w:p w14:paraId="6F47694F" w14:textId="2DFC6ED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MBTOC accepts that 1,3-D/Pic may be more difficult to use in cooler regions such as in some areas of Mar del Plata, and notes the issues with commercial scale up in this region of the nomination. The Party showed MBTOC the impact of high disease pressure caused by leasing land recently cropped with vegetables, particularly potatoes, which harbour strawberry pathogens (</w:t>
            </w:r>
            <w:r w:rsidRPr="00CD1278">
              <w:rPr>
                <w:rFonts w:ascii="Arial" w:hAnsi="Arial" w:cs="Arial"/>
                <w:i/>
                <w:color w:val="auto"/>
                <w:sz w:val="18"/>
                <w:szCs w:val="18"/>
              </w:rPr>
              <w:t>Rhizoctonia</w:t>
            </w:r>
            <w:r w:rsidRPr="00CD1278">
              <w:rPr>
                <w:rFonts w:ascii="Arial" w:hAnsi="Arial" w:cs="Arial"/>
                <w:color w:val="auto"/>
                <w:sz w:val="18"/>
                <w:szCs w:val="18"/>
              </w:rPr>
              <w:t xml:space="preserve"> sp., </w:t>
            </w:r>
            <w:r w:rsidRPr="00CD1278">
              <w:rPr>
                <w:rFonts w:ascii="Arial" w:hAnsi="Arial" w:cs="Arial"/>
                <w:i/>
                <w:color w:val="auto"/>
                <w:sz w:val="18"/>
                <w:szCs w:val="18"/>
              </w:rPr>
              <w:t xml:space="preserve">Verticillium </w:t>
            </w:r>
            <w:r w:rsidRPr="00CD1278">
              <w:rPr>
                <w:rFonts w:ascii="Arial" w:hAnsi="Arial" w:cs="Arial"/>
                <w:color w:val="auto"/>
                <w:sz w:val="18"/>
                <w:szCs w:val="18"/>
              </w:rPr>
              <w:t>sp.) - MBTOC suggests that this practice be avoided where possible to improve the performance of alternatives.  The Party also indicated that most growers aim to get a two</w:t>
            </w:r>
            <w:r w:rsidR="00427443" w:rsidRPr="00CD1278">
              <w:rPr>
                <w:rFonts w:ascii="Arial" w:hAnsi="Arial" w:cs="Arial"/>
                <w:color w:val="auto"/>
                <w:sz w:val="18"/>
                <w:szCs w:val="18"/>
              </w:rPr>
              <w:t>-</w:t>
            </w:r>
            <w:r w:rsidRPr="00CD1278">
              <w:rPr>
                <w:rFonts w:ascii="Arial" w:hAnsi="Arial" w:cs="Arial"/>
                <w:color w:val="auto"/>
                <w:sz w:val="18"/>
                <w:szCs w:val="18"/>
              </w:rPr>
              <w:t xml:space="preserve">year crop from one application of MB/Pic, however yields can be 50% less in the second year. MBTOC suggests that annual treatment </w:t>
            </w:r>
            <w:r w:rsidR="00AB4F4D" w:rsidRPr="00CD1278">
              <w:rPr>
                <w:rFonts w:ascii="Arial" w:hAnsi="Arial" w:cs="Arial"/>
                <w:color w:val="auto"/>
                <w:sz w:val="18"/>
                <w:szCs w:val="18"/>
              </w:rPr>
              <w:t xml:space="preserve">with an alternative product </w:t>
            </w:r>
            <w:r w:rsidRPr="00CD1278">
              <w:rPr>
                <w:rFonts w:ascii="Arial" w:hAnsi="Arial" w:cs="Arial"/>
                <w:color w:val="auto"/>
                <w:sz w:val="18"/>
                <w:szCs w:val="18"/>
              </w:rPr>
              <w:t>and adoption of a more suitable crop rotation scheme may be a more suitable approach. Crop rotations with brassica crops for weed and disease control have not been explored by the applicants, although these crops are listed among those grown in the area.  MBTOC further encourages the Party to consider other non-chemical methods of production, such as open field soil-less production or covered hydroponic systems, which produce good results around the world.</w:t>
            </w:r>
          </w:p>
          <w:p w14:paraId="219FDE3B" w14:textId="48350925"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In previous assessments MBTOC has requested detailed scientific studies from the party to determine the effects of 1,3-D/Pic on the length of the plant back periods for strawberries in Lules (warm conditions) and Mar del Plata (cooler conditions), as compared to methyl bromide and in accordance with Decision IX/6. MBTOC again reiterates this request. In particular, further validation is required to support the longer plant back times for 1,3-D/Pic in the heavy rainfall region of Lules. MBTOC also noted that a high proportion of the present MB/Pic use is applied through drip irrigation lines used to irrigate strawberry crops, however MBTOC reiterates that shank application of MB/Pic formulations is considered a more effective application method. Shank injection of methyl bromide has been shown to improve the performance of both MB/Pic mixtures and that of alternatives, therefore providing better yields in the second</w:t>
            </w:r>
            <w:r w:rsidR="00427443" w:rsidRPr="00CD1278">
              <w:rPr>
                <w:rFonts w:ascii="Arial" w:hAnsi="Arial" w:cs="Arial"/>
                <w:color w:val="auto"/>
                <w:sz w:val="18"/>
                <w:szCs w:val="18"/>
              </w:rPr>
              <w:t>-</w:t>
            </w:r>
            <w:r w:rsidRPr="00CD1278">
              <w:rPr>
                <w:rFonts w:ascii="Arial" w:hAnsi="Arial" w:cs="Arial"/>
                <w:color w:val="auto"/>
                <w:sz w:val="18"/>
                <w:szCs w:val="18"/>
              </w:rPr>
              <w:t>year crop.  MBTOC notes that research is underway in Argentina on non-chemical alternatives, such as biosolarisation and biofumigation with promising results (Gabriel, 2014).</w:t>
            </w:r>
          </w:p>
          <w:p w14:paraId="0D1D51E2" w14:textId="2F3B918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 xml:space="preserve">MBTOC is aware of references indicating positive results with alternatives, such as metham ammonium, 1,3-D/Pic, metham sodium and metham potassium in the critical regions: Del Huerto, (2013) found no difference between the performance of MB and 1,3-D/Pic. Jaldo </w:t>
            </w:r>
            <w:r w:rsidRPr="00CD1278">
              <w:rPr>
                <w:rFonts w:ascii="Arial" w:hAnsi="Arial" w:cs="Arial"/>
                <w:i/>
                <w:color w:val="auto"/>
                <w:sz w:val="18"/>
                <w:szCs w:val="18"/>
              </w:rPr>
              <w:t>et al</w:t>
            </w:r>
            <w:r w:rsidRPr="00CD1278">
              <w:rPr>
                <w:rFonts w:ascii="Arial" w:hAnsi="Arial" w:cs="Arial"/>
                <w:color w:val="auto"/>
                <w:sz w:val="18"/>
                <w:szCs w:val="18"/>
              </w:rPr>
              <w:t xml:space="preserve">. (2007) showed that 1,3-D/Pic injected in the soil gave better yields that MB in Lules/Tucumán. Aldercreutz and Szczesny, (2008, 2010), showed that yields obtained in Mar del Plata with metham sodium and metham ammonium were comparable to those produced when fumigating with MB. Bórquez and Agüero (2007) found that weed control achieved with metham ammonium, metham sodium and metham potassium in Lules, was comparable to that obtained with MB 70:30 and that there were no significant differences in the total yields obtained with these treatments. Other studies confirmed these results (Bórquez and Mollinedo, 2009, 2010; Aldercreutz and Szczesny, 2008; Bórquez and Agüero, 2007). </w:t>
            </w:r>
            <w:r w:rsidR="00AB4F4D" w:rsidRPr="00CD1278">
              <w:rPr>
                <w:rFonts w:ascii="Arial" w:hAnsi="Arial" w:cs="Arial"/>
                <w:color w:val="auto"/>
                <w:sz w:val="18"/>
                <w:szCs w:val="18"/>
              </w:rPr>
              <w:t xml:space="preserve">As with previous assessments, </w:t>
            </w:r>
            <w:r w:rsidRPr="00CD1278">
              <w:rPr>
                <w:rFonts w:ascii="Arial" w:hAnsi="Arial" w:cs="Arial"/>
                <w:color w:val="auto"/>
                <w:sz w:val="18"/>
                <w:szCs w:val="18"/>
              </w:rPr>
              <w:t xml:space="preserve">MBTOC is unclear why these results are not applicable to the regions nominated. </w:t>
            </w:r>
          </w:p>
          <w:p w14:paraId="38DAF36A" w14:textId="77777777" w:rsidR="009B6A47" w:rsidRPr="00CD1278" w:rsidRDefault="009B6A47" w:rsidP="00A50F28">
            <w:pPr>
              <w:jc w:val="both"/>
              <w:rPr>
                <w:rFonts w:ascii="Arial" w:hAnsi="Arial" w:cs="Arial"/>
                <w:color w:val="auto"/>
                <w:sz w:val="18"/>
                <w:szCs w:val="18"/>
              </w:rPr>
            </w:pPr>
            <w:r w:rsidRPr="00CD1278">
              <w:rPr>
                <w:rFonts w:ascii="Arial" w:hAnsi="Arial" w:cs="Arial"/>
                <w:color w:val="auto"/>
                <w:sz w:val="18"/>
                <w:szCs w:val="18"/>
              </w:rPr>
              <w:t>MBTOC acknowledges that alternatives are available for strawberry fruit, and notes that their adoption may require significant changes in agronomic practices and application methods in order for them to be effective in Argentina. MBTOC encourages the Party to consider further adoption of one or more of these options to assist with phasing out the MB requested in this nomination.</w:t>
            </w:r>
          </w:p>
          <w:p w14:paraId="42B8F8B5" w14:textId="77777777" w:rsidR="009B6A47" w:rsidRPr="00CD1278" w:rsidRDefault="009B6A47" w:rsidP="00A50F28">
            <w:pPr>
              <w:rPr>
                <w:rFonts w:ascii="Arial" w:hAnsi="Arial" w:cs="Arial"/>
                <w:b/>
                <w:color w:val="auto"/>
                <w:sz w:val="18"/>
                <w:szCs w:val="18"/>
              </w:rPr>
            </w:pPr>
            <w:r w:rsidRPr="00CD1278">
              <w:rPr>
                <w:rFonts w:ascii="Arial" w:hAnsi="Arial" w:cs="Arial"/>
                <w:b/>
                <w:color w:val="auto"/>
                <w:sz w:val="18"/>
                <w:szCs w:val="18"/>
              </w:rPr>
              <w:t xml:space="preserve">MBTOC comments on economics provided in CUN for 2019: </w:t>
            </w:r>
            <w:r w:rsidRPr="00CD1278">
              <w:rPr>
                <w:rFonts w:ascii="Arial" w:hAnsi="Arial" w:cs="Arial"/>
                <w:color w:val="auto"/>
                <w:sz w:val="18"/>
                <w:szCs w:val="18"/>
              </w:rPr>
              <w:br/>
              <w:t>The economic analysis provided by the Party shows that treatment with 1,3-D/Pic leads to missing the market window and fetches lower revenues than MB.</w:t>
            </w:r>
          </w:p>
          <w:p w14:paraId="4D2A115E" w14:textId="77777777" w:rsidR="009B6A47" w:rsidRPr="00CD1278" w:rsidRDefault="009B6A47" w:rsidP="00A50F28">
            <w:pPr>
              <w:pStyle w:val="ListParagraph"/>
              <w:rPr>
                <w:rFonts w:ascii="Arial" w:hAnsi="Arial" w:cs="Arial"/>
                <w:color w:val="auto"/>
              </w:rPr>
            </w:pPr>
            <w:r w:rsidRPr="00CD1278">
              <w:rPr>
                <w:rFonts w:ascii="Arial" w:hAnsi="Arial" w:cs="Arial"/>
                <w:b/>
                <w:color w:val="auto"/>
                <w:sz w:val="18"/>
                <w:szCs w:val="18"/>
              </w:rPr>
              <w:t>For Mar del Plata</w:t>
            </w:r>
            <w:r w:rsidRPr="00CD1278">
              <w:rPr>
                <w:rFonts w:ascii="Arial" w:hAnsi="Arial" w:cs="Arial"/>
                <w:b/>
                <w:color w:val="auto"/>
                <w:sz w:val="18"/>
                <w:szCs w:val="18"/>
              </w:rPr>
              <w:br/>
            </w:r>
            <w:r w:rsidRPr="00CD1278">
              <w:rPr>
                <w:rFonts w:ascii="Arial" w:hAnsi="Arial" w:cs="Arial"/>
                <w:color w:val="auto"/>
                <w:sz w:val="18"/>
                <w:szCs w:val="18"/>
              </w:rPr>
              <w:t>The nomination assumes a yield reduction from 93 to 62 t/ha using 1.3-D + Pic because of heavy clay soils and low soil temperatures.</w:t>
            </w:r>
          </w:p>
          <w:p w14:paraId="61E92647" w14:textId="77777777" w:rsidR="009B6A47" w:rsidRPr="00CD1278" w:rsidRDefault="009B6A47" w:rsidP="009B6A47">
            <w:pPr>
              <w:pStyle w:val="ListParagraph"/>
              <w:numPr>
                <w:ilvl w:val="0"/>
                <w:numId w:val="30"/>
              </w:numPr>
              <w:rPr>
                <w:rFonts w:ascii="Arial" w:hAnsi="Arial" w:cs="Arial"/>
                <w:color w:val="auto"/>
                <w:sz w:val="18"/>
                <w:szCs w:val="18"/>
              </w:rPr>
            </w:pPr>
            <w:r w:rsidRPr="00CD1278">
              <w:rPr>
                <w:rFonts w:ascii="Arial" w:hAnsi="Arial" w:cs="Arial"/>
                <w:color w:val="auto"/>
                <w:sz w:val="18"/>
                <w:szCs w:val="18"/>
              </w:rPr>
              <w:t>From the yield reduction the nomination calculates a symmetrical gross revenue reduction as prices are assumed to be the same for the two treatments.</w:t>
            </w:r>
          </w:p>
          <w:p w14:paraId="486E578C" w14:textId="77777777" w:rsidR="009B6A47" w:rsidRPr="00CD1278" w:rsidRDefault="009B6A47" w:rsidP="009B6A47">
            <w:pPr>
              <w:pStyle w:val="ListParagraph"/>
              <w:numPr>
                <w:ilvl w:val="0"/>
                <w:numId w:val="30"/>
              </w:numPr>
              <w:spacing w:after="0"/>
              <w:rPr>
                <w:rFonts w:ascii="Arial" w:hAnsi="Arial" w:cs="Arial"/>
                <w:color w:val="auto"/>
                <w:sz w:val="18"/>
                <w:szCs w:val="18"/>
              </w:rPr>
            </w:pPr>
            <w:r w:rsidRPr="00CD1278">
              <w:rPr>
                <w:rFonts w:ascii="Arial" w:hAnsi="Arial" w:cs="Arial"/>
                <w:color w:val="auto"/>
                <w:sz w:val="18"/>
                <w:szCs w:val="18"/>
              </w:rPr>
              <w:t>The nomination argues that operating costs for the two treatments are similar, but this is not shown. It then argues that weed control costs of 1.3-D Pic would be greater than for methyl bromide, as will conversion to a one year production system. In this case yields are still assumed to be lower (15-20%) and the costs of fumigants, tarps and transplants will be higher. However, these costs are not given.</w:t>
            </w:r>
          </w:p>
          <w:p w14:paraId="4C2162F6" w14:textId="77777777" w:rsidR="009B6A47" w:rsidRPr="00CD1278" w:rsidRDefault="009B6A47" w:rsidP="00A50F28">
            <w:pPr>
              <w:spacing w:after="0"/>
              <w:rPr>
                <w:rFonts w:ascii="Arial" w:hAnsi="Arial" w:cs="Arial"/>
                <w:color w:val="auto"/>
                <w:sz w:val="18"/>
                <w:szCs w:val="18"/>
              </w:rPr>
            </w:pPr>
          </w:p>
          <w:p w14:paraId="37DE4DAF" w14:textId="77777777" w:rsidR="009B6A47" w:rsidRPr="00CD1278" w:rsidRDefault="009B6A47" w:rsidP="00A50F28">
            <w:pPr>
              <w:ind w:left="720"/>
              <w:rPr>
                <w:rFonts w:ascii="Arial" w:hAnsi="Arial" w:cs="Arial"/>
                <w:color w:val="auto"/>
                <w:sz w:val="18"/>
                <w:szCs w:val="18"/>
              </w:rPr>
            </w:pPr>
            <w:r w:rsidRPr="00CD1278">
              <w:rPr>
                <w:rFonts w:ascii="Arial" w:hAnsi="Arial" w:cs="Arial"/>
                <w:b/>
                <w:color w:val="auto"/>
                <w:sz w:val="18"/>
                <w:szCs w:val="18"/>
              </w:rPr>
              <w:t>For Lules</w:t>
            </w:r>
            <w:r w:rsidRPr="00CD1278">
              <w:rPr>
                <w:rFonts w:ascii="Arial" w:hAnsi="Arial" w:cs="Arial"/>
                <w:color w:val="auto"/>
                <w:sz w:val="18"/>
                <w:szCs w:val="18"/>
              </w:rPr>
              <w:br/>
              <w:t xml:space="preserve">Provides data on the movement in prices from the early harvest to late harvest. Prices start at $6/kg and end at &lt;$1. </w:t>
            </w:r>
            <w:r w:rsidRPr="00CD1278">
              <w:rPr>
                <w:rFonts w:ascii="Arial" w:hAnsi="Arial" w:cs="Arial"/>
                <w:color w:val="auto"/>
                <w:sz w:val="18"/>
                <w:szCs w:val="18"/>
              </w:rPr>
              <w:br/>
              <w:t xml:space="preserve">Argues that weed control is insufficient with 1.3-D Pic and that the planting time is short because of soil temperature and rainy conditions and prolonged plant back time. As a result, the strawberries miss the market window and are sold at the high-season price rather than the early-season price. </w:t>
            </w:r>
            <w:r w:rsidRPr="00CD1278">
              <w:rPr>
                <w:rFonts w:ascii="Arial" w:hAnsi="Arial" w:cs="Arial"/>
                <w:color w:val="auto"/>
                <w:sz w:val="18"/>
                <w:szCs w:val="18"/>
              </w:rPr>
              <w:br/>
              <w:t>In this case, yield is expected to increase with 1.3-D Pic, but despite this, the fall in prices results in a loss in revenue of around 50%.</w:t>
            </w:r>
            <w:r w:rsidRPr="00CD1278">
              <w:rPr>
                <w:rFonts w:ascii="Arial" w:hAnsi="Arial" w:cs="Arial"/>
                <w:color w:val="auto"/>
                <w:sz w:val="18"/>
                <w:szCs w:val="18"/>
              </w:rPr>
              <w:br/>
              <w:t>The “with methyl bromide” price is taken as $1.69/kg and the “with 1.3-D Pic” as $0.72</w:t>
            </w:r>
            <w:r w:rsidRPr="00CD1278">
              <w:rPr>
                <w:rFonts w:ascii="Arial" w:hAnsi="Arial" w:cs="Arial"/>
                <w:color w:val="auto"/>
                <w:sz w:val="18"/>
                <w:szCs w:val="18"/>
              </w:rPr>
              <w:br/>
              <w:t>Again, costs of production are expected to be similar for the two treatments, in this case without the caveats.</w:t>
            </w:r>
          </w:p>
          <w:p w14:paraId="66571601" w14:textId="77777777" w:rsidR="009B6A47" w:rsidRPr="00CD1278" w:rsidRDefault="009B6A47" w:rsidP="001B28F0">
            <w:pPr>
              <w:spacing w:after="0"/>
              <w:rPr>
                <w:rFonts w:ascii="Arial" w:hAnsi="Arial" w:cs="Arial"/>
                <w:b/>
                <w:color w:val="auto"/>
                <w:sz w:val="18"/>
                <w:szCs w:val="18"/>
              </w:rPr>
            </w:pPr>
            <w:r w:rsidRPr="00CD1278">
              <w:rPr>
                <w:rFonts w:ascii="Arial" w:hAnsi="Arial" w:cs="Arial"/>
                <w:b/>
                <w:color w:val="auto"/>
                <w:sz w:val="18"/>
                <w:szCs w:val="18"/>
              </w:rPr>
              <w:t>Comments requested in Dec. XX1/11 (para 9):</w:t>
            </w:r>
          </w:p>
          <w:p w14:paraId="35F3FFA0" w14:textId="56682FF4" w:rsidR="009B6A47" w:rsidRPr="00CD1278" w:rsidRDefault="009B6A47" w:rsidP="00C84DC3">
            <w:pPr>
              <w:pStyle w:val="ListParagraph"/>
              <w:numPr>
                <w:ilvl w:val="0"/>
                <w:numId w:val="10"/>
              </w:numPr>
              <w:spacing w:after="120"/>
              <w:ind w:left="318" w:hanging="319"/>
              <w:rPr>
                <w:rFonts w:ascii="Arial" w:hAnsi="Arial" w:cs="Arial"/>
                <w:color w:val="auto"/>
                <w:sz w:val="18"/>
                <w:szCs w:val="18"/>
              </w:rPr>
            </w:pPr>
            <w:r w:rsidRPr="00CD1278">
              <w:rPr>
                <w:rFonts w:ascii="Arial" w:hAnsi="Arial" w:cs="Arial"/>
                <w:b/>
                <w:color w:val="auto"/>
                <w:sz w:val="18"/>
                <w:szCs w:val="18"/>
              </w:rPr>
              <w:t>Dec. IX/6 b (i) Emission Reduction:</w:t>
            </w:r>
            <w:r w:rsidRPr="00CD1278">
              <w:rPr>
                <w:rFonts w:ascii="Arial" w:hAnsi="Arial" w:cs="Arial"/>
                <w:color w:val="auto"/>
                <w:sz w:val="18"/>
                <w:szCs w:val="18"/>
              </w:rPr>
              <w:t xml:space="preserve"> Barrier films are available for commercial adoption. The party has indicated that it is reducing the area where MB is applied rather than reducing dosage rates through the adoption of barrier films.</w:t>
            </w:r>
          </w:p>
          <w:p w14:paraId="6CA2801A" w14:textId="77777777" w:rsidR="009B6A47" w:rsidRPr="00CD1278" w:rsidRDefault="009B6A47" w:rsidP="00C84DC3">
            <w:pPr>
              <w:pStyle w:val="ListParagraph"/>
              <w:numPr>
                <w:ilvl w:val="0"/>
                <w:numId w:val="10"/>
              </w:numPr>
              <w:spacing w:after="120"/>
              <w:ind w:left="318" w:hanging="319"/>
              <w:rPr>
                <w:rFonts w:ascii="Arial" w:hAnsi="Arial" w:cs="Arial"/>
                <w:color w:val="auto"/>
                <w:sz w:val="18"/>
                <w:szCs w:val="18"/>
              </w:rPr>
            </w:pPr>
            <w:r w:rsidRPr="00CD1278">
              <w:rPr>
                <w:rFonts w:ascii="Arial" w:hAnsi="Arial" w:cs="Arial"/>
                <w:b/>
                <w:color w:val="auto"/>
                <w:sz w:val="18"/>
                <w:szCs w:val="18"/>
              </w:rPr>
              <w:t>Dec. IX/6 b (iii) MLF Assistance/Adoption of Effective Alternatives:</w:t>
            </w:r>
            <w:r w:rsidRPr="00CD1278">
              <w:rPr>
                <w:rFonts w:ascii="Arial" w:hAnsi="Arial" w:cs="Arial"/>
                <w:color w:val="auto"/>
                <w:sz w:val="18"/>
                <w:szCs w:val="18"/>
              </w:rPr>
              <w:t xml:space="preserve"> Trials and research have been conducted through the MLF projects implemented in Argentina and also directly by national institutions (e.g. INTA, EEAOC) and various universities.  </w:t>
            </w:r>
          </w:p>
          <w:p w14:paraId="311963A0" w14:textId="77777777" w:rsidR="009B6A47" w:rsidRPr="00CD1278" w:rsidRDefault="009B6A47" w:rsidP="00C84DC3">
            <w:pPr>
              <w:pStyle w:val="ListParagraph"/>
              <w:numPr>
                <w:ilvl w:val="0"/>
                <w:numId w:val="10"/>
              </w:numPr>
              <w:spacing w:after="120"/>
              <w:ind w:left="318" w:hanging="284"/>
              <w:rPr>
                <w:rFonts w:ascii="Arial" w:hAnsi="Arial" w:cs="Arial"/>
                <w:color w:val="auto"/>
                <w:sz w:val="18"/>
                <w:szCs w:val="18"/>
              </w:rPr>
            </w:pPr>
            <w:r w:rsidRPr="00CD1278">
              <w:rPr>
                <w:rFonts w:ascii="Arial" w:hAnsi="Arial" w:cs="Arial"/>
                <w:b/>
                <w:color w:val="auto"/>
                <w:sz w:val="18"/>
                <w:szCs w:val="18"/>
              </w:rPr>
              <w:t xml:space="preserve">Dec. IX/6 b(iii) Appropriate Effort: </w:t>
            </w:r>
            <w:r w:rsidRPr="00CD1278">
              <w:rPr>
                <w:rFonts w:ascii="Arial" w:hAnsi="Arial" w:cs="Arial"/>
                <w:color w:val="auto"/>
                <w:sz w:val="18"/>
                <w:szCs w:val="18"/>
              </w:rPr>
              <w:t>MBTOC notes that considerable research has been conducted during the MLF funded projects and provided references. MBTOC is however unaware of present trials and results within the specific areas of the nominations.</w:t>
            </w:r>
          </w:p>
          <w:p w14:paraId="360FC678" w14:textId="77777777" w:rsidR="009B6A47" w:rsidRPr="00CD1278" w:rsidRDefault="009B6A47" w:rsidP="00C84DC3">
            <w:pPr>
              <w:pStyle w:val="ListParagraph"/>
              <w:numPr>
                <w:ilvl w:val="0"/>
                <w:numId w:val="10"/>
              </w:numPr>
              <w:spacing w:after="120"/>
              <w:ind w:left="318" w:hanging="319"/>
              <w:rPr>
                <w:rFonts w:ascii="Arial" w:hAnsi="Arial" w:cs="Arial"/>
                <w:color w:val="auto"/>
                <w:sz w:val="18"/>
              </w:rPr>
            </w:pPr>
            <w:r w:rsidRPr="00CD1278">
              <w:rPr>
                <w:rFonts w:ascii="Arial" w:hAnsi="Arial" w:cs="Arial"/>
                <w:b/>
                <w:color w:val="auto"/>
                <w:sz w:val="18"/>
                <w:szCs w:val="18"/>
              </w:rPr>
              <w:t>Dec. Ex 1(4) Annex 1 National Management Strategies:</w:t>
            </w:r>
            <w:r w:rsidRPr="00CD1278">
              <w:rPr>
                <w:rFonts w:ascii="Arial" w:hAnsi="Arial" w:cs="Arial"/>
                <w:color w:val="auto"/>
                <w:sz w:val="18"/>
                <w:szCs w:val="18"/>
              </w:rPr>
              <w:t xml:space="preserve"> No detailed plan was provided, however the Party noted a few dot points of potentially suitable alternatives, including TIF mulching, resistant varieties and DMDS/Pic.</w:t>
            </w:r>
          </w:p>
        </w:tc>
      </w:tr>
      <w:tr w:rsidR="003C102E" w:rsidRPr="00CD1278" w14:paraId="617795D8" w14:textId="77777777" w:rsidTr="001B28F0">
        <w:trPr>
          <w:trHeight w:val="440"/>
        </w:trPr>
        <w:tc>
          <w:tcPr>
            <w:tcW w:w="1133" w:type="dxa"/>
            <w:tcBorders>
              <w:top w:val="single" w:sz="4" w:space="0" w:color="auto"/>
            </w:tcBorders>
            <w:vAlign w:val="center"/>
          </w:tcPr>
          <w:p w14:paraId="59DB725E" w14:textId="77777777" w:rsidR="009B6A47" w:rsidRPr="00CD1278" w:rsidRDefault="009B6A47" w:rsidP="00A50F28">
            <w:pPr>
              <w:spacing w:before="40" w:after="40"/>
              <w:rPr>
                <w:rFonts w:ascii="Arial" w:hAnsi="Arial" w:cs="Arial"/>
                <w:b/>
                <w:color w:val="auto"/>
                <w:sz w:val="18"/>
                <w:szCs w:val="18"/>
              </w:rPr>
            </w:pPr>
            <w:r w:rsidRPr="00CD1278">
              <w:rPr>
                <w:rFonts w:ascii="Arial" w:hAnsi="Arial" w:cs="Arial"/>
                <w:b/>
                <w:color w:val="auto"/>
                <w:sz w:val="18"/>
                <w:szCs w:val="18"/>
              </w:rPr>
              <w:t>Country</w:t>
            </w:r>
          </w:p>
        </w:tc>
        <w:tc>
          <w:tcPr>
            <w:tcW w:w="1419" w:type="dxa"/>
            <w:tcBorders>
              <w:top w:val="single" w:sz="4" w:space="0" w:color="auto"/>
            </w:tcBorders>
            <w:vAlign w:val="center"/>
          </w:tcPr>
          <w:p w14:paraId="52BF5E42" w14:textId="77777777" w:rsidR="009B6A47" w:rsidRPr="00CD1278" w:rsidRDefault="009B6A47" w:rsidP="00A50F28">
            <w:pPr>
              <w:spacing w:before="40" w:after="40"/>
              <w:rPr>
                <w:rFonts w:ascii="Arial" w:hAnsi="Arial" w:cs="Arial"/>
                <w:b/>
                <w:color w:val="auto"/>
                <w:sz w:val="18"/>
                <w:szCs w:val="18"/>
              </w:rPr>
            </w:pPr>
            <w:r w:rsidRPr="00CD1278">
              <w:rPr>
                <w:rFonts w:ascii="Arial" w:hAnsi="Arial" w:cs="Arial"/>
                <w:b/>
                <w:color w:val="auto"/>
                <w:sz w:val="18"/>
                <w:szCs w:val="18"/>
              </w:rPr>
              <w:t>Industry</w:t>
            </w:r>
          </w:p>
        </w:tc>
        <w:tc>
          <w:tcPr>
            <w:tcW w:w="1628" w:type="dxa"/>
            <w:gridSpan w:val="2"/>
            <w:tcBorders>
              <w:top w:val="single" w:sz="4" w:space="0" w:color="auto"/>
            </w:tcBorders>
            <w:vAlign w:val="center"/>
          </w:tcPr>
          <w:p w14:paraId="128FE937" w14:textId="77777777" w:rsidR="009B6A47" w:rsidRPr="00CD1278" w:rsidRDefault="009B6A47" w:rsidP="00A50F28">
            <w:pPr>
              <w:spacing w:before="40" w:after="40"/>
              <w:jc w:val="center"/>
              <w:rPr>
                <w:rFonts w:ascii="Arial" w:hAnsi="Arial" w:cs="Arial"/>
                <w:b/>
                <w:color w:val="auto"/>
                <w:sz w:val="18"/>
                <w:szCs w:val="18"/>
              </w:rPr>
            </w:pPr>
            <w:r w:rsidRPr="00CD1278">
              <w:rPr>
                <w:rFonts w:ascii="Arial" w:hAnsi="Arial" w:cs="Arial"/>
                <w:b/>
                <w:color w:val="auto"/>
                <w:sz w:val="18"/>
                <w:szCs w:val="18"/>
              </w:rPr>
              <w:t>CUE for 2015</w:t>
            </w:r>
            <w:r w:rsidRPr="00CD1278">
              <w:rPr>
                <w:rFonts w:ascii="Arial" w:hAnsi="Arial" w:cs="Arial"/>
                <w:b/>
                <w:color w:val="auto"/>
                <w:sz w:val="18"/>
                <w:szCs w:val="18"/>
                <w:vertAlign w:val="superscript"/>
              </w:rPr>
              <w:t>1</w:t>
            </w:r>
          </w:p>
        </w:tc>
        <w:tc>
          <w:tcPr>
            <w:tcW w:w="1628" w:type="dxa"/>
            <w:gridSpan w:val="3"/>
            <w:tcBorders>
              <w:top w:val="single" w:sz="4" w:space="0" w:color="auto"/>
            </w:tcBorders>
            <w:vAlign w:val="center"/>
          </w:tcPr>
          <w:p w14:paraId="35F29149" w14:textId="77777777" w:rsidR="009B6A47" w:rsidRPr="00CD1278" w:rsidRDefault="009B6A47" w:rsidP="00A50F28">
            <w:pPr>
              <w:spacing w:after="0"/>
              <w:jc w:val="center"/>
              <w:rPr>
                <w:rFonts w:ascii="Arial" w:hAnsi="Arial" w:cs="Arial"/>
                <w:b/>
                <w:color w:val="auto"/>
                <w:sz w:val="18"/>
                <w:szCs w:val="18"/>
              </w:rPr>
            </w:pPr>
            <w:r w:rsidRPr="00CD1278">
              <w:rPr>
                <w:rFonts w:ascii="Arial" w:hAnsi="Arial" w:cs="Arial"/>
                <w:b/>
                <w:color w:val="auto"/>
                <w:sz w:val="18"/>
                <w:szCs w:val="18"/>
              </w:rPr>
              <w:t>CUE for 2016</w:t>
            </w:r>
            <w:r w:rsidRPr="00CD1278">
              <w:rPr>
                <w:rFonts w:ascii="Arial" w:hAnsi="Arial" w:cs="Arial"/>
                <w:b/>
                <w:color w:val="auto"/>
                <w:sz w:val="18"/>
                <w:szCs w:val="18"/>
                <w:vertAlign w:val="superscript"/>
              </w:rPr>
              <w:t>2</w:t>
            </w:r>
          </w:p>
        </w:tc>
        <w:tc>
          <w:tcPr>
            <w:tcW w:w="1628" w:type="dxa"/>
            <w:gridSpan w:val="2"/>
            <w:tcBorders>
              <w:top w:val="single" w:sz="4" w:space="0" w:color="auto"/>
            </w:tcBorders>
            <w:vAlign w:val="center"/>
          </w:tcPr>
          <w:p w14:paraId="35BC811A" w14:textId="77777777" w:rsidR="009B6A47" w:rsidRPr="00CD1278" w:rsidRDefault="009B6A47" w:rsidP="00A50F28">
            <w:pPr>
              <w:spacing w:before="40" w:after="40"/>
              <w:jc w:val="center"/>
              <w:rPr>
                <w:rFonts w:ascii="Arial" w:hAnsi="Arial" w:cs="Arial"/>
                <w:b/>
                <w:color w:val="auto"/>
                <w:sz w:val="18"/>
                <w:szCs w:val="18"/>
              </w:rPr>
            </w:pPr>
            <w:r w:rsidRPr="00CD1278">
              <w:rPr>
                <w:rFonts w:ascii="Arial" w:hAnsi="Arial" w:cs="Arial"/>
                <w:b/>
                <w:color w:val="auto"/>
                <w:sz w:val="18"/>
                <w:szCs w:val="18"/>
              </w:rPr>
              <w:t>CUE for 2017</w:t>
            </w:r>
            <w:r w:rsidRPr="00CD1278">
              <w:rPr>
                <w:rFonts w:ascii="Arial" w:hAnsi="Arial" w:cs="Arial"/>
                <w:b/>
                <w:color w:val="auto"/>
                <w:sz w:val="18"/>
                <w:szCs w:val="18"/>
                <w:vertAlign w:val="superscript"/>
              </w:rPr>
              <w:t>3</w:t>
            </w:r>
          </w:p>
        </w:tc>
        <w:tc>
          <w:tcPr>
            <w:tcW w:w="1629" w:type="dxa"/>
            <w:gridSpan w:val="3"/>
            <w:tcBorders>
              <w:top w:val="single" w:sz="4" w:space="0" w:color="auto"/>
            </w:tcBorders>
            <w:vAlign w:val="center"/>
          </w:tcPr>
          <w:p w14:paraId="1BB18549" w14:textId="77777777" w:rsidR="009B6A47" w:rsidRPr="00CD1278" w:rsidRDefault="009B6A47" w:rsidP="00A50F28">
            <w:pPr>
              <w:spacing w:before="40" w:after="40"/>
              <w:jc w:val="center"/>
              <w:rPr>
                <w:rFonts w:ascii="Arial" w:hAnsi="Arial" w:cs="Arial"/>
                <w:b/>
                <w:color w:val="auto"/>
                <w:sz w:val="18"/>
                <w:szCs w:val="18"/>
              </w:rPr>
            </w:pPr>
            <w:r w:rsidRPr="00CD1278">
              <w:rPr>
                <w:rFonts w:ascii="Arial" w:hAnsi="Arial" w:cs="Arial"/>
                <w:b/>
                <w:color w:val="auto"/>
                <w:sz w:val="18"/>
                <w:szCs w:val="18"/>
              </w:rPr>
              <w:t>CUN for 2018</w:t>
            </w:r>
          </w:p>
        </w:tc>
        <w:tc>
          <w:tcPr>
            <w:tcW w:w="1628" w:type="dxa"/>
            <w:gridSpan w:val="2"/>
            <w:tcBorders>
              <w:top w:val="single" w:sz="4" w:space="0" w:color="auto"/>
            </w:tcBorders>
          </w:tcPr>
          <w:p w14:paraId="0452F5E6" w14:textId="77777777" w:rsidR="009B6A47" w:rsidRPr="00CD1278" w:rsidRDefault="009B6A47" w:rsidP="00A50F28">
            <w:pPr>
              <w:spacing w:before="40" w:after="40"/>
              <w:jc w:val="center"/>
              <w:rPr>
                <w:rFonts w:ascii="Arial" w:hAnsi="Arial" w:cs="Arial"/>
                <w:b/>
                <w:color w:val="auto"/>
                <w:sz w:val="18"/>
                <w:szCs w:val="18"/>
              </w:rPr>
            </w:pPr>
          </w:p>
          <w:p w14:paraId="7DB02AC1" w14:textId="77777777" w:rsidR="009B6A47" w:rsidRPr="00CD1278" w:rsidRDefault="009B6A47" w:rsidP="00A50F28">
            <w:pPr>
              <w:spacing w:before="40" w:after="40"/>
              <w:jc w:val="center"/>
              <w:rPr>
                <w:rFonts w:ascii="Arial" w:hAnsi="Arial" w:cs="Arial"/>
                <w:b/>
                <w:color w:val="auto"/>
                <w:sz w:val="18"/>
                <w:szCs w:val="18"/>
              </w:rPr>
            </w:pPr>
            <w:r w:rsidRPr="00CD1278">
              <w:rPr>
                <w:rFonts w:ascii="Arial" w:hAnsi="Arial" w:cs="Arial"/>
                <w:b/>
                <w:color w:val="auto"/>
                <w:sz w:val="18"/>
                <w:szCs w:val="18"/>
              </w:rPr>
              <w:t>CUE for 2018</w:t>
            </w:r>
            <w:r w:rsidRPr="00CD1278">
              <w:rPr>
                <w:rFonts w:ascii="Arial" w:hAnsi="Arial" w:cs="Arial"/>
                <w:b/>
                <w:color w:val="auto"/>
                <w:sz w:val="18"/>
                <w:szCs w:val="18"/>
                <w:vertAlign w:val="superscript"/>
              </w:rPr>
              <w:t>4</w:t>
            </w:r>
          </w:p>
        </w:tc>
        <w:tc>
          <w:tcPr>
            <w:tcW w:w="1628" w:type="dxa"/>
            <w:gridSpan w:val="2"/>
            <w:tcBorders>
              <w:top w:val="single" w:sz="4" w:space="0" w:color="auto"/>
            </w:tcBorders>
          </w:tcPr>
          <w:p w14:paraId="0595CAE2" w14:textId="77777777" w:rsidR="00A26C61" w:rsidRPr="00CD1278" w:rsidRDefault="00A26C61" w:rsidP="00A26C61">
            <w:pPr>
              <w:spacing w:before="40" w:after="40"/>
              <w:jc w:val="center"/>
              <w:rPr>
                <w:rFonts w:ascii="Arial" w:hAnsi="Arial" w:cs="Arial"/>
                <w:b/>
                <w:color w:val="auto"/>
                <w:sz w:val="18"/>
                <w:szCs w:val="18"/>
              </w:rPr>
            </w:pPr>
          </w:p>
          <w:p w14:paraId="6A6522C6" w14:textId="0B2AD764" w:rsidR="009B6A47" w:rsidRPr="00CD1278" w:rsidRDefault="009B6A47" w:rsidP="00A26C61">
            <w:pPr>
              <w:spacing w:before="40" w:after="40"/>
              <w:jc w:val="center"/>
              <w:rPr>
                <w:rFonts w:ascii="Arial" w:hAnsi="Arial" w:cs="Arial"/>
                <w:b/>
                <w:color w:val="auto"/>
                <w:sz w:val="18"/>
                <w:szCs w:val="18"/>
              </w:rPr>
            </w:pPr>
            <w:r w:rsidRPr="00CD1278">
              <w:rPr>
                <w:rFonts w:ascii="Arial" w:hAnsi="Arial" w:cs="Arial"/>
                <w:b/>
                <w:color w:val="auto"/>
                <w:sz w:val="18"/>
                <w:szCs w:val="18"/>
              </w:rPr>
              <w:t>CUN for 2019</w:t>
            </w:r>
          </w:p>
        </w:tc>
        <w:tc>
          <w:tcPr>
            <w:tcW w:w="1741" w:type="dxa"/>
            <w:tcBorders>
              <w:top w:val="single" w:sz="4" w:space="0" w:color="auto"/>
            </w:tcBorders>
          </w:tcPr>
          <w:p w14:paraId="44F3FF17" w14:textId="5E09B6DA" w:rsidR="009B6A47" w:rsidRPr="00CD1278" w:rsidRDefault="00220027" w:rsidP="00220027">
            <w:pPr>
              <w:spacing w:before="40" w:after="40"/>
              <w:rPr>
                <w:rFonts w:ascii="Arial" w:hAnsi="Arial" w:cs="Arial"/>
                <w:b/>
                <w:color w:val="auto"/>
                <w:sz w:val="18"/>
                <w:szCs w:val="18"/>
              </w:rPr>
            </w:pPr>
            <w:r w:rsidRPr="00CD1278">
              <w:rPr>
                <w:rFonts w:ascii="Arial" w:hAnsi="Arial" w:cs="Arial"/>
                <w:b/>
                <w:color w:val="auto"/>
                <w:sz w:val="18"/>
                <w:szCs w:val="18"/>
              </w:rPr>
              <w:t>I</w:t>
            </w:r>
            <w:r w:rsidR="009B6A47" w:rsidRPr="00CD1278">
              <w:rPr>
                <w:rFonts w:ascii="Arial" w:hAnsi="Arial" w:cs="Arial"/>
                <w:b/>
                <w:color w:val="auto"/>
                <w:sz w:val="18"/>
                <w:szCs w:val="18"/>
              </w:rPr>
              <w:t xml:space="preserve">nterim </w:t>
            </w:r>
            <w:r w:rsidR="00A94F7E" w:rsidRPr="00CD1278">
              <w:rPr>
                <w:rFonts w:ascii="Arial" w:hAnsi="Arial" w:cs="Arial"/>
                <w:b/>
                <w:color w:val="auto"/>
                <w:sz w:val="18"/>
                <w:szCs w:val="18"/>
              </w:rPr>
              <w:t>r</w:t>
            </w:r>
            <w:r w:rsidR="009B6A47" w:rsidRPr="00CD1278">
              <w:rPr>
                <w:rFonts w:ascii="Arial" w:hAnsi="Arial" w:cs="Arial"/>
                <w:b/>
                <w:color w:val="auto"/>
                <w:sz w:val="18"/>
                <w:szCs w:val="18"/>
              </w:rPr>
              <w:t>ecommendation for 2019</w:t>
            </w:r>
          </w:p>
        </w:tc>
        <w:tc>
          <w:tcPr>
            <w:tcW w:w="1276" w:type="dxa"/>
            <w:tcBorders>
              <w:top w:val="single" w:sz="4" w:space="0" w:color="auto"/>
            </w:tcBorders>
          </w:tcPr>
          <w:p w14:paraId="5F8DE42E" w14:textId="77777777" w:rsidR="009B6A47" w:rsidRPr="00CD1278" w:rsidRDefault="009B6A47" w:rsidP="00A50F28">
            <w:pPr>
              <w:spacing w:before="40" w:after="0"/>
              <w:rPr>
                <w:rFonts w:ascii="Arial" w:hAnsi="Arial" w:cs="Arial"/>
                <w:b/>
                <w:color w:val="auto"/>
                <w:sz w:val="18"/>
                <w:szCs w:val="18"/>
              </w:rPr>
            </w:pPr>
          </w:p>
        </w:tc>
      </w:tr>
      <w:tr w:rsidR="003C102E" w:rsidRPr="00CD1278" w14:paraId="08516EE8" w14:textId="77777777" w:rsidTr="001B28F0">
        <w:trPr>
          <w:trHeight w:val="390"/>
        </w:trPr>
        <w:tc>
          <w:tcPr>
            <w:tcW w:w="1133" w:type="dxa"/>
            <w:vMerge w:val="restart"/>
          </w:tcPr>
          <w:p w14:paraId="43BC7734" w14:textId="77777777" w:rsidR="009B6A47" w:rsidRPr="00CD1278" w:rsidRDefault="009B6A47" w:rsidP="00A50F28">
            <w:pPr>
              <w:spacing w:before="40" w:after="40"/>
              <w:rPr>
                <w:rFonts w:ascii="Arial" w:hAnsi="Arial" w:cs="Arial"/>
                <w:color w:val="auto"/>
                <w:sz w:val="18"/>
              </w:rPr>
            </w:pPr>
            <w:r w:rsidRPr="00CD1278">
              <w:rPr>
                <w:rFonts w:ascii="Arial" w:hAnsi="Arial" w:cs="Arial"/>
                <w:color w:val="auto"/>
                <w:sz w:val="18"/>
              </w:rPr>
              <w:t>Argentina</w:t>
            </w:r>
          </w:p>
        </w:tc>
        <w:tc>
          <w:tcPr>
            <w:tcW w:w="1419" w:type="dxa"/>
            <w:shd w:val="clear" w:color="auto" w:fill="FFFF99"/>
            <w:vAlign w:val="center"/>
          </w:tcPr>
          <w:p w14:paraId="3035E9C5" w14:textId="77777777" w:rsidR="009B6A47" w:rsidRPr="00CD1278" w:rsidRDefault="009B6A47" w:rsidP="00A50F28">
            <w:pPr>
              <w:spacing w:before="40" w:after="40"/>
              <w:rPr>
                <w:rFonts w:ascii="Arial" w:hAnsi="Arial" w:cs="Arial"/>
                <w:color w:val="auto"/>
                <w:sz w:val="18"/>
              </w:rPr>
            </w:pPr>
            <w:r w:rsidRPr="00CD1278">
              <w:rPr>
                <w:rFonts w:ascii="Arial" w:hAnsi="Arial" w:cs="Arial"/>
                <w:color w:val="auto"/>
                <w:sz w:val="18"/>
              </w:rPr>
              <w:t>Tomatoes</w:t>
            </w:r>
          </w:p>
        </w:tc>
        <w:tc>
          <w:tcPr>
            <w:tcW w:w="1628" w:type="dxa"/>
            <w:gridSpan w:val="2"/>
            <w:shd w:val="clear" w:color="auto" w:fill="FFFF99"/>
            <w:vAlign w:val="center"/>
          </w:tcPr>
          <w:p w14:paraId="1F560947" w14:textId="77777777" w:rsidR="009B6A47" w:rsidRPr="00CD1278" w:rsidRDefault="009B6A47" w:rsidP="00A50F28">
            <w:pPr>
              <w:spacing w:before="40" w:after="40"/>
              <w:jc w:val="center"/>
              <w:rPr>
                <w:rFonts w:ascii="Arial" w:hAnsi="Arial" w:cs="Arial"/>
                <w:color w:val="auto"/>
                <w:sz w:val="18"/>
              </w:rPr>
            </w:pPr>
            <w:r w:rsidRPr="00CD1278">
              <w:rPr>
                <w:rFonts w:ascii="Arial" w:hAnsi="Arial" w:cs="Arial"/>
                <w:color w:val="auto"/>
                <w:sz w:val="18"/>
              </w:rPr>
              <w:t>100</w:t>
            </w:r>
          </w:p>
        </w:tc>
        <w:tc>
          <w:tcPr>
            <w:tcW w:w="1628" w:type="dxa"/>
            <w:gridSpan w:val="3"/>
            <w:shd w:val="clear" w:color="auto" w:fill="FFFF99"/>
            <w:vAlign w:val="center"/>
          </w:tcPr>
          <w:p w14:paraId="42AEB30C" w14:textId="77777777" w:rsidR="009B6A47" w:rsidRPr="00CD1278" w:rsidRDefault="009B6A47" w:rsidP="00A50F28">
            <w:pPr>
              <w:spacing w:before="40" w:after="40"/>
              <w:jc w:val="center"/>
              <w:rPr>
                <w:rFonts w:ascii="Arial" w:hAnsi="Arial" w:cs="Arial"/>
                <w:color w:val="auto"/>
                <w:sz w:val="18"/>
              </w:rPr>
            </w:pPr>
            <w:r w:rsidRPr="00CD1278">
              <w:rPr>
                <w:rFonts w:ascii="Arial" w:hAnsi="Arial" w:cs="Arial"/>
                <w:color w:val="auto"/>
                <w:sz w:val="18"/>
              </w:rPr>
              <w:t>71.25</w:t>
            </w:r>
          </w:p>
        </w:tc>
        <w:tc>
          <w:tcPr>
            <w:tcW w:w="1628" w:type="dxa"/>
            <w:gridSpan w:val="2"/>
            <w:shd w:val="clear" w:color="auto" w:fill="FFFF99"/>
            <w:vAlign w:val="center"/>
          </w:tcPr>
          <w:p w14:paraId="4317AD6C" w14:textId="77777777" w:rsidR="009B6A47" w:rsidRPr="00CD1278" w:rsidRDefault="009B6A47" w:rsidP="00A50F28">
            <w:pPr>
              <w:spacing w:before="40" w:after="0"/>
              <w:jc w:val="center"/>
              <w:rPr>
                <w:rFonts w:ascii="Arial" w:hAnsi="Arial" w:cs="Arial"/>
                <w:color w:val="auto"/>
                <w:sz w:val="18"/>
                <w:szCs w:val="18"/>
              </w:rPr>
            </w:pPr>
            <w:r w:rsidRPr="00CD1278">
              <w:rPr>
                <w:rFonts w:ascii="Arial" w:hAnsi="Arial" w:cs="Arial"/>
                <w:color w:val="auto"/>
                <w:sz w:val="18"/>
                <w:szCs w:val="18"/>
              </w:rPr>
              <w:t>64.10</w:t>
            </w:r>
          </w:p>
        </w:tc>
        <w:tc>
          <w:tcPr>
            <w:tcW w:w="1629" w:type="dxa"/>
            <w:gridSpan w:val="3"/>
            <w:shd w:val="clear" w:color="auto" w:fill="FFFF99"/>
            <w:vAlign w:val="center"/>
          </w:tcPr>
          <w:p w14:paraId="7E64EECF" w14:textId="77777777" w:rsidR="009B6A47" w:rsidRPr="00CD1278" w:rsidRDefault="009B6A47" w:rsidP="00A50F28">
            <w:pPr>
              <w:spacing w:before="40" w:after="0"/>
              <w:jc w:val="center"/>
              <w:rPr>
                <w:rFonts w:ascii="Arial" w:hAnsi="Arial" w:cs="Arial"/>
                <w:color w:val="auto"/>
                <w:sz w:val="18"/>
                <w:szCs w:val="18"/>
              </w:rPr>
            </w:pPr>
            <w:r w:rsidRPr="00CD1278">
              <w:rPr>
                <w:rFonts w:ascii="Arial" w:hAnsi="Arial" w:cs="Arial"/>
                <w:color w:val="auto"/>
                <w:sz w:val="18"/>
                <w:szCs w:val="18"/>
              </w:rPr>
              <w:t>75.40</w:t>
            </w:r>
          </w:p>
        </w:tc>
        <w:tc>
          <w:tcPr>
            <w:tcW w:w="1628" w:type="dxa"/>
            <w:gridSpan w:val="2"/>
            <w:shd w:val="clear" w:color="auto" w:fill="FFFF99"/>
            <w:vAlign w:val="center"/>
          </w:tcPr>
          <w:p w14:paraId="012A6E98" w14:textId="77777777" w:rsidR="009B6A47" w:rsidRPr="00CD1278" w:rsidRDefault="009B6A47" w:rsidP="00A50F28">
            <w:pPr>
              <w:spacing w:before="40" w:after="0"/>
              <w:jc w:val="center"/>
              <w:rPr>
                <w:rFonts w:ascii="Arial" w:hAnsi="Arial" w:cs="Arial"/>
                <w:color w:val="auto"/>
                <w:sz w:val="18"/>
              </w:rPr>
            </w:pPr>
            <w:r w:rsidRPr="00CD1278">
              <w:rPr>
                <w:rFonts w:ascii="Arial" w:hAnsi="Arial" w:cs="Arial"/>
                <w:color w:val="auto"/>
                <w:sz w:val="18"/>
              </w:rPr>
              <w:t>47.70</w:t>
            </w:r>
          </w:p>
        </w:tc>
        <w:tc>
          <w:tcPr>
            <w:tcW w:w="1628" w:type="dxa"/>
            <w:gridSpan w:val="2"/>
            <w:shd w:val="clear" w:color="auto" w:fill="FFFF99"/>
            <w:vAlign w:val="center"/>
          </w:tcPr>
          <w:p w14:paraId="53E16634" w14:textId="77777777" w:rsidR="009B6A47" w:rsidRPr="00CD1278" w:rsidRDefault="009B6A47" w:rsidP="00A50F28">
            <w:pPr>
              <w:spacing w:before="40" w:after="0"/>
              <w:jc w:val="center"/>
              <w:rPr>
                <w:rFonts w:ascii="Arial" w:hAnsi="Arial" w:cs="Arial"/>
                <w:color w:val="auto"/>
                <w:sz w:val="18"/>
              </w:rPr>
            </w:pPr>
            <w:r w:rsidRPr="00CD1278">
              <w:rPr>
                <w:rFonts w:ascii="Arial" w:hAnsi="Arial" w:cs="Arial"/>
                <w:color w:val="auto"/>
                <w:sz w:val="18"/>
              </w:rPr>
              <w:t>44.4</w:t>
            </w:r>
          </w:p>
        </w:tc>
        <w:tc>
          <w:tcPr>
            <w:tcW w:w="1741" w:type="dxa"/>
            <w:shd w:val="clear" w:color="auto" w:fill="FFFF99"/>
            <w:vAlign w:val="center"/>
          </w:tcPr>
          <w:p w14:paraId="091AC072" w14:textId="77777777" w:rsidR="009B6A47" w:rsidRPr="00CD1278" w:rsidRDefault="009B6A47" w:rsidP="00A50F28">
            <w:pPr>
              <w:spacing w:before="40" w:after="0"/>
              <w:jc w:val="center"/>
              <w:rPr>
                <w:rFonts w:ascii="Arial" w:hAnsi="Arial" w:cs="Arial"/>
                <w:color w:val="auto"/>
                <w:sz w:val="18"/>
              </w:rPr>
            </w:pPr>
            <w:r w:rsidRPr="00CD1278">
              <w:rPr>
                <w:rFonts w:ascii="Arial" w:hAnsi="Arial" w:cs="Arial"/>
                <w:color w:val="auto"/>
                <w:sz w:val="18"/>
              </w:rPr>
              <w:t>[25.6]</w:t>
            </w:r>
          </w:p>
        </w:tc>
        <w:tc>
          <w:tcPr>
            <w:tcW w:w="1276" w:type="dxa"/>
            <w:shd w:val="clear" w:color="auto" w:fill="FFFF99"/>
          </w:tcPr>
          <w:p w14:paraId="62559567" w14:textId="77777777" w:rsidR="009B6A47" w:rsidRPr="00CD1278" w:rsidRDefault="009B6A47" w:rsidP="00A50F28">
            <w:pPr>
              <w:spacing w:before="40" w:after="0"/>
              <w:rPr>
                <w:rFonts w:ascii="Arial" w:hAnsi="Arial" w:cs="Arial"/>
                <w:color w:val="auto"/>
                <w:sz w:val="18"/>
              </w:rPr>
            </w:pPr>
          </w:p>
        </w:tc>
      </w:tr>
      <w:tr w:rsidR="003C102E" w:rsidRPr="00CD1278" w14:paraId="39CD58CB" w14:textId="77777777" w:rsidTr="001B28F0">
        <w:trPr>
          <w:trHeight w:val="65"/>
        </w:trPr>
        <w:tc>
          <w:tcPr>
            <w:tcW w:w="1133" w:type="dxa"/>
            <w:vMerge/>
            <w:tcBorders>
              <w:bottom w:val="single" w:sz="4" w:space="0" w:color="auto"/>
            </w:tcBorders>
          </w:tcPr>
          <w:p w14:paraId="37186FA2" w14:textId="77777777" w:rsidR="009B6A47" w:rsidRPr="00CD1278" w:rsidRDefault="009B6A47" w:rsidP="00A50F28">
            <w:pPr>
              <w:spacing w:before="40" w:after="40"/>
              <w:rPr>
                <w:rFonts w:ascii="Arial" w:hAnsi="Arial" w:cs="Arial"/>
                <w:color w:val="auto"/>
                <w:sz w:val="18"/>
              </w:rPr>
            </w:pPr>
          </w:p>
        </w:tc>
        <w:tc>
          <w:tcPr>
            <w:tcW w:w="14205" w:type="dxa"/>
            <w:gridSpan w:val="17"/>
            <w:tcBorders>
              <w:bottom w:val="single" w:sz="6" w:space="0" w:color="auto"/>
            </w:tcBorders>
          </w:tcPr>
          <w:p w14:paraId="3F7F59EA" w14:textId="536A2A21" w:rsidR="009B6A47" w:rsidRPr="00CD1278" w:rsidRDefault="009B6A47" w:rsidP="00A50F28">
            <w:pPr>
              <w:tabs>
                <w:tab w:val="center" w:pos="0"/>
                <w:tab w:val="right" w:pos="8640"/>
              </w:tabs>
              <w:rPr>
                <w:rFonts w:ascii="Arial" w:hAnsi="Arial" w:cs="Arial"/>
                <w:color w:val="auto"/>
                <w:sz w:val="18"/>
                <w:szCs w:val="18"/>
              </w:rPr>
            </w:pPr>
            <w:r w:rsidRPr="00CD1278">
              <w:rPr>
                <w:rFonts w:ascii="Arial" w:hAnsi="Arial" w:cs="Arial"/>
                <w:b/>
                <w:bCs/>
                <w:color w:val="auto"/>
                <w:sz w:val="18"/>
                <w:szCs w:val="18"/>
              </w:rPr>
              <w:t>MBTOC interim recommendation for 2019:</w:t>
            </w:r>
            <w:r w:rsidRPr="00CD1278">
              <w:rPr>
                <w:rFonts w:ascii="Arial" w:hAnsi="Arial" w:cs="Arial"/>
                <w:color w:val="auto"/>
                <w:sz w:val="18"/>
                <w:szCs w:val="18"/>
              </w:rPr>
              <w:br/>
              <w:t>MBTOC recommends a reduced amount of 25.6 tonnes for use in this sector in 2019. MBTOC reduced for the third year, the dosage rate from 26.0 to 15.0 g/m</w:t>
            </w:r>
            <w:r w:rsidRPr="00CD1278">
              <w:rPr>
                <w:rFonts w:ascii="Arial" w:hAnsi="Arial" w:cs="Arial"/>
                <w:color w:val="auto"/>
                <w:sz w:val="18"/>
                <w:szCs w:val="18"/>
                <w:vertAlign w:val="superscript"/>
              </w:rPr>
              <w:t>2</w:t>
            </w:r>
            <w:r w:rsidRPr="00CD1278">
              <w:rPr>
                <w:rFonts w:ascii="Arial" w:hAnsi="Arial" w:cs="Arial"/>
                <w:color w:val="auto"/>
                <w:sz w:val="18"/>
                <w:szCs w:val="18"/>
              </w:rPr>
              <w:t xml:space="preserve"> for adoption of barrier films (e.g. TIF) for the 258 ha nominated, in accordance with MBTOC’s standard presumptions. The final amo</w:t>
            </w:r>
            <w:r w:rsidR="00B5699D">
              <w:rPr>
                <w:rFonts w:ascii="Arial" w:hAnsi="Arial" w:cs="Arial"/>
                <w:color w:val="auto"/>
                <w:sz w:val="18"/>
                <w:szCs w:val="18"/>
              </w:rPr>
              <w:t>unt represents a reduction of 42.3</w:t>
            </w:r>
            <w:r w:rsidRPr="00CD1278">
              <w:rPr>
                <w:rFonts w:ascii="Arial" w:hAnsi="Arial" w:cs="Arial"/>
                <w:color w:val="auto"/>
                <w:sz w:val="18"/>
                <w:szCs w:val="18"/>
              </w:rPr>
              <w:t xml:space="preserve"> % over the nominated (44.4 t x0.577 = 25.6 t).</w:t>
            </w:r>
          </w:p>
          <w:p w14:paraId="13A94B77" w14:textId="77777777" w:rsidR="009B6A47" w:rsidRPr="00CD1278" w:rsidRDefault="009B6A47" w:rsidP="00A50F28">
            <w:pPr>
              <w:rPr>
                <w:rFonts w:ascii="Arial" w:hAnsi="Arial" w:cs="Arial"/>
                <w:color w:val="auto"/>
                <w:sz w:val="18"/>
                <w:szCs w:val="18"/>
              </w:rPr>
            </w:pPr>
            <w:r w:rsidRPr="00CD1278">
              <w:rPr>
                <w:rFonts w:ascii="Arial" w:hAnsi="Arial" w:cs="Arial"/>
                <w:b/>
                <w:color w:val="auto"/>
                <w:sz w:val="18"/>
                <w:szCs w:val="18"/>
              </w:rPr>
              <w:t>Nomination by the Party for 2019</w:t>
            </w:r>
            <w:r w:rsidRPr="00CD1278">
              <w:rPr>
                <w:rFonts w:ascii="Arial" w:hAnsi="Arial" w:cs="Arial"/>
                <w:color w:val="auto"/>
                <w:sz w:val="18"/>
                <w:szCs w:val="18"/>
              </w:rPr>
              <w:br/>
              <w:t xml:space="preserve">The Party nominated 35.5 t for La Plata and 8.9 t for Mar Del Plata for a total of 44.4 t. </w:t>
            </w:r>
          </w:p>
          <w:p w14:paraId="60C0C575" w14:textId="77777777" w:rsidR="009B6A47" w:rsidRPr="00CD1278" w:rsidRDefault="009B6A47" w:rsidP="00A50F28">
            <w:pPr>
              <w:pStyle w:val="ListParagraph"/>
              <w:widowControl w:val="0"/>
              <w:autoSpaceDE w:val="0"/>
              <w:autoSpaceDN w:val="0"/>
              <w:adjustRightInd w:val="0"/>
              <w:ind w:left="0"/>
              <w:rPr>
                <w:rFonts w:ascii="Arial" w:hAnsi="Arial" w:cs="Arial"/>
                <w:color w:val="auto"/>
                <w:sz w:val="18"/>
                <w:szCs w:val="18"/>
              </w:rPr>
            </w:pPr>
            <w:r w:rsidRPr="00CD1278">
              <w:rPr>
                <w:rFonts w:ascii="Arial" w:hAnsi="Arial" w:cs="Arial"/>
                <w:color w:val="auto"/>
                <w:sz w:val="18"/>
                <w:szCs w:val="18"/>
              </w:rPr>
              <w:t xml:space="preserve">MBOTOC has recommended the use of VIF/TIF in tomato protected cultivation in order to reduce dosage rates </w:t>
            </w:r>
            <w:r w:rsidRPr="00CD1278">
              <w:rPr>
                <w:rFonts w:ascii="Arial" w:hAnsi="Arial" w:cs="Arial"/>
                <w:color w:val="auto"/>
                <w:sz w:val="18"/>
                <w:szCs w:val="18"/>
                <w:lang w:eastAsia="fr-FR"/>
              </w:rPr>
              <w:t>from 26 g/m</w:t>
            </w:r>
            <w:r w:rsidRPr="00CD1278">
              <w:rPr>
                <w:rFonts w:ascii="Arial" w:hAnsi="Arial" w:cs="Arial"/>
                <w:color w:val="auto"/>
                <w:sz w:val="18"/>
                <w:szCs w:val="18"/>
                <w:vertAlign w:val="superscript"/>
                <w:lang w:eastAsia="fr-FR"/>
              </w:rPr>
              <w:t xml:space="preserve">2 </w:t>
            </w:r>
            <w:r w:rsidRPr="00CD1278">
              <w:rPr>
                <w:rFonts w:ascii="Arial" w:hAnsi="Arial" w:cs="Arial"/>
                <w:color w:val="auto"/>
                <w:sz w:val="18"/>
                <w:szCs w:val="18"/>
                <w:lang w:eastAsia="fr-FR"/>
              </w:rPr>
              <w:t>to 15 g/m</w:t>
            </w:r>
            <w:r w:rsidRPr="00CD1278">
              <w:rPr>
                <w:rFonts w:ascii="Arial" w:hAnsi="Arial" w:cs="Arial"/>
                <w:color w:val="auto"/>
                <w:sz w:val="18"/>
                <w:szCs w:val="18"/>
                <w:vertAlign w:val="superscript"/>
                <w:lang w:eastAsia="fr-FR"/>
              </w:rPr>
              <w:t>2</w:t>
            </w:r>
            <w:r w:rsidRPr="00CD1278">
              <w:rPr>
                <w:rFonts w:ascii="Arial" w:hAnsi="Arial" w:cs="Arial"/>
                <w:color w:val="auto"/>
                <w:sz w:val="18"/>
                <w:szCs w:val="18"/>
              </w:rPr>
              <w:t xml:space="preserve">of MB and emissions of MB. </w:t>
            </w:r>
            <w:r w:rsidRPr="00CD1278">
              <w:rPr>
                <w:rFonts w:ascii="Arial" w:hAnsi="Arial" w:cs="Arial"/>
                <w:color w:val="auto"/>
                <w:sz w:val="18"/>
                <w:szCs w:val="18"/>
                <w:lang w:eastAsia="fr-FR"/>
              </w:rPr>
              <w:t>Growers all over the world have benefited greatly from this barrier technology by reducing the MB dosage and minimising the legal requirement for large buffer zones which are in place in many countries (</w:t>
            </w:r>
            <w:r w:rsidRPr="00CD1278">
              <w:rPr>
                <w:rFonts w:ascii="Arial" w:hAnsi="Arial" w:cs="Arial"/>
                <w:color w:val="auto"/>
                <w:sz w:val="18"/>
                <w:szCs w:val="18"/>
              </w:rPr>
              <w:t xml:space="preserve">Chow and Scholten, 2016). </w:t>
            </w:r>
          </w:p>
          <w:p w14:paraId="5E64004E" w14:textId="77777777" w:rsidR="009B6A47" w:rsidRPr="00CD1278" w:rsidRDefault="009B6A47" w:rsidP="00A50F28">
            <w:pPr>
              <w:pStyle w:val="ListParagraph"/>
              <w:widowControl w:val="0"/>
              <w:autoSpaceDE w:val="0"/>
              <w:autoSpaceDN w:val="0"/>
              <w:adjustRightInd w:val="0"/>
              <w:ind w:left="0"/>
              <w:rPr>
                <w:rFonts w:ascii="Arial" w:hAnsi="Arial" w:cs="Arial"/>
                <w:color w:val="auto"/>
                <w:sz w:val="18"/>
                <w:szCs w:val="18"/>
              </w:rPr>
            </w:pPr>
          </w:p>
          <w:p w14:paraId="3D6C9245" w14:textId="77E156D7" w:rsidR="009B6A47" w:rsidRPr="00CD1278" w:rsidRDefault="009B6A47" w:rsidP="00A50F28">
            <w:pPr>
              <w:pStyle w:val="ListParagraph"/>
              <w:widowControl w:val="0"/>
              <w:autoSpaceDE w:val="0"/>
              <w:autoSpaceDN w:val="0"/>
              <w:adjustRightInd w:val="0"/>
              <w:ind w:left="0"/>
              <w:rPr>
                <w:rFonts w:ascii="Arial" w:hAnsi="Arial" w:cs="Arial"/>
                <w:color w:val="auto"/>
                <w:sz w:val="18"/>
                <w:szCs w:val="18"/>
              </w:rPr>
            </w:pPr>
            <w:r w:rsidRPr="00CD1278">
              <w:rPr>
                <w:rFonts w:ascii="Arial" w:hAnsi="Arial" w:cs="Arial"/>
                <w:color w:val="auto"/>
                <w:sz w:val="18"/>
                <w:szCs w:val="18"/>
              </w:rPr>
              <w:t xml:space="preserve">The Party reports using about 90,000 grafted tomato plants during the past growing season, and declares that grafting is becoming increasingly popular in commercial plantings. Rootstocks and tomato cultivars resistant to </w:t>
            </w:r>
            <w:r w:rsidRPr="00CD1278">
              <w:rPr>
                <w:rFonts w:ascii="Arial" w:hAnsi="Arial" w:cs="Arial"/>
                <w:i/>
                <w:color w:val="auto"/>
                <w:sz w:val="18"/>
                <w:szCs w:val="18"/>
              </w:rPr>
              <w:t>Nacobbus</w:t>
            </w:r>
            <w:r w:rsidRPr="00CD1278">
              <w:rPr>
                <w:rFonts w:ascii="Arial" w:hAnsi="Arial" w:cs="Arial"/>
                <w:color w:val="auto"/>
                <w:sz w:val="18"/>
                <w:szCs w:val="18"/>
              </w:rPr>
              <w:t xml:space="preserve"> are not yet commercially available (Verimis </w:t>
            </w:r>
            <w:r w:rsidRPr="00CD1278">
              <w:rPr>
                <w:rFonts w:ascii="Arial" w:hAnsi="Arial" w:cs="Arial"/>
                <w:i/>
                <w:color w:val="auto"/>
                <w:sz w:val="18"/>
                <w:szCs w:val="18"/>
              </w:rPr>
              <w:t>et al.</w:t>
            </w:r>
            <w:r w:rsidRPr="00CD1278">
              <w:rPr>
                <w:rFonts w:ascii="Arial" w:hAnsi="Arial" w:cs="Arial"/>
                <w:color w:val="auto"/>
                <w:sz w:val="18"/>
                <w:szCs w:val="18"/>
              </w:rPr>
              <w:t xml:space="preserve">, 1997; Manzanilla-Lopez </w:t>
            </w:r>
            <w:r w:rsidRPr="00CD1278">
              <w:rPr>
                <w:rFonts w:ascii="Arial" w:hAnsi="Arial" w:cs="Arial"/>
                <w:i/>
                <w:color w:val="auto"/>
                <w:sz w:val="18"/>
                <w:szCs w:val="18"/>
              </w:rPr>
              <w:t>et al</w:t>
            </w:r>
            <w:r w:rsidRPr="00CD1278">
              <w:rPr>
                <w:rFonts w:ascii="Arial" w:hAnsi="Arial" w:cs="Arial"/>
                <w:color w:val="auto"/>
                <w:sz w:val="18"/>
                <w:szCs w:val="18"/>
              </w:rPr>
              <w:t xml:space="preserve">., 2002; Lax </w:t>
            </w:r>
            <w:r w:rsidRPr="00CD1278">
              <w:rPr>
                <w:rFonts w:ascii="Arial" w:hAnsi="Arial" w:cs="Arial"/>
                <w:i/>
                <w:color w:val="auto"/>
                <w:sz w:val="18"/>
                <w:szCs w:val="18"/>
              </w:rPr>
              <w:t>et al</w:t>
            </w:r>
            <w:r w:rsidRPr="00CD1278">
              <w:rPr>
                <w:rFonts w:ascii="Arial" w:hAnsi="Arial" w:cs="Arial"/>
                <w:color w:val="auto"/>
                <w:sz w:val="18"/>
                <w:szCs w:val="18"/>
              </w:rPr>
              <w:t xml:space="preserve">., 2016, however MBTOC notes promising research results on grafting susceptible tomato varieties onto rootstocks with some resistance to this nematode (Mitideri </w:t>
            </w:r>
            <w:r w:rsidRPr="00CD1278">
              <w:rPr>
                <w:rFonts w:ascii="Arial" w:hAnsi="Arial" w:cs="Arial"/>
                <w:i/>
                <w:color w:val="auto"/>
                <w:sz w:val="18"/>
                <w:szCs w:val="18"/>
              </w:rPr>
              <w:t>et al.,</w:t>
            </w:r>
            <w:r w:rsidRPr="00CD1278">
              <w:rPr>
                <w:rFonts w:ascii="Arial" w:hAnsi="Arial" w:cs="Arial"/>
                <w:color w:val="auto"/>
                <w:sz w:val="18"/>
                <w:szCs w:val="18"/>
              </w:rPr>
              <w:t xml:space="preserve"> 2013; Chale </w:t>
            </w:r>
            <w:r w:rsidRPr="00CD1278">
              <w:rPr>
                <w:rFonts w:ascii="Arial" w:hAnsi="Arial" w:cs="Arial"/>
                <w:i/>
                <w:color w:val="auto"/>
                <w:sz w:val="18"/>
                <w:szCs w:val="18"/>
              </w:rPr>
              <w:t>et al.</w:t>
            </w:r>
            <w:r w:rsidRPr="00CD1278">
              <w:rPr>
                <w:rFonts w:ascii="Arial" w:hAnsi="Arial" w:cs="Arial"/>
                <w:color w:val="auto"/>
                <w:sz w:val="18"/>
                <w:szCs w:val="18"/>
              </w:rPr>
              <w:t xml:space="preserve">, 2013; Ducasse </w:t>
            </w:r>
            <w:r w:rsidRPr="00CD1278">
              <w:rPr>
                <w:rFonts w:ascii="Arial" w:hAnsi="Arial" w:cs="Arial"/>
                <w:i/>
                <w:color w:val="auto"/>
                <w:sz w:val="18"/>
                <w:szCs w:val="18"/>
              </w:rPr>
              <w:t>et al.</w:t>
            </w:r>
            <w:r w:rsidRPr="00CD1278">
              <w:rPr>
                <w:rFonts w:ascii="Arial" w:hAnsi="Arial" w:cs="Arial"/>
                <w:color w:val="auto"/>
                <w:sz w:val="18"/>
                <w:szCs w:val="18"/>
              </w:rPr>
              <w:t xml:space="preserve">, 2013; Gutiérrez </w:t>
            </w:r>
            <w:r w:rsidRPr="00CD1278">
              <w:rPr>
                <w:rFonts w:ascii="Arial" w:hAnsi="Arial" w:cs="Arial"/>
                <w:i/>
                <w:color w:val="auto"/>
                <w:sz w:val="18"/>
                <w:szCs w:val="18"/>
              </w:rPr>
              <w:t>et al.</w:t>
            </w:r>
            <w:r w:rsidRPr="00CD1278">
              <w:rPr>
                <w:rFonts w:ascii="Arial" w:hAnsi="Arial" w:cs="Arial"/>
                <w:color w:val="auto"/>
                <w:sz w:val="18"/>
                <w:szCs w:val="18"/>
              </w:rPr>
              <w:t xml:space="preserve">, 2013, 2014; Andreau </w:t>
            </w:r>
            <w:r w:rsidRPr="00CD1278">
              <w:rPr>
                <w:rFonts w:ascii="Arial" w:hAnsi="Arial" w:cs="Arial"/>
                <w:i/>
                <w:color w:val="auto"/>
                <w:sz w:val="18"/>
                <w:szCs w:val="18"/>
              </w:rPr>
              <w:t>et al.</w:t>
            </w:r>
            <w:r w:rsidRPr="00CD1278">
              <w:rPr>
                <w:rFonts w:ascii="Arial" w:hAnsi="Arial" w:cs="Arial"/>
                <w:color w:val="auto"/>
                <w:sz w:val="18"/>
                <w:szCs w:val="18"/>
              </w:rPr>
              <w:t xml:space="preserve">, 2014) and to </w:t>
            </w:r>
            <w:r w:rsidRPr="00CD1278">
              <w:rPr>
                <w:rFonts w:ascii="Arial" w:hAnsi="Arial" w:cs="Arial"/>
                <w:i/>
                <w:color w:val="auto"/>
                <w:sz w:val="18"/>
                <w:szCs w:val="18"/>
              </w:rPr>
              <w:t>Meloidogyne</w:t>
            </w:r>
            <w:r w:rsidRPr="00CD1278">
              <w:rPr>
                <w:rFonts w:ascii="Arial" w:hAnsi="Arial" w:cs="Arial"/>
                <w:color w:val="auto"/>
                <w:sz w:val="18"/>
                <w:szCs w:val="18"/>
              </w:rPr>
              <w:t xml:space="preserve"> (Lobos </w:t>
            </w:r>
            <w:r w:rsidRPr="00CD1278">
              <w:rPr>
                <w:rFonts w:ascii="Arial" w:hAnsi="Arial" w:cs="Arial"/>
                <w:i/>
                <w:color w:val="auto"/>
                <w:sz w:val="18"/>
                <w:szCs w:val="18"/>
              </w:rPr>
              <w:t>et al.</w:t>
            </w:r>
            <w:r w:rsidRPr="00CD1278">
              <w:rPr>
                <w:rFonts w:ascii="Arial" w:hAnsi="Arial" w:cs="Arial"/>
                <w:color w:val="auto"/>
                <w:sz w:val="18"/>
                <w:szCs w:val="18"/>
              </w:rPr>
              <w:t xml:space="preserve">, 2013). The nominated regions have the potential of producing </w:t>
            </w:r>
            <w:r w:rsidRPr="00CD1278">
              <w:rPr>
                <w:rFonts w:ascii="Arial" w:hAnsi="Arial" w:cs="Arial"/>
                <w:i/>
                <w:color w:val="auto"/>
                <w:sz w:val="18"/>
                <w:szCs w:val="18"/>
              </w:rPr>
              <w:t>Nacobbus</w:t>
            </w:r>
            <w:r w:rsidRPr="00CD1278">
              <w:rPr>
                <w:rFonts w:ascii="Arial" w:hAnsi="Arial" w:cs="Arial"/>
                <w:color w:val="auto"/>
                <w:sz w:val="18"/>
                <w:szCs w:val="18"/>
              </w:rPr>
              <w:t xml:space="preserve"> tolerant plants when available. Grafting robots for vegetable crops, particularly for tomatoes and cucurbits have been developed to increase productivity and rooting success rate while reducing costs. These robots are currently used in many countries (Kubota </w:t>
            </w:r>
            <w:r w:rsidRPr="00CD1278">
              <w:rPr>
                <w:rFonts w:ascii="Arial" w:hAnsi="Arial" w:cs="Arial"/>
                <w:i/>
                <w:color w:val="auto"/>
                <w:sz w:val="18"/>
                <w:szCs w:val="18"/>
              </w:rPr>
              <w:t>et al.,</w:t>
            </w:r>
            <w:r w:rsidRPr="00CD1278">
              <w:rPr>
                <w:rFonts w:ascii="Arial" w:hAnsi="Arial" w:cs="Arial"/>
                <w:color w:val="auto"/>
                <w:sz w:val="18"/>
                <w:szCs w:val="18"/>
              </w:rPr>
              <w:t xml:space="preserve"> 2008, Lee </w:t>
            </w:r>
            <w:r w:rsidRPr="00CD1278">
              <w:rPr>
                <w:rFonts w:ascii="Arial" w:hAnsi="Arial" w:cs="Arial"/>
                <w:i/>
                <w:color w:val="auto"/>
                <w:sz w:val="18"/>
                <w:szCs w:val="18"/>
              </w:rPr>
              <w:t>et al.,</w:t>
            </w:r>
            <w:r w:rsidRPr="00CD1278">
              <w:rPr>
                <w:rFonts w:ascii="Arial" w:hAnsi="Arial" w:cs="Arial"/>
                <w:color w:val="auto"/>
                <w:sz w:val="18"/>
                <w:szCs w:val="18"/>
              </w:rPr>
              <w:t xml:space="preserve"> 2010, Ashraf </w:t>
            </w:r>
            <w:r w:rsidRPr="00CD1278">
              <w:rPr>
                <w:rFonts w:ascii="Arial" w:hAnsi="Arial" w:cs="Arial"/>
                <w:i/>
                <w:color w:val="auto"/>
                <w:sz w:val="18"/>
                <w:szCs w:val="18"/>
              </w:rPr>
              <w:t>et al.,</w:t>
            </w:r>
            <w:r w:rsidRPr="00CD1278">
              <w:rPr>
                <w:rFonts w:ascii="Arial" w:hAnsi="Arial" w:cs="Arial"/>
                <w:color w:val="auto"/>
                <w:sz w:val="18"/>
                <w:szCs w:val="18"/>
              </w:rPr>
              <w:t xml:space="preserve"> 2011, Co</w:t>
            </w:r>
            <w:r w:rsidR="0068109B" w:rsidRPr="00CD1278">
              <w:rPr>
                <w:rFonts w:ascii="Arial" w:hAnsi="Arial" w:cs="Arial"/>
                <w:color w:val="auto"/>
                <w:sz w:val="18"/>
                <w:szCs w:val="18"/>
              </w:rPr>
              <w:t>m</w:t>
            </w:r>
            <w:r w:rsidRPr="00CD1278">
              <w:rPr>
                <w:rFonts w:ascii="Arial" w:hAnsi="Arial" w:cs="Arial"/>
                <w:color w:val="auto"/>
                <w:sz w:val="18"/>
                <w:szCs w:val="18"/>
              </w:rPr>
              <w:t xml:space="preserve">ba </w:t>
            </w:r>
            <w:r w:rsidRPr="00CD1278">
              <w:rPr>
                <w:rFonts w:ascii="Arial" w:hAnsi="Arial" w:cs="Arial"/>
                <w:i/>
                <w:color w:val="auto"/>
                <w:sz w:val="18"/>
                <w:szCs w:val="18"/>
              </w:rPr>
              <w:t>et al.,</w:t>
            </w:r>
            <w:r w:rsidRPr="00CD1278">
              <w:rPr>
                <w:rFonts w:ascii="Arial" w:hAnsi="Arial" w:cs="Arial"/>
                <w:color w:val="auto"/>
                <w:sz w:val="18"/>
                <w:szCs w:val="18"/>
              </w:rPr>
              <w:t xml:space="preserve"> 2016) </w:t>
            </w:r>
          </w:p>
          <w:p w14:paraId="0934240E" w14:textId="3DDDA86A"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 xml:space="preserve">Successful research on combined alternatives (biofumigation, solarisation) has also been conducted and promising results have been obtained (Garbi </w:t>
            </w:r>
            <w:r w:rsidRPr="00CD1278">
              <w:rPr>
                <w:rFonts w:ascii="Arial" w:hAnsi="Arial" w:cs="Arial"/>
                <w:i/>
                <w:color w:val="auto"/>
                <w:sz w:val="18"/>
                <w:szCs w:val="18"/>
              </w:rPr>
              <w:t>et al.</w:t>
            </w:r>
            <w:r w:rsidRPr="00CD1278">
              <w:rPr>
                <w:rFonts w:ascii="Arial" w:hAnsi="Arial" w:cs="Arial"/>
                <w:color w:val="auto"/>
                <w:sz w:val="18"/>
                <w:szCs w:val="18"/>
              </w:rPr>
              <w:t xml:space="preserve">, 2013; Mezquíriz </w:t>
            </w:r>
            <w:r w:rsidRPr="00CD1278">
              <w:rPr>
                <w:rFonts w:ascii="Arial" w:hAnsi="Arial" w:cs="Arial"/>
                <w:i/>
                <w:color w:val="auto"/>
                <w:sz w:val="18"/>
                <w:szCs w:val="18"/>
              </w:rPr>
              <w:t>et al.</w:t>
            </w:r>
            <w:r w:rsidRPr="00CD1278">
              <w:rPr>
                <w:rFonts w:ascii="Arial" w:hAnsi="Arial" w:cs="Arial"/>
                <w:color w:val="auto"/>
                <w:sz w:val="18"/>
                <w:szCs w:val="18"/>
              </w:rPr>
              <w:t xml:space="preserve">, 2013; Martínez </w:t>
            </w:r>
            <w:r w:rsidRPr="00CD1278">
              <w:rPr>
                <w:rFonts w:ascii="Arial" w:hAnsi="Arial" w:cs="Arial"/>
                <w:i/>
                <w:color w:val="auto"/>
                <w:sz w:val="18"/>
                <w:szCs w:val="18"/>
              </w:rPr>
              <w:t>et al.</w:t>
            </w:r>
            <w:r w:rsidRPr="00CD1278">
              <w:rPr>
                <w:rFonts w:ascii="Arial" w:hAnsi="Arial" w:cs="Arial"/>
                <w:color w:val="auto"/>
                <w:sz w:val="18"/>
                <w:szCs w:val="18"/>
              </w:rPr>
              <w:t xml:space="preserve">, </w:t>
            </w:r>
            <w:r w:rsidR="0068109B" w:rsidRPr="00CD1278">
              <w:rPr>
                <w:rFonts w:ascii="Arial" w:hAnsi="Arial" w:cs="Arial"/>
                <w:color w:val="auto"/>
                <w:sz w:val="18"/>
                <w:szCs w:val="18"/>
              </w:rPr>
              <w:t>2013</w:t>
            </w:r>
            <w:r w:rsidRPr="00CD1278">
              <w:rPr>
                <w:rFonts w:ascii="Arial" w:hAnsi="Arial" w:cs="Arial"/>
                <w:color w:val="auto"/>
                <w:sz w:val="18"/>
                <w:szCs w:val="18"/>
              </w:rPr>
              <w:t xml:space="preserve">; Quiroga </w:t>
            </w:r>
            <w:r w:rsidRPr="00CD1278">
              <w:rPr>
                <w:rFonts w:ascii="Arial" w:hAnsi="Arial" w:cs="Arial"/>
                <w:i/>
                <w:color w:val="auto"/>
                <w:sz w:val="18"/>
                <w:szCs w:val="18"/>
              </w:rPr>
              <w:t>et al.</w:t>
            </w:r>
            <w:r w:rsidRPr="00CD1278">
              <w:rPr>
                <w:rFonts w:ascii="Arial" w:hAnsi="Arial" w:cs="Arial"/>
                <w:color w:val="auto"/>
                <w:sz w:val="18"/>
                <w:szCs w:val="18"/>
              </w:rPr>
              <w:t>, 2014). These technologies will require time for scale-up, however MBTOC anticipates that it is possible to implement these and other alternatives to fully replace MB in the near future.  Argentina is also encouraged to consider registration of herbicides for controlling nutsedge which are used in other countries as part of integrated control schemes.</w:t>
            </w:r>
          </w:p>
          <w:p w14:paraId="3057EF66"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The target pests are nematodes (</w:t>
            </w:r>
            <w:r w:rsidRPr="00CD1278">
              <w:rPr>
                <w:rFonts w:ascii="Arial" w:hAnsi="Arial" w:cs="Arial"/>
                <w:i/>
                <w:color w:val="auto"/>
                <w:sz w:val="18"/>
                <w:szCs w:val="18"/>
              </w:rPr>
              <w:t>Nacobbus</w:t>
            </w:r>
            <w:r w:rsidRPr="00CD1278">
              <w:rPr>
                <w:rFonts w:ascii="Arial" w:hAnsi="Arial" w:cs="Arial"/>
                <w:color w:val="auto"/>
                <w:sz w:val="18"/>
                <w:szCs w:val="18"/>
              </w:rPr>
              <w:t xml:space="preserve"> spp. and </w:t>
            </w:r>
            <w:r w:rsidRPr="00CD1278">
              <w:rPr>
                <w:rFonts w:ascii="Arial" w:hAnsi="Arial" w:cs="Arial"/>
                <w:i/>
                <w:color w:val="auto"/>
                <w:sz w:val="18"/>
                <w:szCs w:val="18"/>
              </w:rPr>
              <w:t>Meloidogyne</w:t>
            </w:r>
            <w:r w:rsidRPr="00CD1278">
              <w:rPr>
                <w:rFonts w:ascii="Arial" w:hAnsi="Arial" w:cs="Arial"/>
                <w:color w:val="auto"/>
                <w:sz w:val="18"/>
                <w:szCs w:val="18"/>
              </w:rPr>
              <w:t xml:space="preserve"> spp.), fungi (</w:t>
            </w:r>
            <w:r w:rsidRPr="00CD1278">
              <w:rPr>
                <w:rFonts w:ascii="Arial" w:hAnsi="Arial" w:cs="Arial"/>
                <w:i/>
                <w:color w:val="auto"/>
                <w:sz w:val="18"/>
                <w:szCs w:val="18"/>
              </w:rPr>
              <w:t>Rhizoctonia</w:t>
            </w:r>
            <w:r w:rsidRPr="00CD1278">
              <w:rPr>
                <w:rFonts w:ascii="Arial" w:hAnsi="Arial" w:cs="Arial"/>
                <w:color w:val="auto"/>
                <w:sz w:val="18"/>
                <w:szCs w:val="18"/>
              </w:rPr>
              <w:t xml:space="preserve"> sp., </w:t>
            </w:r>
            <w:r w:rsidRPr="00CD1278">
              <w:rPr>
                <w:rFonts w:ascii="Arial" w:hAnsi="Arial" w:cs="Arial"/>
                <w:i/>
                <w:color w:val="auto"/>
                <w:sz w:val="18"/>
                <w:szCs w:val="18"/>
              </w:rPr>
              <w:t xml:space="preserve">Sclerotinia </w:t>
            </w:r>
            <w:r w:rsidRPr="00CD1278">
              <w:rPr>
                <w:rFonts w:ascii="Arial" w:hAnsi="Arial" w:cs="Arial"/>
                <w:color w:val="auto"/>
                <w:sz w:val="18"/>
                <w:szCs w:val="18"/>
              </w:rPr>
              <w:t xml:space="preserve">spp., </w:t>
            </w:r>
            <w:r w:rsidRPr="00CD1278">
              <w:rPr>
                <w:rFonts w:ascii="Arial" w:hAnsi="Arial" w:cs="Arial"/>
                <w:i/>
                <w:color w:val="auto"/>
                <w:sz w:val="18"/>
                <w:szCs w:val="18"/>
              </w:rPr>
              <w:t>Phytophthora</w:t>
            </w:r>
            <w:r w:rsidRPr="00CD1278">
              <w:rPr>
                <w:rFonts w:ascii="Arial" w:hAnsi="Arial" w:cs="Arial"/>
                <w:color w:val="auto"/>
                <w:sz w:val="18"/>
                <w:szCs w:val="18"/>
              </w:rPr>
              <w:t xml:space="preserve"> spp.), soil fungi disease complex (damping off) in seedbeds and crops, weeds (</w:t>
            </w:r>
            <w:r w:rsidRPr="00CD1278">
              <w:rPr>
                <w:rFonts w:ascii="Arial" w:hAnsi="Arial" w:cs="Arial"/>
                <w:i/>
                <w:color w:val="auto"/>
                <w:sz w:val="18"/>
                <w:szCs w:val="18"/>
              </w:rPr>
              <w:t xml:space="preserve">Cynodon </w:t>
            </w:r>
            <w:r w:rsidRPr="00CD1278">
              <w:rPr>
                <w:rFonts w:ascii="Arial" w:hAnsi="Arial" w:cs="Arial"/>
                <w:color w:val="auto"/>
                <w:sz w:val="18"/>
                <w:szCs w:val="18"/>
              </w:rPr>
              <w:t xml:space="preserve">spp., </w:t>
            </w:r>
            <w:r w:rsidRPr="00CD1278">
              <w:rPr>
                <w:rFonts w:ascii="Arial" w:hAnsi="Arial" w:cs="Arial"/>
                <w:i/>
                <w:color w:val="auto"/>
                <w:sz w:val="18"/>
                <w:szCs w:val="18"/>
              </w:rPr>
              <w:t xml:space="preserve">Cyperus </w:t>
            </w:r>
            <w:r w:rsidRPr="00CD1278">
              <w:rPr>
                <w:rFonts w:ascii="Arial" w:hAnsi="Arial" w:cs="Arial"/>
                <w:color w:val="auto"/>
                <w:sz w:val="18"/>
                <w:szCs w:val="18"/>
              </w:rPr>
              <w:t>spp., etc.) and soil insects (</w:t>
            </w:r>
            <w:r w:rsidRPr="00CD1278">
              <w:rPr>
                <w:rFonts w:ascii="Arial" w:hAnsi="Arial" w:cs="Arial"/>
                <w:i/>
                <w:color w:val="auto"/>
                <w:sz w:val="18"/>
                <w:szCs w:val="18"/>
              </w:rPr>
              <w:t>Agrotis</w:t>
            </w:r>
            <w:r w:rsidRPr="00CD1278">
              <w:rPr>
                <w:rFonts w:ascii="Arial" w:hAnsi="Arial" w:cs="Arial"/>
                <w:color w:val="auto"/>
                <w:sz w:val="18"/>
                <w:szCs w:val="18"/>
              </w:rPr>
              <w:t xml:space="preserve"> sp., </w:t>
            </w:r>
            <w:r w:rsidRPr="00CD1278">
              <w:rPr>
                <w:rFonts w:ascii="Arial" w:hAnsi="Arial" w:cs="Arial"/>
                <w:i/>
                <w:color w:val="auto"/>
                <w:sz w:val="18"/>
                <w:szCs w:val="18"/>
              </w:rPr>
              <w:t>Agriotes</w:t>
            </w:r>
            <w:r w:rsidRPr="00CD1278">
              <w:rPr>
                <w:rFonts w:ascii="Arial" w:hAnsi="Arial" w:cs="Arial"/>
                <w:color w:val="auto"/>
                <w:sz w:val="18"/>
                <w:szCs w:val="18"/>
              </w:rPr>
              <w:t xml:space="preserve"> sp., </w:t>
            </w:r>
            <w:r w:rsidRPr="00CD1278">
              <w:rPr>
                <w:rFonts w:ascii="Arial" w:hAnsi="Arial" w:cs="Arial"/>
                <w:i/>
                <w:color w:val="auto"/>
                <w:sz w:val="18"/>
                <w:szCs w:val="18"/>
              </w:rPr>
              <w:t>Melolontha</w:t>
            </w:r>
            <w:r w:rsidRPr="00CD1278">
              <w:rPr>
                <w:rFonts w:ascii="Arial" w:hAnsi="Arial" w:cs="Arial"/>
                <w:color w:val="auto"/>
                <w:sz w:val="18"/>
                <w:szCs w:val="18"/>
              </w:rPr>
              <w:t xml:space="preserve"> sp.). The Party reported root stock resistance to some pathogens, </w:t>
            </w:r>
            <w:r w:rsidRPr="00CD1278">
              <w:rPr>
                <w:rFonts w:ascii="Arial" w:hAnsi="Arial" w:cs="Arial"/>
                <w:i/>
                <w:color w:val="auto"/>
                <w:sz w:val="18"/>
                <w:szCs w:val="18"/>
              </w:rPr>
              <w:t>F.oxysporum</w:t>
            </w:r>
            <w:r w:rsidRPr="00CD1278">
              <w:rPr>
                <w:rFonts w:ascii="Arial" w:hAnsi="Arial" w:cs="Arial"/>
                <w:color w:val="auto"/>
                <w:sz w:val="18"/>
                <w:szCs w:val="18"/>
              </w:rPr>
              <w:t xml:space="preserve"> f.sp </w:t>
            </w:r>
            <w:r w:rsidRPr="00CD1278">
              <w:rPr>
                <w:rFonts w:ascii="Arial" w:hAnsi="Arial" w:cs="Arial"/>
                <w:i/>
                <w:color w:val="auto"/>
                <w:sz w:val="18"/>
                <w:szCs w:val="18"/>
              </w:rPr>
              <w:t>lycopercisi</w:t>
            </w:r>
            <w:r w:rsidRPr="00CD1278">
              <w:rPr>
                <w:rFonts w:ascii="Arial" w:hAnsi="Arial" w:cs="Arial"/>
                <w:color w:val="auto"/>
                <w:sz w:val="18"/>
                <w:szCs w:val="18"/>
              </w:rPr>
              <w:t xml:space="preserve"> race 3, </w:t>
            </w:r>
            <w:r w:rsidRPr="00CD1278">
              <w:rPr>
                <w:rFonts w:ascii="Arial" w:hAnsi="Arial" w:cs="Arial"/>
                <w:i/>
                <w:color w:val="auto"/>
                <w:sz w:val="18"/>
                <w:szCs w:val="18"/>
              </w:rPr>
              <w:t>V.albo atrum</w:t>
            </w:r>
            <w:r w:rsidRPr="00CD1278">
              <w:rPr>
                <w:rFonts w:ascii="Arial" w:hAnsi="Arial" w:cs="Arial"/>
                <w:color w:val="auto"/>
                <w:sz w:val="18"/>
                <w:szCs w:val="18"/>
              </w:rPr>
              <w:t xml:space="preserve">, </w:t>
            </w:r>
            <w:r w:rsidRPr="00CD1278">
              <w:rPr>
                <w:rFonts w:ascii="Arial" w:hAnsi="Arial" w:cs="Arial"/>
                <w:i/>
                <w:color w:val="auto"/>
                <w:sz w:val="18"/>
                <w:szCs w:val="18"/>
              </w:rPr>
              <w:t>P. lycopercisi</w:t>
            </w:r>
            <w:r w:rsidRPr="00CD1278">
              <w:rPr>
                <w:rFonts w:ascii="Arial" w:hAnsi="Arial" w:cs="Arial"/>
                <w:color w:val="auto"/>
                <w:sz w:val="18"/>
                <w:szCs w:val="18"/>
              </w:rPr>
              <w:t xml:space="preserve"> and other non-soilborne pathogens, even if these are not reported as key pathogens.  MB is used in regions where cold and heavy clay soil conditions prevail, representing 31.25% of the total protected tomato production area. However, despite of new information provided by the Party in response to MBTOC’s questions, MBTOC is still concerned with the temperature information provided and urges the Party to further clarify soil and ambient temperatures inside and outside green houses in any future nominations.</w:t>
            </w:r>
          </w:p>
          <w:p w14:paraId="3887EC61" w14:textId="77777777" w:rsidR="009B6A47" w:rsidRPr="00CD1278" w:rsidRDefault="009B6A47" w:rsidP="00A50F28">
            <w:pPr>
              <w:tabs>
                <w:tab w:val="left" w:pos="4800"/>
              </w:tabs>
              <w:rPr>
                <w:rFonts w:ascii="Arial" w:hAnsi="Arial" w:cs="Arial"/>
                <w:color w:val="auto"/>
                <w:sz w:val="18"/>
                <w:szCs w:val="18"/>
              </w:rPr>
            </w:pPr>
            <w:r w:rsidRPr="00CD1278">
              <w:rPr>
                <w:rFonts w:ascii="Arial" w:hAnsi="Arial" w:cs="Arial"/>
                <w:b/>
                <w:color w:val="auto"/>
                <w:sz w:val="18"/>
                <w:szCs w:val="18"/>
              </w:rPr>
              <w:t>Circumstances of the nomination by the Party</w:t>
            </w:r>
            <w:r w:rsidRPr="00CD1278">
              <w:rPr>
                <w:rFonts w:ascii="Arial" w:hAnsi="Arial" w:cs="Arial"/>
                <w:b/>
                <w:color w:val="auto"/>
                <w:sz w:val="18"/>
                <w:szCs w:val="18"/>
              </w:rPr>
              <w:br/>
            </w:r>
            <w:r w:rsidRPr="00CD1278">
              <w:rPr>
                <w:rFonts w:ascii="Arial" w:hAnsi="Arial" w:cs="Arial"/>
                <w:color w:val="auto"/>
                <w:sz w:val="18"/>
                <w:szCs w:val="18"/>
              </w:rPr>
              <w:t>The Party states that 1,3-D/Pic does not provide sufficient control of key pests in the critical areas, mainly due to soil types, which were heavy clays and to soil temperatures (5°C to 23</w:t>
            </w:r>
            <w:r w:rsidRPr="00CD1278">
              <w:rPr>
                <w:rFonts w:ascii="Arial" w:hAnsi="Arial" w:cs="Arial"/>
                <w:color w:val="auto"/>
                <w:sz w:val="18"/>
                <w:szCs w:val="18"/>
                <w:vertAlign w:val="superscript"/>
              </w:rPr>
              <w:t xml:space="preserve">o </w:t>
            </w:r>
            <w:r w:rsidRPr="00CD1278">
              <w:rPr>
                <w:rFonts w:ascii="Arial" w:hAnsi="Arial" w:cs="Arial"/>
                <w:color w:val="auto"/>
                <w:sz w:val="18"/>
                <w:szCs w:val="18"/>
              </w:rPr>
              <w:t xml:space="preserve">C). Chloropicrin alone did not control the entire pest complex especially weeds and is not registered for single application in Argentina. Metham sodium gave erratic and insufficient performance for weed and disease control, because the heavy clay soils restricts movement of this fumigant throughout the soil. Dazomet is not registered for edible crops, plus trials with this fumigant showed insufficient nematode control. Long-term efficacy is not enough for the dual cropping system (tomato and pepper). Steam was very costly and time consuming.  Application with currently available equipment is extremely slow and size of equipment too large for use inside greenhouses. Although potential production of grafted plants is high, no resistant rootstocks to </w:t>
            </w:r>
            <w:r w:rsidRPr="00CD1278">
              <w:rPr>
                <w:rFonts w:ascii="Arial" w:hAnsi="Arial" w:cs="Arial"/>
                <w:i/>
                <w:color w:val="auto"/>
                <w:sz w:val="18"/>
                <w:szCs w:val="18"/>
              </w:rPr>
              <w:t>Nacobbus</w:t>
            </w:r>
            <w:r w:rsidRPr="00CD1278">
              <w:rPr>
                <w:rFonts w:ascii="Arial" w:hAnsi="Arial" w:cs="Arial"/>
                <w:color w:val="auto"/>
                <w:sz w:val="18"/>
                <w:szCs w:val="18"/>
              </w:rPr>
              <w:t xml:space="preserve"> are presently commercially available. According to the Party, cold climate, heavy soil conditions and overlapping key production period make solarisation and biofumigation unsuitable for the nominated regions of La Plata and Mar del Plata.</w:t>
            </w:r>
          </w:p>
          <w:p w14:paraId="51841449" w14:textId="77777777" w:rsidR="009B6A47" w:rsidRPr="00CD1278" w:rsidRDefault="009B6A47" w:rsidP="00A50F28">
            <w:pPr>
              <w:rPr>
                <w:rFonts w:ascii="Arial" w:hAnsi="Arial" w:cs="Arial"/>
                <w:color w:val="auto"/>
                <w:sz w:val="18"/>
                <w:szCs w:val="18"/>
              </w:rPr>
            </w:pPr>
            <w:r w:rsidRPr="00CD1278">
              <w:rPr>
                <w:rFonts w:ascii="Arial" w:hAnsi="Arial" w:cs="Arial"/>
                <w:b/>
                <w:color w:val="auto"/>
                <w:sz w:val="18"/>
                <w:szCs w:val="18"/>
              </w:rPr>
              <w:t>MBTOC assessment for MB use in this sector in 2019:</w:t>
            </w:r>
            <w:r w:rsidRPr="00CD1278">
              <w:rPr>
                <w:rFonts w:ascii="Arial" w:hAnsi="Arial" w:cs="Arial"/>
                <w:color w:val="auto"/>
                <w:sz w:val="18"/>
                <w:szCs w:val="18"/>
              </w:rPr>
              <w:br/>
              <w:t xml:space="preserve">The Party provided sufficient information on the historic cropping areas (except for 2015 and 2016), MB usage, specific definition of the critical area, and reasons why alternatives to methyl bromide were not technically and economically feasible. Using the information provided in the nomination, MBTOC is recommending 25.4 t of MB. </w:t>
            </w:r>
          </w:p>
          <w:p w14:paraId="530B268F" w14:textId="45A299D5"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Grafting tomato onto resistant rootstocks to various pathogens (</w:t>
            </w:r>
            <w:r w:rsidRPr="00CD1278">
              <w:rPr>
                <w:rFonts w:ascii="Arial" w:hAnsi="Arial" w:cs="Arial"/>
                <w:i/>
                <w:color w:val="auto"/>
                <w:sz w:val="18"/>
                <w:szCs w:val="18"/>
              </w:rPr>
              <w:t>Fusarium, Verticillium, Meloidogyne</w:t>
            </w:r>
            <w:r w:rsidRPr="00CD1278">
              <w:rPr>
                <w:rFonts w:ascii="Arial" w:hAnsi="Arial" w:cs="Arial"/>
                <w:color w:val="auto"/>
                <w:sz w:val="18"/>
                <w:szCs w:val="18"/>
              </w:rPr>
              <w:t xml:space="preserve"> spp.) is an effective disease control method presently in use in many A5 countries such as China, Egypt, Lebanon, Mexico, Morocco, Romania, Tunisia and Turkey (MBTOC, 2011; 2015). Although rootstocks with high resistance to </w:t>
            </w:r>
            <w:r w:rsidRPr="00CD1278">
              <w:rPr>
                <w:rFonts w:ascii="Arial" w:hAnsi="Arial" w:cs="Arial"/>
                <w:i/>
                <w:color w:val="auto"/>
                <w:sz w:val="18"/>
                <w:szCs w:val="18"/>
              </w:rPr>
              <w:t xml:space="preserve">Nacobbus </w:t>
            </w:r>
            <w:r w:rsidRPr="00CD1278">
              <w:rPr>
                <w:rFonts w:ascii="Arial" w:hAnsi="Arial" w:cs="Arial"/>
                <w:color w:val="auto"/>
                <w:sz w:val="18"/>
                <w:szCs w:val="18"/>
              </w:rPr>
              <w:t>have not been identified (</w:t>
            </w:r>
            <w:r w:rsidRPr="00CD1278">
              <w:rPr>
                <w:rFonts w:ascii="Arial" w:hAnsi="Arial" w:cs="Arial"/>
                <w:bCs/>
                <w:color w:val="auto"/>
                <w:sz w:val="18"/>
                <w:szCs w:val="18"/>
              </w:rPr>
              <w:t xml:space="preserve">Veremis </w:t>
            </w:r>
            <w:r w:rsidRPr="00CD1278">
              <w:rPr>
                <w:rFonts w:ascii="Arial" w:hAnsi="Arial" w:cs="Arial"/>
                <w:bCs/>
                <w:i/>
                <w:color w:val="auto"/>
                <w:sz w:val="18"/>
                <w:szCs w:val="18"/>
              </w:rPr>
              <w:t>et</w:t>
            </w:r>
            <w:r w:rsidRPr="00CD1278">
              <w:rPr>
                <w:rFonts w:ascii="Arial" w:hAnsi="Arial" w:cs="Arial"/>
                <w:i/>
                <w:color w:val="auto"/>
                <w:sz w:val="18"/>
                <w:szCs w:val="18"/>
              </w:rPr>
              <w:t xml:space="preserve"> al</w:t>
            </w:r>
            <w:r w:rsidRPr="00CD1278">
              <w:rPr>
                <w:rFonts w:ascii="Arial" w:hAnsi="Arial" w:cs="Arial"/>
                <w:color w:val="auto"/>
                <w:sz w:val="18"/>
                <w:szCs w:val="18"/>
              </w:rPr>
              <w:t xml:space="preserve">., 1997), encouraging results have been obtained (Mitideri </w:t>
            </w:r>
            <w:r w:rsidRPr="00CD1278">
              <w:rPr>
                <w:rFonts w:ascii="Arial" w:hAnsi="Arial" w:cs="Arial"/>
                <w:i/>
                <w:color w:val="auto"/>
                <w:sz w:val="18"/>
                <w:szCs w:val="18"/>
              </w:rPr>
              <w:t xml:space="preserve">et al., </w:t>
            </w:r>
            <w:r w:rsidRPr="00CD1278">
              <w:rPr>
                <w:rFonts w:ascii="Arial" w:hAnsi="Arial" w:cs="Arial"/>
                <w:color w:val="auto"/>
                <w:sz w:val="18"/>
                <w:szCs w:val="18"/>
              </w:rPr>
              <w:t xml:space="preserve">2005; 2013, Garbi </w:t>
            </w:r>
            <w:r w:rsidRPr="00CD1278">
              <w:rPr>
                <w:rFonts w:ascii="Arial" w:hAnsi="Arial" w:cs="Arial"/>
                <w:i/>
                <w:color w:val="auto"/>
                <w:sz w:val="18"/>
                <w:szCs w:val="18"/>
              </w:rPr>
              <w:t xml:space="preserve">et al, </w:t>
            </w:r>
            <w:r w:rsidRPr="00CD1278">
              <w:rPr>
                <w:rFonts w:ascii="Arial" w:hAnsi="Arial" w:cs="Arial"/>
                <w:color w:val="auto"/>
                <w:sz w:val="18"/>
                <w:szCs w:val="18"/>
              </w:rPr>
              <w:t xml:space="preserve">2013).The Party reported that grafted plants are produced and commercially available in various tomato-growing regions such as Mendoza, Corrientes and Buenos Aires. Use of resistant cultivars is an effective strategy used to increase yield and manage soil borne diseases and nematodes in vegetables around the world (Devran and Sogut, 2010; Christos </w:t>
            </w:r>
            <w:r w:rsidRPr="00CD1278">
              <w:rPr>
                <w:rFonts w:ascii="Arial" w:hAnsi="Arial" w:cs="Arial"/>
                <w:i/>
                <w:color w:val="auto"/>
                <w:sz w:val="18"/>
                <w:szCs w:val="18"/>
              </w:rPr>
              <w:t>et al</w:t>
            </w:r>
            <w:r w:rsidRPr="00CD1278">
              <w:rPr>
                <w:rFonts w:ascii="Arial" w:hAnsi="Arial" w:cs="Arial"/>
                <w:color w:val="auto"/>
                <w:sz w:val="18"/>
                <w:szCs w:val="18"/>
              </w:rPr>
              <w:t xml:space="preserve">., 2011; Fery </w:t>
            </w:r>
            <w:r w:rsidRPr="00CD1278">
              <w:rPr>
                <w:rFonts w:ascii="Arial" w:hAnsi="Arial" w:cs="Arial"/>
                <w:i/>
                <w:iCs/>
                <w:color w:val="auto"/>
                <w:sz w:val="18"/>
                <w:szCs w:val="18"/>
              </w:rPr>
              <w:t>et al</w:t>
            </w:r>
            <w:r w:rsidRPr="00CD1278">
              <w:rPr>
                <w:rFonts w:ascii="Arial" w:hAnsi="Arial" w:cs="Arial"/>
                <w:color w:val="auto"/>
                <w:sz w:val="18"/>
                <w:szCs w:val="18"/>
              </w:rPr>
              <w:t xml:space="preserve">, 2011; Jari </w:t>
            </w:r>
            <w:r w:rsidRPr="00CD1278">
              <w:rPr>
                <w:rFonts w:ascii="Arial" w:hAnsi="Arial" w:cs="Arial"/>
                <w:i/>
                <w:color w:val="auto"/>
                <w:sz w:val="18"/>
                <w:szCs w:val="18"/>
              </w:rPr>
              <w:t>et al</w:t>
            </w:r>
            <w:r w:rsidRPr="00CD1278">
              <w:rPr>
                <w:rFonts w:ascii="Arial" w:hAnsi="Arial" w:cs="Arial"/>
                <w:color w:val="auto"/>
                <w:sz w:val="18"/>
                <w:szCs w:val="18"/>
              </w:rPr>
              <w:t>., 2011). No resistant tomato variety to the false nematode (</w:t>
            </w:r>
            <w:r w:rsidRPr="00CD1278">
              <w:rPr>
                <w:rFonts w:ascii="Arial" w:hAnsi="Arial" w:cs="Arial"/>
                <w:i/>
                <w:color w:val="auto"/>
                <w:sz w:val="18"/>
                <w:szCs w:val="18"/>
              </w:rPr>
              <w:t>Naccobus</w:t>
            </w:r>
            <w:r w:rsidRPr="00CD1278">
              <w:rPr>
                <w:rFonts w:ascii="Arial" w:hAnsi="Arial" w:cs="Arial"/>
                <w:color w:val="auto"/>
                <w:sz w:val="18"/>
                <w:szCs w:val="18"/>
              </w:rPr>
              <w:t xml:space="preserve">) is currently available (Lax </w:t>
            </w:r>
            <w:r w:rsidRPr="00CD1278">
              <w:rPr>
                <w:rFonts w:ascii="Arial" w:hAnsi="Arial" w:cs="Arial"/>
                <w:i/>
                <w:color w:val="auto"/>
                <w:sz w:val="18"/>
                <w:szCs w:val="18"/>
              </w:rPr>
              <w:t>et al.,</w:t>
            </w:r>
            <w:r w:rsidRPr="00CD1278">
              <w:rPr>
                <w:rFonts w:ascii="Arial" w:hAnsi="Arial" w:cs="Arial"/>
                <w:color w:val="auto"/>
                <w:sz w:val="18"/>
                <w:szCs w:val="18"/>
              </w:rPr>
              <w:t xml:space="preserve"> 2011, Lax </w:t>
            </w:r>
            <w:r w:rsidRPr="00CD1278">
              <w:rPr>
                <w:rFonts w:ascii="Arial" w:hAnsi="Arial" w:cs="Arial"/>
                <w:i/>
                <w:color w:val="auto"/>
                <w:sz w:val="18"/>
                <w:szCs w:val="18"/>
              </w:rPr>
              <w:t>et al</w:t>
            </w:r>
            <w:r w:rsidR="00767DDC" w:rsidRPr="00CD1278">
              <w:rPr>
                <w:rFonts w:ascii="Arial" w:hAnsi="Arial" w:cs="Arial"/>
                <w:i/>
                <w:color w:val="auto"/>
                <w:sz w:val="18"/>
                <w:szCs w:val="18"/>
              </w:rPr>
              <w:t>.,</w:t>
            </w:r>
            <w:r w:rsidRPr="00CD1278">
              <w:rPr>
                <w:rFonts w:ascii="Arial" w:hAnsi="Arial" w:cs="Arial"/>
                <w:color w:val="auto"/>
                <w:sz w:val="18"/>
                <w:szCs w:val="18"/>
              </w:rPr>
              <w:t xml:space="preserve"> 2016, Sisler and Casaurang,</w:t>
            </w:r>
            <w:r w:rsidR="00E65DA2" w:rsidRPr="00CD1278">
              <w:rPr>
                <w:rFonts w:ascii="Arial" w:hAnsi="Arial" w:cs="Arial"/>
                <w:color w:val="auto"/>
                <w:sz w:val="18"/>
                <w:szCs w:val="18"/>
              </w:rPr>
              <w:t xml:space="preserve"> </w:t>
            </w:r>
            <w:r w:rsidRPr="00CD1278">
              <w:rPr>
                <w:rFonts w:ascii="Arial" w:hAnsi="Arial" w:cs="Arial"/>
                <w:color w:val="auto"/>
                <w:sz w:val="18"/>
                <w:szCs w:val="18"/>
              </w:rPr>
              <w:t>1983).</w:t>
            </w:r>
          </w:p>
          <w:p w14:paraId="6DD32752"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 xml:space="preserve">1,3-D/Pic is a key alternative to MB, which is widely accepted commercially for controlling soil nematodes and fungi and has consistently shown to be as effective as MB (Minuto </w:t>
            </w:r>
            <w:r w:rsidRPr="00CD1278">
              <w:rPr>
                <w:rFonts w:ascii="Arial" w:hAnsi="Arial" w:cs="Arial"/>
                <w:i/>
                <w:color w:val="auto"/>
                <w:sz w:val="18"/>
                <w:szCs w:val="18"/>
              </w:rPr>
              <w:t>et al</w:t>
            </w:r>
            <w:r w:rsidRPr="00CD1278">
              <w:rPr>
                <w:rFonts w:ascii="Arial" w:hAnsi="Arial" w:cs="Arial"/>
                <w:color w:val="auto"/>
                <w:sz w:val="18"/>
                <w:szCs w:val="18"/>
              </w:rPr>
              <w:t xml:space="preserve">., 2006; Porter </w:t>
            </w:r>
            <w:r w:rsidRPr="00CD1278">
              <w:rPr>
                <w:rFonts w:ascii="Arial" w:hAnsi="Arial" w:cs="Arial"/>
                <w:i/>
                <w:color w:val="auto"/>
                <w:sz w:val="18"/>
                <w:szCs w:val="18"/>
              </w:rPr>
              <w:t>et al</w:t>
            </w:r>
            <w:r w:rsidRPr="00CD1278">
              <w:rPr>
                <w:rFonts w:ascii="Arial" w:hAnsi="Arial" w:cs="Arial"/>
                <w:color w:val="auto"/>
                <w:sz w:val="18"/>
                <w:szCs w:val="18"/>
              </w:rPr>
              <w:t xml:space="preserve">., 2006, Ji </w:t>
            </w:r>
            <w:r w:rsidRPr="00CD1278">
              <w:rPr>
                <w:rFonts w:ascii="Arial" w:hAnsi="Arial" w:cs="Arial"/>
                <w:i/>
                <w:color w:val="auto"/>
                <w:sz w:val="18"/>
                <w:szCs w:val="18"/>
              </w:rPr>
              <w:t>et al.</w:t>
            </w:r>
            <w:r w:rsidRPr="00CD1278">
              <w:rPr>
                <w:rFonts w:ascii="Arial" w:hAnsi="Arial" w:cs="Arial"/>
                <w:color w:val="auto"/>
                <w:sz w:val="18"/>
                <w:szCs w:val="18"/>
              </w:rPr>
              <w:t xml:space="preserve">, 2013), however, results under Argentinean CUN conditions have proven inconsistent. Chloropicrin does not control the entire soil borne pathogen complex, including nematodes and weeds. This fumigant is not registered as a single product in Argentina. Metham sodium gives erratic and insufficient performance for control of weeds and soil borne pathogens. Dazomet is not registered for edible crops and does not control nematodes. Steam is not available and is considered to be costly. </w:t>
            </w:r>
          </w:p>
          <w:p w14:paraId="589859CB" w14:textId="519A52EB" w:rsidR="009B6A47" w:rsidRPr="00CD1278" w:rsidRDefault="009B6A47" w:rsidP="00A50F28">
            <w:pPr>
              <w:pStyle w:val="Default"/>
              <w:rPr>
                <w:rFonts w:ascii="Arial" w:hAnsi="Arial" w:cs="Arial"/>
                <w:color w:val="auto"/>
                <w:lang w:val="en-GB"/>
              </w:rPr>
            </w:pPr>
            <w:r w:rsidRPr="00CD1278">
              <w:rPr>
                <w:rFonts w:ascii="Arial" w:hAnsi="Arial" w:cs="Arial"/>
                <w:color w:val="auto"/>
                <w:sz w:val="18"/>
                <w:szCs w:val="18"/>
                <w:lang w:val="en-GB" w:eastAsia="fr-FR"/>
              </w:rPr>
              <w:t xml:space="preserve">Fluensulfone (Nimitz®) is a contact nematicide with low human and environmental restrictions that targets nematodes including </w:t>
            </w:r>
            <w:r w:rsidRPr="00CD1278">
              <w:rPr>
                <w:rFonts w:ascii="Arial" w:hAnsi="Arial" w:cs="Arial"/>
                <w:i/>
                <w:color w:val="auto"/>
                <w:sz w:val="18"/>
                <w:szCs w:val="18"/>
                <w:lang w:val="en-GB" w:eastAsia="fr-FR"/>
              </w:rPr>
              <w:t xml:space="preserve">Nacobbus. </w:t>
            </w:r>
            <w:r w:rsidRPr="00CD1278">
              <w:rPr>
                <w:rStyle w:val="A20"/>
                <w:rFonts w:ascii="Arial" w:eastAsia="MS ????" w:hAnsi="Arial" w:cs="Arial"/>
                <w:b w:val="0"/>
                <w:color w:val="auto"/>
                <w:sz w:val="18"/>
                <w:szCs w:val="18"/>
                <w:lang w:val="en-GB"/>
              </w:rPr>
              <w:t xml:space="preserve">Hidalgo </w:t>
            </w:r>
            <w:r w:rsidRPr="00CD1278">
              <w:rPr>
                <w:rStyle w:val="A20"/>
                <w:rFonts w:ascii="Arial" w:hAnsi="Arial" w:cs="Arial"/>
                <w:b w:val="0"/>
                <w:i/>
                <w:color w:val="auto"/>
                <w:sz w:val="18"/>
                <w:szCs w:val="18"/>
                <w:lang w:val="en-GB"/>
              </w:rPr>
              <w:t>et al.,</w:t>
            </w:r>
            <w:r w:rsidRPr="00CD1278">
              <w:rPr>
                <w:rStyle w:val="A20"/>
                <w:rFonts w:ascii="Arial" w:hAnsi="Arial" w:cs="Arial"/>
                <w:b w:val="0"/>
                <w:color w:val="auto"/>
                <w:sz w:val="18"/>
                <w:szCs w:val="18"/>
                <w:lang w:val="en-GB"/>
              </w:rPr>
              <w:t xml:space="preserve"> (2015) reported a significant reduction in </w:t>
            </w:r>
            <w:r w:rsidRPr="00CD1278">
              <w:rPr>
                <w:rStyle w:val="A20"/>
                <w:rFonts w:ascii="Arial" w:eastAsia="MS ????" w:hAnsi="Arial" w:cs="Arial"/>
                <w:b w:val="0"/>
                <w:color w:val="auto"/>
                <w:sz w:val="18"/>
                <w:szCs w:val="18"/>
                <w:lang w:val="en-GB"/>
              </w:rPr>
              <w:t xml:space="preserve">population density, reproduction rate, and root galling of </w:t>
            </w:r>
            <w:r w:rsidRPr="00CD1278">
              <w:rPr>
                <w:rStyle w:val="A20"/>
                <w:rFonts w:ascii="Arial" w:eastAsia="MS ????" w:hAnsi="Arial" w:cs="Arial"/>
                <w:b w:val="0"/>
                <w:i/>
                <w:iCs/>
                <w:color w:val="auto"/>
                <w:sz w:val="18"/>
                <w:szCs w:val="18"/>
                <w:lang w:val="en-GB"/>
              </w:rPr>
              <w:t xml:space="preserve">N. aberrans </w:t>
            </w:r>
            <w:r w:rsidRPr="00CD1278">
              <w:rPr>
                <w:rStyle w:val="A20"/>
                <w:rFonts w:ascii="Arial" w:hAnsi="Arial" w:cs="Arial"/>
                <w:b w:val="0"/>
                <w:color w:val="auto"/>
                <w:sz w:val="18"/>
                <w:szCs w:val="18"/>
                <w:lang w:val="en-GB"/>
              </w:rPr>
              <w:t xml:space="preserve">after </w:t>
            </w:r>
            <w:r w:rsidRPr="00CD1278">
              <w:rPr>
                <w:rStyle w:val="A20"/>
                <w:rFonts w:ascii="Arial" w:eastAsia="MS ????" w:hAnsi="Arial" w:cs="Arial"/>
                <w:b w:val="0"/>
                <w:color w:val="auto"/>
                <w:sz w:val="18"/>
                <w:szCs w:val="18"/>
                <w:lang w:val="en-GB"/>
              </w:rPr>
              <w:t>fluensulfone applications on tomato</w:t>
            </w:r>
            <w:r w:rsidRPr="00CD1278">
              <w:rPr>
                <w:rStyle w:val="A20"/>
                <w:rFonts w:ascii="Arial" w:hAnsi="Arial" w:cs="Arial"/>
                <w:b w:val="0"/>
                <w:i/>
                <w:iCs/>
                <w:color w:val="auto"/>
                <w:sz w:val="18"/>
                <w:szCs w:val="18"/>
                <w:lang w:val="en-GB"/>
              </w:rPr>
              <w:t xml:space="preserve">. </w:t>
            </w:r>
            <w:r w:rsidRPr="00CD1278">
              <w:rPr>
                <w:rStyle w:val="A20"/>
                <w:rFonts w:ascii="Arial" w:hAnsi="Arial" w:cs="Arial"/>
                <w:b w:val="0"/>
                <w:iCs/>
                <w:color w:val="auto"/>
                <w:sz w:val="18"/>
                <w:szCs w:val="18"/>
                <w:lang w:val="en-GB"/>
              </w:rPr>
              <w:t xml:space="preserve">The reduction was similar to that obtained with 1,3 D/Pic. </w:t>
            </w:r>
            <w:r w:rsidRPr="00CD1278">
              <w:rPr>
                <w:rFonts w:ascii="Arial" w:hAnsi="Arial" w:cs="Arial"/>
                <w:color w:val="auto"/>
                <w:sz w:val="18"/>
                <w:szCs w:val="18"/>
                <w:lang w:val="en-GB"/>
              </w:rPr>
              <w:t xml:space="preserve">They concluded that </w:t>
            </w:r>
            <w:r w:rsidRPr="00CD1278">
              <w:rPr>
                <w:rStyle w:val="A20"/>
                <w:rFonts w:ascii="Arial" w:eastAsia="MS ????" w:hAnsi="Arial" w:cs="Arial"/>
                <w:b w:val="0"/>
                <w:color w:val="auto"/>
                <w:sz w:val="18"/>
                <w:szCs w:val="18"/>
                <w:lang w:val="en-GB"/>
              </w:rPr>
              <w:t xml:space="preserve">fluensulfone use in tomato and cucumber crops affected by </w:t>
            </w:r>
            <w:r w:rsidRPr="00CD1278">
              <w:rPr>
                <w:rStyle w:val="A20"/>
                <w:rFonts w:ascii="Arial" w:eastAsia="MS ????" w:hAnsi="Arial" w:cs="Arial"/>
                <w:b w:val="0"/>
                <w:i/>
                <w:iCs/>
                <w:color w:val="auto"/>
                <w:sz w:val="18"/>
                <w:szCs w:val="18"/>
                <w:lang w:val="en-GB"/>
              </w:rPr>
              <w:t xml:space="preserve">N. aberrans </w:t>
            </w:r>
            <w:r w:rsidRPr="00CD1278">
              <w:rPr>
                <w:rStyle w:val="A20"/>
                <w:rFonts w:ascii="Arial" w:hAnsi="Arial" w:cs="Arial"/>
                <w:b w:val="0"/>
                <w:iCs/>
                <w:color w:val="auto"/>
                <w:sz w:val="18"/>
                <w:szCs w:val="18"/>
                <w:lang w:val="en-GB"/>
              </w:rPr>
              <w:t>could be considered as</w:t>
            </w:r>
            <w:r w:rsidRPr="00CD1278">
              <w:rPr>
                <w:rStyle w:val="A20"/>
                <w:rFonts w:ascii="Arial" w:eastAsia="MS ????" w:hAnsi="Arial" w:cs="Arial"/>
                <w:b w:val="0"/>
                <w:color w:val="auto"/>
                <w:sz w:val="18"/>
                <w:szCs w:val="18"/>
                <w:lang w:val="en-GB"/>
              </w:rPr>
              <w:t xml:space="preserve"> a good alternative to methyl bromide and other non-fumigant nematicides. </w:t>
            </w:r>
            <w:r w:rsidRPr="00CD1278">
              <w:rPr>
                <w:rFonts w:ascii="Arial" w:hAnsi="Arial" w:cs="Arial"/>
                <w:color w:val="auto"/>
                <w:sz w:val="18"/>
                <w:szCs w:val="18"/>
                <w:lang w:val="en-GB" w:eastAsia="fr-FR"/>
              </w:rPr>
              <w:t xml:space="preserve">Fluensulfone has also been identified as a keyalternative to MB for nematode control on many crops (berries, cucurbit, leafy and fruiting vegetables.) Pic-Clor 60 combined with fluensulfone showed lower galling index as compared to Pic-Clor 60 alone (Castillo </w:t>
            </w:r>
            <w:r w:rsidRPr="00CD1278">
              <w:rPr>
                <w:rFonts w:ascii="Arial" w:hAnsi="Arial" w:cs="Arial"/>
                <w:i/>
                <w:color w:val="auto"/>
                <w:sz w:val="18"/>
                <w:szCs w:val="18"/>
                <w:lang w:val="en-GB" w:eastAsia="fr-FR"/>
              </w:rPr>
              <w:t>et al</w:t>
            </w:r>
            <w:r w:rsidR="00767DDC" w:rsidRPr="00CD1278">
              <w:rPr>
                <w:rFonts w:ascii="Arial" w:hAnsi="Arial" w:cs="Arial"/>
                <w:color w:val="auto"/>
                <w:sz w:val="18"/>
                <w:szCs w:val="18"/>
                <w:lang w:val="en-GB" w:eastAsia="fr-FR"/>
              </w:rPr>
              <w:t>.,</w:t>
            </w:r>
            <w:r w:rsidRPr="00CD1278">
              <w:rPr>
                <w:rFonts w:ascii="Arial" w:hAnsi="Arial" w:cs="Arial"/>
                <w:color w:val="auto"/>
                <w:sz w:val="18"/>
                <w:szCs w:val="18"/>
                <w:lang w:val="en-GB" w:eastAsia="fr-FR"/>
              </w:rPr>
              <w:t xml:space="preserve"> 2016). Gilma </w:t>
            </w:r>
            <w:r w:rsidRPr="00CD1278">
              <w:rPr>
                <w:rFonts w:ascii="Arial" w:hAnsi="Arial" w:cs="Arial"/>
                <w:i/>
                <w:color w:val="auto"/>
                <w:sz w:val="18"/>
                <w:szCs w:val="18"/>
                <w:lang w:val="en-GB" w:eastAsia="fr-FR"/>
              </w:rPr>
              <w:t>et al</w:t>
            </w:r>
            <w:r w:rsidR="00767DDC" w:rsidRPr="00CD1278">
              <w:rPr>
                <w:rFonts w:ascii="Arial" w:hAnsi="Arial" w:cs="Arial"/>
                <w:i/>
                <w:color w:val="auto"/>
                <w:sz w:val="18"/>
                <w:szCs w:val="18"/>
                <w:lang w:val="en-GB" w:eastAsia="fr-FR"/>
              </w:rPr>
              <w:t>.,</w:t>
            </w:r>
            <w:r w:rsidRPr="00CD1278">
              <w:rPr>
                <w:rFonts w:ascii="Arial" w:hAnsi="Arial" w:cs="Arial"/>
                <w:color w:val="auto"/>
                <w:sz w:val="18"/>
                <w:szCs w:val="18"/>
                <w:lang w:val="en-GB" w:eastAsia="fr-FR"/>
              </w:rPr>
              <w:t xml:space="preserve"> (2017) demonstrated that fluensulfone in combination with Pic-Clor 60 (1,3-dichloropropene plus chloropicrin 40:60, w/w) can be an effective tool to manage root knot nematodes in drip-irrigated fresh-market tomatoes with high </w:t>
            </w:r>
            <w:r w:rsidRPr="00CD1278">
              <w:rPr>
                <w:rFonts w:ascii="Arial" w:hAnsi="Arial" w:cs="Arial"/>
                <w:i/>
                <w:color w:val="auto"/>
                <w:sz w:val="18"/>
                <w:szCs w:val="18"/>
                <w:lang w:val="en-GB" w:eastAsia="fr-FR"/>
              </w:rPr>
              <w:t xml:space="preserve">Meloidogyne </w:t>
            </w:r>
            <w:r w:rsidRPr="00CD1278">
              <w:rPr>
                <w:rFonts w:ascii="Arial" w:hAnsi="Arial" w:cs="Arial"/>
                <w:color w:val="auto"/>
                <w:sz w:val="18"/>
                <w:szCs w:val="18"/>
                <w:lang w:val="en-GB" w:eastAsia="fr-FR"/>
              </w:rPr>
              <w:t>infestation.</w:t>
            </w:r>
            <w:r w:rsidRPr="00CD1278">
              <w:rPr>
                <w:rFonts w:ascii="Arial" w:hAnsi="Arial" w:cs="Arial"/>
                <w:color w:val="auto"/>
                <w:sz w:val="18"/>
                <w:szCs w:val="18"/>
                <w:lang w:val="en-GB" w:eastAsia="fr-FR"/>
              </w:rPr>
              <w:br/>
            </w:r>
          </w:p>
          <w:p w14:paraId="67B994E3" w14:textId="12E33194"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 xml:space="preserve">An Integrated program has been developed by Cristobal-Alejo </w:t>
            </w:r>
            <w:r w:rsidRPr="00CD1278">
              <w:rPr>
                <w:rFonts w:ascii="Arial" w:hAnsi="Arial" w:cs="Arial"/>
                <w:i/>
                <w:color w:val="auto"/>
                <w:sz w:val="18"/>
                <w:szCs w:val="18"/>
              </w:rPr>
              <w:t>et al</w:t>
            </w:r>
            <w:r w:rsidR="00767DDC" w:rsidRPr="00CD1278">
              <w:rPr>
                <w:rFonts w:ascii="Arial" w:hAnsi="Arial" w:cs="Arial"/>
                <w:i/>
                <w:color w:val="auto"/>
                <w:sz w:val="18"/>
                <w:szCs w:val="18"/>
              </w:rPr>
              <w:t>.,</w:t>
            </w:r>
            <w:r w:rsidRPr="00CD1278">
              <w:rPr>
                <w:rFonts w:ascii="Arial" w:hAnsi="Arial" w:cs="Arial"/>
                <w:i/>
                <w:color w:val="auto"/>
                <w:sz w:val="18"/>
                <w:szCs w:val="18"/>
              </w:rPr>
              <w:t xml:space="preserve"> </w:t>
            </w:r>
            <w:r w:rsidRPr="00CD1278">
              <w:rPr>
                <w:rFonts w:ascii="Arial" w:hAnsi="Arial" w:cs="Arial"/>
                <w:color w:val="auto"/>
                <w:sz w:val="18"/>
                <w:szCs w:val="18"/>
              </w:rPr>
              <w:t>(2006) in Mexico, including fertilization, nematicide application (ethoprop) and biofumigation with chicken manure. It resulted in significant increases of plant height, foliage dry weight, stem diameter and crop yield, as compared to other treatments.</w:t>
            </w:r>
          </w:p>
          <w:p w14:paraId="5591C7FE" w14:textId="3BEB16E5" w:rsidR="009B6A47" w:rsidRPr="00CD1278" w:rsidRDefault="009B6A47" w:rsidP="00A50F28">
            <w:pPr>
              <w:pStyle w:val="Default"/>
              <w:rPr>
                <w:rFonts w:ascii="Arial" w:hAnsi="Arial" w:cs="Arial"/>
                <w:color w:val="auto"/>
                <w:sz w:val="18"/>
                <w:szCs w:val="18"/>
                <w:lang w:val="en-GB"/>
              </w:rPr>
            </w:pPr>
            <w:r w:rsidRPr="00CD1278">
              <w:rPr>
                <w:rFonts w:ascii="Arial" w:hAnsi="Arial" w:cs="Arial"/>
                <w:i/>
                <w:color w:val="auto"/>
                <w:sz w:val="18"/>
                <w:szCs w:val="18"/>
                <w:lang w:val="en-GB"/>
              </w:rPr>
              <w:t xml:space="preserve">Nacobbus </w:t>
            </w:r>
            <w:r w:rsidRPr="00CD1278">
              <w:rPr>
                <w:rFonts w:ascii="Arial" w:hAnsi="Arial" w:cs="Arial"/>
                <w:color w:val="auto"/>
                <w:sz w:val="18"/>
                <w:szCs w:val="18"/>
                <w:lang w:val="en-GB"/>
              </w:rPr>
              <w:t>is widely distributed in North and South America. It has been reported in Mexico, USA (Califo</w:t>
            </w:r>
            <w:r w:rsidR="001B28F0" w:rsidRPr="00CD1278">
              <w:rPr>
                <w:rFonts w:ascii="Arial" w:hAnsi="Arial" w:cs="Arial"/>
                <w:color w:val="auto"/>
                <w:sz w:val="18"/>
                <w:szCs w:val="18"/>
                <w:lang w:val="en-GB"/>
              </w:rPr>
              <w:t xml:space="preserve">rnia, Colorado, Nebraska, Utah, </w:t>
            </w:r>
            <w:r w:rsidRPr="00CD1278">
              <w:rPr>
                <w:rFonts w:ascii="Arial" w:hAnsi="Arial" w:cs="Arial"/>
                <w:color w:val="auto"/>
                <w:sz w:val="18"/>
                <w:szCs w:val="18"/>
                <w:lang w:val="en-GB"/>
              </w:rPr>
              <w:t xml:space="preserve">Wyoming), Bolivia, Chile, Ecuador and Peru. All these countries are producing tomato without MB (EPPO 2009, Stone and Burrows, 1985). In Mexico, </w:t>
            </w:r>
            <w:r w:rsidRPr="00CD1278">
              <w:rPr>
                <w:rFonts w:ascii="Arial" w:hAnsi="Arial" w:cs="Arial"/>
                <w:i/>
                <w:color w:val="auto"/>
                <w:sz w:val="18"/>
                <w:szCs w:val="18"/>
                <w:lang w:val="en-GB"/>
              </w:rPr>
              <w:t xml:space="preserve">N.aberrans </w:t>
            </w:r>
            <w:r w:rsidRPr="00CD1278">
              <w:rPr>
                <w:rFonts w:ascii="Arial" w:hAnsi="Arial" w:cs="Arial"/>
                <w:color w:val="auto"/>
                <w:sz w:val="18"/>
                <w:szCs w:val="18"/>
                <w:lang w:val="en-GB"/>
              </w:rPr>
              <w:t xml:space="preserve">attacking greenhouse peppers is controlled with various chemical and non-chemical control methods (Pérez-Rodríguez </w:t>
            </w:r>
            <w:r w:rsidRPr="00CD1278">
              <w:rPr>
                <w:rFonts w:ascii="Arial" w:hAnsi="Arial" w:cs="Arial"/>
                <w:i/>
                <w:color w:val="auto"/>
                <w:sz w:val="18"/>
                <w:szCs w:val="18"/>
                <w:lang w:val="en-GB"/>
              </w:rPr>
              <w:t>et al</w:t>
            </w:r>
            <w:r w:rsidR="00767DDC" w:rsidRPr="00CD1278">
              <w:rPr>
                <w:rFonts w:ascii="Arial" w:hAnsi="Arial" w:cs="Arial"/>
                <w:i/>
                <w:color w:val="auto"/>
                <w:sz w:val="18"/>
                <w:szCs w:val="18"/>
                <w:lang w:val="en-GB"/>
              </w:rPr>
              <w:t>.,</w:t>
            </w:r>
            <w:r w:rsidRPr="00CD1278">
              <w:rPr>
                <w:rFonts w:ascii="Arial" w:hAnsi="Arial" w:cs="Arial"/>
                <w:color w:val="auto"/>
                <w:sz w:val="18"/>
                <w:szCs w:val="18"/>
                <w:lang w:val="en-GB"/>
              </w:rPr>
              <w:t xml:space="preserve"> 2010). </w:t>
            </w:r>
            <w:r w:rsidRPr="00CD1278">
              <w:rPr>
                <w:rFonts w:ascii="Arial" w:hAnsi="Arial" w:cs="Arial"/>
                <w:color w:val="auto"/>
                <w:sz w:val="18"/>
                <w:szCs w:val="18"/>
                <w:lang w:val="en-GB"/>
              </w:rPr>
              <w:br/>
            </w:r>
          </w:p>
          <w:p w14:paraId="54B23AF5" w14:textId="77777777" w:rsidR="009B6A47" w:rsidRPr="00CD1278" w:rsidRDefault="009B6A47" w:rsidP="00A50F28">
            <w:pPr>
              <w:rPr>
                <w:rFonts w:ascii="Arial" w:hAnsi="Arial" w:cs="Arial"/>
                <w:color w:val="auto"/>
                <w:sz w:val="18"/>
                <w:szCs w:val="18"/>
              </w:rPr>
            </w:pPr>
            <w:r w:rsidRPr="00CD1278">
              <w:rPr>
                <w:rFonts w:ascii="Arial" w:hAnsi="Arial" w:cs="Arial"/>
                <w:color w:val="auto"/>
                <w:sz w:val="18"/>
                <w:szCs w:val="18"/>
              </w:rPr>
              <w:t xml:space="preserve">MBTOC notes that the Party has been supported by the MLF with a number of demonstrations, investment and technical assistance projects since 1997 and that many alternatives have been trialed and found successful in this sector (MLF, 2014 a, b). </w:t>
            </w:r>
          </w:p>
          <w:p w14:paraId="548CA11E" w14:textId="77777777" w:rsidR="009B6A47" w:rsidRPr="00CD1278" w:rsidRDefault="009B6A47" w:rsidP="001B28F0">
            <w:pPr>
              <w:spacing w:after="0"/>
              <w:rPr>
                <w:rFonts w:ascii="Arial" w:hAnsi="Arial" w:cs="Arial"/>
                <w:b/>
                <w:color w:val="auto"/>
                <w:sz w:val="18"/>
                <w:szCs w:val="18"/>
              </w:rPr>
            </w:pPr>
            <w:r w:rsidRPr="00CD1278">
              <w:rPr>
                <w:rFonts w:ascii="Arial" w:hAnsi="Arial" w:cs="Arial"/>
                <w:b/>
                <w:color w:val="auto"/>
                <w:sz w:val="18"/>
                <w:szCs w:val="18"/>
              </w:rPr>
              <w:t xml:space="preserve">MBTOC comments on economics provided in CUN for 2019: </w:t>
            </w:r>
          </w:p>
          <w:p w14:paraId="320DED1E" w14:textId="77777777" w:rsidR="009B6A47" w:rsidRPr="00CD1278" w:rsidRDefault="009B6A47" w:rsidP="001B28F0">
            <w:pPr>
              <w:pStyle w:val="ListParagraph"/>
              <w:numPr>
                <w:ilvl w:val="0"/>
                <w:numId w:val="29"/>
              </w:numPr>
              <w:spacing w:after="0"/>
              <w:rPr>
                <w:rFonts w:ascii="Arial" w:eastAsiaTheme="minorHAnsi" w:hAnsi="Arial" w:cs="Arial"/>
                <w:color w:val="auto"/>
                <w:sz w:val="18"/>
                <w:szCs w:val="18"/>
              </w:rPr>
            </w:pPr>
            <w:r w:rsidRPr="00CD1278">
              <w:rPr>
                <w:rFonts w:ascii="Arial" w:eastAsiaTheme="minorHAnsi" w:hAnsi="Arial" w:cs="Arial"/>
                <w:color w:val="auto"/>
                <w:sz w:val="18"/>
                <w:szCs w:val="18"/>
              </w:rPr>
              <w:t>The CUN assumes a substantial yield reduction with 1,3-D/Pic compared to MB/Pic while prices and costs remain the same for both treatments for both crops</w:t>
            </w:r>
            <w:r w:rsidRPr="00CD1278">
              <w:rPr>
                <w:rFonts w:ascii="Arial" w:eastAsiaTheme="minorHAnsi" w:hAnsi="Arial" w:cs="Arial"/>
                <w:b/>
                <w:color w:val="auto"/>
                <w:sz w:val="18"/>
                <w:szCs w:val="18"/>
              </w:rPr>
              <w:t>.</w:t>
            </w:r>
            <w:r w:rsidRPr="00CD1278">
              <w:rPr>
                <w:rFonts w:ascii="Arial" w:eastAsiaTheme="minorHAnsi" w:hAnsi="Arial" w:cs="Arial"/>
                <w:color w:val="auto"/>
                <w:sz w:val="18"/>
                <w:szCs w:val="18"/>
              </w:rPr>
              <w:t xml:space="preserve"> A corresponding reduction in revenue for this treatment is 28%.</w:t>
            </w:r>
          </w:p>
          <w:p w14:paraId="5B4E5CFB" w14:textId="77777777" w:rsidR="009B6A47" w:rsidRPr="00CD1278" w:rsidRDefault="009B6A47" w:rsidP="009B6A47">
            <w:pPr>
              <w:pStyle w:val="ListParagraph"/>
              <w:numPr>
                <w:ilvl w:val="0"/>
                <w:numId w:val="29"/>
              </w:numPr>
              <w:spacing w:after="0"/>
              <w:rPr>
                <w:rFonts w:ascii="Arial" w:hAnsi="Arial" w:cs="Arial"/>
                <w:color w:val="auto"/>
                <w:sz w:val="18"/>
                <w:szCs w:val="18"/>
              </w:rPr>
            </w:pPr>
            <w:r w:rsidRPr="00CD1278">
              <w:rPr>
                <w:rFonts w:ascii="Arial" w:hAnsi="Arial" w:cs="Arial"/>
                <w:color w:val="auto"/>
                <w:sz w:val="18"/>
                <w:szCs w:val="18"/>
              </w:rPr>
              <w:t>The reduction in revenue is partly due to a smaller drop in yield on the early crop but mostly due to the impossibility of a late crop because of the waiting time between applications and planting.</w:t>
            </w:r>
          </w:p>
          <w:p w14:paraId="6851F527" w14:textId="77777777" w:rsidR="009B6A47" w:rsidRPr="00CD1278" w:rsidRDefault="009B6A47" w:rsidP="00A50F28">
            <w:pPr>
              <w:spacing w:after="0"/>
              <w:rPr>
                <w:rFonts w:ascii="Arial" w:hAnsi="Arial" w:cs="Arial"/>
                <w:color w:val="auto"/>
                <w:sz w:val="18"/>
                <w:szCs w:val="18"/>
              </w:rPr>
            </w:pPr>
          </w:p>
          <w:p w14:paraId="2B36CF8E" w14:textId="77777777" w:rsidR="009B6A47" w:rsidRPr="00CD1278" w:rsidRDefault="009B6A47" w:rsidP="00A50F28">
            <w:pPr>
              <w:spacing w:after="0"/>
              <w:rPr>
                <w:rFonts w:ascii="Arial" w:hAnsi="Arial" w:cs="Arial"/>
                <w:b/>
                <w:color w:val="auto"/>
                <w:sz w:val="18"/>
                <w:szCs w:val="18"/>
              </w:rPr>
            </w:pPr>
            <w:r w:rsidRPr="00CD1278">
              <w:rPr>
                <w:rFonts w:ascii="Arial" w:hAnsi="Arial" w:cs="Arial"/>
                <w:b/>
                <w:color w:val="auto"/>
                <w:sz w:val="18"/>
                <w:szCs w:val="18"/>
              </w:rPr>
              <w:t>Comments requested in Dec. XX1/11 (para 9):</w:t>
            </w:r>
          </w:p>
          <w:p w14:paraId="0E705FF1" w14:textId="503E0BA9" w:rsidR="00C84DC3" w:rsidRPr="00CD1278" w:rsidRDefault="009B6A47" w:rsidP="00C84DC3">
            <w:pPr>
              <w:pStyle w:val="ListParagraph"/>
              <w:numPr>
                <w:ilvl w:val="0"/>
                <w:numId w:val="29"/>
              </w:numPr>
              <w:spacing w:after="120"/>
              <w:ind w:left="714" w:hanging="357"/>
              <w:rPr>
                <w:rFonts w:ascii="Arial" w:eastAsiaTheme="minorHAnsi" w:hAnsi="Arial" w:cs="Arial"/>
                <w:color w:val="auto"/>
                <w:sz w:val="18"/>
                <w:szCs w:val="18"/>
              </w:rPr>
            </w:pPr>
            <w:r w:rsidRPr="00CD1278">
              <w:rPr>
                <w:rFonts w:ascii="Arial" w:hAnsi="Arial" w:cs="Arial"/>
                <w:b/>
                <w:color w:val="auto"/>
                <w:sz w:val="18"/>
                <w:szCs w:val="18"/>
              </w:rPr>
              <w:t>Dec. IX/6 b (i) Emission Reduction:</w:t>
            </w:r>
            <w:r w:rsidRPr="00CD1278">
              <w:rPr>
                <w:rFonts w:ascii="Arial" w:eastAsiaTheme="minorHAnsi" w:hAnsi="Arial" w:cs="Arial"/>
                <w:color w:val="auto"/>
                <w:sz w:val="18"/>
                <w:szCs w:val="18"/>
              </w:rPr>
              <w:t xml:space="preserve"> Barrier films are available.</w:t>
            </w:r>
          </w:p>
          <w:p w14:paraId="5D392BC9" w14:textId="77777777" w:rsidR="009B6A47" w:rsidRPr="00CD1278" w:rsidRDefault="009B6A47" w:rsidP="00C84DC3">
            <w:pPr>
              <w:pStyle w:val="ListParagraph"/>
              <w:numPr>
                <w:ilvl w:val="0"/>
                <w:numId w:val="29"/>
              </w:numPr>
              <w:spacing w:after="120"/>
              <w:ind w:left="714" w:hanging="357"/>
              <w:rPr>
                <w:rFonts w:ascii="Arial" w:eastAsiaTheme="minorHAnsi" w:hAnsi="Arial" w:cs="Arial"/>
                <w:color w:val="auto"/>
                <w:sz w:val="18"/>
                <w:szCs w:val="18"/>
              </w:rPr>
            </w:pPr>
            <w:r w:rsidRPr="00CD1278">
              <w:rPr>
                <w:rFonts w:ascii="Arial" w:hAnsi="Arial" w:cs="Arial"/>
                <w:b/>
                <w:color w:val="auto"/>
                <w:sz w:val="18"/>
                <w:szCs w:val="18"/>
              </w:rPr>
              <w:t>Dec. IX/6 b (iii) MLF Assistance/Adoption of Effective Alternatives:</w:t>
            </w:r>
            <w:r w:rsidRPr="00CD1278">
              <w:rPr>
                <w:rFonts w:ascii="Arial" w:eastAsiaTheme="minorHAnsi" w:hAnsi="Arial" w:cs="Arial"/>
                <w:color w:val="auto"/>
                <w:sz w:val="18"/>
                <w:szCs w:val="18"/>
              </w:rPr>
              <w:t xml:space="preserve"> Trials and research have been conducted through the MLF projects implemented in Argentina and also directly by national institutions (e.g. INTA, EEAOC) and various universities.  </w:t>
            </w:r>
          </w:p>
          <w:p w14:paraId="7551A80A" w14:textId="77777777" w:rsidR="009B6A47" w:rsidRPr="00CD1278" w:rsidRDefault="009B6A47" w:rsidP="00C84DC3">
            <w:pPr>
              <w:pStyle w:val="ListParagraph"/>
              <w:numPr>
                <w:ilvl w:val="0"/>
                <w:numId w:val="29"/>
              </w:numPr>
              <w:spacing w:before="120" w:after="0"/>
              <w:ind w:left="714" w:hanging="357"/>
              <w:rPr>
                <w:rFonts w:ascii="Arial" w:hAnsi="Arial" w:cs="Arial"/>
                <w:color w:val="auto"/>
                <w:sz w:val="18"/>
                <w:szCs w:val="18"/>
              </w:rPr>
            </w:pPr>
            <w:r w:rsidRPr="00CD1278">
              <w:rPr>
                <w:rFonts w:ascii="Arial" w:hAnsi="Arial" w:cs="Arial"/>
                <w:b/>
                <w:color w:val="auto"/>
                <w:sz w:val="18"/>
                <w:szCs w:val="18"/>
              </w:rPr>
              <w:t>Dec. IX/6 b (iii) Appropriate Effort:</w:t>
            </w:r>
            <w:r w:rsidRPr="00CD1278">
              <w:rPr>
                <w:rFonts w:ascii="Arial" w:hAnsi="Arial" w:cs="Arial"/>
                <w:color w:val="auto"/>
                <w:sz w:val="18"/>
                <w:szCs w:val="18"/>
              </w:rPr>
              <w:t xml:space="preserve"> </w:t>
            </w:r>
            <w:r w:rsidRPr="00CD1278">
              <w:rPr>
                <w:rFonts w:ascii="Arial" w:eastAsiaTheme="minorHAnsi" w:hAnsi="Arial" w:cs="Arial"/>
                <w:color w:val="auto"/>
                <w:sz w:val="18"/>
                <w:szCs w:val="18"/>
              </w:rPr>
              <w:t xml:space="preserve">MBTOC notes that since the finalization of the MLF project there has been no research and commercial trials results reported. </w:t>
            </w:r>
          </w:p>
          <w:p w14:paraId="58A888A8" w14:textId="77777777" w:rsidR="009B6A47" w:rsidRPr="00CD1278" w:rsidRDefault="009B6A47" w:rsidP="00C84DC3">
            <w:pPr>
              <w:pStyle w:val="ListParagraph"/>
              <w:numPr>
                <w:ilvl w:val="0"/>
                <w:numId w:val="29"/>
              </w:numPr>
              <w:spacing w:before="120" w:after="0"/>
              <w:ind w:left="714" w:hanging="357"/>
              <w:contextualSpacing w:val="0"/>
              <w:rPr>
                <w:rFonts w:ascii="Arial" w:hAnsi="Arial" w:cs="Arial"/>
                <w:strike/>
                <w:color w:val="auto"/>
                <w:sz w:val="18"/>
                <w:szCs w:val="18"/>
              </w:rPr>
            </w:pPr>
            <w:r w:rsidRPr="00CD1278">
              <w:rPr>
                <w:rFonts w:ascii="Arial" w:hAnsi="Arial" w:cs="Arial"/>
                <w:b/>
                <w:color w:val="auto"/>
                <w:sz w:val="18"/>
                <w:szCs w:val="18"/>
              </w:rPr>
              <w:t>Dec. Ex 1(4) Annex 1 National Management Strategies:</w:t>
            </w:r>
            <w:r w:rsidRPr="00CD1278">
              <w:rPr>
                <w:rFonts w:ascii="Arial" w:hAnsi="Arial" w:cs="Arial"/>
                <w:color w:val="auto"/>
                <w:sz w:val="18"/>
                <w:szCs w:val="18"/>
              </w:rPr>
              <w:t xml:space="preserve"> Argentina did not provide a NMS plan confirming that MB will be phased out </w:t>
            </w:r>
            <w:r w:rsidRPr="00CD1278">
              <w:rPr>
                <w:rFonts w:ascii="Arial" w:hAnsi="Arial" w:cs="Arial"/>
                <w:strike/>
                <w:color w:val="auto"/>
                <w:sz w:val="18"/>
                <w:szCs w:val="18"/>
              </w:rPr>
              <w:t>in 2019.</w:t>
            </w:r>
          </w:p>
          <w:p w14:paraId="548F8D24" w14:textId="77777777" w:rsidR="009B6A47" w:rsidRPr="00CD1278" w:rsidRDefault="009B6A47" w:rsidP="00C84DC3">
            <w:pPr>
              <w:spacing w:after="120"/>
              <w:rPr>
                <w:rFonts w:ascii="Arial" w:hAnsi="Arial" w:cs="Arial"/>
                <w:color w:val="auto"/>
                <w:sz w:val="18"/>
                <w:szCs w:val="18"/>
              </w:rPr>
            </w:pPr>
          </w:p>
          <w:p w14:paraId="22267E70" w14:textId="77777777" w:rsidR="009B6A47" w:rsidRPr="00CD1278" w:rsidRDefault="009B6A47" w:rsidP="00A50F28">
            <w:pPr>
              <w:spacing w:before="60" w:after="60"/>
              <w:ind w:left="720" w:hanging="720"/>
              <w:rPr>
                <w:rFonts w:ascii="Arial" w:hAnsi="Arial" w:cs="Arial"/>
                <w:color w:val="auto"/>
                <w:sz w:val="18"/>
                <w:szCs w:val="18"/>
              </w:rPr>
            </w:pPr>
          </w:p>
        </w:tc>
      </w:tr>
    </w:tbl>
    <w:p w14:paraId="15D42FE0" w14:textId="77777777" w:rsidR="009B6A47" w:rsidRPr="00CD1278" w:rsidRDefault="009B6A47" w:rsidP="009B6A47">
      <w:pPr>
        <w:spacing w:before="120" w:after="120"/>
        <w:rPr>
          <w:rFonts w:ascii="Arial" w:hAnsi="Arial" w:cs="Arial"/>
          <w:b/>
          <w:bCs/>
          <w:color w:val="auto"/>
          <w:sz w:val="16"/>
          <w:szCs w:val="18"/>
        </w:rPr>
        <w:sectPr w:rsidR="009B6A47" w:rsidRPr="00CD1278" w:rsidSect="0038722C">
          <w:headerReference w:type="even" r:id="rId59"/>
          <w:headerReference w:type="default" r:id="rId60"/>
          <w:footerReference w:type="even" r:id="rId61"/>
          <w:footerReference w:type="default" r:id="rId62"/>
          <w:headerReference w:type="first" r:id="rId63"/>
          <w:pgSz w:w="16834" w:h="11909" w:orient="landscape" w:code="9"/>
          <w:pgMar w:top="1440" w:right="567" w:bottom="1134" w:left="567" w:header="720" w:footer="720" w:gutter="0"/>
          <w:cols w:space="720"/>
          <w:docGrid w:linePitch="360"/>
        </w:sectPr>
      </w:pPr>
      <w:r w:rsidRPr="00CD1278">
        <w:rPr>
          <w:rFonts w:ascii="Arial" w:hAnsi="Arial" w:cs="Arial"/>
          <w:color w:val="auto"/>
          <w:sz w:val="16"/>
          <w:szCs w:val="18"/>
          <w:vertAlign w:val="superscript"/>
        </w:rPr>
        <w:t>1</w:t>
      </w:r>
      <w:r w:rsidRPr="00CD1278">
        <w:rPr>
          <w:rFonts w:ascii="Arial" w:hAnsi="Arial" w:cs="Arial"/>
          <w:color w:val="auto"/>
          <w:sz w:val="16"/>
          <w:szCs w:val="18"/>
        </w:rPr>
        <w:t>MOP25,</w:t>
      </w:r>
      <w:r w:rsidRPr="00CD1278">
        <w:rPr>
          <w:rFonts w:ascii="Arial" w:hAnsi="Arial" w:cs="Arial"/>
          <w:color w:val="auto"/>
          <w:sz w:val="16"/>
          <w:szCs w:val="18"/>
          <w:vertAlign w:val="superscript"/>
        </w:rPr>
        <w:t>2</w:t>
      </w:r>
      <w:r w:rsidRPr="00CD1278">
        <w:rPr>
          <w:rFonts w:ascii="Arial" w:hAnsi="Arial" w:cs="Arial"/>
          <w:color w:val="auto"/>
          <w:sz w:val="16"/>
          <w:szCs w:val="18"/>
        </w:rPr>
        <w:t>MOP26</w:t>
      </w:r>
      <w:r w:rsidRPr="00CD1278">
        <w:rPr>
          <w:rFonts w:ascii="Arial" w:hAnsi="Arial" w:cs="Arial"/>
          <w:b/>
          <w:bCs/>
          <w:color w:val="auto"/>
          <w:sz w:val="16"/>
          <w:szCs w:val="18"/>
        </w:rPr>
        <w:t xml:space="preserve">, </w:t>
      </w:r>
      <w:r w:rsidRPr="00CD1278">
        <w:rPr>
          <w:rFonts w:ascii="Arial" w:hAnsi="Arial" w:cs="Arial"/>
          <w:bCs/>
          <w:color w:val="auto"/>
          <w:sz w:val="16"/>
          <w:szCs w:val="18"/>
          <w:vertAlign w:val="superscript"/>
        </w:rPr>
        <w:t>3</w:t>
      </w:r>
      <w:r w:rsidRPr="00CD1278">
        <w:rPr>
          <w:rFonts w:ascii="Arial" w:hAnsi="Arial" w:cs="Arial"/>
          <w:bCs/>
          <w:color w:val="auto"/>
          <w:sz w:val="16"/>
          <w:szCs w:val="18"/>
        </w:rPr>
        <w:t xml:space="preserve">MOP27, </w:t>
      </w:r>
      <w:r w:rsidRPr="00CD1278">
        <w:rPr>
          <w:rFonts w:ascii="Arial" w:hAnsi="Arial" w:cs="Arial"/>
          <w:bCs/>
          <w:color w:val="auto"/>
          <w:sz w:val="16"/>
          <w:szCs w:val="18"/>
          <w:vertAlign w:val="superscript"/>
        </w:rPr>
        <w:t>4</w:t>
      </w:r>
      <w:r w:rsidRPr="00CD1278">
        <w:rPr>
          <w:rFonts w:ascii="Arial" w:hAnsi="Arial" w:cs="Arial"/>
          <w:bCs/>
          <w:color w:val="auto"/>
          <w:sz w:val="16"/>
          <w:szCs w:val="18"/>
        </w:rPr>
        <w:t xml:space="preserve">MOP28, </w:t>
      </w:r>
      <w:r w:rsidRPr="00CD1278">
        <w:rPr>
          <w:rFonts w:ascii="Arial" w:hAnsi="Arial" w:cs="Arial"/>
          <w:bCs/>
          <w:color w:val="auto"/>
          <w:sz w:val="16"/>
          <w:szCs w:val="18"/>
          <w:vertAlign w:val="superscript"/>
        </w:rPr>
        <w:t>5</w:t>
      </w:r>
      <w:r w:rsidRPr="00CD1278">
        <w:rPr>
          <w:rFonts w:ascii="Arial" w:hAnsi="Arial" w:cs="Arial"/>
          <w:bCs/>
          <w:color w:val="auto"/>
          <w:sz w:val="16"/>
          <w:szCs w:val="18"/>
        </w:rPr>
        <w:t>MOP29</w:t>
      </w:r>
    </w:p>
    <w:p w14:paraId="653095FB" w14:textId="37A84275" w:rsidR="007869DD" w:rsidRPr="00CD1278" w:rsidRDefault="007869DD" w:rsidP="00A426E1">
      <w:pPr>
        <w:pStyle w:val="Heading1"/>
        <w:rPr>
          <w:rStyle w:val="Heading1Char3"/>
          <w:bCs/>
          <w:color w:val="auto"/>
        </w:rPr>
      </w:pPr>
      <w:bookmarkStart w:id="94" w:name="_Toc304129062"/>
      <w:bookmarkStart w:id="95" w:name="_Toc453277829"/>
      <w:bookmarkStart w:id="96" w:name="_Toc180140155"/>
      <w:bookmarkStart w:id="97" w:name="_Toc321116350"/>
      <w:bookmarkStart w:id="98" w:name="_Toc102710566"/>
      <w:bookmarkStart w:id="99" w:name="_Toc324255717"/>
      <w:bookmarkStart w:id="100" w:name="_Toc293054755"/>
      <w:r w:rsidRPr="00CD1278">
        <w:rPr>
          <w:rStyle w:val="Heading1Char3"/>
          <w:bCs/>
          <w:color w:val="auto"/>
        </w:rPr>
        <w:t xml:space="preserve">1.5. </w:t>
      </w:r>
      <w:bookmarkEnd w:id="94"/>
      <w:r w:rsidR="006B71CA" w:rsidRPr="00CD1278">
        <w:rPr>
          <w:rStyle w:val="Heading1Char3"/>
          <w:bCs/>
          <w:color w:val="auto"/>
        </w:rPr>
        <w:tab/>
      </w:r>
      <w:r w:rsidR="004674B1" w:rsidRPr="00CD1278">
        <w:rPr>
          <w:rStyle w:val="Heading1Char3"/>
          <w:bCs/>
          <w:color w:val="auto"/>
        </w:rPr>
        <w:t>I</w:t>
      </w:r>
      <w:r w:rsidR="00B04349" w:rsidRPr="00CD1278">
        <w:rPr>
          <w:rStyle w:val="Heading1Char3"/>
          <w:bCs/>
          <w:color w:val="auto"/>
        </w:rPr>
        <w:t xml:space="preserve">nterim Evaluation of Critical Use Nominations of Methyl Bromide for Commodities and Structures in </w:t>
      </w:r>
      <w:bookmarkEnd w:id="95"/>
      <w:r w:rsidR="006F0454" w:rsidRPr="00CD1278">
        <w:rPr>
          <w:rStyle w:val="Heading1Char3"/>
          <w:bCs/>
          <w:color w:val="auto"/>
        </w:rPr>
        <w:t>2019</w:t>
      </w:r>
    </w:p>
    <w:p w14:paraId="13F69CD2" w14:textId="45A65CFB" w:rsidR="007869DD" w:rsidRPr="00CD1278" w:rsidRDefault="007869DD" w:rsidP="00BE7C70">
      <w:pPr>
        <w:pStyle w:val="Heading2"/>
        <w:rPr>
          <w:lang w:val="en-GB"/>
        </w:rPr>
      </w:pPr>
      <w:bookmarkStart w:id="101" w:name="_Toc321116351"/>
      <w:bookmarkStart w:id="102" w:name="_Toc304129063"/>
      <w:bookmarkStart w:id="103" w:name="_Toc453277830"/>
      <w:r w:rsidRPr="00CD1278">
        <w:rPr>
          <w:lang w:val="en-GB"/>
        </w:rPr>
        <w:t>1.5.1</w:t>
      </w:r>
      <w:r w:rsidRPr="00CD1278">
        <w:rPr>
          <w:lang w:val="en-GB"/>
        </w:rPr>
        <w:tab/>
        <w:t xml:space="preserve">Standard </w:t>
      </w:r>
      <w:r w:rsidR="00D57053" w:rsidRPr="00CD1278">
        <w:rPr>
          <w:lang w:val="en-GB"/>
        </w:rPr>
        <w:t xml:space="preserve">Rate </w:t>
      </w:r>
      <w:bookmarkEnd w:id="101"/>
      <w:bookmarkEnd w:id="102"/>
      <w:bookmarkEnd w:id="103"/>
      <w:r w:rsidR="00D57053" w:rsidRPr="00CD1278">
        <w:rPr>
          <w:lang w:val="en-GB"/>
        </w:rPr>
        <w:t>Presumptions</w:t>
      </w:r>
    </w:p>
    <w:p w14:paraId="76EAE792" w14:textId="6743EF0A" w:rsidR="007869DD" w:rsidRPr="00CD1278" w:rsidRDefault="007869DD" w:rsidP="005A552B">
      <w:pPr>
        <w:rPr>
          <w:color w:val="auto"/>
        </w:rPr>
      </w:pPr>
      <w:r w:rsidRPr="00CD1278">
        <w:rPr>
          <w:color w:val="auto"/>
        </w:rPr>
        <w:t xml:space="preserve">MBTOC </w:t>
      </w:r>
      <w:r w:rsidR="00F133BB" w:rsidRPr="00CD1278">
        <w:rPr>
          <w:color w:val="auto"/>
        </w:rPr>
        <w:t>received</w:t>
      </w:r>
      <w:r w:rsidRPr="00CD1278">
        <w:rPr>
          <w:color w:val="auto"/>
        </w:rPr>
        <w:t xml:space="preserve"> SC CUNs from </w:t>
      </w:r>
      <w:r w:rsidR="00F133BB" w:rsidRPr="00CD1278">
        <w:rPr>
          <w:color w:val="auto"/>
        </w:rPr>
        <w:t xml:space="preserve">only </w:t>
      </w:r>
      <w:r w:rsidRPr="00CD1278">
        <w:rPr>
          <w:color w:val="auto"/>
        </w:rPr>
        <w:t>one Party, South Africa</w:t>
      </w:r>
      <w:r w:rsidR="00F01FB5" w:rsidRPr="00CD1278">
        <w:rPr>
          <w:color w:val="auto"/>
        </w:rPr>
        <w:t>,</w:t>
      </w:r>
      <w:r w:rsidRPr="00CD1278">
        <w:rPr>
          <w:color w:val="auto"/>
        </w:rPr>
        <w:t xml:space="preserve"> which consisted of two nomination</w:t>
      </w:r>
      <w:r w:rsidR="00F133BB" w:rsidRPr="00CD1278">
        <w:rPr>
          <w:color w:val="auto"/>
        </w:rPr>
        <w:t>s as shown in Table 1.11.</w:t>
      </w:r>
    </w:p>
    <w:p w14:paraId="2CC2D097" w14:textId="77777777" w:rsidR="007869DD" w:rsidRPr="00CD1278" w:rsidRDefault="007869DD" w:rsidP="005A552B">
      <w:pPr>
        <w:rPr>
          <w:color w:val="auto"/>
        </w:rPr>
      </w:pPr>
      <w:r w:rsidRPr="00CD1278">
        <w:rPr>
          <w:color w:val="auto"/>
        </w:rPr>
        <w:t>Decision IX/6 requires that critical uses should be permitted only if ‘</w:t>
      </w:r>
      <w:r w:rsidRPr="00CD1278">
        <w:rPr>
          <w:i/>
          <w:iCs/>
          <w:color w:val="auto"/>
        </w:rPr>
        <w:t>all technically and economically feasible steps have been taken to minimise the critical use and any associated emission of methyl bromide</w:t>
      </w:r>
      <w:r w:rsidRPr="00CD1278">
        <w:rPr>
          <w:color w:val="auto"/>
        </w:rPr>
        <w:t>’.  Decision Ex.II/1 also mentions emission minimisation techniques, requesting Parties “…</w:t>
      </w:r>
      <w:r w:rsidRPr="00CD1278">
        <w:rPr>
          <w:i/>
          <w:iCs/>
          <w:color w:val="auto"/>
        </w:rPr>
        <w:t>to ensure, wherever methyl bromide is authorised for critical-use exemptions, the use of emission minimisation techniques that improve gas tightness or the use equipment that captures, destroys and/or reuses the methyl bromide and other techniques that promote environmental protection, whenever technically and economically feasible.</w:t>
      </w:r>
      <w:r w:rsidRPr="00CD1278">
        <w:rPr>
          <w:color w:val="auto"/>
        </w:rPr>
        <w:t xml:space="preserve">”  </w:t>
      </w:r>
    </w:p>
    <w:p w14:paraId="48C8F0C5" w14:textId="42B63AD4" w:rsidR="007869DD" w:rsidRPr="00CD1278" w:rsidRDefault="00322BC3" w:rsidP="005A552B">
      <w:pPr>
        <w:rPr>
          <w:color w:val="auto"/>
        </w:rPr>
      </w:pPr>
      <w:r w:rsidRPr="00CD1278">
        <w:rPr>
          <w:color w:val="auto"/>
        </w:rPr>
        <w:t xml:space="preserve">At </w:t>
      </w:r>
      <w:r w:rsidR="007869DD" w:rsidRPr="00CD1278">
        <w:rPr>
          <w:color w:val="auto"/>
        </w:rPr>
        <w:t>the beginning of the CUN process in 2005, MBTOC published its standard presumptions for structures (20g m</w:t>
      </w:r>
      <w:r w:rsidR="007869DD" w:rsidRPr="00CD1278">
        <w:rPr>
          <w:color w:val="auto"/>
          <w:vertAlign w:val="superscript"/>
        </w:rPr>
        <w:t>-3</w:t>
      </w:r>
      <w:r w:rsidR="007869DD" w:rsidRPr="00CD1278">
        <w:rPr>
          <w:color w:val="auto"/>
        </w:rPr>
        <w:t>) and indicated that the European Plant Protection Organization’s (EPPO) published dosage rates for commodities should be considered standard best practice for fumigation worldwide. Since that time all Parties submitting CUNs stated their adherence to those practices. The EPPO dosage rates for commodity treatment vary by commodity, sorption rate and environmental conditions. They can be found in annexes to the MBTOC 2006 Assessment Report (MBTOC, 2007). Where possible, reduced dosages, combined with longer exposure periods, can reduce MB consumption, while maintaining efficacy (MBTOC 2007</w:t>
      </w:r>
      <w:r w:rsidR="00F85F99" w:rsidRPr="00CD1278">
        <w:rPr>
          <w:color w:val="auto"/>
        </w:rPr>
        <w:t>, 2011, 2017</w:t>
      </w:r>
      <w:r w:rsidR="007869DD" w:rsidRPr="00CD1278">
        <w:rPr>
          <w:color w:val="auto"/>
        </w:rPr>
        <w:t>).</w:t>
      </w:r>
    </w:p>
    <w:p w14:paraId="22541A29" w14:textId="5769794A" w:rsidR="00192C20" w:rsidRPr="00CD1278" w:rsidRDefault="00192C20" w:rsidP="005A552B">
      <w:pPr>
        <w:pStyle w:val="Heading2"/>
        <w:rPr>
          <w:lang w:val="en-GB"/>
        </w:rPr>
      </w:pPr>
      <w:r w:rsidRPr="00CD1278">
        <w:rPr>
          <w:lang w:val="en-GB"/>
        </w:rPr>
        <w:t>1.5.2</w:t>
      </w:r>
      <w:r w:rsidRPr="00CD1278">
        <w:rPr>
          <w:lang w:val="en-GB"/>
        </w:rPr>
        <w:tab/>
        <w:t xml:space="preserve">General </w:t>
      </w:r>
      <w:r w:rsidR="005A552B" w:rsidRPr="00CD1278">
        <w:rPr>
          <w:lang w:val="en-GB"/>
        </w:rPr>
        <w:t xml:space="preserve">Comments </w:t>
      </w:r>
      <w:r w:rsidRPr="00CD1278">
        <w:rPr>
          <w:lang w:val="en-GB"/>
        </w:rPr>
        <w:t xml:space="preserve">on the </w:t>
      </w:r>
      <w:r w:rsidR="005A552B" w:rsidRPr="00CD1278">
        <w:rPr>
          <w:lang w:val="en-GB"/>
        </w:rPr>
        <w:t xml:space="preserve">Assessment </w:t>
      </w:r>
      <w:r w:rsidRPr="00CD1278">
        <w:rPr>
          <w:lang w:val="en-GB"/>
        </w:rPr>
        <w:t>for Structure and Commodity Use</w:t>
      </w:r>
    </w:p>
    <w:p w14:paraId="320C6458" w14:textId="6B613837" w:rsidR="00192C20" w:rsidRPr="00CD1278" w:rsidRDefault="00192C20" w:rsidP="005A552B">
      <w:pPr>
        <w:rPr>
          <w:color w:val="auto"/>
        </w:rPr>
      </w:pPr>
      <w:r w:rsidRPr="00CD1278">
        <w:rPr>
          <w:color w:val="auto"/>
        </w:rPr>
        <w:t xml:space="preserve">MBTOC continues to encourage Parties to consider a review of regulations covering the registration, use and adoption of alternatives.  For MB structure and commodity uses, MBTOC has endorsed the efforts of the Party to try to phase out MB by encouraging companies to register alternative chemicals for this sector. Sulfuryl fluoride was finally registered in January 2018 in RSA and this will assist with full adoption of in-kind alternatives to assist with the phase out of all the remaining MB use for both sectors applying for critical use. MBTOC is aware that the implementation of any alternative will require time for logistics of use and the training of fumigators to get full adoption the market.   </w:t>
      </w:r>
    </w:p>
    <w:p w14:paraId="5FC98D15" w14:textId="6A503600" w:rsidR="007869DD" w:rsidRPr="00CD1278" w:rsidRDefault="007869DD" w:rsidP="005A552B">
      <w:pPr>
        <w:pStyle w:val="Heading2"/>
        <w:rPr>
          <w:lang w:val="en-GB"/>
        </w:rPr>
      </w:pPr>
      <w:bookmarkStart w:id="104" w:name="_Toc321116352"/>
      <w:bookmarkStart w:id="105" w:name="_Toc304129064"/>
      <w:bookmarkStart w:id="106" w:name="_Toc453277831"/>
      <w:r w:rsidRPr="00CD1278">
        <w:rPr>
          <w:lang w:val="en-GB"/>
        </w:rPr>
        <w:t>1.5.</w:t>
      </w:r>
      <w:r w:rsidR="00192C20" w:rsidRPr="00CD1278">
        <w:rPr>
          <w:lang w:val="en-GB"/>
        </w:rPr>
        <w:t>3</w:t>
      </w:r>
      <w:r w:rsidRPr="00CD1278">
        <w:rPr>
          <w:lang w:val="en-GB"/>
        </w:rPr>
        <w:t>.</w:t>
      </w:r>
      <w:r w:rsidRPr="00CD1278">
        <w:rPr>
          <w:lang w:val="en-GB"/>
        </w:rPr>
        <w:tab/>
        <w:t xml:space="preserve">Details of the </w:t>
      </w:r>
      <w:bookmarkEnd w:id="104"/>
      <w:bookmarkEnd w:id="105"/>
      <w:bookmarkEnd w:id="106"/>
      <w:r w:rsidR="005A552B" w:rsidRPr="00CD1278">
        <w:rPr>
          <w:lang w:val="en-GB"/>
        </w:rPr>
        <w:t>Evaluation</w:t>
      </w:r>
    </w:p>
    <w:p w14:paraId="52363E76" w14:textId="7678A48E" w:rsidR="007869DD" w:rsidRPr="00CD1278" w:rsidRDefault="007869DD" w:rsidP="005A552B">
      <w:pPr>
        <w:rPr>
          <w:color w:val="auto"/>
        </w:rPr>
      </w:pPr>
      <w:r w:rsidRPr="00CD1278">
        <w:rPr>
          <w:color w:val="auto"/>
        </w:rPr>
        <w:t xml:space="preserve">The total MB volume nominated in </w:t>
      </w:r>
      <w:r w:rsidR="006F0454" w:rsidRPr="00CD1278">
        <w:rPr>
          <w:color w:val="auto"/>
        </w:rPr>
        <w:t xml:space="preserve">2018 </w:t>
      </w:r>
      <w:r w:rsidRPr="00CD1278">
        <w:rPr>
          <w:color w:val="auto"/>
        </w:rPr>
        <w:t xml:space="preserve">for post-harvest uses in </w:t>
      </w:r>
      <w:r w:rsidR="006F0454" w:rsidRPr="00CD1278">
        <w:rPr>
          <w:color w:val="auto"/>
        </w:rPr>
        <w:t xml:space="preserve">2019 </w:t>
      </w:r>
      <w:r w:rsidRPr="00CD1278">
        <w:rPr>
          <w:color w:val="auto"/>
        </w:rPr>
        <w:t xml:space="preserve">was </w:t>
      </w:r>
      <w:r w:rsidR="00543F59" w:rsidRPr="00CD1278">
        <w:rPr>
          <w:color w:val="auto"/>
        </w:rPr>
        <w:t>50</w:t>
      </w:r>
      <w:r w:rsidRPr="00CD1278">
        <w:rPr>
          <w:color w:val="auto"/>
        </w:rPr>
        <w:t xml:space="preserve"> tonnes. MBTOC recommended </w:t>
      </w:r>
      <w:r w:rsidR="009903AB" w:rsidRPr="00CD1278">
        <w:rPr>
          <w:color w:val="auto"/>
        </w:rPr>
        <w:t>30.23</w:t>
      </w:r>
      <w:r w:rsidRPr="00CD1278">
        <w:rPr>
          <w:color w:val="auto"/>
        </w:rPr>
        <w:t xml:space="preserve"> tonnes for South Africa </w:t>
      </w:r>
      <w:r w:rsidR="00B02AAC" w:rsidRPr="00CD1278">
        <w:rPr>
          <w:color w:val="auto"/>
        </w:rPr>
        <w:t xml:space="preserve">for </w:t>
      </w:r>
      <w:r w:rsidR="009903AB" w:rsidRPr="00CD1278">
        <w:rPr>
          <w:color w:val="auto"/>
        </w:rPr>
        <w:t xml:space="preserve">2019 </w:t>
      </w:r>
      <w:r w:rsidRPr="00CD1278">
        <w:rPr>
          <w:color w:val="auto"/>
        </w:rPr>
        <w:t>(Table 1</w:t>
      </w:r>
      <w:r w:rsidR="00651F65" w:rsidRPr="00CD1278">
        <w:rPr>
          <w:color w:val="auto"/>
        </w:rPr>
        <w:t>.</w:t>
      </w:r>
      <w:r w:rsidRPr="00CD1278">
        <w:rPr>
          <w:color w:val="auto"/>
        </w:rPr>
        <w:t>11). Table 1-12 provides MBTOC-SC final recommendation for the CUN submitted.</w:t>
      </w:r>
    </w:p>
    <w:p w14:paraId="06071AEC" w14:textId="21CA9581" w:rsidR="007869DD" w:rsidRPr="00CD1278" w:rsidRDefault="007869DD" w:rsidP="0039397B">
      <w:pPr>
        <w:pStyle w:val="Tableheading0"/>
        <w:spacing w:after="120"/>
        <w:ind w:left="0" w:firstLine="0"/>
        <w:rPr>
          <w:b/>
          <w:bCs/>
        </w:rPr>
      </w:pPr>
      <w:r w:rsidRPr="00CD1278">
        <w:rPr>
          <w:b/>
          <w:bCs/>
        </w:rPr>
        <w:t>Table 1</w:t>
      </w:r>
      <w:r w:rsidR="00651F65" w:rsidRPr="00CD1278">
        <w:rPr>
          <w:b/>
          <w:bCs/>
        </w:rPr>
        <w:t>.</w:t>
      </w:r>
      <w:r w:rsidRPr="00CD1278">
        <w:rPr>
          <w:b/>
          <w:bCs/>
        </w:rPr>
        <w:t>11</w:t>
      </w:r>
      <w:r w:rsidR="00D13861" w:rsidRPr="00CD1278">
        <w:rPr>
          <w:b/>
          <w:bCs/>
        </w:rPr>
        <w:t xml:space="preserve">. </w:t>
      </w:r>
      <w:r w:rsidRPr="00CD1278">
        <w:rPr>
          <w:b/>
          <w:bCs/>
        </w:rPr>
        <w:t xml:space="preserve">Summary of the </w:t>
      </w:r>
      <w:r w:rsidR="0068109B" w:rsidRPr="00CD1278">
        <w:rPr>
          <w:b/>
          <w:bCs/>
        </w:rPr>
        <w:t xml:space="preserve">interim </w:t>
      </w:r>
      <w:r w:rsidRPr="00CD1278">
        <w:rPr>
          <w:b/>
          <w:bCs/>
        </w:rPr>
        <w:t>recommendations for a CUE for postharvest uses of MB (tonnes) for 201</w:t>
      </w:r>
      <w:r w:rsidR="005978A3" w:rsidRPr="00CD1278">
        <w:rPr>
          <w:b/>
          <w:bCs/>
        </w:rPr>
        <w:t>9</w:t>
      </w:r>
      <w:r w:rsidRPr="00CD1278">
        <w:rPr>
          <w:b/>
          <w:bCs/>
        </w:rPr>
        <w:t xml:space="preserve"> submitted in the 201</w:t>
      </w:r>
      <w:r w:rsidR="005978A3" w:rsidRPr="00CD1278">
        <w:rPr>
          <w:b/>
          <w:bCs/>
        </w:rPr>
        <w:t>8</w:t>
      </w:r>
      <w:r w:rsidRPr="00CD1278">
        <w:rPr>
          <w:b/>
          <w:bCs/>
        </w:rPr>
        <w:t xml:space="preserve"> round.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5"/>
        <w:gridCol w:w="3002"/>
        <w:gridCol w:w="3042"/>
      </w:tblGrid>
      <w:tr w:rsidR="003C102E" w:rsidRPr="00CD1278" w14:paraId="448B449D" w14:textId="77777777" w:rsidTr="00FC4A53">
        <w:tc>
          <w:tcPr>
            <w:tcW w:w="3065" w:type="dxa"/>
            <w:shd w:val="clear" w:color="auto" w:fill="auto"/>
            <w:vAlign w:val="center"/>
          </w:tcPr>
          <w:p w14:paraId="59A09258" w14:textId="77777777" w:rsidR="007869DD" w:rsidRPr="00CD1278" w:rsidRDefault="007869DD" w:rsidP="00FC4A53">
            <w:pPr>
              <w:spacing w:before="40" w:after="40"/>
              <w:rPr>
                <w:rFonts w:cs="Arial"/>
                <w:b/>
                <w:color w:val="auto"/>
                <w:sz w:val="20"/>
              </w:rPr>
            </w:pPr>
            <w:r w:rsidRPr="00CD1278">
              <w:rPr>
                <w:rFonts w:cs="Arial"/>
                <w:b/>
                <w:color w:val="auto"/>
                <w:sz w:val="20"/>
              </w:rPr>
              <w:t>Country and Sector</w:t>
            </w:r>
          </w:p>
        </w:tc>
        <w:tc>
          <w:tcPr>
            <w:tcW w:w="3080" w:type="dxa"/>
            <w:shd w:val="clear" w:color="auto" w:fill="auto"/>
            <w:vAlign w:val="center"/>
          </w:tcPr>
          <w:p w14:paraId="001B262B" w14:textId="3724AAF4" w:rsidR="007869DD" w:rsidRPr="00CD1278" w:rsidRDefault="007869DD" w:rsidP="005978A3">
            <w:pPr>
              <w:spacing w:before="40" w:after="40"/>
              <w:jc w:val="center"/>
              <w:rPr>
                <w:rFonts w:cs="Arial"/>
                <w:b/>
                <w:color w:val="auto"/>
                <w:sz w:val="20"/>
              </w:rPr>
            </w:pPr>
            <w:r w:rsidRPr="00CD1278">
              <w:rPr>
                <w:rFonts w:cs="Arial"/>
                <w:b/>
                <w:color w:val="auto"/>
                <w:sz w:val="20"/>
              </w:rPr>
              <w:t>Nomination</w:t>
            </w:r>
            <w:r w:rsidR="00ED5758" w:rsidRPr="00CD1278">
              <w:rPr>
                <w:rFonts w:cs="Arial"/>
                <w:b/>
                <w:color w:val="auto"/>
                <w:sz w:val="20"/>
              </w:rPr>
              <w:t xml:space="preserve"> for 201</w:t>
            </w:r>
            <w:r w:rsidR="005978A3" w:rsidRPr="00CD1278">
              <w:rPr>
                <w:rFonts w:cs="Arial"/>
                <w:b/>
                <w:color w:val="auto"/>
                <w:sz w:val="20"/>
              </w:rPr>
              <w:t>9</w:t>
            </w:r>
            <w:r w:rsidR="008756D3" w:rsidRPr="00CD1278">
              <w:rPr>
                <w:rFonts w:cs="Arial"/>
                <w:b/>
                <w:color w:val="auto"/>
                <w:sz w:val="20"/>
              </w:rPr>
              <w:t xml:space="preserve"> </w:t>
            </w:r>
            <w:r w:rsidRPr="00CD1278">
              <w:rPr>
                <w:rFonts w:cs="Arial"/>
                <w:b/>
                <w:color w:val="auto"/>
                <w:sz w:val="20"/>
              </w:rPr>
              <w:t>(tonnes)</w:t>
            </w:r>
          </w:p>
        </w:tc>
        <w:tc>
          <w:tcPr>
            <w:tcW w:w="3100" w:type="dxa"/>
            <w:shd w:val="clear" w:color="auto" w:fill="auto"/>
            <w:vAlign w:val="center"/>
          </w:tcPr>
          <w:p w14:paraId="2C93FE30" w14:textId="30804693" w:rsidR="007869DD" w:rsidRPr="00CD1278" w:rsidRDefault="00ED5758" w:rsidP="005978A3">
            <w:pPr>
              <w:spacing w:before="40" w:after="40"/>
              <w:jc w:val="center"/>
              <w:rPr>
                <w:rFonts w:cs="Arial"/>
                <w:b/>
                <w:color w:val="auto"/>
                <w:sz w:val="20"/>
              </w:rPr>
            </w:pPr>
            <w:r w:rsidRPr="00CD1278">
              <w:rPr>
                <w:rFonts w:cs="Arial"/>
                <w:b/>
                <w:color w:val="auto"/>
                <w:sz w:val="20"/>
              </w:rPr>
              <w:t>Interim Re</w:t>
            </w:r>
            <w:r w:rsidR="007869DD" w:rsidRPr="00CD1278">
              <w:rPr>
                <w:rFonts w:cs="Arial"/>
                <w:b/>
                <w:color w:val="auto"/>
                <w:sz w:val="20"/>
              </w:rPr>
              <w:t xml:space="preserve">commendation </w:t>
            </w:r>
            <w:r w:rsidRPr="00CD1278">
              <w:rPr>
                <w:rFonts w:cs="Arial"/>
                <w:b/>
                <w:color w:val="auto"/>
                <w:sz w:val="20"/>
              </w:rPr>
              <w:t>for 201</w:t>
            </w:r>
            <w:r w:rsidR="005978A3" w:rsidRPr="00CD1278">
              <w:rPr>
                <w:rFonts w:cs="Arial"/>
                <w:b/>
                <w:color w:val="auto"/>
                <w:sz w:val="20"/>
              </w:rPr>
              <w:t>9</w:t>
            </w:r>
            <w:r w:rsidR="008756D3" w:rsidRPr="00CD1278">
              <w:rPr>
                <w:rFonts w:cs="Arial"/>
                <w:b/>
                <w:color w:val="auto"/>
                <w:sz w:val="20"/>
              </w:rPr>
              <w:t xml:space="preserve"> </w:t>
            </w:r>
            <w:r w:rsidR="007869DD" w:rsidRPr="00CD1278">
              <w:rPr>
                <w:rFonts w:cs="Arial"/>
                <w:b/>
                <w:color w:val="auto"/>
                <w:sz w:val="20"/>
              </w:rPr>
              <w:t>(tonnes)</w:t>
            </w:r>
          </w:p>
        </w:tc>
      </w:tr>
      <w:tr w:rsidR="003C102E" w:rsidRPr="00CD1278" w14:paraId="2759C77B" w14:textId="77777777" w:rsidTr="007869DD">
        <w:tc>
          <w:tcPr>
            <w:tcW w:w="3065" w:type="dxa"/>
            <w:shd w:val="clear" w:color="auto" w:fill="auto"/>
          </w:tcPr>
          <w:p w14:paraId="1467B366" w14:textId="77777777" w:rsidR="007869DD" w:rsidRPr="00CD1278" w:rsidRDefault="007869DD" w:rsidP="00FC4A53">
            <w:pPr>
              <w:spacing w:before="40" w:after="40"/>
              <w:rPr>
                <w:rFonts w:cs="Arial"/>
                <w:color w:val="auto"/>
                <w:sz w:val="20"/>
              </w:rPr>
            </w:pPr>
            <w:r w:rsidRPr="00CD1278">
              <w:rPr>
                <w:rFonts w:cs="Arial"/>
                <w:color w:val="auto"/>
                <w:sz w:val="20"/>
              </w:rPr>
              <w:t>South Africa - Mills</w:t>
            </w:r>
          </w:p>
        </w:tc>
        <w:tc>
          <w:tcPr>
            <w:tcW w:w="3080" w:type="dxa"/>
            <w:shd w:val="clear" w:color="auto" w:fill="auto"/>
          </w:tcPr>
          <w:p w14:paraId="6959FC1C" w14:textId="0707BC30" w:rsidR="007869DD" w:rsidRPr="00CD1278" w:rsidRDefault="0088093E" w:rsidP="005978A3">
            <w:pPr>
              <w:spacing w:before="40" w:after="40"/>
              <w:jc w:val="center"/>
              <w:rPr>
                <w:rFonts w:cs="Arial"/>
                <w:color w:val="auto"/>
                <w:sz w:val="20"/>
              </w:rPr>
            </w:pPr>
            <w:r w:rsidRPr="00CD1278">
              <w:rPr>
                <w:rFonts w:cs="Arial"/>
                <w:color w:val="auto"/>
                <w:sz w:val="20"/>
              </w:rPr>
              <w:t>2.</w:t>
            </w:r>
            <w:r w:rsidR="005978A3" w:rsidRPr="00CD1278">
              <w:rPr>
                <w:rFonts w:cs="Arial"/>
                <w:color w:val="auto"/>
                <w:sz w:val="20"/>
              </w:rPr>
              <w:t>0</w:t>
            </w:r>
          </w:p>
        </w:tc>
        <w:tc>
          <w:tcPr>
            <w:tcW w:w="3100" w:type="dxa"/>
            <w:shd w:val="clear" w:color="auto" w:fill="auto"/>
          </w:tcPr>
          <w:p w14:paraId="3C29B6E2" w14:textId="3C9AB2F2" w:rsidR="007869DD" w:rsidRPr="00CD1278" w:rsidRDefault="0088093E" w:rsidP="008756D3">
            <w:pPr>
              <w:spacing w:before="40" w:after="40"/>
              <w:jc w:val="center"/>
              <w:rPr>
                <w:rFonts w:cs="Arial"/>
                <w:color w:val="auto"/>
                <w:sz w:val="20"/>
              </w:rPr>
            </w:pPr>
            <w:r w:rsidRPr="00CD1278">
              <w:rPr>
                <w:rFonts w:cs="Arial"/>
                <w:color w:val="auto"/>
                <w:sz w:val="20"/>
              </w:rPr>
              <w:t>0.30</w:t>
            </w:r>
          </w:p>
        </w:tc>
      </w:tr>
      <w:tr w:rsidR="003C102E" w:rsidRPr="00CD1278" w14:paraId="351D913D" w14:textId="77777777" w:rsidTr="007869DD">
        <w:tc>
          <w:tcPr>
            <w:tcW w:w="3065" w:type="dxa"/>
            <w:shd w:val="clear" w:color="auto" w:fill="auto"/>
          </w:tcPr>
          <w:p w14:paraId="3A46892F" w14:textId="32A4AEB6" w:rsidR="007869DD" w:rsidRPr="00CD1278" w:rsidRDefault="007869DD" w:rsidP="00F133BB">
            <w:pPr>
              <w:spacing w:before="40" w:after="40"/>
              <w:rPr>
                <w:rFonts w:cs="Arial"/>
                <w:color w:val="auto"/>
                <w:sz w:val="20"/>
              </w:rPr>
            </w:pPr>
            <w:r w:rsidRPr="00CD1278">
              <w:rPr>
                <w:rFonts w:cs="Arial"/>
                <w:color w:val="auto"/>
                <w:sz w:val="20"/>
              </w:rPr>
              <w:t xml:space="preserve">South Africa - </w:t>
            </w:r>
            <w:r w:rsidR="00F133BB" w:rsidRPr="00CD1278">
              <w:rPr>
                <w:rFonts w:cs="Arial"/>
                <w:color w:val="auto"/>
                <w:sz w:val="20"/>
              </w:rPr>
              <w:t>Houses</w:t>
            </w:r>
          </w:p>
        </w:tc>
        <w:tc>
          <w:tcPr>
            <w:tcW w:w="3080" w:type="dxa"/>
            <w:shd w:val="clear" w:color="auto" w:fill="auto"/>
          </w:tcPr>
          <w:p w14:paraId="3F099F33" w14:textId="7F2AF281" w:rsidR="007869DD" w:rsidRPr="00CD1278" w:rsidRDefault="008756D3" w:rsidP="00FC4A53">
            <w:pPr>
              <w:spacing w:before="40" w:after="40"/>
              <w:jc w:val="center"/>
              <w:rPr>
                <w:rFonts w:cs="Arial"/>
                <w:color w:val="auto"/>
                <w:sz w:val="20"/>
              </w:rPr>
            </w:pPr>
            <w:r w:rsidRPr="00CD1278">
              <w:rPr>
                <w:rFonts w:cs="Arial"/>
                <w:color w:val="auto"/>
                <w:sz w:val="20"/>
              </w:rPr>
              <w:t>45.0</w:t>
            </w:r>
          </w:p>
        </w:tc>
        <w:tc>
          <w:tcPr>
            <w:tcW w:w="3100" w:type="dxa"/>
            <w:shd w:val="clear" w:color="auto" w:fill="auto"/>
          </w:tcPr>
          <w:p w14:paraId="6F2D3A2C" w14:textId="5BE7AE8C" w:rsidR="007869DD" w:rsidRPr="00CD1278" w:rsidRDefault="0088093E" w:rsidP="008756D3">
            <w:pPr>
              <w:spacing w:before="40" w:after="40"/>
              <w:jc w:val="center"/>
              <w:rPr>
                <w:rFonts w:cs="Arial"/>
                <w:color w:val="auto"/>
                <w:sz w:val="20"/>
              </w:rPr>
            </w:pPr>
            <w:r w:rsidRPr="00CD1278">
              <w:rPr>
                <w:rFonts w:cs="Arial"/>
                <w:color w:val="auto"/>
                <w:sz w:val="20"/>
              </w:rPr>
              <w:t>29.93</w:t>
            </w:r>
          </w:p>
        </w:tc>
      </w:tr>
      <w:tr w:rsidR="007869DD" w:rsidRPr="00CD1278" w14:paraId="32660A6B" w14:textId="77777777" w:rsidTr="007869DD">
        <w:tc>
          <w:tcPr>
            <w:tcW w:w="3065" w:type="dxa"/>
            <w:shd w:val="clear" w:color="auto" w:fill="auto"/>
          </w:tcPr>
          <w:p w14:paraId="4A599053" w14:textId="77777777" w:rsidR="007869DD" w:rsidRPr="00CD1278" w:rsidRDefault="007869DD" w:rsidP="00FC4A53">
            <w:pPr>
              <w:spacing w:before="40" w:after="40"/>
              <w:rPr>
                <w:rFonts w:cs="Arial"/>
                <w:b/>
                <w:color w:val="auto"/>
                <w:sz w:val="20"/>
              </w:rPr>
            </w:pPr>
            <w:r w:rsidRPr="00CD1278">
              <w:rPr>
                <w:rFonts w:cs="Arial"/>
                <w:b/>
                <w:color w:val="auto"/>
                <w:sz w:val="20"/>
              </w:rPr>
              <w:t>Total</w:t>
            </w:r>
          </w:p>
        </w:tc>
        <w:tc>
          <w:tcPr>
            <w:tcW w:w="3080" w:type="dxa"/>
            <w:shd w:val="clear" w:color="auto" w:fill="auto"/>
          </w:tcPr>
          <w:p w14:paraId="69029EB6" w14:textId="2B3FA16A" w:rsidR="007869DD" w:rsidRPr="00CD1278" w:rsidRDefault="009903AB" w:rsidP="005978A3">
            <w:pPr>
              <w:spacing w:before="40" w:after="40"/>
              <w:jc w:val="center"/>
              <w:rPr>
                <w:rFonts w:cs="Arial"/>
                <w:b/>
                <w:color w:val="auto"/>
                <w:sz w:val="20"/>
              </w:rPr>
            </w:pPr>
            <w:r w:rsidRPr="00CD1278">
              <w:rPr>
                <w:rFonts w:cs="Arial"/>
                <w:b/>
                <w:color w:val="auto"/>
                <w:sz w:val="20"/>
              </w:rPr>
              <w:t>47.</w:t>
            </w:r>
            <w:r w:rsidR="005978A3" w:rsidRPr="00CD1278">
              <w:rPr>
                <w:rFonts w:cs="Arial"/>
                <w:b/>
                <w:color w:val="auto"/>
                <w:sz w:val="20"/>
              </w:rPr>
              <w:t>0</w:t>
            </w:r>
          </w:p>
        </w:tc>
        <w:tc>
          <w:tcPr>
            <w:tcW w:w="3100" w:type="dxa"/>
            <w:shd w:val="clear" w:color="auto" w:fill="auto"/>
          </w:tcPr>
          <w:p w14:paraId="248F8ECD" w14:textId="697F6284" w:rsidR="007869DD" w:rsidRPr="00CD1278" w:rsidRDefault="0088093E" w:rsidP="008756D3">
            <w:pPr>
              <w:spacing w:before="40" w:after="40"/>
              <w:jc w:val="center"/>
              <w:rPr>
                <w:rFonts w:cs="Arial"/>
                <w:b/>
                <w:color w:val="auto"/>
                <w:sz w:val="20"/>
              </w:rPr>
            </w:pPr>
            <w:r w:rsidRPr="00CD1278">
              <w:rPr>
                <w:rFonts w:cs="Arial"/>
                <w:b/>
                <w:color w:val="auto"/>
                <w:sz w:val="20"/>
              </w:rPr>
              <w:t>30.23</w:t>
            </w:r>
          </w:p>
        </w:tc>
      </w:tr>
    </w:tbl>
    <w:p w14:paraId="0FAA6A57" w14:textId="77777777" w:rsidR="007869DD" w:rsidRPr="00CD1278" w:rsidRDefault="007869DD" w:rsidP="007869DD">
      <w:pPr>
        <w:spacing w:after="0"/>
        <w:rPr>
          <w:rFonts w:ascii="Calibri" w:hAnsi="Calibri"/>
          <w:vanish/>
          <w:color w:val="auto"/>
          <w:szCs w:val="22"/>
          <w:lang w:eastAsia="en-AU"/>
        </w:rPr>
      </w:pPr>
    </w:p>
    <w:p w14:paraId="17BE3951" w14:textId="77777777" w:rsidR="007869DD" w:rsidRPr="00CD1278" w:rsidRDefault="007869DD" w:rsidP="007869DD">
      <w:pPr>
        <w:spacing w:after="0"/>
        <w:rPr>
          <w:color w:val="auto"/>
        </w:rPr>
        <w:sectPr w:rsidR="007869DD" w:rsidRPr="00CD1278" w:rsidSect="0038722C">
          <w:headerReference w:type="even" r:id="rId64"/>
          <w:headerReference w:type="default" r:id="rId65"/>
          <w:footerReference w:type="even" r:id="rId66"/>
          <w:footerReference w:type="default" r:id="rId67"/>
          <w:headerReference w:type="first" r:id="rId68"/>
          <w:pgSz w:w="11909" w:h="16834" w:code="9"/>
          <w:pgMar w:top="567" w:right="1440" w:bottom="1134" w:left="1440" w:header="720" w:footer="720" w:gutter="0"/>
          <w:cols w:space="720"/>
        </w:sectPr>
      </w:pPr>
    </w:p>
    <w:p w14:paraId="15F04CA9" w14:textId="73D64D27" w:rsidR="009B6A47" w:rsidRPr="00CD1278" w:rsidRDefault="009B6A47" w:rsidP="009B6A47">
      <w:pPr>
        <w:pStyle w:val="Tableandfigureheadings"/>
      </w:pPr>
      <w:r w:rsidRPr="00CD1278">
        <w:t xml:space="preserve">Table 1-12.  </w:t>
      </w:r>
      <w:r w:rsidR="0068109B" w:rsidRPr="00CD1278">
        <w:t xml:space="preserve">Interim </w:t>
      </w:r>
      <w:r w:rsidRPr="00CD1278">
        <w:t xml:space="preserve">Recommendations for CUNs from A5 Parties for structures and commodities submitted in 2017 for </w:t>
      </w:r>
      <w:r w:rsidR="00D57053" w:rsidRPr="00CD1278">
        <w:t xml:space="preserve">use in </w:t>
      </w:r>
      <w:r w:rsidRPr="00CD1278">
        <w:t>2018.</w:t>
      </w:r>
    </w:p>
    <w:tbl>
      <w:tblPr>
        <w:tblpPr w:leftFromText="180" w:rightFromText="180" w:vertAnchor="text" w:tblpX="13" w:tblpY="1"/>
        <w:tblOverlap w:val="never"/>
        <w:tblW w:w="146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01"/>
        <w:gridCol w:w="1134"/>
        <w:gridCol w:w="933"/>
        <w:gridCol w:w="900"/>
        <w:gridCol w:w="1080"/>
        <w:gridCol w:w="1056"/>
        <w:gridCol w:w="1275"/>
        <w:gridCol w:w="1021"/>
        <w:gridCol w:w="2552"/>
        <w:gridCol w:w="1559"/>
        <w:gridCol w:w="2004"/>
      </w:tblGrid>
      <w:tr w:rsidR="003C102E" w:rsidRPr="00CD1278" w14:paraId="2BAA5338" w14:textId="77777777" w:rsidTr="00F97A8E">
        <w:trPr>
          <w:trHeight w:val="255"/>
          <w:tblHeader/>
        </w:trPr>
        <w:tc>
          <w:tcPr>
            <w:tcW w:w="1101" w:type="dxa"/>
            <w:tcBorders>
              <w:top w:val="single" w:sz="4" w:space="0" w:color="auto"/>
            </w:tcBorders>
            <w:vAlign w:val="center"/>
          </w:tcPr>
          <w:p w14:paraId="3EB9A305" w14:textId="77777777" w:rsidR="003030D4" w:rsidRPr="00CD1278" w:rsidRDefault="003030D4" w:rsidP="00896422">
            <w:pPr>
              <w:spacing w:after="0"/>
              <w:rPr>
                <w:rFonts w:ascii="Arial" w:hAnsi="Arial"/>
                <w:b/>
                <w:color w:val="auto"/>
                <w:sz w:val="18"/>
                <w:szCs w:val="18"/>
              </w:rPr>
            </w:pPr>
            <w:r w:rsidRPr="00CD1278">
              <w:rPr>
                <w:rFonts w:ascii="Arial" w:hAnsi="Arial"/>
                <w:b/>
                <w:color w:val="auto"/>
                <w:sz w:val="18"/>
                <w:szCs w:val="18"/>
              </w:rPr>
              <w:t>Country</w:t>
            </w:r>
          </w:p>
        </w:tc>
        <w:tc>
          <w:tcPr>
            <w:tcW w:w="1134" w:type="dxa"/>
            <w:tcBorders>
              <w:top w:val="single" w:sz="4" w:space="0" w:color="auto"/>
              <w:bottom w:val="single" w:sz="6" w:space="0" w:color="auto"/>
            </w:tcBorders>
            <w:vAlign w:val="center"/>
          </w:tcPr>
          <w:p w14:paraId="72AFD66C" w14:textId="77777777" w:rsidR="003030D4" w:rsidRPr="00CD1278" w:rsidRDefault="003030D4" w:rsidP="00896422">
            <w:pPr>
              <w:spacing w:after="0"/>
              <w:rPr>
                <w:rFonts w:ascii="Arial" w:hAnsi="Arial"/>
                <w:b/>
                <w:color w:val="auto"/>
                <w:sz w:val="18"/>
                <w:szCs w:val="18"/>
              </w:rPr>
            </w:pPr>
            <w:r w:rsidRPr="00CD1278">
              <w:rPr>
                <w:rFonts w:ascii="Arial" w:hAnsi="Arial"/>
                <w:b/>
                <w:color w:val="auto"/>
                <w:sz w:val="18"/>
                <w:szCs w:val="18"/>
              </w:rPr>
              <w:t>Industry</w:t>
            </w:r>
          </w:p>
        </w:tc>
        <w:tc>
          <w:tcPr>
            <w:tcW w:w="933" w:type="dxa"/>
            <w:tcBorders>
              <w:top w:val="single" w:sz="4" w:space="0" w:color="auto"/>
              <w:bottom w:val="single" w:sz="6" w:space="0" w:color="auto"/>
            </w:tcBorders>
            <w:vAlign w:val="center"/>
          </w:tcPr>
          <w:p w14:paraId="5EC1E4BE" w14:textId="77777777" w:rsidR="003030D4" w:rsidRPr="00CD1278" w:rsidRDefault="003030D4" w:rsidP="00896422">
            <w:pPr>
              <w:spacing w:after="0"/>
              <w:jc w:val="center"/>
              <w:rPr>
                <w:rFonts w:ascii="Arial" w:hAnsi="Arial"/>
                <w:b/>
                <w:color w:val="auto"/>
                <w:sz w:val="18"/>
                <w:szCs w:val="18"/>
              </w:rPr>
            </w:pPr>
            <w:r w:rsidRPr="00CD1278">
              <w:rPr>
                <w:rFonts w:ascii="Arial" w:hAnsi="Arial"/>
                <w:b/>
                <w:color w:val="auto"/>
                <w:sz w:val="18"/>
                <w:szCs w:val="18"/>
              </w:rPr>
              <w:t>CUE for 2015</w:t>
            </w:r>
            <w:r w:rsidRPr="00CD1278">
              <w:rPr>
                <w:rFonts w:ascii="Arial" w:hAnsi="Arial"/>
                <w:b/>
                <w:color w:val="auto"/>
                <w:sz w:val="18"/>
                <w:szCs w:val="18"/>
                <w:vertAlign w:val="superscript"/>
              </w:rPr>
              <w:t>1</w:t>
            </w:r>
          </w:p>
        </w:tc>
        <w:tc>
          <w:tcPr>
            <w:tcW w:w="900" w:type="dxa"/>
            <w:tcBorders>
              <w:top w:val="single" w:sz="4" w:space="0" w:color="auto"/>
              <w:bottom w:val="single" w:sz="6" w:space="0" w:color="auto"/>
            </w:tcBorders>
            <w:vAlign w:val="center"/>
          </w:tcPr>
          <w:p w14:paraId="4F71426F" w14:textId="77777777" w:rsidR="003030D4" w:rsidRPr="00CD1278" w:rsidRDefault="003030D4" w:rsidP="00896422">
            <w:pPr>
              <w:spacing w:after="0"/>
              <w:jc w:val="center"/>
              <w:rPr>
                <w:rFonts w:ascii="Arial" w:hAnsi="Arial"/>
                <w:b/>
                <w:color w:val="auto"/>
                <w:sz w:val="18"/>
                <w:szCs w:val="18"/>
              </w:rPr>
            </w:pPr>
            <w:r w:rsidRPr="00CD1278">
              <w:rPr>
                <w:rFonts w:ascii="Arial" w:hAnsi="Arial"/>
                <w:b/>
                <w:color w:val="auto"/>
                <w:sz w:val="18"/>
                <w:szCs w:val="18"/>
              </w:rPr>
              <w:t>CUN for 2016</w:t>
            </w:r>
          </w:p>
        </w:tc>
        <w:tc>
          <w:tcPr>
            <w:tcW w:w="1080" w:type="dxa"/>
            <w:tcBorders>
              <w:top w:val="single" w:sz="4" w:space="0" w:color="auto"/>
              <w:bottom w:val="single" w:sz="6" w:space="0" w:color="auto"/>
            </w:tcBorders>
            <w:vAlign w:val="center"/>
          </w:tcPr>
          <w:p w14:paraId="470E8E5D" w14:textId="77777777" w:rsidR="003030D4" w:rsidRPr="00CD1278" w:rsidRDefault="003030D4" w:rsidP="00896422">
            <w:pPr>
              <w:spacing w:after="0"/>
              <w:jc w:val="center"/>
              <w:rPr>
                <w:rFonts w:ascii="Arial" w:hAnsi="Arial"/>
                <w:b/>
                <w:color w:val="auto"/>
                <w:sz w:val="18"/>
                <w:szCs w:val="18"/>
              </w:rPr>
            </w:pPr>
            <w:r w:rsidRPr="00CD1278">
              <w:rPr>
                <w:rFonts w:ascii="Arial" w:hAnsi="Arial"/>
                <w:b/>
                <w:color w:val="auto"/>
                <w:sz w:val="18"/>
                <w:szCs w:val="18"/>
              </w:rPr>
              <w:t>CUE for 2016</w:t>
            </w:r>
            <w:r w:rsidRPr="00CD1278">
              <w:rPr>
                <w:rFonts w:ascii="Arial" w:hAnsi="Arial"/>
                <w:b/>
                <w:color w:val="auto"/>
                <w:sz w:val="18"/>
                <w:szCs w:val="18"/>
                <w:vertAlign w:val="superscript"/>
              </w:rPr>
              <w:t>2</w:t>
            </w:r>
          </w:p>
        </w:tc>
        <w:tc>
          <w:tcPr>
            <w:tcW w:w="1056" w:type="dxa"/>
            <w:tcBorders>
              <w:top w:val="single" w:sz="4" w:space="0" w:color="auto"/>
              <w:bottom w:val="single" w:sz="6" w:space="0" w:color="auto"/>
            </w:tcBorders>
            <w:vAlign w:val="center"/>
          </w:tcPr>
          <w:p w14:paraId="14787129" w14:textId="77777777" w:rsidR="003030D4" w:rsidRPr="00CD1278" w:rsidRDefault="003030D4" w:rsidP="00896422">
            <w:pPr>
              <w:spacing w:after="0"/>
              <w:jc w:val="center"/>
              <w:rPr>
                <w:rFonts w:ascii="Arial" w:hAnsi="Arial"/>
                <w:b/>
                <w:color w:val="auto"/>
                <w:sz w:val="18"/>
                <w:szCs w:val="18"/>
              </w:rPr>
            </w:pPr>
            <w:r w:rsidRPr="00CD1278">
              <w:rPr>
                <w:rFonts w:ascii="Arial" w:hAnsi="Arial"/>
                <w:b/>
                <w:color w:val="auto"/>
                <w:sz w:val="18"/>
                <w:szCs w:val="18"/>
              </w:rPr>
              <w:t>CUE for 2017</w:t>
            </w:r>
            <w:r w:rsidRPr="00CD1278">
              <w:rPr>
                <w:rFonts w:ascii="Arial" w:hAnsi="Arial"/>
                <w:b/>
                <w:color w:val="auto"/>
                <w:sz w:val="18"/>
                <w:szCs w:val="18"/>
                <w:vertAlign w:val="superscript"/>
              </w:rPr>
              <w:t>3</w:t>
            </w:r>
          </w:p>
        </w:tc>
        <w:tc>
          <w:tcPr>
            <w:tcW w:w="1275" w:type="dxa"/>
            <w:tcBorders>
              <w:top w:val="single" w:sz="4" w:space="0" w:color="auto"/>
              <w:bottom w:val="single" w:sz="6" w:space="0" w:color="auto"/>
            </w:tcBorders>
            <w:vAlign w:val="center"/>
          </w:tcPr>
          <w:p w14:paraId="6B99F088" w14:textId="6D610DD8" w:rsidR="003030D4" w:rsidRPr="00CD1278" w:rsidRDefault="003030D4" w:rsidP="00896422">
            <w:pPr>
              <w:spacing w:after="0"/>
              <w:jc w:val="center"/>
              <w:rPr>
                <w:rFonts w:ascii="Arial" w:hAnsi="Arial"/>
                <w:b/>
                <w:color w:val="auto"/>
                <w:sz w:val="18"/>
                <w:szCs w:val="18"/>
              </w:rPr>
            </w:pPr>
            <w:r w:rsidRPr="00CD1278">
              <w:rPr>
                <w:rFonts w:ascii="Arial" w:hAnsi="Arial"/>
                <w:b/>
                <w:color w:val="auto"/>
                <w:sz w:val="18"/>
                <w:szCs w:val="18"/>
              </w:rPr>
              <w:t>CUE for 2018</w:t>
            </w:r>
            <w:r w:rsidRPr="00CD1278">
              <w:rPr>
                <w:rFonts w:ascii="Arial" w:hAnsi="Arial"/>
                <w:b/>
                <w:color w:val="auto"/>
                <w:sz w:val="18"/>
                <w:szCs w:val="18"/>
                <w:vertAlign w:val="superscript"/>
              </w:rPr>
              <w:t>4</w:t>
            </w:r>
          </w:p>
        </w:tc>
        <w:tc>
          <w:tcPr>
            <w:tcW w:w="1021" w:type="dxa"/>
            <w:tcBorders>
              <w:top w:val="single" w:sz="4" w:space="0" w:color="auto"/>
              <w:bottom w:val="single" w:sz="6" w:space="0" w:color="auto"/>
            </w:tcBorders>
            <w:vAlign w:val="center"/>
          </w:tcPr>
          <w:p w14:paraId="0BAD8BEB" w14:textId="6F510B06" w:rsidR="003030D4" w:rsidRPr="00CD1278" w:rsidRDefault="003030D4" w:rsidP="00896422">
            <w:pPr>
              <w:spacing w:after="0"/>
              <w:jc w:val="center"/>
              <w:rPr>
                <w:rFonts w:ascii="Arial" w:hAnsi="Arial"/>
                <w:b/>
                <w:color w:val="auto"/>
                <w:sz w:val="18"/>
                <w:szCs w:val="18"/>
              </w:rPr>
            </w:pPr>
            <w:r w:rsidRPr="00CD1278">
              <w:rPr>
                <w:rFonts w:ascii="Arial" w:hAnsi="Arial"/>
                <w:b/>
                <w:color w:val="auto"/>
                <w:sz w:val="18"/>
                <w:szCs w:val="18"/>
              </w:rPr>
              <w:t>CUN for 2019</w:t>
            </w:r>
          </w:p>
        </w:tc>
        <w:tc>
          <w:tcPr>
            <w:tcW w:w="2552" w:type="dxa"/>
            <w:tcBorders>
              <w:top w:val="single" w:sz="4" w:space="0" w:color="auto"/>
              <w:bottom w:val="single" w:sz="6" w:space="0" w:color="auto"/>
            </w:tcBorders>
            <w:vAlign w:val="center"/>
          </w:tcPr>
          <w:p w14:paraId="1BDD6940" w14:textId="1320E2EA" w:rsidR="003030D4" w:rsidRPr="00CD1278" w:rsidRDefault="003030D4" w:rsidP="00896422">
            <w:pPr>
              <w:spacing w:after="0"/>
              <w:jc w:val="center"/>
              <w:rPr>
                <w:rFonts w:ascii="Arial" w:hAnsi="Arial"/>
                <w:b/>
                <w:color w:val="auto"/>
                <w:sz w:val="18"/>
                <w:szCs w:val="18"/>
              </w:rPr>
            </w:pPr>
            <w:r w:rsidRPr="00CD1278">
              <w:rPr>
                <w:rFonts w:ascii="Arial" w:hAnsi="Arial" w:cs="Arial"/>
                <w:b/>
                <w:bCs/>
                <w:color w:val="auto"/>
                <w:sz w:val="18"/>
                <w:szCs w:val="18"/>
              </w:rPr>
              <w:t>Interim recommendation for 2019</w:t>
            </w:r>
          </w:p>
        </w:tc>
        <w:tc>
          <w:tcPr>
            <w:tcW w:w="1559" w:type="dxa"/>
            <w:tcBorders>
              <w:top w:val="single" w:sz="4" w:space="0" w:color="auto"/>
              <w:bottom w:val="single" w:sz="6" w:space="0" w:color="auto"/>
            </w:tcBorders>
            <w:vAlign w:val="center"/>
          </w:tcPr>
          <w:p w14:paraId="181B7C8B" w14:textId="7B121A2A" w:rsidR="003030D4" w:rsidRPr="00CD1278" w:rsidRDefault="003030D4" w:rsidP="00896422">
            <w:pPr>
              <w:spacing w:after="0"/>
              <w:jc w:val="center"/>
              <w:rPr>
                <w:rFonts w:ascii="Arial" w:hAnsi="Arial" w:cs="Arial"/>
                <w:b/>
                <w:bCs/>
                <w:color w:val="auto"/>
                <w:sz w:val="18"/>
                <w:szCs w:val="18"/>
              </w:rPr>
            </w:pPr>
          </w:p>
        </w:tc>
        <w:tc>
          <w:tcPr>
            <w:tcW w:w="2004" w:type="dxa"/>
            <w:tcBorders>
              <w:top w:val="single" w:sz="4" w:space="0" w:color="auto"/>
              <w:bottom w:val="single" w:sz="6" w:space="0" w:color="auto"/>
            </w:tcBorders>
            <w:vAlign w:val="center"/>
          </w:tcPr>
          <w:p w14:paraId="71858E20" w14:textId="77777777" w:rsidR="003030D4" w:rsidRPr="00CD1278" w:rsidRDefault="003030D4" w:rsidP="00896422">
            <w:pPr>
              <w:spacing w:after="0"/>
              <w:jc w:val="center"/>
              <w:rPr>
                <w:rFonts w:ascii="Arial" w:hAnsi="Arial" w:cs="Arial"/>
                <w:b/>
                <w:bCs/>
                <w:color w:val="auto"/>
                <w:sz w:val="20"/>
              </w:rPr>
            </w:pPr>
          </w:p>
        </w:tc>
      </w:tr>
      <w:tr w:rsidR="003C102E" w:rsidRPr="00CD1278" w14:paraId="2C3E155A" w14:textId="77777777" w:rsidTr="00F97A8E">
        <w:trPr>
          <w:trHeight w:val="656"/>
        </w:trPr>
        <w:tc>
          <w:tcPr>
            <w:tcW w:w="1101" w:type="dxa"/>
            <w:vAlign w:val="center"/>
          </w:tcPr>
          <w:p w14:paraId="40474CE8" w14:textId="77777777" w:rsidR="003030D4" w:rsidRPr="00CD1278" w:rsidRDefault="003030D4" w:rsidP="00896422">
            <w:pPr>
              <w:spacing w:after="0"/>
              <w:rPr>
                <w:rFonts w:ascii="Arial" w:hAnsi="Arial"/>
                <w:color w:val="auto"/>
                <w:sz w:val="18"/>
                <w:szCs w:val="18"/>
              </w:rPr>
            </w:pPr>
            <w:r w:rsidRPr="00CD1278">
              <w:rPr>
                <w:rFonts w:ascii="Arial" w:hAnsi="Arial"/>
                <w:color w:val="auto"/>
                <w:sz w:val="18"/>
                <w:szCs w:val="18"/>
              </w:rPr>
              <w:t>South Africa</w:t>
            </w:r>
          </w:p>
        </w:tc>
        <w:tc>
          <w:tcPr>
            <w:tcW w:w="1134" w:type="dxa"/>
            <w:tcBorders>
              <w:top w:val="single" w:sz="6" w:space="0" w:color="auto"/>
              <w:bottom w:val="single" w:sz="6" w:space="0" w:color="auto"/>
            </w:tcBorders>
            <w:shd w:val="clear" w:color="auto" w:fill="FFFF99"/>
            <w:vAlign w:val="center"/>
          </w:tcPr>
          <w:p w14:paraId="0A5E37A7" w14:textId="77777777" w:rsidR="003030D4" w:rsidRPr="00CD1278" w:rsidRDefault="003030D4" w:rsidP="00896422">
            <w:pPr>
              <w:spacing w:after="0"/>
              <w:rPr>
                <w:rFonts w:ascii="Arial" w:hAnsi="Arial"/>
                <w:color w:val="auto"/>
                <w:sz w:val="18"/>
                <w:szCs w:val="18"/>
              </w:rPr>
            </w:pPr>
            <w:r w:rsidRPr="00CD1278">
              <w:rPr>
                <w:rFonts w:ascii="Arial" w:hAnsi="Arial"/>
                <w:color w:val="auto"/>
                <w:sz w:val="18"/>
                <w:szCs w:val="18"/>
              </w:rPr>
              <w:t>Mills</w:t>
            </w:r>
          </w:p>
        </w:tc>
        <w:tc>
          <w:tcPr>
            <w:tcW w:w="933" w:type="dxa"/>
            <w:tcBorders>
              <w:top w:val="single" w:sz="6" w:space="0" w:color="auto"/>
              <w:bottom w:val="single" w:sz="6" w:space="0" w:color="auto"/>
            </w:tcBorders>
            <w:shd w:val="clear" w:color="auto" w:fill="FFFF99"/>
            <w:vAlign w:val="center"/>
          </w:tcPr>
          <w:p w14:paraId="5B89AD33" w14:textId="77777777" w:rsidR="003030D4" w:rsidRPr="00CD1278" w:rsidRDefault="003030D4" w:rsidP="00896422">
            <w:pPr>
              <w:tabs>
                <w:tab w:val="right" w:pos="635"/>
              </w:tabs>
              <w:spacing w:after="0"/>
              <w:jc w:val="center"/>
              <w:rPr>
                <w:rFonts w:ascii="Arial" w:hAnsi="Arial"/>
                <w:b/>
                <w:color w:val="auto"/>
                <w:sz w:val="18"/>
                <w:szCs w:val="18"/>
              </w:rPr>
            </w:pPr>
            <w:r w:rsidRPr="00CD1278">
              <w:rPr>
                <w:rFonts w:ascii="Arial" w:hAnsi="Arial"/>
                <w:b/>
                <w:color w:val="auto"/>
                <w:sz w:val="18"/>
                <w:szCs w:val="18"/>
              </w:rPr>
              <w:t>--</w:t>
            </w:r>
          </w:p>
        </w:tc>
        <w:tc>
          <w:tcPr>
            <w:tcW w:w="900" w:type="dxa"/>
            <w:tcBorders>
              <w:top w:val="single" w:sz="6" w:space="0" w:color="auto"/>
              <w:bottom w:val="single" w:sz="6" w:space="0" w:color="auto"/>
            </w:tcBorders>
            <w:shd w:val="clear" w:color="auto" w:fill="FFFF99"/>
            <w:vAlign w:val="center"/>
          </w:tcPr>
          <w:p w14:paraId="4BC66BD2" w14:textId="77777777" w:rsidR="003030D4" w:rsidRPr="00CD1278" w:rsidRDefault="003030D4" w:rsidP="00896422">
            <w:pPr>
              <w:spacing w:after="0"/>
              <w:jc w:val="center"/>
              <w:rPr>
                <w:rFonts w:ascii="Arial" w:hAnsi="Arial"/>
                <w:color w:val="auto"/>
                <w:sz w:val="18"/>
                <w:szCs w:val="18"/>
              </w:rPr>
            </w:pPr>
            <w:r w:rsidRPr="00CD1278">
              <w:rPr>
                <w:rFonts w:ascii="Arial" w:hAnsi="Arial"/>
                <w:color w:val="auto"/>
                <w:sz w:val="18"/>
                <w:szCs w:val="18"/>
              </w:rPr>
              <w:t>13.0</w:t>
            </w:r>
          </w:p>
        </w:tc>
        <w:tc>
          <w:tcPr>
            <w:tcW w:w="1080" w:type="dxa"/>
            <w:tcBorders>
              <w:top w:val="single" w:sz="6" w:space="0" w:color="auto"/>
              <w:bottom w:val="single" w:sz="6" w:space="0" w:color="auto"/>
            </w:tcBorders>
            <w:shd w:val="clear" w:color="auto" w:fill="FFFF99"/>
            <w:vAlign w:val="center"/>
          </w:tcPr>
          <w:p w14:paraId="16233F84" w14:textId="77777777" w:rsidR="003030D4" w:rsidRPr="00CD1278" w:rsidRDefault="003030D4" w:rsidP="00896422">
            <w:pPr>
              <w:spacing w:after="0"/>
              <w:jc w:val="center"/>
              <w:rPr>
                <w:rFonts w:ascii="Arial" w:hAnsi="Arial"/>
                <w:b/>
                <w:color w:val="auto"/>
                <w:sz w:val="18"/>
                <w:szCs w:val="18"/>
              </w:rPr>
            </w:pPr>
            <w:r w:rsidRPr="00CD1278">
              <w:rPr>
                <w:rFonts w:ascii="Arial" w:hAnsi="Arial"/>
                <w:color w:val="auto"/>
                <w:sz w:val="18"/>
                <w:szCs w:val="18"/>
              </w:rPr>
              <w:t>5.462</w:t>
            </w:r>
          </w:p>
        </w:tc>
        <w:tc>
          <w:tcPr>
            <w:tcW w:w="1056" w:type="dxa"/>
            <w:tcBorders>
              <w:top w:val="single" w:sz="6" w:space="0" w:color="auto"/>
              <w:bottom w:val="single" w:sz="6" w:space="0" w:color="auto"/>
            </w:tcBorders>
            <w:shd w:val="clear" w:color="auto" w:fill="FFFF99"/>
            <w:vAlign w:val="center"/>
          </w:tcPr>
          <w:p w14:paraId="614877D4" w14:textId="77777777" w:rsidR="003030D4" w:rsidRPr="00CD1278" w:rsidRDefault="003030D4" w:rsidP="00896422">
            <w:pPr>
              <w:spacing w:after="0"/>
              <w:jc w:val="center"/>
              <w:rPr>
                <w:rFonts w:ascii="Arial" w:hAnsi="Arial"/>
                <w:color w:val="auto"/>
                <w:sz w:val="18"/>
                <w:szCs w:val="18"/>
              </w:rPr>
            </w:pPr>
            <w:r w:rsidRPr="00CD1278">
              <w:rPr>
                <w:rFonts w:ascii="Arial" w:hAnsi="Arial"/>
                <w:color w:val="auto"/>
                <w:sz w:val="18"/>
                <w:szCs w:val="18"/>
              </w:rPr>
              <w:t>4.10</w:t>
            </w:r>
          </w:p>
        </w:tc>
        <w:tc>
          <w:tcPr>
            <w:tcW w:w="1275" w:type="dxa"/>
            <w:tcBorders>
              <w:top w:val="single" w:sz="6" w:space="0" w:color="auto"/>
              <w:bottom w:val="single" w:sz="6" w:space="0" w:color="auto"/>
            </w:tcBorders>
            <w:shd w:val="clear" w:color="auto" w:fill="FFFF99"/>
            <w:vAlign w:val="center"/>
          </w:tcPr>
          <w:p w14:paraId="3429E7CB" w14:textId="0082C3C2" w:rsidR="003030D4" w:rsidRPr="00CD1278" w:rsidRDefault="003030D4" w:rsidP="00896422">
            <w:pPr>
              <w:spacing w:after="0"/>
              <w:jc w:val="center"/>
              <w:rPr>
                <w:rFonts w:ascii="Arial" w:hAnsi="Arial"/>
                <w:color w:val="auto"/>
                <w:sz w:val="18"/>
                <w:szCs w:val="18"/>
              </w:rPr>
            </w:pPr>
            <w:r w:rsidRPr="00CD1278">
              <w:rPr>
                <w:rFonts w:ascii="Arial" w:hAnsi="Arial"/>
                <w:color w:val="auto"/>
                <w:sz w:val="18"/>
                <w:szCs w:val="18"/>
              </w:rPr>
              <w:t>2.90</w:t>
            </w:r>
          </w:p>
        </w:tc>
        <w:tc>
          <w:tcPr>
            <w:tcW w:w="1021" w:type="dxa"/>
            <w:tcBorders>
              <w:top w:val="single" w:sz="6" w:space="0" w:color="auto"/>
              <w:bottom w:val="single" w:sz="6" w:space="0" w:color="auto"/>
            </w:tcBorders>
            <w:shd w:val="clear" w:color="auto" w:fill="FFFF99"/>
            <w:vAlign w:val="center"/>
          </w:tcPr>
          <w:p w14:paraId="46AE202D" w14:textId="339C9EC0" w:rsidR="003030D4" w:rsidRPr="00CD1278" w:rsidRDefault="003030D4" w:rsidP="00896422">
            <w:pPr>
              <w:spacing w:after="0"/>
              <w:jc w:val="center"/>
              <w:rPr>
                <w:rFonts w:ascii="Arial" w:hAnsi="Arial"/>
                <w:b/>
                <w:color w:val="auto"/>
                <w:sz w:val="18"/>
                <w:szCs w:val="18"/>
              </w:rPr>
            </w:pPr>
            <w:r w:rsidRPr="00CD1278">
              <w:rPr>
                <w:rFonts w:ascii="Arial" w:hAnsi="Arial"/>
                <w:b/>
                <w:color w:val="auto"/>
                <w:sz w:val="18"/>
                <w:szCs w:val="18"/>
              </w:rPr>
              <w:t>2.00</w:t>
            </w:r>
          </w:p>
        </w:tc>
        <w:tc>
          <w:tcPr>
            <w:tcW w:w="2552" w:type="dxa"/>
            <w:tcBorders>
              <w:top w:val="single" w:sz="6" w:space="0" w:color="auto"/>
              <w:bottom w:val="single" w:sz="6" w:space="0" w:color="auto"/>
            </w:tcBorders>
            <w:shd w:val="clear" w:color="auto" w:fill="FFFF99"/>
            <w:vAlign w:val="center"/>
          </w:tcPr>
          <w:p w14:paraId="2115387D" w14:textId="50D7AD61" w:rsidR="003030D4" w:rsidRPr="00CD1278" w:rsidRDefault="003030D4" w:rsidP="00896422">
            <w:pPr>
              <w:spacing w:after="0"/>
              <w:jc w:val="center"/>
              <w:rPr>
                <w:rFonts w:ascii="Arial" w:hAnsi="Arial"/>
                <w:b/>
                <w:color w:val="auto"/>
                <w:sz w:val="18"/>
                <w:szCs w:val="18"/>
              </w:rPr>
            </w:pPr>
            <w:r w:rsidRPr="00CD1278">
              <w:rPr>
                <w:rFonts w:ascii="Arial" w:hAnsi="Arial"/>
                <w:b/>
                <w:color w:val="auto"/>
                <w:sz w:val="18"/>
              </w:rPr>
              <w:t>[0.3]</w:t>
            </w:r>
          </w:p>
        </w:tc>
        <w:tc>
          <w:tcPr>
            <w:tcW w:w="1559" w:type="dxa"/>
            <w:tcBorders>
              <w:top w:val="single" w:sz="6" w:space="0" w:color="auto"/>
              <w:bottom w:val="single" w:sz="6" w:space="0" w:color="auto"/>
            </w:tcBorders>
            <w:shd w:val="clear" w:color="auto" w:fill="FFFF99"/>
            <w:vAlign w:val="center"/>
          </w:tcPr>
          <w:p w14:paraId="4624DA98" w14:textId="7D234CF8" w:rsidR="003030D4" w:rsidRPr="00CD1278" w:rsidRDefault="003030D4" w:rsidP="00896422">
            <w:pPr>
              <w:spacing w:after="0"/>
              <w:jc w:val="center"/>
              <w:rPr>
                <w:rFonts w:ascii="Arial" w:hAnsi="Arial"/>
                <w:color w:val="auto"/>
                <w:sz w:val="18"/>
              </w:rPr>
            </w:pPr>
          </w:p>
        </w:tc>
        <w:tc>
          <w:tcPr>
            <w:tcW w:w="2004" w:type="dxa"/>
            <w:tcBorders>
              <w:top w:val="single" w:sz="6" w:space="0" w:color="auto"/>
              <w:bottom w:val="single" w:sz="6" w:space="0" w:color="auto"/>
            </w:tcBorders>
            <w:shd w:val="clear" w:color="auto" w:fill="FFFF99"/>
            <w:vAlign w:val="center"/>
          </w:tcPr>
          <w:p w14:paraId="0EE2C221" w14:textId="77777777" w:rsidR="003030D4" w:rsidRPr="00CD1278" w:rsidRDefault="003030D4" w:rsidP="00896422">
            <w:pPr>
              <w:spacing w:after="0"/>
              <w:rPr>
                <w:rFonts w:ascii="Arial" w:hAnsi="Arial"/>
                <w:color w:val="auto"/>
                <w:sz w:val="18"/>
              </w:rPr>
            </w:pPr>
          </w:p>
        </w:tc>
      </w:tr>
      <w:tr w:rsidR="003C102E" w:rsidRPr="00CD1278" w14:paraId="62FA3DFF" w14:textId="77777777" w:rsidTr="00F97A8E">
        <w:trPr>
          <w:trHeight w:val="6931"/>
        </w:trPr>
        <w:tc>
          <w:tcPr>
            <w:tcW w:w="1101" w:type="dxa"/>
          </w:tcPr>
          <w:p w14:paraId="64C5DB5C" w14:textId="77777777" w:rsidR="003030D4" w:rsidRPr="00CD1278" w:rsidRDefault="003030D4" w:rsidP="00896422">
            <w:pPr>
              <w:spacing w:before="60" w:after="60"/>
              <w:jc w:val="center"/>
              <w:rPr>
                <w:rFonts w:ascii="Arial" w:hAnsi="Arial" w:cs="Arial"/>
                <w:color w:val="auto"/>
                <w:sz w:val="20"/>
              </w:rPr>
            </w:pPr>
          </w:p>
        </w:tc>
        <w:tc>
          <w:tcPr>
            <w:tcW w:w="13514" w:type="dxa"/>
            <w:gridSpan w:val="10"/>
            <w:tcBorders>
              <w:top w:val="single" w:sz="6" w:space="0" w:color="auto"/>
              <w:bottom w:val="single" w:sz="6" w:space="0" w:color="auto"/>
            </w:tcBorders>
            <w:shd w:val="clear" w:color="auto" w:fill="FFFFFF" w:themeFill="background1"/>
          </w:tcPr>
          <w:p w14:paraId="157D4512" w14:textId="77777777" w:rsidR="003030D4" w:rsidRPr="00CD1278" w:rsidRDefault="003030D4" w:rsidP="00896422">
            <w:pPr>
              <w:spacing w:before="120" w:after="120"/>
              <w:jc w:val="both"/>
              <w:rPr>
                <w:b/>
                <w:color w:val="auto"/>
                <w:sz w:val="18"/>
                <w:szCs w:val="18"/>
                <w:lang w:eastAsia="he-IL"/>
              </w:rPr>
            </w:pPr>
            <w:r w:rsidRPr="00CD1278">
              <w:rPr>
                <w:rFonts w:ascii="Arial" w:hAnsi="Arial"/>
                <w:b/>
                <w:color w:val="auto"/>
                <w:sz w:val="18"/>
                <w:szCs w:val="18"/>
              </w:rPr>
              <w:t>MBTOC interim recommendation for 2019:</w:t>
            </w:r>
          </w:p>
          <w:p w14:paraId="01CF858E" w14:textId="77777777" w:rsidR="003030D4" w:rsidRPr="00CD1278" w:rsidRDefault="003030D4" w:rsidP="00896422">
            <w:pPr>
              <w:spacing w:after="200"/>
              <w:rPr>
                <w:rFonts w:ascii="Arial" w:hAnsi="Arial"/>
                <w:color w:val="auto"/>
                <w:sz w:val="18"/>
                <w:szCs w:val="18"/>
              </w:rPr>
            </w:pPr>
            <w:r w:rsidRPr="00CD1278">
              <w:rPr>
                <w:rFonts w:ascii="Arial" w:hAnsi="Arial"/>
                <w:color w:val="auto"/>
                <w:sz w:val="18"/>
                <w:szCs w:val="18"/>
              </w:rPr>
              <w:t>MBTOC recommends a reduced amount of 0.3 tonnes for MB use in 2019, for pest control in the three specific nominated mills. This recommendation represents a reduction of 90% from the approved amount of the CUE for 2018. It is based on an amount of MB sufficient for a single fumigation per year per mill at 20 g/m</w:t>
            </w:r>
            <w:r w:rsidRPr="00CD1278">
              <w:rPr>
                <w:rFonts w:ascii="Arial" w:hAnsi="Arial"/>
                <w:color w:val="auto"/>
                <w:sz w:val="18"/>
                <w:szCs w:val="18"/>
                <w:vertAlign w:val="superscript"/>
              </w:rPr>
              <w:t>3</w:t>
            </w:r>
            <w:r w:rsidRPr="00CD1278">
              <w:rPr>
                <w:rFonts w:ascii="Arial" w:hAnsi="Arial"/>
                <w:color w:val="auto"/>
                <w:sz w:val="18"/>
                <w:szCs w:val="18"/>
              </w:rPr>
              <w:t xml:space="preserve"> (MBTOC standard presumption) as a further transitional measure to allow time for adoption and optimisation of alternatives in an IPM system, with phase-in of SF if desired. </w:t>
            </w:r>
          </w:p>
          <w:p w14:paraId="11434D0A" w14:textId="77777777" w:rsidR="003030D4" w:rsidRPr="00CD1278" w:rsidRDefault="003030D4" w:rsidP="00896422">
            <w:pPr>
              <w:spacing w:after="200"/>
              <w:rPr>
                <w:rFonts w:ascii="Arial" w:hAnsi="Arial"/>
                <w:b/>
                <w:color w:val="auto"/>
                <w:sz w:val="18"/>
                <w:szCs w:val="18"/>
              </w:rPr>
            </w:pPr>
            <w:r w:rsidRPr="00CD1278">
              <w:rPr>
                <w:rFonts w:ascii="Arial" w:hAnsi="Arial"/>
                <w:b/>
                <w:color w:val="auto"/>
                <w:sz w:val="18"/>
                <w:szCs w:val="18"/>
              </w:rPr>
              <w:t xml:space="preserve">Nomination by the Party for 2019: </w:t>
            </w:r>
          </w:p>
          <w:p w14:paraId="5DEF31CE" w14:textId="4E4CCFD0" w:rsidR="003030D4" w:rsidRPr="00CD1278" w:rsidRDefault="003030D4" w:rsidP="00896422">
            <w:pPr>
              <w:spacing w:after="200"/>
              <w:rPr>
                <w:b/>
                <w:color w:val="auto"/>
                <w:sz w:val="18"/>
                <w:szCs w:val="18"/>
                <w:lang w:eastAsia="he-IL"/>
              </w:rPr>
            </w:pPr>
            <w:r w:rsidRPr="00CD1278">
              <w:rPr>
                <w:rFonts w:ascii="Arial" w:hAnsi="Arial"/>
                <w:color w:val="auto"/>
                <w:sz w:val="18"/>
                <w:szCs w:val="18"/>
              </w:rPr>
              <w:t>The Party nominated 2.0 tonnes methyl bromide for fumigation of three specific mills, producing maize grits. At the rates and frequency of treatment given in the CUN, annual consumption by the three mills is shown to be 1.8 tonnes (CUN p16). The difference between this use and the quantity nominated was not specified.</w:t>
            </w:r>
          </w:p>
          <w:p w14:paraId="3C568D05" w14:textId="77777777" w:rsidR="003030D4" w:rsidRPr="00CD1278" w:rsidRDefault="003030D4" w:rsidP="00896422">
            <w:pPr>
              <w:widowControl w:val="0"/>
              <w:autoSpaceDE w:val="0"/>
              <w:autoSpaceDN w:val="0"/>
              <w:adjustRightInd w:val="0"/>
              <w:spacing w:after="200"/>
              <w:rPr>
                <w:rFonts w:ascii="Arial" w:hAnsi="Arial"/>
                <w:b/>
                <w:color w:val="auto"/>
                <w:sz w:val="18"/>
                <w:szCs w:val="18"/>
              </w:rPr>
            </w:pPr>
            <w:r w:rsidRPr="00CD1278">
              <w:rPr>
                <w:rFonts w:ascii="Arial" w:hAnsi="Arial"/>
                <w:b/>
                <w:color w:val="auto"/>
                <w:sz w:val="18"/>
                <w:szCs w:val="18"/>
              </w:rPr>
              <w:t>Circumstances of the nomination:</w:t>
            </w:r>
          </w:p>
          <w:p w14:paraId="5F6CC2D8" w14:textId="73CD3301" w:rsidR="003030D4" w:rsidRPr="00CD1278" w:rsidRDefault="003030D4" w:rsidP="00896422">
            <w:pPr>
              <w:widowControl w:val="0"/>
              <w:autoSpaceDE w:val="0"/>
              <w:autoSpaceDN w:val="0"/>
              <w:adjustRightInd w:val="0"/>
              <w:spacing w:after="200"/>
              <w:rPr>
                <w:rFonts w:ascii="Arial" w:hAnsi="Arial"/>
                <w:color w:val="auto"/>
                <w:sz w:val="18"/>
                <w:szCs w:val="18"/>
              </w:rPr>
            </w:pPr>
            <w:r w:rsidRPr="00CD1278">
              <w:rPr>
                <w:rFonts w:ascii="Arial" w:hAnsi="Arial"/>
                <w:color w:val="auto"/>
                <w:sz w:val="18"/>
                <w:szCs w:val="18"/>
              </w:rPr>
              <w:t>In the CUN submitted in 2017 for use in 2018, the Party nominated 5 t of MB for the fumigation of 8 grain mills, total capacity of 148,540 m³, for pest control against common stored product insect pests. Individual mills were then treated at least once a year, usually at about 25 g/m</w:t>
            </w:r>
            <w:r w:rsidRPr="00CD1278">
              <w:rPr>
                <w:rFonts w:ascii="Arial" w:hAnsi="Arial"/>
                <w:color w:val="auto"/>
                <w:sz w:val="18"/>
                <w:szCs w:val="18"/>
                <w:vertAlign w:val="superscript"/>
              </w:rPr>
              <w:t>3</w:t>
            </w:r>
            <w:r w:rsidRPr="00CD1278">
              <w:rPr>
                <w:rFonts w:ascii="Arial" w:hAnsi="Arial"/>
                <w:color w:val="auto"/>
                <w:sz w:val="18"/>
                <w:szCs w:val="18"/>
              </w:rPr>
              <w:t>. This is a reduction from the 48 g/m</w:t>
            </w:r>
            <w:r w:rsidRPr="00CD1278">
              <w:rPr>
                <w:rFonts w:ascii="Arial" w:hAnsi="Arial"/>
                <w:color w:val="auto"/>
                <w:sz w:val="18"/>
                <w:szCs w:val="18"/>
                <w:vertAlign w:val="superscript"/>
              </w:rPr>
              <w:t>3</w:t>
            </w:r>
            <w:r w:rsidRPr="00CD1278">
              <w:rPr>
                <w:rFonts w:ascii="Arial" w:hAnsi="Arial"/>
                <w:color w:val="auto"/>
                <w:sz w:val="18"/>
                <w:szCs w:val="18"/>
              </w:rPr>
              <w:t xml:space="preserve"> used by the party in the past. Use of methyl bromide fumigation was on a routine calendar basis, and not according to prevalence of pests. This is to ensure output of uninfested product from the mills and to comply with certification accreditation. </w:t>
            </w:r>
          </w:p>
          <w:p w14:paraId="6A7BC3FD" w14:textId="58A518C4" w:rsidR="003030D4" w:rsidRPr="00CD1278" w:rsidRDefault="003030D4" w:rsidP="00896422">
            <w:pPr>
              <w:widowControl w:val="0"/>
              <w:autoSpaceDE w:val="0"/>
              <w:autoSpaceDN w:val="0"/>
              <w:adjustRightInd w:val="0"/>
              <w:spacing w:after="200"/>
              <w:rPr>
                <w:b/>
                <w:color w:val="auto"/>
                <w:sz w:val="18"/>
                <w:szCs w:val="18"/>
                <w:lang w:eastAsia="he-IL"/>
              </w:rPr>
            </w:pPr>
            <w:r w:rsidRPr="00CD1278">
              <w:rPr>
                <w:rFonts w:ascii="Arial" w:hAnsi="Arial"/>
                <w:color w:val="auto"/>
                <w:sz w:val="18"/>
                <w:szCs w:val="18"/>
              </w:rPr>
              <w:t>The CUN submitted this year for use in 2019 was for 2.0 tonnes of methyl bromide to treat three old and small remaining mills, total capacity 11,851 m</w:t>
            </w:r>
            <w:r w:rsidRPr="00CD1278">
              <w:rPr>
                <w:rFonts w:ascii="Arial" w:hAnsi="Arial"/>
                <w:color w:val="auto"/>
                <w:sz w:val="18"/>
                <w:szCs w:val="18"/>
                <w:vertAlign w:val="superscript"/>
              </w:rPr>
              <w:t>3</w:t>
            </w:r>
            <w:r w:rsidRPr="00CD1278">
              <w:rPr>
                <w:rFonts w:ascii="Arial" w:hAnsi="Arial"/>
                <w:color w:val="auto"/>
                <w:sz w:val="18"/>
                <w:szCs w:val="18"/>
              </w:rPr>
              <w:t>, at high dosage rates and three times a year, possibly with other unspecified uses.</w:t>
            </w:r>
          </w:p>
          <w:p w14:paraId="291AB3DA" w14:textId="461D71D0" w:rsidR="003030D4" w:rsidRPr="00CD1278" w:rsidRDefault="003030D4" w:rsidP="00896422">
            <w:pPr>
              <w:spacing w:after="200"/>
              <w:jc w:val="both"/>
              <w:rPr>
                <w:rFonts w:ascii="Arial" w:hAnsi="Arial" w:cs="Arial"/>
                <w:color w:val="auto"/>
                <w:sz w:val="18"/>
                <w:szCs w:val="18"/>
              </w:rPr>
            </w:pPr>
            <w:r w:rsidRPr="00CD1278">
              <w:rPr>
                <w:rFonts w:ascii="Arial" w:hAnsi="Arial"/>
                <w:color w:val="auto"/>
                <w:sz w:val="18"/>
                <w:szCs w:val="18"/>
              </w:rPr>
              <w:t xml:space="preserve">Grain mills in South Africa have to comply with stringent requirements for hygiene to attain insect and pest free conditions during production and storage. These relate to both local and international insect control and quality assurance standards. Full site treatments with heat, SF or phosphine were considered as alternatives by the Party, but were found not currently feasible. According to the Party, SF has only recently been registered for mill fumigation. Phosphine fumigation was considered inappropriate because of cost of downtime, the associated corrosion and risk of damage to sensitive electrical and electronic apparatus in mill machinery. Heat treatment was </w:t>
            </w:r>
            <w:r w:rsidRPr="00CD1278">
              <w:rPr>
                <w:rFonts w:ascii="Arial" w:hAnsi="Arial" w:cs="Arial"/>
                <w:color w:val="auto"/>
                <w:sz w:val="18"/>
                <w:szCs w:val="18"/>
              </w:rPr>
              <w:t>considered not feasible because of the high capital cost of imported equipment needed to carry out the heating. MBTOC notes that heat treatment may be similar in running costs to the existing MB use with moderate capital investment requirements, significantly less than indicted in correspondence with this CUN ((Hofmeir, 2018; Kroll, 2018). Heat treatments may also be used to treat particular machines difficult to fully clean by other methods.</w:t>
            </w:r>
          </w:p>
          <w:p w14:paraId="00727E1A" w14:textId="77777777" w:rsidR="003030D4" w:rsidRPr="00CD1278" w:rsidRDefault="003030D4" w:rsidP="00896422">
            <w:pPr>
              <w:spacing w:after="200"/>
              <w:rPr>
                <w:rFonts w:ascii="Arial" w:hAnsi="Arial"/>
                <w:b/>
                <w:color w:val="auto"/>
                <w:sz w:val="18"/>
                <w:szCs w:val="18"/>
              </w:rPr>
            </w:pPr>
            <w:r w:rsidRPr="00CD1278">
              <w:rPr>
                <w:rFonts w:ascii="Arial" w:hAnsi="Arial"/>
                <w:b/>
                <w:color w:val="auto"/>
                <w:sz w:val="18"/>
                <w:szCs w:val="18"/>
              </w:rPr>
              <w:t>MBTOC assessment for MB use in this sector in 2018:</w:t>
            </w:r>
          </w:p>
          <w:p w14:paraId="435C5EFF" w14:textId="7F5AC275" w:rsidR="003030D4" w:rsidRPr="00CD1278" w:rsidRDefault="003030D4" w:rsidP="00896422">
            <w:pPr>
              <w:spacing w:after="200"/>
              <w:rPr>
                <w:rFonts w:ascii="Arial" w:hAnsi="Arial"/>
                <w:color w:val="auto"/>
                <w:sz w:val="18"/>
                <w:szCs w:val="18"/>
              </w:rPr>
            </w:pPr>
            <w:r w:rsidRPr="00CD1278">
              <w:rPr>
                <w:rFonts w:ascii="Arial" w:hAnsi="Arial"/>
                <w:color w:val="auto"/>
                <w:sz w:val="18"/>
                <w:szCs w:val="18"/>
              </w:rPr>
              <w:t xml:space="preserve">In the 2017 assessment of the RSA CUN for treatment of mills, MBTOC considered that various suitable alternatives were available and feasible for the necessary disinfestation of all mills in the </w:t>
            </w:r>
            <w:r w:rsidRPr="00CD1278">
              <w:rPr>
                <w:rFonts w:ascii="Arial" w:hAnsi="Arial" w:cs="Arial"/>
                <w:color w:val="auto"/>
                <w:sz w:val="18"/>
                <w:szCs w:val="18"/>
              </w:rPr>
              <w:t xml:space="preserve">CUN. Whole site fumigation of flour mills with methyl bromide has been discontinued in other countries. </w:t>
            </w:r>
            <w:r w:rsidRPr="00CD1278">
              <w:rPr>
                <w:rFonts w:ascii="Arial" w:hAnsi="Arial" w:cs="Arial"/>
                <w:color w:val="auto"/>
                <w:sz w:val="18"/>
                <w:szCs w:val="18"/>
                <w:lang w:eastAsia="he-IL"/>
              </w:rPr>
              <w:t>Where whole site treatment is still practiced, periodic applications have been carried out with heat or various other fumigants, principally SF (</w:t>
            </w:r>
            <w:r w:rsidRPr="00CD1278">
              <w:rPr>
                <w:rFonts w:ascii="Arial" w:eastAsia="Garamond" w:hAnsi="Arial" w:cs="Arial"/>
                <w:color w:val="auto"/>
                <w:sz w:val="18"/>
                <w:szCs w:val="18"/>
              </w:rPr>
              <w:t xml:space="preserve">Drinkall </w:t>
            </w:r>
            <w:r w:rsidRPr="00CD1278">
              <w:rPr>
                <w:rFonts w:ascii="Arial" w:eastAsia="Garamond" w:hAnsi="Arial" w:cs="Arial"/>
                <w:i/>
                <w:color w:val="auto"/>
                <w:sz w:val="18"/>
                <w:szCs w:val="18"/>
              </w:rPr>
              <w:t>et al</w:t>
            </w:r>
            <w:r w:rsidRPr="00CD1278">
              <w:rPr>
                <w:rFonts w:ascii="Arial" w:eastAsia="Garamond" w:hAnsi="Arial" w:cs="Arial"/>
                <w:color w:val="auto"/>
                <w:sz w:val="18"/>
                <w:szCs w:val="18"/>
              </w:rPr>
              <w:t xml:space="preserve">., 1996, 2003; Ducom </w:t>
            </w:r>
            <w:r w:rsidRPr="00CD1278">
              <w:rPr>
                <w:rFonts w:ascii="Arial" w:eastAsia="Garamond" w:hAnsi="Arial" w:cs="Arial"/>
                <w:i/>
                <w:color w:val="auto"/>
                <w:sz w:val="18"/>
                <w:szCs w:val="18"/>
              </w:rPr>
              <w:t>et al</w:t>
            </w:r>
            <w:r w:rsidRPr="00CD1278">
              <w:rPr>
                <w:rFonts w:ascii="Arial" w:eastAsia="Garamond" w:hAnsi="Arial" w:cs="Arial"/>
                <w:color w:val="auto"/>
                <w:sz w:val="18"/>
                <w:szCs w:val="18"/>
              </w:rPr>
              <w:t xml:space="preserve">., 2003; Reichmuth </w:t>
            </w:r>
            <w:r w:rsidRPr="00CD1278">
              <w:rPr>
                <w:rFonts w:ascii="Arial" w:eastAsia="Garamond" w:hAnsi="Arial" w:cs="Arial"/>
                <w:i/>
                <w:color w:val="auto"/>
                <w:sz w:val="18"/>
                <w:szCs w:val="18"/>
              </w:rPr>
              <w:t>et al</w:t>
            </w:r>
            <w:r w:rsidRPr="00CD1278">
              <w:rPr>
                <w:rFonts w:ascii="Arial" w:eastAsia="Garamond" w:hAnsi="Arial" w:cs="Arial"/>
                <w:color w:val="auto"/>
                <w:sz w:val="18"/>
                <w:szCs w:val="18"/>
              </w:rPr>
              <w:t xml:space="preserve">., 2003) </w:t>
            </w:r>
            <w:r w:rsidRPr="00CD1278">
              <w:rPr>
                <w:rFonts w:ascii="Arial" w:hAnsi="Arial" w:cs="Arial"/>
                <w:color w:val="auto"/>
                <w:sz w:val="18"/>
                <w:szCs w:val="18"/>
                <w:lang w:eastAsia="he-IL"/>
              </w:rPr>
              <w:t>and hydrogen cyanide (</w:t>
            </w:r>
            <w:r w:rsidRPr="00CD1278">
              <w:rPr>
                <w:rFonts w:ascii="Arial" w:hAnsi="Arial" w:cs="Arial"/>
                <w:color w:val="auto"/>
                <w:sz w:val="18"/>
                <w:szCs w:val="18"/>
              </w:rPr>
              <w:t>Rambeau, 2001)</w:t>
            </w:r>
            <w:r w:rsidRPr="00CD1278">
              <w:rPr>
                <w:rFonts w:ascii="Arial" w:hAnsi="Arial" w:cs="Arial"/>
                <w:color w:val="auto"/>
                <w:sz w:val="18"/>
                <w:szCs w:val="18"/>
                <w:lang w:eastAsia="he-IL"/>
              </w:rPr>
              <w:t xml:space="preserve">. </w:t>
            </w:r>
            <w:r w:rsidRPr="00CD1278">
              <w:rPr>
                <w:rFonts w:ascii="Arial" w:hAnsi="Arial"/>
                <w:color w:val="auto"/>
                <w:sz w:val="18"/>
                <w:szCs w:val="18"/>
              </w:rPr>
              <w:t xml:space="preserve">Some mills have never been fumigated with MB as whole site fumigations. Alternative targeted approaches may in some circumstances provide adequate insect infestation control </w:t>
            </w:r>
            <w:r w:rsidRPr="00CD1278">
              <w:rPr>
                <w:rFonts w:ascii="Arial" w:hAnsi="Arial" w:cs="Arial"/>
                <w:color w:val="auto"/>
                <w:sz w:val="18"/>
                <w:szCs w:val="18"/>
              </w:rPr>
              <w:t xml:space="preserve">(Belda </w:t>
            </w:r>
            <w:r w:rsidRPr="00CD1278">
              <w:rPr>
                <w:rFonts w:ascii="Arial" w:hAnsi="Arial" w:cs="Arial"/>
                <w:i/>
                <w:color w:val="auto"/>
                <w:sz w:val="18"/>
                <w:szCs w:val="18"/>
              </w:rPr>
              <w:t>et al</w:t>
            </w:r>
            <w:r w:rsidRPr="00CD1278">
              <w:rPr>
                <w:rFonts w:ascii="Arial" w:hAnsi="Arial" w:cs="Arial"/>
                <w:color w:val="auto"/>
                <w:sz w:val="18"/>
                <w:szCs w:val="18"/>
              </w:rPr>
              <w:t xml:space="preserve">., 2011). </w:t>
            </w:r>
            <w:r w:rsidRPr="00CD1278">
              <w:rPr>
                <w:rFonts w:ascii="Arial" w:hAnsi="Arial"/>
                <w:color w:val="auto"/>
                <w:sz w:val="18"/>
                <w:szCs w:val="18"/>
              </w:rPr>
              <w:t xml:space="preserve">Effective pest control in mills in general requires a combination of measures </w:t>
            </w:r>
            <w:r w:rsidRPr="00CD1278">
              <w:rPr>
                <w:rFonts w:ascii="Arial" w:hAnsi="Arial" w:cs="Arial"/>
                <w:color w:val="auto"/>
                <w:sz w:val="18"/>
                <w:szCs w:val="18"/>
                <w:lang w:eastAsia="he-IL"/>
              </w:rPr>
              <w:t>applied rationally</w:t>
            </w:r>
            <w:r w:rsidRPr="00CD1278">
              <w:rPr>
                <w:rFonts w:ascii="Arial" w:hAnsi="Arial"/>
                <w:color w:val="auto"/>
                <w:sz w:val="18"/>
                <w:szCs w:val="18"/>
              </w:rPr>
              <w:t xml:space="preserve"> including, as circumstances and registration </w:t>
            </w:r>
            <w:r w:rsidRPr="00CD1278">
              <w:rPr>
                <w:rFonts w:ascii="Arial" w:hAnsi="Arial" w:cs="Arial"/>
                <w:color w:val="auto"/>
                <w:sz w:val="18"/>
                <w:szCs w:val="18"/>
                <w:lang w:eastAsia="he-IL"/>
              </w:rPr>
              <w:t>permit</w:t>
            </w:r>
            <w:r w:rsidRPr="00CD1278">
              <w:rPr>
                <w:rFonts w:ascii="Arial" w:hAnsi="Arial"/>
                <w:color w:val="auto"/>
                <w:sz w:val="18"/>
                <w:szCs w:val="18"/>
              </w:rPr>
              <w:t>, localised and full-site heat treatment, fumigation with alternatives, as possible according to local registration and circumstances, and various diverse insect control measures applied as an IPM system. Pest control intervention may be guided by appropriate pest monitoring.</w:t>
            </w:r>
          </w:p>
          <w:p w14:paraId="4C64017E" w14:textId="0D1A2594" w:rsidR="003030D4" w:rsidRPr="00CD1278" w:rsidRDefault="003030D4" w:rsidP="00896422">
            <w:pPr>
              <w:spacing w:after="200"/>
              <w:rPr>
                <w:rFonts w:ascii="Arial" w:hAnsi="Arial"/>
                <w:color w:val="auto"/>
                <w:sz w:val="18"/>
                <w:szCs w:val="18"/>
              </w:rPr>
            </w:pPr>
            <w:r w:rsidRPr="00CD1278">
              <w:rPr>
                <w:rFonts w:ascii="Arial" w:hAnsi="Arial" w:cs="Arial"/>
                <w:color w:val="auto"/>
                <w:sz w:val="18"/>
                <w:szCs w:val="18"/>
              </w:rPr>
              <w:t xml:space="preserve">Schuh </w:t>
            </w:r>
            <w:r w:rsidRPr="00CD1278">
              <w:rPr>
                <w:rFonts w:ascii="Arial" w:hAnsi="Arial" w:cs="Arial"/>
                <w:i/>
                <w:color w:val="auto"/>
                <w:sz w:val="18"/>
                <w:szCs w:val="18"/>
              </w:rPr>
              <w:t>et al</w:t>
            </w:r>
            <w:r w:rsidRPr="00CD1278">
              <w:rPr>
                <w:rFonts w:ascii="Arial" w:hAnsi="Arial" w:cs="Arial"/>
                <w:color w:val="auto"/>
                <w:sz w:val="18"/>
                <w:szCs w:val="18"/>
              </w:rPr>
              <w:t>., (2008) describe in detail the combined use of SF and heat in a big mill in Germany. By applying the fumigant at elevated temperatures, a significant reduction of SF emission is possible since</w:t>
            </w:r>
            <w:r w:rsidRPr="00CD1278">
              <w:rPr>
                <w:rFonts w:ascii="Arial" w:hAnsi="Arial"/>
                <w:color w:val="auto"/>
                <w:sz w:val="18"/>
                <w:szCs w:val="18"/>
              </w:rPr>
              <w:t xml:space="preserve"> the increased metabolic rate of the pest insects and all their stages including eggs allow full control with fairly low ct products of the fumigant. The computer program FUMIGUIDE - supplied by the registrant - contains the lethality data for various insects and stages for the temperature range between 20°C and 40°C, enabling the fumigator to adjust the dosage to the target temperature within the treated premise.  </w:t>
            </w:r>
          </w:p>
          <w:p w14:paraId="49B53547" w14:textId="77777777" w:rsidR="003030D4" w:rsidRPr="00CD1278" w:rsidRDefault="003030D4" w:rsidP="00896422">
            <w:pPr>
              <w:spacing w:before="360"/>
              <w:rPr>
                <w:rFonts w:ascii="Arial" w:hAnsi="Arial"/>
                <w:b/>
                <w:color w:val="auto"/>
                <w:sz w:val="18"/>
                <w:szCs w:val="18"/>
              </w:rPr>
            </w:pPr>
            <w:r w:rsidRPr="00CD1278">
              <w:rPr>
                <w:rFonts w:ascii="Arial" w:hAnsi="Arial"/>
                <w:color w:val="auto"/>
                <w:sz w:val="18"/>
                <w:szCs w:val="18"/>
              </w:rPr>
              <w:t xml:space="preserve">Change from an established system of periodic routine MB treatment requires some time to trial, refine and implement, hence the continued partial MBTOC recommendation for this nominated CUE, despite the general availability of alternatives for this situation and transition of other mills, no longer included in the nomination. </w:t>
            </w:r>
          </w:p>
          <w:p w14:paraId="47C9C586" w14:textId="77777777" w:rsidR="003030D4" w:rsidRPr="00CD1278" w:rsidRDefault="003030D4" w:rsidP="00896422">
            <w:pPr>
              <w:jc w:val="both"/>
              <w:rPr>
                <w:rFonts w:ascii="Arial" w:hAnsi="Arial" w:cs="Arial"/>
                <w:color w:val="auto"/>
                <w:sz w:val="18"/>
                <w:szCs w:val="18"/>
              </w:rPr>
            </w:pPr>
            <w:r w:rsidRPr="00CD1278">
              <w:rPr>
                <w:rFonts w:ascii="Arial" w:hAnsi="Arial"/>
                <w:color w:val="auto"/>
                <w:sz w:val="18"/>
                <w:szCs w:val="18"/>
              </w:rPr>
              <w:t xml:space="preserve">This recommendation is based on MB sufficient for one fumigation per year per mill as a transitional measure to allow further timely optimisation of alternatives in the remaining mills. The recommendation is based on a dosage of 20 g/m³ (MBTOC standard presumptions) applied to well-sealed structures.  </w:t>
            </w:r>
            <w:r w:rsidRPr="00CD1278">
              <w:rPr>
                <w:rFonts w:ascii="Arial" w:hAnsi="Arial" w:cs="Arial"/>
                <w:color w:val="auto"/>
                <w:sz w:val="18"/>
                <w:szCs w:val="18"/>
              </w:rPr>
              <w:t>MBTOC anticipates that the frequency of whole site treatments can be further reduced, or even eliminated, by well-planned specific IPM programs for each mill. The quantity of methyl bromide has been rounded up to allow use of whole 100 kg cylinders for each mill treatment and to avoid the need for storage of part filled cylinders.</w:t>
            </w:r>
          </w:p>
          <w:p w14:paraId="22AB92A1" w14:textId="77777777" w:rsidR="003030D4" w:rsidRPr="00CD1278" w:rsidRDefault="003030D4" w:rsidP="00896422">
            <w:pPr>
              <w:rPr>
                <w:b/>
                <w:color w:val="auto"/>
                <w:sz w:val="18"/>
                <w:szCs w:val="18"/>
                <w:lang w:eastAsia="he-IL"/>
              </w:rPr>
            </w:pPr>
            <w:r w:rsidRPr="00CD1278">
              <w:rPr>
                <w:rFonts w:ascii="Arial" w:hAnsi="Arial" w:cs="Arial"/>
                <w:color w:val="auto"/>
                <w:sz w:val="18"/>
                <w:szCs w:val="18"/>
                <w:lang w:eastAsia="en-AU"/>
              </w:rPr>
              <w:t>MBTOC information suggests whole heat treatments may be similar in running cost to existing MB use with moderate capital investment requirements, significantly less than indicated in correspondence about this CUN. Heat treatments may also be used to treat particular machines, difficult to fully clean and to treat by other methods.</w:t>
            </w:r>
          </w:p>
          <w:p w14:paraId="2B24E203" w14:textId="77777777" w:rsidR="003030D4" w:rsidRPr="00CD1278" w:rsidRDefault="003030D4" w:rsidP="00896422">
            <w:pPr>
              <w:jc w:val="both"/>
              <w:rPr>
                <w:rFonts w:ascii="Arial" w:hAnsi="Arial" w:cs="Arial"/>
                <w:b/>
                <w:color w:val="auto"/>
                <w:sz w:val="18"/>
                <w:szCs w:val="18"/>
              </w:rPr>
            </w:pPr>
            <w:r w:rsidRPr="00CD1278">
              <w:rPr>
                <w:rFonts w:ascii="Arial" w:hAnsi="Arial" w:cs="Arial"/>
                <w:b/>
                <w:color w:val="auto"/>
                <w:sz w:val="18"/>
                <w:szCs w:val="18"/>
              </w:rPr>
              <w:t xml:space="preserve">MBTOC comments on economics provided in CUN for 2019: </w:t>
            </w:r>
          </w:p>
          <w:p w14:paraId="40FF576B" w14:textId="77777777" w:rsidR="003030D4" w:rsidRPr="00CD1278" w:rsidRDefault="003030D4" w:rsidP="00896422">
            <w:pPr>
              <w:rPr>
                <w:rFonts w:ascii="Arial" w:hAnsi="Arial"/>
                <w:color w:val="auto"/>
                <w:sz w:val="18"/>
                <w:szCs w:val="18"/>
              </w:rPr>
            </w:pPr>
            <w:r w:rsidRPr="00CD1278">
              <w:rPr>
                <w:rFonts w:ascii="Arial" w:hAnsi="Arial"/>
                <w:color w:val="auto"/>
                <w:sz w:val="18"/>
                <w:szCs w:val="18"/>
              </w:rPr>
              <w:t>No economic information relevant to the evaluation of the CUN has been provided.</w:t>
            </w:r>
          </w:p>
          <w:p w14:paraId="33FC7460" w14:textId="77777777" w:rsidR="003030D4" w:rsidRPr="00CD1278" w:rsidRDefault="003030D4" w:rsidP="00896422">
            <w:pPr>
              <w:spacing w:before="60" w:after="60"/>
              <w:jc w:val="both"/>
              <w:rPr>
                <w:rFonts w:ascii="Arial" w:hAnsi="Arial"/>
                <w:b/>
                <w:color w:val="auto"/>
                <w:sz w:val="18"/>
                <w:szCs w:val="18"/>
              </w:rPr>
            </w:pPr>
            <w:r w:rsidRPr="00CD1278">
              <w:rPr>
                <w:rFonts w:ascii="Arial" w:hAnsi="Arial"/>
                <w:b/>
                <w:color w:val="auto"/>
                <w:sz w:val="18"/>
                <w:szCs w:val="18"/>
              </w:rPr>
              <w:t>Comments requested in Dec. XX1/11 (para 9)</w:t>
            </w:r>
          </w:p>
          <w:p w14:paraId="77095446" w14:textId="77777777" w:rsidR="003030D4" w:rsidRPr="00CD1278" w:rsidRDefault="003030D4" w:rsidP="00896422">
            <w:pPr>
              <w:numPr>
                <w:ilvl w:val="0"/>
                <w:numId w:val="12"/>
              </w:numPr>
              <w:spacing w:after="120"/>
              <w:jc w:val="both"/>
              <w:rPr>
                <w:rFonts w:ascii="Arial" w:hAnsi="Arial"/>
                <w:color w:val="auto"/>
                <w:sz w:val="18"/>
                <w:szCs w:val="18"/>
              </w:rPr>
            </w:pPr>
            <w:r w:rsidRPr="00CD1278">
              <w:rPr>
                <w:rFonts w:ascii="Arial" w:hAnsi="Arial"/>
                <w:b/>
                <w:color w:val="auto"/>
                <w:sz w:val="18"/>
                <w:szCs w:val="18"/>
              </w:rPr>
              <w:t>Dec. IX/6 b (i) Emission Reduction:</w:t>
            </w:r>
            <w:r w:rsidRPr="00CD1278">
              <w:rPr>
                <w:rFonts w:ascii="Arial" w:hAnsi="Arial"/>
                <w:color w:val="auto"/>
                <w:sz w:val="18"/>
                <w:szCs w:val="18"/>
              </w:rPr>
              <w:t xml:space="preserve"> The CUN states that a high level of fumigant containment has been achieved. </w:t>
            </w:r>
          </w:p>
          <w:p w14:paraId="3BF2F39F" w14:textId="77777777" w:rsidR="003030D4" w:rsidRPr="00CD1278" w:rsidRDefault="003030D4" w:rsidP="00896422">
            <w:pPr>
              <w:numPr>
                <w:ilvl w:val="0"/>
                <w:numId w:val="12"/>
              </w:numPr>
              <w:spacing w:after="120"/>
              <w:jc w:val="both"/>
              <w:rPr>
                <w:rFonts w:ascii="Arial" w:hAnsi="Arial"/>
                <w:color w:val="auto"/>
                <w:sz w:val="18"/>
                <w:szCs w:val="18"/>
              </w:rPr>
            </w:pPr>
            <w:r w:rsidRPr="00CD1278">
              <w:rPr>
                <w:rFonts w:ascii="Arial" w:hAnsi="Arial"/>
                <w:b/>
                <w:color w:val="auto"/>
                <w:sz w:val="18"/>
                <w:szCs w:val="18"/>
              </w:rPr>
              <w:t>Dec. IX/6 b (iii) Research Program:</w:t>
            </w:r>
            <w:r w:rsidRPr="00CD1278">
              <w:rPr>
                <w:rFonts w:ascii="Arial" w:hAnsi="Arial"/>
                <w:color w:val="auto"/>
                <w:sz w:val="18"/>
                <w:szCs w:val="18"/>
              </w:rPr>
              <w:t xml:space="preserve"> MBTOC welcomes the registration of sulfuryl fluoride and ethyl formate as alternative fumigants for mills.</w:t>
            </w:r>
          </w:p>
          <w:p w14:paraId="7278EDB4" w14:textId="77777777" w:rsidR="003030D4" w:rsidRPr="00CD1278" w:rsidRDefault="003030D4" w:rsidP="00896422">
            <w:pPr>
              <w:pStyle w:val="ListParagraph"/>
              <w:numPr>
                <w:ilvl w:val="0"/>
                <w:numId w:val="12"/>
              </w:numPr>
              <w:spacing w:before="120" w:line="360" w:lineRule="auto"/>
              <w:jc w:val="both"/>
              <w:rPr>
                <w:rFonts w:ascii="Arial" w:hAnsi="Arial" w:cstheme="minorBidi"/>
                <w:color w:val="auto"/>
                <w:sz w:val="18"/>
                <w:szCs w:val="18"/>
                <w:lang w:eastAsia="he-IL"/>
              </w:rPr>
            </w:pPr>
            <w:r w:rsidRPr="00CD1278">
              <w:rPr>
                <w:rFonts w:ascii="Arial" w:hAnsi="Arial" w:cs="Arial"/>
                <w:b/>
                <w:color w:val="auto"/>
                <w:sz w:val="18"/>
                <w:szCs w:val="18"/>
                <w:lang w:eastAsia="he-IL"/>
              </w:rPr>
              <w:t>Dec. IX/6 b (iii) Appropriate Effort:</w:t>
            </w:r>
            <w:r w:rsidRPr="00CD1278">
              <w:rPr>
                <w:rFonts w:ascii="Arial" w:hAnsi="Arial" w:cs="Arial"/>
                <w:color w:val="auto"/>
                <w:sz w:val="18"/>
                <w:szCs w:val="18"/>
                <w:lang w:eastAsia="he-IL"/>
              </w:rPr>
              <w:t xml:space="preserve"> see previous paragraph.</w:t>
            </w:r>
          </w:p>
          <w:p w14:paraId="24441584" w14:textId="77777777" w:rsidR="003030D4" w:rsidRPr="00CD1278" w:rsidRDefault="003030D4" w:rsidP="00896422">
            <w:pPr>
              <w:pStyle w:val="ListParagraph"/>
              <w:numPr>
                <w:ilvl w:val="0"/>
                <w:numId w:val="12"/>
              </w:numPr>
              <w:spacing w:before="120"/>
              <w:jc w:val="both"/>
              <w:rPr>
                <w:rFonts w:ascii="Arial" w:hAnsi="Arial" w:cstheme="minorBidi"/>
                <w:color w:val="auto"/>
                <w:sz w:val="18"/>
                <w:szCs w:val="18"/>
                <w:lang w:eastAsia="he-IL"/>
              </w:rPr>
            </w:pPr>
            <w:r w:rsidRPr="00CD1278">
              <w:rPr>
                <w:rFonts w:ascii="Arial" w:hAnsi="Arial"/>
                <w:b/>
                <w:color w:val="auto"/>
                <w:sz w:val="18"/>
                <w:szCs w:val="18"/>
              </w:rPr>
              <w:t xml:space="preserve">Dec. Ex 1(4) Annex 1 National Management Strategy: </w:t>
            </w:r>
            <w:r w:rsidRPr="00CD1278">
              <w:rPr>
                <w:rFonts w:ascii="Arial" w:hAnsi="Arial"/>
                <w:color w:val="auto"/>
                <w:sz w:val="18"/>
                <w:szCs w:val="18"/>
              </w:rPr>
              <w:t>No detailed Management Strategy was provided, however MB use in this sector will gradually be replaced by SF within the next few years. SF was recently in January 2018 registered alternative fumigant.</w:t>
            </w:r>
          </w:p>
        </w:tc>
      </w:tr>
    </w:tbl>
    <w:tbl>
      <w:tblPr>
        <w:tblW w:w="1450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0"/>
        <w:gridCol w:w="1029"/>
        <w:gridCol w:w="1041"/>
        <w:gridCol w:w="900"/>
        <w:gridCol w:w="900"/>
        <w:gridCol w:w="1236"/>
        <w:gridCol w:w="1134"/>
        <w:gridCol w:w="1304"/>
        <w:gridCol w:w="2552"/>
        <w:gridCol w:w="1530"/>
        <w:gridCol w:w="1891"/>
      </w:tblGrid>
      <w:tr w:rsidR="003C102E" w:rsidRPr="00CD1278" w14:paraId="58C6AD51" w14:textId="77777777" w:rsidTr="00FA552B">
        <w:trPr>
          <w:trHeight w:val="530"/>
        </w:trPr>
        <w:tc>
          <w:tcPr>
            <w:tcW w:w="990" w:type="dxa"/>
            <w:tcBorders>
              <w:top w:val="single" w:sz="4" w:space="0" w:color="auto"/>
            </w:tcBorders>
            <w:vAlign w:val="center"/>
          </w:tcPr>
          <w:p w14:paraId="35293FB2" w14:textId="77777777" w:rsidR="003030D4" w:rsidRPr="00CD1278" w:rsidRDefault="003030D4" w:rsidP="003030D4">
            <w:pPr>
              <w:keepNext/>
              <w:keepLines/>
              <w:pageBreakBefore/>
              <w:spacing w:after="0"/>
              <w:rPr>
                <w:rFonts w:ascii="Arial" w:hAnsi="Arial"/>
                <w:b/>
                <w:color w:val="auto"/>
                <w:sz w:val="18"/>
              </w:rPr>
            </w:pPr>
            <w:r w:rsidRPr="00CD1278">
              <w:rPr>
                <w:rFonts w:ascii="Arial" w:hAnsi="Arial"/>
                <w:b/>
                <w:color w:val="auto"/>
                <w:sz w:val="18"/>
              </w:rPr>
              <w:t>Country</w:t>
            </w:r>
          </w:p>
        </w:tc>
        <w:tc>
          <w:tcPr>
            <w:tcW w:w="1029" w:type="dxa"/>
            <w:tcBorders>
              <w:top w:val="single" w:sz="4" w:space="0" w:color="auto"/>
              <w:bottom w:val="single" w:sz="6" w:space="0" w:color="auto"/>
            </w:tcBorders>
            <w:vAlign w:val="center"/>
          </w:tcPr>
          <w:p w14:paraId="0A7D6443" w14:textId="77777777" w:rsidR="003030D4" w:rsidRPr="00CD1278" w:rsidRDefault="003030D4" w:rsidP="003030D4">
            <w:pPr>
              <w:keepNext/>
              <w:keepLines/>
              <w:pageBreakBefore/>
              <w:spacing w:after="0"/>
              <w:rPr>
                <w:rFonts w:ascii="Arial" w:hAnsi="Arial"/>
                <w:b/>
                <w:color w:val="auto"/>
                <w:sz w:val="18"/>
              </w:rPr>
            </w:pPr>
            <w:r w:rsidRPr="00CD1278">
              <w:rPr>
                <w:rFonts w:ascii="Arial" w:hAnsi="Arial"/>
                <w:b/>
                <w:color w:val="auto"/>
                <w:sz w:val="18"/>
              </w:rPr>
              <w:t>Industry</w:t>
            </w:r>
          </w:p>
        </w:tc>
        <w:tc>
          <w:tcPr>
            <w:tcW w:w="1041" w:type="dxa"/>
            <w:tcBorders>
              <w:top w:val="single" w:sz="4" w:space="0" w:color="auto"/>
              <w:bottom w:val="single" w:sz="6" w:space="0" w:color="auto"/>
            </w:tcBorders>
            <w:vAlign w:val="center"/>
          </w:tcPr>
          <w:p w14:paraId="077C1497" w14:textId="77777777" w:rsidR="003030D4" w:rsidRPr="00CD1278" w:rsidRDefault="003030D4" w:rsidP="003030D4">
            <w:pPr>
              <w:keepNext/>
              <w:keepLines/>
              <w:pageBreakBefore/>
              <w:spacing w:after="0"/>
              <w:jc w:val="center"/>
              <w:rPr>
                <w:rFonts w:ascii="Arial" w:hAnsi="Arial"/>
                <w:b/>
                <w:color w:val="auto"/>
                <w:sz w:val="18"/>
              </w:rPr>
            </w:pPr>
            <w:r w:rsidRPr="00CD1278">
              <w:rPr>
                <w:rFonts w:ascii="Arial" w:hAnsi="Arial"/>
                <w:b/>
                <w:color w:val="auto"/>
                <w:sz w:val="18"/>
              </w:rPr>
              <w:t>CUE for 2015</w:t>
            </w:r>
            <w:r w:rsidRPr="00CD1278">
              <w:rPr>
                <w:rFonts w:ascii="Arial" w:hAnsi="Arial"/>
                <w:b/>
                <w:color w:val="auto"/>
                <w:sz w:val="18"/>
                <w:vertAlign w:val="superscript"/>
              </w:rPr>
              <w:t>11</w:t>
            </w:r>
          </w:p>
        </w:tc>
        <w:tc>
          <w:tcPr>
            <w:tcW w:w="900" w:type="dxa"/>
            <w:tcBorders>
              <w:top w:val="single" w:sz="4" w:space="0" w:color="auto"/>
              <w:bottom w:val="single" w:sz="6" w:space="0" w:color="auto"/>
            </w:tcBorders>
            <w:vAlign w:val="center"/>
          </w:tcPr>
          <w:p w14:paraId="3E2EABD0" w14:textId="77777777" w:rsidR="003030D4" w:rsidRPr="00CD1278" w:rsidRDefault="003030D4" w:rsidP="003030D4">
            <w:pPr>
              <w:keepNext/>
              <w:keepLines/>
              <w:pageBreakBefore/>
              <w:spacing w:after="0"/>
              <w:jc w:val="center"/>
              <w:rPr>
                <w:rFonts w:ascii="Arial" w:hAnsi="Arial"/>
                <w:b/>
                <w:color w:val="auto"/>
                <w:sz w:val="18"/>
              </w:rPr>
            </w:pPr>
            <w:r w:rsidRPr="00CD1278">
              <w:rPr>
                <w:rFonts w:ascii="Arial" w:hAnsi="Arial"/>
                <w:b/>
                <w:color w:val="auto"/>
                <w:sz w:val="18"/>
              </w:rPr>
              <w:t>CUN for 2016</w:t>
            </w:r>
          </w:p>
        </w:tc>
        <w:tc>
          <w:tcPr>
            <w:tcW w:w="900" w:type="dxa"/>
            <w:tcBorders>
              <w:top w:val="single" w:sz="4" w:space="0" w:color="auto"/>
              <w:bottom w:val="single" w:sz="6" w:space="0" w:color="auto"/>
            </w:tcBorders>
            <w:vAlign w:val="center"/>
          </w:tcPr>
          <w:p w14:paraId="1F8224EE" w14:textId="77777777" w:rsidR="003030D4" w:rsidRPr="00CD1278" w:rsidRDefault="003030D4" w:rsidP="003030D4">
            <w:pPr>
              <w:keepNext/>
              <w:keepLines/>
              <w:pageBreakBefore/>
              <w:spacing w:after="0"/>
              <w:jc w:val="center"/>
              <w:rPr>
                <w:rFonts w:ascii="Arial" w:hAnsi="Arial"/>
                <w:b/>
                <w:color w:val="auto"/>
                <w:sz w:val="18"/>
              </w:rPr>
            </w:pPr>
            <w:r w:rsidRPr="00CD1278">
              <w:rPr>
                <w:rFonts w:ascii="Arial" w:hAnsi="Arial"/>
                <w:b/>
                <w:color w:val="auto"/>
                <w:sz w:val="18"/>
              </w:rPr>
              <w:t>CUE for 2016</w:t>
            </w:r>
          </w:p>
        </w:tc>
        <w:tc>
          <w:tcPr>
            <w:tcW w:w="1236" w:type="dxa"/>
            <w:tcBorders>
              <w:top w:val="single" w:sz="4" w:space="0" w:color="auto"/>
              <w:bottom w:val="single" w:sz="6" w:space="0" w:color="auto"/>
            </w:tcBorders>
            <w:vAlign w:val="center"/>
          </w:tcPr>
          <w:p w14:paraId="5ECF742F" w14:textId="77777777" w:rsidR="003030D4" w:rsidRPr="00CD1278" w:rsidRDefault="003030D4" w:rsidP="003030D4">
            <w:pPr>
              <w:keepNext/>
              <w:keepLines/>
              <w:pageBreakBefore/>
              <w:spacing w:after="0"/>
              <w:jc w:val="center"/>
              <w:rPr>
                <w:rFonts w:ascii="Arial" w:hAnsi="Arial"/>
                <w:b/>
                <w:color w:val="auto"/>
                <w:sz w:val="18"/>
              </w:rPr>
            </w:pPr>
            <w:r w:rsidRPr="00CD1278">
              <w:rPr>
                <w:rFonts w:ascii="Arial" w:hAnsi="Arial"/>
                <w:b/>
                <w:color w:val="auto"/>
                <w:sz w:val="18"/>
              </w:rPr>
              <w:t>CUE for 2017</w:t>
            </w:r>
          </w:p>
        </w:tc>
        <w:tc>
          <w:tcPr>
            <w:tcW w:w="1134" w:type="dxa"/>
            <w:tcBorders>
              <w:top w:val="single" w:sz="4" w:space="0" w:color="auto"/>
              <w:bottom w:val="single" w:sz="6" w:space="0" w:color="auto"/>
            </w:tcBorders>
            <w:vAlign w:val="center"/>
          </w:tcPr>
          <w:p w14:paraId="57A911FA" w14:textId="50B3FEC1" w:rsidR="003030D4" w:rsidRPr="00CD1278" w:rsidRDefault="003030D4" w:rsidP="003030D4">
            <w:pPr>
              <w:keepNext/>
              <w:keepLines/>
              <w:pageBreakBefore/>
              <w:spacing w:after="0"/>
              <w:jc w:val="center"/>
              <w:rPr>
                <w:rFonts w:ascii="Arial" w:hAnsi="Arial"/>
                <w:b/>
                <w:color w:val="auto"/>
                <w:sz w:val="18"/>
              </w:rPr>
            </w:pPr>
            <w:r w:rsidRPr="00CD1278">
              <w:rPr>
                <w:rFonts w:ascii="Arial" w:hAnsi="Arial"/>
                <w:b/>
                <w:color w:val="auto"/>
                <w:sz w:val="18"/>
              </w:rPr>
              <w:t>CUE for 2018</w:t>
            </w:r>
          </w:p>
        </w:tc>
        <w:tc>
          <w:tcPr>
            <w:tcW w:w="1304" w:type="dxa"/>
            <w:tcBorders>
              <w:top w:val="single" w:sz="4" w:space="0" w:color="auto"/>
              <w:bottom w:val="single" w:sz="6" w:space="0" w:color="auto"/>
            </w:tcBorders>
            <w:vAlign w:val="center"/>
          </w:tcPr>
          <w:p w14:paraId="0C239B09" w14:textId="24410D01" w:rsidR="003030D4" w:rsidRPr="00CD1278" w:rsidRDefault="003030D4" w:rsidP="003030D4">
            <w:pPr>
              <w:keepNext/>
              <w:keepLines/>
              <w:pageBreakBefore/>
              <w:spacing w:after="0"/>
              <w:jc w:val="center"/>
              <w:rPr>
                <w:rFonts w:ascii="Arial" w:hAnsi="Arial"/>
                <w:b/>
                <w:color w:val="auto"/>
                <w:sz w:val="18"/>
              </w:rPr>
            </w:pPr>
            <w:r w:rsidRPr="00CD1278">
              <w:rPr>
                <w:rFonts w:ascii="Arial" w:hAnsi="Arial"/>
                <w:b/>
                <w:color w:val="auto"/>
                <w:sz w:val="18"/>
              </w:rPr>
              <w:t>CUN for 2019</w:t>
            </w:r>
          </w:p>
        </w:tc>
        <w:tc>
          <w:tcPr>
            <w:tcW w:w="2552" w:type="dxa"/>
            <w:tcBorders>
              <w:top w:val="single" w:sz="4" w:space="0" w:color="auto"/>
              <w:bottom w:val="single" w:sz="6" w:space="0" w:color="auto"/>
            </w:tcBorders>
            <w:vAlign w:val="center"/>
          </w:tcPr>
          <w:p w14:paraId="4CFF5B5F" w14:textId="6E9C9F80" w:rsidR="003030D4" w:rsidRPr="00CD1278" w:rsidRDefault="003030D4" w:rsidP="003030D4">
            <w:pPr>
              <w:keepNext/>
              <w:keepLines/>
              <w:pageBreakBefore/>
              <w:spacing w:after="0"/>
              <w:jc w:val="center"/>
              <w:rPr>
                <w:rFonts w:ascii="Arial" w:hAnsi="Arial"/>
                <w:b/>
                <w:color w:val="auto"/>
                <w:sz w:val="18"/>
              </w:rPr>
            </w:pPr>
            <w:r w:rsidRPr="00CD1278">
              <w:rPr>
                <w:rFonts w:ascii="Arial" w:hAnsi="Arial" w:cs="Arial"/>
                <w:b/>
                <w:bCs/>
                <w:color w:val="auto"/>
                <w:sz w:val="18"/>
                <w:szCs w:val="18"/>
              </w:rPr>
              <w:t>Interim recommendation for 2019</w:t>
            </w:r>
          </w:p>
        </w:tc>
        <w:tc>
          <w:tcPr>
            <w:tcW w:w="1530" w:type="dxa"/>
            <w:tcBorders>
              <w:top w:val="single" w:sz="4" w:space="0" w:color="auto"/>
              <w:bottom w:val="single" w:sz="6" w:space="0" w:color="auto"/>
            </w:tcBorders>
            <w:vAlign w:val="center"/>
          </w:tcPr>
          <w:p w14:paraId="7B6120B4" w14:textId="55117A47" w:rsidR="003030D4" w:rsidRPr="00CD1278" w:rsidRDefault="003030D4" w:rsidP="003030D4">
            <w:pPr>
              <w:keepNext/>
              <w:keepLines/>
              <w:pageBreakBefore/>
              <w:spacing w:after="0"/>
              <w:jc w:val="center"/>
              <w:rPr>
                <w:rFonts w:ascii="Arial" w:hAnsi="Arial" w:cs="Arial"/>
                <w:b/>
                <w:bCs/>
                <w:color w:val="auto"/>
                <w:sz w:val="18"/>
                <w:szCs w:val="18"/>
              </w:rPr>
            </w:pPr>
          </w:p>
        </w:tc>
        <w:tc>
          <w:tcPr>
            <w:tcW w:w="1891" w:type="dxa"/>
            <w:tcBorders>
              <w:top w:val="single" w:sz="4" w:space="0" w:color="auto"/>
              <w:bottom w:val="single" w:sz="6" w:space="0" w:color="auto"/>
            </w:tcBorders>
            <w:vAlign w:val="center"/>
          </w:tcPr>
          <w:p w14:paraId="58308762" w14:textId="77777777" w:rsidR="003030D4" w:rsidRPr="00CD1278" w:rsidRDefault="003030D4" w:rsidP="003030D4">
            <w:pPr>
              <w:keepNext/>
              <w:keepLines/>
              <w:pageBreakBefore/>
              <w:spacing w:after="0"/>
              <w:jc w:val="center"/>
              <w:rPr>
                <w:rFonts w:ascii="Arial" w:hAnsi="Arial" w:cs="Arial"/>
                <w:b/>
                <w:bCs/>
                <w:color w:val="auto"/>
                <w:sz w:val="20"/>
              </w:rPr>
            </w:pPr>
          </w:p>
        </w:tc>
      </w:tr>
      <w:tr w:rsidR="003C102E" w:rsidRPr="00CD1278" w14:paraId="599C7423" w14:textId="77777777" w:rsidTr="00FA552B">
        <w:trPr>
          <w:trHeight w:val="525"/>
        </w:trPr>
        <w:tc>
          <w:tcPr>
            <w:tcW w:w="990" w:type="dxa"/>
            <w:vAlign w:val="center"/>
          </w:tcPr>
          <w:p w14:paraId="58F3D9C9" w14:textId="77777777" w:rsidR="003030D4" w:rsidRPr="00CD1278" w:rsidRDefault="003030D4" w:rsidP="003030D4">
            <w:pPr>
              <w:spacing w:after="0"/>
              <w:rPr>
                <w:rFonts w:ascii="Arial" w:hAnsi="Arial"/>
                <w:color w:val="auto"/>
                <w:sz w:val="18"/>
              </w:rPr>
            </w:pPr>
            <w:r w:rsidRPr="00CD1278">
              <w:rPr>
                <w:rFonts w:ascii="Arial" w:hAnsi="Arial"/>
                <w:color w:val="auto"/>
                <w:sz w:val="18"/>
              </w:rPr>
              <w:t>South Africa</w:t>
            </w:r>
          </w:p>
        </w:tc>
        <w:tc>
          <w:tcPr>
            <w:tcW w:w="1029" w:type="dxa"/>
            <w:tcBorders>
              <w:top w:val="single" w:sz="6" w:space="0" w:color="auto"/>
              <w:bottom w:val="single" w:sz="6" w:space="0" w:color="auto"/>
            </w:tcBorders>
            <w:shd w:val="clear" w:color="auto" w:fill="FFFF99"/>
            <w:vAlign w:val="center"/>
          </w:tcPr>
          <w:p w14:paraId="1DF6DA4D" w14:textId="77777777" w:rsidR="003030D4" w:rsidRPr="00CD1278" w:rsidRDefault="003030D4" w:rsidP="003030D4">
            <w:pPr>
              <w:spacing w:after="0"/>
              <w:rPr>
                <w:rFonts w:ascii="Arial" w:hAnsi="Arial"/>
                <w:color w:val="auto"/>
                <w:sz w:val="18"/>
              </w:rPr>
            </w:pPr>
            <w:r w:rsidRPr="00CD1278">
              <w:rPr>
                <w:rFonts w:ascii="Arial" w:hAnsi="Arial" w:cs="Arial"/>
                <w:b/>
                <w:color w:val="auto"/>
                <w:sz w:val="18"/>
                <w:szCs w:val="18"/>
              </w:rPr>
              <w:t>Houses</w:t>
            </w:r>
          </w:p>
        </w:tc>
        <w:tc>
          <w:tcPr>
            <w:tcW w:w="1041" w:type="dxa"/>
            <w:tcBorders>
              <w:top w:val="single" w:sz="6" w:space="0" w:color="auto"/>
              <w:bottom w:val="single" w:sz="6" w:space="0" w:color="auto"/>
            </w:tcBorders>
            <w:shd w:val="clear" w:color="auto" w:fill="FFFF99"/>
            <w:vAlign w:val="center"/>
          </w:tcPr>
          <w:p w14:paraId="22216D21" w14:textId="77777777" w:rsidR="003030D4" w:rsidRPr="00CD1278" w:rsidRDefault="003030D4" w:rsidP="003030D4">
            <w:pPr>
              <w:tabs>
                <w:tab w:val="right" w:pos="635"/>
              </w:tabs>
              <w:spacing w:after="0"/>
              <w:jc w:val="center"/>
              <w:rPr>
                <w:rFonts w:ascii="Arial" w:hAnsi="Arial"/>
                <w:b/>
                <w:color w:val="auto"/>
                <w:sz w:val="18"/>
              </w:rPr>
            </w:pPr>
            <w:r w:rsidRPr="00CD1278">
              <w:rPr>
                <w:rFonts w:ascii="Arial" w:hAnsi="Arial"/>
                <w:b/>
                <w:color w:val="auto"/>
                <w:sz w:val="18"/>
              </w:rPr>
              <w:t>--</w:t>
            </w:r>
          </w:p>
        </w:tc>
        <w:tc>
          <w:tcPr>
            <w:tcW w:w="900" w:type="dxa"/>
            <w:tcBorders>
              <w:top w:val="single" w:sz="6" w:space="0" w:color="auto"/>
              <w:bottom w:val="single" w:sz="6" w:space="0" w:color="auto"/>
            </w:tcBorders>
            <w:shd w:val="clear" w:color="auto" w:fill="FFFF99"/>
            <w:vAlign w:val="center"/>
          </w:tcPr>
          <w:p w14:paraId="77644475" w14:textId="77777777" w:rsidR="003030D4" w:rsidRPr="00CD1278" w:rsidRDefault="003030D4" w:rsidP="003030D4">
            <w:pPr>
              <w:spacing w:after="0"/>
              <w:jc w:val="center"/>
              <w:rPr>
                <w:rFonts w:ascii="Arial" w:hAnsi="Arial"/>
                <w:color w:val="auto"/>
                <w:sz w:val="18"/>
              </w:rPr>
            </w:pPr>
            <w:r w:rsidRPr="00CD1278">
              <w:rPr>
                <w:rFonts w:ascii="Arial" w:hAnsi="Arial"/>
                <w:color w:val="auto"/>
                <w:sz w:val="18"/>
              </w:rPr>
              <w:t>68.6</w:t>
            </w:r>
          </w:p>
        </w:tc>
        <w:tc>
          <w:tcPr>
            <w:tcW w:w="900" w:type="dxa"/>
            <w:tcBorders>
              <w:top w:val="single" w:sz="6" w:space="0" w:color="auto"/>
              <w:bottom w:val="single" w:sz="6" w:space="0" w:color="auto"/>
            </w:tcBorders>
            <w:shd w:val="clear" w:color="auto" w:fill="FFFF99"/>
            <w:vAlign w:val="center"/>
          </w:tcPr>
          <w:p w14:paraId="5CA3228E" w14:textId="77777777" w:rsidR="003030D4" w:rsidRPr="00CD1278" w:rsidRDefault="003030D4" w:rsidP="003030D4">
            <w:pPr>
              <w:spacing w:after="0"/>
              <w:jc w:val="center"/>
              <w:rPr>
                <w:rFonts w:ascii="Arial" w:hAnsi="Arial"/>
                <w:color w:val="auto"/>
                <w:sz w:val="18"/>
              </w:rPr>
            </w:pPr>
            <w:r w:rsidRPr="00CD1278">
              <w:rPr>
                <w:rFonts w:ascii="Arial" w:hAnsi="Arial"/>
                <w:color w:val="auto"/>
                <w:sz w:val="18"/>
              </w:rPr>
              <w:t>68.6</w:t>
            </w:r>
          </w:p>
        </w:tc>
        <w:tc>
          <w:tcPr>
            <w:tcW w:w="1236" w:type="dxa"/>
            <w:tcBorders>
              <w:top w:val="single" w:sz="6" w:space="0" w:color="auto"/>
              <w:bottom w:val="single" w:sz="6" w:space="0" w:color="auto"/>
            </w:tcBorders>
            <w:shd w:val="clear" w:color="auto" w:fill="FFFF99"/>
            <w:vAlign w:val="center"/>
          </w:tcPr>
          <w:p w14:paraId="79718AB5" w14:textId="77777777" w:rsidR="003030D4" w:rsidRPr="00CD1278" w:rsidRDefault="003030D4" w:rsidP="003030D4">
            <w:pPr>
              <w:spacing w:after="0"/>
              <w:jc w:val="center"/>
              <w:rPr>
                <w:rFonts w:ascii="Arial" w:hAnsi="Arial"/>
                <w:color w:val="auto"/>
                <w:sz w:val="18"/>
              </w:rPr>
            </w:pPr>
            <w:r w:rsidRPr="00CD1278">
              <w:rPr>
                <w:rFonts w:ascii="Arial" w:hAnsi="Arial"/>
                <w:color w:val="auto"/>
                <w:sz w:val="18"/>
              </w:rPr>
              <w:t>55.0</w:t>
            </w:r>
          </w:p>
        </w:tc>
        <w:tc>
          <w:tcPr>
            <w:tcW w:w="1134" w:type="dxa"/>
            <w:tcBorders>
              <w:top w:val="single" w:sz="6" w:space="0" w:color="auto"/>
              <w:bottom w:val="single" w:sz="6" w:space="0" w:color="auto"/>
            </w:tcBorders>
            <w:shd w:val="clear" w:color="auto" w:fill="FFFF99"/>
            <w:vAlign w:val="center"/>
          </w:tcPr>
          <w:p w14:paraId="13E33BE4" w14:textId="1A8CE3F1" w:rsidR="003030D4" w:rsidRPr="00CD1278" w:rsidRDefault="003030D4" w:rsidP="003030D4">
            <w:pPr>
              <w:spacing w:after="0"/>
              <w:jc w:val="center"/>
              <w:rPr>
                <w:rFonts w:ascii="Arial" w:hAnsi="Arial"/>
                <w:color w:val="auto"/>
                <w:sz w:val="18"/>
              </w:rPr>
            </w:pPr>
            <w:r w:rsidRPr="00CD1278">
              <w:rPr>
                <w:rFonts w:ascii="Arial" w:hAnsi="Arial"/>
                <w:color w:val="auto"/>
                <w:sz w:val="18"/>
              </w:rPr>
              <w:t>42.75</w:t>
            </w:r>
          </w:p>
        </w:tc>
        <w:tc>
          <w:tcPr>
            <w:tcW w:w="1304" w:type="dxa"/>
            <w:tcBorders>
              <w:top w:val="single" w:sz="6" w:space="0" w:color="auto"/>
              <w:bottom w:val="single" w:sz="6" w:space="0" w:color="auto"/>
            </w:tcBorders>
            <w:shd w:val="clear" w:color="auto" w:fill="FFFF99"/>
            <w:vAlign w:val="center"/>
          </w:tcPr>
          <w:p w14:paraId="0F7D504E" w14:textId="2A11487A" w:rsidR="003030D4" w:rsidRPr="00CD1278" w:rsidRDefault="003030D4" w:rsidP="003030D4">
            <w:pPr>
              <w:spacing w:after="0"/>
              <w:jc w:val="center"/>
              <w:rPr>
                <w:rFonts w:ascii="Arial" w:hAnsi="Arial"/>
                <w:color w:val="auto"/>
                <w:sz w:val="18"/>
              </w:rPr>
            </w:pPr>
            <w:r w:rsidRPr="00CD1278">
              <w:rPr>
                <w:rFonts w:ascii="Arial" w:hAnsi="Arial"/>
                <w:b/>
                <w:color w:val="auto"/>
                <w:sz w:val="18"/>
              </w:rPr>
              <w:t>45</w:t>
            </w:r>
          </w:p>
        </w:tc>
        <w:tc>
          <w:tcPr>
            <w:tcW w:w="2552" w:type="dxa"/>
            <w:tcBorders>
              <w:top w:val="single" w:sz="6" w:space="0" w:color="auto"/>
              <w:bottom w:val="single" w:sz="6" w:space="0" w:color="auto"/>
            </w:tcBorders>
            <w:shd w:val="clear" w:color="auto" w:fill="FFFF99"/>
            <w:vAlign w:val="center"/>
          </w:tcPr>
          <w:p w14:paraId="557E75D5" w14:textId="74164570" w:rsidR="003030D4" w:rsidRPr="00CD1278" w:rsidRDefault="003030D4" w:rsidP="003030D4">
            <w:pPr>
              <w:tabs>
                <w:tab w:val="right" w:pos="635"/>
              </w:tabs>
              <w:spacing w:after="0"/>
              <w:jc w:val="center"/>
              <w:rPr>
                <w:rFonts w:ascii="Arial" w:hAnsi="Arial"/>
                <w:b/>
                <w:color w:val="auto"/>
                <w:sz w:val="18"/>
              </w:rPr>
            </w:pPr>
            <w:r w:rsidRPr="00CD1278">
              <w:rPr>
                <w:rFonts w:ascii="Arial" w:hAnsi="Arial"/>
                <w:color w:val="auto"/>
                <w:sz w:val="18"/>
                <w:szCs w:val="18"/>
              </w:rPr>
              <w:t>[</w:t>
            </w:r>
            <w:r w:rsidRPr="00CD1278">
              <w:rPr>
                <w:rFonts w:ascii="Arial" w:hAnsi="Arial" w:cs="Arial"/>
                <w:b/>
                <w:bCs/>
                <w:color w:val="auto"/>
                <w:sz w:val="18"/>
                <w:szCs w:val="18"/>
              </w:rPr>
              <w:t>29.93</w:t>
            </w:r>
            <w:r w:rsidRPr="00CD1278">
              <w:rPr>
                <w:rFonts w:ascii="Arial" w:hAnsi="Arial"/>
                <w:color w:val="auto"/>
                <w:sz w:val="18"/>
                <w:szCs w:val="18"/>
              </w:rPr>
              <w:t>]</w:t>
            </w:r>
          </w:p>
        </w:tc>
        <w:tc>
          <w:tcPr>
            <w:tcW w:w="1530" w:type="dxa"/>
            <w:tcBorders>
              <w:top w:val="single" w:sz="6" w:space="0" w:color="auto"/>
              <w:bottom w:val="single" w:sz="6" w:space="0" w:color="auto"/>
            </w:tcBorders>
            <w:shd w:val="clear" w:color="auto" w:fill="FFFF99"/>
            <w:vAlign w:val="center"/>
          </w:tcPr>
          <w:p w14:paraId="6F7B60BD" w14:textId="4092D97F" w:rsidR="003030D4" w:rsidRPr="00CD1278" w:rsidRDefault="003030D4" w:rsidP="003030D4">
            <w:pPr>
              <w:spacing w:after="0"/>
              <w:jc w:val="center"/>
              <w:rPr>
                <w:rFonts w:ascii="Arial" w:hAnsi="Arial" w:cs="Arial"/>
                <w:b/>
                <w:bCs/>
                <w:color w:val="auto"/>
                <w:sz w:val="18"/>
                <w:szCs w:val="18"/>
              </w:rPr>
            </w:pPr>
          </w:p>
        </w:tc>
        <w:tc>
          <w:tcPr>
            <w:tcW w:w="1891" w:type="dxa"/>
            <w:tcBorders>
              <w:top w:val="single" w:sz="6" w:space="0" w:color="auto"/>
              <w:bottom w:val="single" w:sz="6" w:space="0" w:color="auto"/>
            </w:tcBorders>
            <w:shd w:val="clear" w:color="auto" w:fill="FFFF99"/>
            <w:vAlign w:val="center"/>
          </w:tcPr>
          <w:p w14:paraId="6B3B363B" w14:textId="77777777" w:rsidR="003030D4" w:rsidRPr="00CD1278" w:rsidRDefault="003030D4" w:rsidP="003030D4">
            <w:pPr>
              <w:spacing w:after="0"/>
              <w:jc w:val="center"/>
              <w:rPr>
                <w:rFonts w:ascii="Arial" w:hAnsi="Arial" w:cs="Arial"/>
                <w:b/>
                <w:bCs/>
                <w:color w:val="auto"/>
                <w:sz w:val="20"/>
              </w:rPr>
            </w:pPr>
          </w:p>
        </w:tc>
      </w:tr>
      <w:tr w:rsidR="003C102E" w:rsidRPr="00CD1278" w14:paraId="3869FC3E" w14:textId="77777777" w:rsidTr="00A50F28">
        <w:trPr>
          <w:trHeight w:val="2962"/>
        </w:trPr>
        <w:tc>
          <w:tcPr>
            <w:tcW w:w="990" w:type="dxa"/>
          </w:tcPr>
          <w:p w14:paraId="6220428C" w14:textId="77777777" w:rsidR="003030D4" w:rsidRPr="00CD1278" w:rsidRDefault="003030D4" w:rsidP="003030D4">
            <w:pPr>
              <w:spacing w:before="60" w:after="60"/>
              <w:rPr>
                <w:rFonts w:ascii="Arial" w:hAnsi="Arial"/>
                <w:color w:val="auto"/>
                <w:sz w:val="18"/>
              </w:rPr>
            </w:pPr>
          </w:p>
        </w:tc>
        <w:tc>
          <w:tcPr>
            <w:tcW w:w="13517" w:type="dxa"/>
            <w:gridSpan w:val="10"/>
            <w:tcBorders>
              <w:top w:val="single" w:sz="6" w:space="0" w:color="auto"/>
              <w:bottom w:val="single" w:sz="6" w:space="0" w:color="auto"/>
            </w:tcBorders>
            <w:shd w:val="clear" w:color="auto" w:fill="FFFFFF" w:themeFill="background1"/>
          </w:tcPr>
          <w:p w14:paraId="0AA5DAEA" w14:textId="77777777" w:rsidR="003030D4" w:rsidRPr="00CD1278" w:rsidRDefault="003030D4" w:rsidP="003030D4">
            <w:pPr>
              <w:rPr>
                <w:rFonts w:ascii="Arial" w:hAnsi="Arial" w:cs="Arial"/>
                <w:b/>
                <w:color w:val="auto"/>
                <w:sz w:val="18"/>
                <w:szCs w:val="18"/>
              </w:rPr>
            </w:pPr>
            <w:r w:rsidRPr="00CD1278">
              <w:rPr>
                <w:rFonts w:ascii="Arial" w:hAnsi="Arial" w:cs="Arial"/>
                <w:b/>
                <w:color w:val="auto"/>
                <w:sz w:val="18"/>
                <w:szCs w:val="18"/>
              </w:rPr>
              <w:br/>
            </w:r>
            <w:r w:rsidRPr="00CD1278">
              <w:rPr>
                <w:rFonts w:ascii="Arial" w:hAnsi="Arial"/>
                <w:b/>
                <w:color w:val="auto"/>
                <w:sz w:val="18"/>
                <w:szCs w:val="18"/>
              </w:rPr>
              <w:t>MBTOC final recommendation for 2019:</w:t>
            </w:r>
          </w:p>
          <w:p w14:paraId="17CC059F" w14:textId="77777777" w:rsidR="003030D4" w:rsidRPr="00CD1278" w:rsidRDefault="003030D4" w:rsidP="003030D4">
            <w:pPr>
              <w:rPr>
                <w:rFonts w:ascii="Arial" w:hAnsi="Arial"/>
                <w:color w:val="auto"/>
                <w:sz w:val="18"/>
                <w:szCs w:val="18"/>
              </w:rPr>
            </w:pPr>
            <w:r w:rsidRPr="00CD1278">
              <w:rPr>
                <w:rFonts w:ascii="Arial" w:hAnsi="Arial"/>
                <w:color w:val="auto"/>
                <w:sz w:val="18"/>
                <w:szCs w:val="18"/>
              </w:rPr>
              <w:t xml:space="preserve">MBTOC recommends a reduced amount of 29.93 t of MB for use in houses/structures in 2019, which represents a 33.49 % reduction of the amount requested by the Party and a reduction of 30% of the approved amount in 2018 for this sector. </w:t>
            </w:r>
          </w:p>
          <w:p w14:paraId="09006A99" w14:textId="77777777" w:rsidR="003030D4" w:rsidRPr="00CD1278" w:rsidRDefault="003030D4" w:rsidP="003030D4">
            <w:pPr>
              <w:rPr>
                <w:rFonts w:ascii="Arial" w:hAnsi="Arial" w:cs="Arial"/>
                <w:b/>
                <w:color w:val="auto"/>
                <w:sz w:val="18"/>
                <w:szCs w:val="18"/>
              </w:rPr>
            </w:pPr>
            <w:r w:rsidRPr="00CD1278">
              <w:rPr>
                <w:rFonts w:ascii="Arial" w:hAnsi="Arial"/>
                <w:b/>
                <w:color w:val="auto"/>
                <w:sz w:val="18"/>
                <w:szCs w:val="18"/>
              </w:rPr>
              <w:t xml:space="preserve">Nomination by the Party for 2019: </w:t>
            </w:r>
          </w:p>
          <w:p w14:paraId="70062E25" w14:textId="77777777" w:rsidR="003030D4" w:rsidRPr="00CD1278" w:rsidRDefault="003030D4" w:rsidP="003030D4">
            <w:pPr>
              <w:rPr>
                <w:rFonts w:ascii="Arial" w:hAnsi="Arial"/>
                <w:color w:val="auto"/>
                <w:sz w:val="18"/>
                <w:szCs w:val="18"/>
              </w:rPr>
            </w:pPr>
            <w:r w:rsidRPr="00CD1278">
              <w:rPr>
                <w:rFonts w:ascii="Arial" w:hAnsi="Arial"/>
                <w:color w:val="auto"/>
                <w:sz w:val="18"/>
                <w:szCs w:val="18"/>
              </w:rPr>
              <w:t xml:space="preserve">The Party nominated 45 t for control of wood boring pests and pest termites in domestic and industrial premises </w:t>
            </w:r>
          </w:p>
          <w:p w14:paraId="382534FB" w14:textId="77777777" w:rsidR="003030D4" w:rsidRPr="00CD1278" w:rsidRDefault="003030D4" w:rsidP="003030D4">
            <w:pPr>
              <w:rPr>
                <w:rFonts w:ascii="Arial" w:hAnsi="Arial"/>
                <w:b/>
                <w:color w:val="auto"/>
                <w:sz w:val="18"/>
                <w:szCs w:val="18"/>
              </w:rPr>
            </w:pPr>
            <w:r w:rsidRPr="00CD1278">
              <w:rPr>
                <w:rFonts w:ascii="Arial" w:hAnsi="Arial"/>
                <w:b/>
                <w:color w:val="auto"/>
                <w:sz w:val="18"/>
                <w:szCs w:val="18"/>
              </w:rPr>
              <w:t>Circumstances of the nomination:</w:t>
            </w:r>
          </w:p>
          <w:p w14:paraId="066E5E9F" w14:textId="77777777" w:rsidR="003030D4" w:rsidRPr="00CD1278" w:rsidRDefault="003030D4" w:rsidP="003030D4">
            <w:pPr>
              <w:rPr>
                <w:rFonts w:ascii="Arial" w:hAnsi="Arial"/>
                <w:color w:val="auto"/>
                <w:sz w:val="18"/>
                <w:szCs w:val="18"/>
              </w:rPr>
            </w:pPr>
            <w:r w:rsidRPr="00CD1278">
              <w:rPr>
                <w:rFonts w:ascii="Arial" w:hAnsi="Arial"/>
                <w:color w:val="auto"/>
                <w:sz w:val="18"/>
                <w:szCs w:val="18"/>
              </w:rPr>
              <w:t xml:space="preserve">The Party applied for 45 t of MB for disinfestations treatment against wood destroying pests. These insects were found attacking wooden components in various structures, mainly houses and residential units (2,560 facilities and houses, mainly brick, mortar and iron structures with wooden frames) along coastal areas and partly inland with a typical volume of 600 m³ to 850 m³, and some much larger buildings. About 75% are complete structure fumigations for about 1,152,000 m³ and 25% partial fumigations (individual rooms, individual flats, calculated with about 1/5 of a 600 m³-structure) for 384,000 m³ leading to 41.47 t plus 3.53 t, resulting in a total of 45 t used. About 200 structures are fumigated per month. Five target pests in the described situation are presented in the nomination: </w:t>
            </w:r>
            <w:r w:rsidRPr="00CD1278">
              <w:rPr>
                <w:rFonts w:ascii="Arial" w:hAnsi="Arial"/>
                <w:i/>
                <w:color w:val="auto"/>
                <w:sz w:val="18"/>
                <w:szCs w:val="18"/>
              </w:rPr>
              <w:t>Cryptotermes brevis</w:t>
            </w:r>
            <w:r w:rsidRPr="00CD1278">
              <w:rPr>
                <w:rFonts w:ascii="Arial" w:hAnsi="Arial"/>
                <w:color w:val="auto"/>
                <w:sz w:val="18"/>
                <w:szCs w:val="18"/>
              </w:rPr>
              <w:t xml:space="preserve">, the West Indian drywood termite; </w:t>
            </w:r>
            <w:r w:rsidRPr="00CD1278">
              <w:rPr>
                <w:rFonts w:ascii="Arial" w:hAnsi="Arial"/>
                <w:i/>
                <w:color w:val="auto"/>
                <w:sz w:val="18"/>
                <w:szCs w:val="18"/>
              </w:rPr>
              <w:t>Hylotrupes bajalus</w:t>
            </w:r>
            <w:r w:rsidRPr="00CD1278">
              <w:rPr>
                <w:rFonts w:ascii="Arial" w:hAnsi="Arial"/>
                <w:color w:val="auto"/>
                <w:sz w:val="18"/>
                <w:szCs w:val="18"/>
              </w:rPr>
              <w:t xml:space="preserve">, the European house borer, and the small wood and furniture beetles, </w:t>
            </w:r>
            <w:r w:rsidRPr="00CD1278">
              <w:rPr>
                <w:rFonts w:ascii="Arial" w:hAnsi="Arial"/>
                <w:i/>
                <w:color w:val="auto"/>
                <w:sz w:val="18"/>
                <w:szCs w:val="18"/>
              </w:rPr>
              <w:t>Anobium punctatum, Lyctus brunneus</w:t>
            </w:r>
            <w:r w:rsidRPr="00CD1278">
              <w:rPr>
                <w:rFonts w:ascii="Arial" w:hAnsi="Arial"/>
                <w:color w:val="auto"/>
                <w:sz w:val="18"/>
                <w:szCs w:val="18"/>
              </w:rPr>
              <w:t xml:space="preserve"> and </w:t>
            </w:r>
            <w:r w:rsidRPr="00CD1278">
              <w:rPr>
                <w:rFonts w:ascii="Arial" w:hAnsi="Arial"/>
                <w:i/>
                <w:color w:val="auto"/>
                <w:sz w:val="18"/>
                <w:szCs w:val="18"/>
              </w:rPr>
              <w:t>Nicobiumca staneum</w:t>
            </w:r>
            <w:r w:rsidRPr="00CD1278">
              <w:rPr>
                <w:rFonts w:ascii="Arial" w:hAnsi="Arial"/>
                <w:color w:val="auto"/>
                <w:sz w:val="18"/>
                <w:szCs w:val="18"/>
              </w:rPr>
              <w:t>.</w:t>
            </w:r>
          </w:p>
          <w:p w14:paraId="5330C0A5" w14:textId="77777777" w:rsidR="003030D4" w:rsidRPr="00CD1278" w:rsidRDefault="003030D4" w:rsidP="003030D4">
            <w:pPr>
              <w:rPr>
                <w:rFonts w:ascii="Arial" w:hAnsi="Arial"/>
                <w:color w:val="auto"/>
                <w:sz w:val="18"/>
                <w:szCs w:val="18"/>
              </w:rPr>
            </w:pPr>
            <w:r w:rsidRPr="00CD1278">
              <w:rPr>
                <w:rFonts w:ascii="Arial" w:hAnsi="Arial"/>
                <w:color w:val="auto"/>
                <w:sz w:val="18"/>
                <w:szCs w:val="18"/>
              </w:rPr>
              <w:t xml:space="preserve">Some of the MB tonnes requested is for the control of </w:t>
            </w:r>
            <w:r w:rsidRPr="00CD1278">
              <w:rPr>
                <w:rFonts w:ascii="Arial" w:hAnsi="Arial"/>
                <w:i/>
                <w:color w:val="auto"/>
                <w:sz w:val="18"/>
                <w:szCs w:val="18"/>
              </w:rPr>
              <w:t>Lyctus brunneus</w:t>
            </w:r>
            <w:r w:rsidRPr="00CD1278">
              <w:rPr>
                <w:rFonts w:ascii="Arial" w:hAnsi="Arial"/>
                <w:color w:val="auto"/>
                <w:sz w:val="18"/>
                <w:szCs w:val="18"/>
              </w:rPr>
              <w:t xml:space="preserve"> and </w:t>
            </w:r>
            <w:r w:rsidRPr="00CD1278">
              <w:rPr>
                <w:rFonts w:ascii="Arial" w:hAnsi="Arial"/>
                <w:i/>
                <w:color w:val="auto"/>
                <w:sz w:val="18"/>
                <w:szCs w:val="18"/>
              </w:rPr>
              <w:t>Hylotrupes bajulus</w:t>
            </w:r>
            <w:r w:rsidRPr="00CD1278">
              <w:rPr>
                <w:rFonts w:ascii="Arial" w:hAnsi="Arial"/>
                <w:color w:val="auto"/>
                <w:sz w:val="18"/>
                <w:szCs w:val="18"/>
              </w:rPr>
              <w:t>, which require higher dosages and possibly smaller parts of treated structures. However, the amount is not specified. In the future, for the use of SF, the computer program (FUMIGUIDE, provided by the registrant) will determine the necessary dosage for full control of the specific pest species.</w:t>
            </w:r>
          </w:p>
          <w:p w14:paraId="24860D71" w14:textId="13E6EA57" w:rsidR="003030D4" w:rsidRPr="00CD1278" w:rsidRDefault="003030D4" w:rsidP="003030D4">
            <w:pPr>
              <w:jc w:val="both"/>
              <w:rPr>
                <w:rFonts w:ascii="Arial" w:hAnsi="Arial"/>
                <w:color w:val="auto"/>
                <w:sz w:val="18"/>
                <w:szCs w:val="18"/>
              </w:rPr>
            </w:pPr>
            <w:r w:rsidRPr="00CD1278">
              <w:rPr>
                <w:rFonts w:ascii="Arial" w:hAnsi="Arial"/>
                <w:color w:val="auto"/>
                <w:sz w:val="18"/>
                <w:szCs w:val="18"/>
              </w:rPr>
              <w:t xml:space="preserve">The treatments are carried out either on whole houses under PVC 450 µm tarpaulin or on gas-tight sealed parts of structures. The Party stated that attics are never fumigated separately in RSA. </w:t>
            </w:r>
          </w:p>
          <w:p w14:paraId="19B2BC74" w14:textId="77777777" w:rsidR="003030D4" w:rsidRPr="00CD1278" w:rsidRDefault="003030D4" w:rsidP="003030D4">
            <w:pPr>
              <w:spacing w:after="0"/>
              <w:rPr>
                <w:rFonts w:ascii="Arial" w:hAnsi="Arial" w:cs="Arial"/>
                <w:color w:val="auto"/>
                <w:sz w:val="18"/>
                <w:szCs w:val="18"/>
                <w:lang w:eastAsia="en-AU"/>
              </w:rPr>
            </w:pPr>
            <w:r w:rsidRPr="00CD1278">
              <w:rPr>
                <w:rFonts w:ascii="Arial" w:hAnsi="Arial"/>
                <w:color w:val="auto"/>
                <w:sz w:val="18"/>
                <w:szCs w:val="18"/>
              </w:rPr>
              <w:t xml:space="preserve">Application of heat, a technique used under similar circumstances in many countries was regarded by the Party as not feasible due to very high investment needed for heating units from abroad and excessive running costs compared with costs for MB treatment and lack of access of the heat into some parts of the roof spaces. Heat treatment for control of wood boring pests would not be acceptable in the case of selling a house and obtaining a “Free of Insects Certificate”. Sale agreements and legal requirements for houses along the East coast of RSA stipulate that the structure be apparently free of “timber destroying insects” and that should such insects be found then the structure must be made apparently insect free. A Certificate of Clearance is required for a sale to proceed and this can </w:t>
            </w:r>
            <w:r w:rsidRPr="00CD1278">
              <w:rPr>
                <w:rFonts w:ascii="Arial" w:hAnsi="Arial" w:cs="Arial"/>
                <w:color w:val="auto"/>
                <w:sz w:val="18"/>
                <w:szCs w:val="18"/>
                <w:lang w:eastAsia="en-AU"/>
              </w:rPr>
              <w:t>only be produced once an inspection has been undertaken and treatment if the wood is found to be infested. Treatments are not undertaken if wood destroying insects are not detected.</w:t>
            </w:r>
          </w:p>
          <w:p w14:paraId="78F46A4E" w14:textId="77777777" w:rsidR="003030D4" w:rsidRPr="00CD1278" w:rsidRDefault="003030D4" w:rsidP="003030D4">
            <w:pPr>
              <w:rPr>
                <w:rFonts w:ascii="Arial" w:hAnsi="Arial"/>
                <w:color w:val="auto"/>
                <w:sz w:val="18"/>
                <w:szCs w:val="18"/>
              </w:rPr>
            </w:pPr>
            <w:r w:rsidRPr="00CD1278">
              <w:rPr>
                <w:rFonts w:ascii="Arial" w:hAnsi="Arial"/>
                <w:color w:val="auto"/>
                <w:sz w:val="18"/>
                <w:szCs w:val="18"/>
              </w:rPr>
              <w:t>The applicant states that the application of MB combined with additional gas such as carbon dioxide will be investigated to determine the effectiveness and economic feasibility of such application.</w:t>
            </w:r>
          </w:p>
          <w:p w14:paraId="539F2D11" w14:textId="77777777" w:rsidR="003030D4" w:rsidRPr="00CD1278" w:rsidRDefault="003030D4" w:rsidP="003030D4">
            <w:pPr>
              <w:spacing w:before="360" w:after="200"/>
              <w:rPr>
                <w:rFonts w:ascii="Arial" w:hAnsi="Arial"/>
                <w:color w:val="auto"/>
                <w:sz w:val="18"/>
                <w:szCs w:val="18"/>
              </w:rPr>
            </w:pPr>
            <w:r w:rsidRPr="00CD1278">
              <w:rPr>
                <w:rFonts w:ascii="Arial" w:hAnsi="Arial"/>
                <w:color w:val="auto"/>
                <w:sz w:val="18"/>
                <w:szCs w:val="18"/>
              </w:rPr>
              <w:t>The label for MB use for this sector to achieve control of the mentioned insect species states that an initial dosage of 48 g/m³ at temperatures above 15°C must be applied with exposure period of 24 h.</w:t>
            </w:r>
          </w:p>
          <w:p w14:paraId="1C90D366" w14:textId="77777777" w:rsidR="003030D4" w:rsidRPr="00CD1278" w:rsidRDefault="003030D4" w:rsidP="003030D4">
            <w:pPr>
              <w:spacing w:after="200"/>
              <w:rPr>
                <w:rFonts w:ascii="Arial" w:hAnsi="Arial"/>
                <w:color w:val="auto"/>
                <w:sz w:val="18"/>
                <w:szCs w:val="18"/>
              </w:rPr>
            </w:pPr>
            <w:r w:rsidRPr="00CD1278">
              <w:rPr>
                <w:rFonts w:ascii="Arial" w:hAnsi="Arial"/>
                <w:color w:val="auto"/>
                <w:sz w:val="18"/>
                <w:szCs w:val="18"/>
              </w:rPr>
              <w:t xml:space="preserve">The Party states in their answers of questions asked by MBTOC that the registration of sulfuryl fluoride (SF), is now released in RSA for both houses and mills in the applications. In correspondence from the Party they indicated that in January 2018 SF gained registration in SA and time is needed to set up supply and training systems. According to information of the Party, this release of the registration would be followed by about another two years of preparation for the fumigating companies to fully enter with SF into the practice of fumigation. MBTOC presumes that a significant phase in of SF of about 30% could happen in 2019, leading to the described reduction of the nominated amount. </w:t>
            </w:r>
          </w:p>
          <w:p w14:paraId="7B0AAAF2" w14:textId="77777777" w:rsidR="003030D4" w:rsidRPr="00CD1278" w:rsidRDefault="003030D4" w:rsidP="003030D4">
            <w:pPr>
              <w:spacing w:after="200"/>
              <w:rPr>
                <w:rFonts w:ascii="Arial" w:hAnsi="Arial"/>
                <w:color w:val="auto"/>
                <w:sz w:val="18"/>
                <w:szCs w:val="18"/>
              </w:rPr>
            </w:pPr>
            <w:r w:rsidRPr="00CD1278">
              <w:rPr>
                <w:rFonts w:ascii="Arial" w:hAnsi="Arial"/>
                <w:color w:val="auto"/>
                <w:sz w:val="18"/>
                <w:szCs w:val="18"/>
              </w:rPr>
              <w:t xml:space="preserve">With the wood boring pest insects, the control of the egg stage will require higher ct products than those being necessary to control termites since the control of the queens is sufficient to wipe out the infestation of termites. Even with fairly low ct products in the range of 500 g h/m³ (20 g/m³ for 25 h), the exposure under sheeted and well-sealed houses will lead to complete control. These conditions are commonly known to control drywood termites </w:t>
            </w:r>
            <w:r w:rsidRPr="00CD1278">
              <w:rPr>
                <w:rFonts w:ascii="Arial" w:hAnsi="Arial" w:cs="Arial"/>
                <w:color w:val="auto"/>
                <w:sz w:val="18"/>
                <w:szCs w:val="18"/>
              </w:rPr>
              <w:t xml:space="preserve">(Stewart, 1957; Osbrink </w:t>
            </w:r>
            <w:r w:rsidRPr="00CD1278">
              <w:rPr>
                <w:rFonts w:ascii="Arial" w:hAnsi="Arial" w:cs="Arial"/>
                <w:i/>
                <w:color w:val="auto"/>
                <w:sz w:val="18"/>
                <w:szCs w:val="18"/>
              </w:rPr>
              <w:t xml:space="preserve">et al., </w:t>
            </w:r>
            <w:r w:rsidRPr="00CD1278">
              <w:rPr>
                <w:rFonts w:ascii="Arial" w:hAnsi="Arial" w:cs="Arial"/>
                <w:color w:val="auto"/>
                <w:sz w:val="18"/>
                <w:szCs w:val="18"/>
              </w:rPr>
              <w:t xml:space="preserve">1987). </w:t>
            </w:r>
          </w:p>
          <w:p w14:paraId="7BF554D3" w14:textId="77777777" w:rsidR="003030D4" w:rsidRPr="00CD1278" w:rsidRDefault="003030D4" w:rsidP="003030D4">
            <w:pPr>
              <w:spacing w:after="200"/>
              <w:rPr>
                <w:rFonts w:ascii="Arial" w:hAnsi="Arial"/>
                <w:b/>
                <w:color w:val="auto"/>
                <w:sz w:val="18"/>
                <w:szCs w:val="18"/>
              </w:rPr>
            </w:pPr>
            <w:r w:rsidRPr="00CD1278">
              <w:rPr>
                <w:rFonts w:ascii="Arial" w:hAnsi="Arial"/>
                <w:b/>
                <w:color w:val="auto"/>
                <w:sz w:val="18"/>
                <w:szCs w:val="18"/>
              </w:rPr>
              <w:t xml:space="preserve">MBTOC assessment for MB use in this sector in 2018: </w:t>
            </w:r>
          </w:p>
          <w:p w14:paraId="634CFD46" w14:textId="15A1D1AB" w:rsidR="003030D4" w:rsidRPr="00CD1278" w:rsidRDefault="003030D4" w:rsidP="003030D4">
            <w:pPr>
              <w:spacing w:after="200"/>
              <w:rPr>
                <w:rFonts w:ascii="Arial" w:hAnsi="Arial"/>
                <w:color w:val="auto"/>
                <w:sz w:val="18"/>
                <w:szCs w:val="18"/>
              </w:rPr>
            </w:pPr>
            <w:r w:rsidRPr="00CD1278">
              <w:rPr>
                <w:rFonts w:ascii="Arial" w:hAnsi="Arial"/>
                <w:color w:val="auto"/>
                <w:sz w:val="18"/>
                <w:szCs w:val="18"/>
              </w:rPr>
              <w:t>MBTOC notes that control of wood boring insects, even in in heavily infested houses within highly infested areas, with heat has been common practice for many years around the world (Hammond, 2015). Phosphine, without added heat, is unlikely to be feasible because of its slower action, with fully effective treatments taking several days against wood boring pests without added heat.</w:t>
            </w:r>
          </w:p>
          <w:p w14:paraId="1B9D4DE9" w14:textId="77777777" w:rsidR="003030D4" w:rsidRPr="00CD1278" w:rsidRDefault="003030D4" w:rsidP="003030D4">
            <w:pPr>
              <w:spacing w:after="200"/>
              <w:rPr>
                <w:rFonts w:ascii="Arial" w:hAnsi="Arial"/>
                <w:color w:val="auto"/>
                <w:sz w:val="18"/>
                <w:szCs w:val="18"/>
              </w:rPr>
            </w:pPr>
            <w:r w:rsidRPr="00CD1278">
              <w:rPr>
                <w:rFonts w:ascii="Arial" w:hAnsi="Arial" w:cs="Arial"/>
                <w:color w:val="auto"/>
                <w:sz w:val="18"/>
                <w:szCs w:val="18"/>
                <w:lang w:eastAsia="en-AU"/>
              </w:rPr>
              <w:t xml:space="preserve">Five target pests in the described situation are mentioned in the nomination: </w:t>
            </w:r>
            <w:r w:rsidRPr="00CD1278">
              <w:rPr>
                <w:rFonts w:ascii="Arial" w:hAnsi="Arial"/>
                <w:i/>
                <w:color w:val="auto"/>
                <w:sz w:val="18"/>
                <w:szCs w:val="18"/>
              </w:rPr>
              <w:t>Cryptotermes brevis</w:t>
            </w:r>
            <w:r w:rsidRPr="00CD1278">
              <w:rPr>
                <w:rFonts w:ascii="Arial" w:hAnsi="Arial" w:cs="Arial"/>
                <w:color w:val="auto"/>
                <w:sz w:val="18"/>
                <w:szCs w:val="18"/>
                <w:lang w:eastAsia="en-AU"/>
              </w:rPr>
              <w:t xml:space="preserve">, the West Indian drywood termite; </w:t>
            </w:r>
            <w:r w:rsidRPr="00CD1278">
              <w:rPr>
                <w:rFonts w:ascii="Arial" w:hAnsi="Arial"/>
                <w:i/>
                <w:color w:val="auto"/>
                <w:sz w:val="18"/>
                <w:szCs w:val="18"/>
              </w:rPr>
              <w:t>Hylotrupes bajalus</w:t>
            </w:r>
            <w:r w:rsidRPr="00CD1278">
              <w:rPr>
                <w:rFonts w:ascii="Arial" w:hAnsi="Arial" w:cs="Arial"/>
                <w:color w:val="auto"/>
                <w:sz w:val="18"/>
                <w:szCs w:val="18"/>
                <w:lang w:eastAsia="en-AU"/>
              </w:rPr>
              <w:t>, the European house borer, and the small wood</w:t>
            </w:r>
            <w:r w:rsidRPr="00CD1278">
              <w:rPr>
                <w:rFonts w:ascii="Arial" w:hAnsi="Arial"/>
                <w:color w:val="auto"/>
                <w:sz w:val="18"/>
                <w:szCs w:val="18"/>
              </w:rPr>
              <w:t xml:space="preserve"> and furniture beetles, </w:t>
            </w:r>
            <w:r w:rsidRPr="00CD1278">
              <w:rPr>
                <w:rFonts w:ascii="Arial" w:hAnsi="Arial"/>
                <w:i/>
                <w:color w:val="auto"/>
                <w:sz w:val="18"/>
                <w:szCs w:val="18"/>
              </w:rPr>
              <w:t>Anobium punctatum</w:t>
            </w:r>
            <w:r w:rsidRPr="00CD1278">
              <w:rPr>
                <w:rFonts w:ascii="Arial" w:hAnsi="Arial"/>
                <w:color w:val="auto"/>
                <w:sz w:val="18"/>
                <w:szCs w:val="18"/>
              </w:rPr>
              <w:t xml:space="preserve">, </w:t>
            </w:r>
            <w:r w:rsidRPr="00CD1278">
              <w:rPr>
                <w:rFonts w:ascii="Arial" w:hAnsi="Arial"/>
                <w:i/>
                <w:color w:val="auto"/>
                <w:sz w:val="18"/>
                <w:szCs w:val="18"/>
              </w:rPr>
              <w:t>Lyctus brunneus</w:t>
            </w:r>
            <w:r w:rsidRPr="00CD1278">
              <w:rPr>
                <w:rFonts w:ascii="Arial" w:hAnsi="Arial"/>
                <w:color w:val="auto"/>
                <w:sz w:val="18"/>
                <w:szCs w:val="18"/>
              </w:rPr>
              <w:t xml:space="preserve"> and </w:t>
            </w:r>
            <w:r w:rsidRPr="00CD1278">
              <w:rPr>
                <w:rFonts w:ascii="Arial" w:hAnsi="Arial"/>
                <w:i/>
                <w:color w:val="auto"/>
                <w:sz w:val="18"/>
                <w:szCs w:val="18"/>
              </w:rPr>
              <w:t>Nicobium castaneum</w:t>
            </w:r>
            <w:r w:rsidRPr="00CD1278">
              <w:rPr>
                <w:rFonts w:ascii="Arial" w:hAnsi="Arial"/>
                <w:color w:val="auto"/>
                <w:sz w:val="18"/>
                <w:szCs w:val="18"/>
              </w:rPr>
              <w:t xml:space="preserve">. MBTOC notes that lethal ct levels against these pests differ significantly and are also dependent on temperature in the structure. The existing MB label does not address these differences. </w:t>
            </w:r>
          </w:p>
          <w:p w14:paraId="7CC29133" w14:textId="77777777" w:rsidR="003030D4" w:rsidRPr="00CD1278" w:rsidRDefault="003030D4" w:rsidP="003030D4">
            <w:pPr>
              <w:spacing w:after="200"/>
              <w:rPr>
                <w:rFonts w:ascii="Arial" w:hAnsi="Arial"/>
                <w:color w:val="auto"/>
                <w:sz w:val="18"/>
                <w:szCs w:val="18"/>
              </w:rPr>
            </w:pPr>
            <w:r w:rsidRPr="00CD1278">
              <w:rPr>
                <w:rFonts w:ascii="Arial" w:hAnsi="Arial"/>
                <w:color w:val="auto"/>
                <w:sz w:val="18"/>
                <w:szCs w:val="18"/>
              </w:rPr>
              <w:t xml:space="preserve">Some particular, specified insects, Lyctids powderpost beetles and </w:t>
            </w:r>
            <w:r w:rsidRPr="00CD1278">
              <w:rPr>
                <w:rFonts w:ascii="Arial" w:hAnsi="Arial"/>
                <w:i/>
                <w:color w:val="auto"/>
                <w:sz w:val="18"/>
                <w:szCs w:val="18"/>
              </w:rPr>
              <w:t>Hylotrupes bajulus</w:t>
            </w:r>
            <w:r w:rsidRPr="00CD1278">
              <w:rPr>
                <w:rFonts w:ascii="Arial" w:hAnsi="Arial"/>
                <w:color w:val="auto"/>
                <w:sz w:val="18"/>
                <w:szCs w:val="18"/>
              </w:rPr>
              <w:t>, a woodboring beetle,</w:t>
            </w:r>
            <w:r w:rsidRPr="00CD1278">
              <w:rPr>
                <w:rFonts w:ascii="Arial" w:hAnsi="Arial"/>
                <w:i/>
                <w:color w:val="auto"/>
                <w:sz w:val="18"/>
                <w:szCs w:val="18"/>
              </w:rPr>
              <w:t xml:space="preserve"> </w:t>
            </w:r>
            <w:r w:rsidRPr="00CD1278">
              <w:rPr>
                <w:rFonts w:ascii="Arial" w:hAnsi="Arial"/>
                <w:color w:val="auto"/>
                <w:sz w:val="18"/>
                <w:szCs w:val="18"/>
              </w:rPr>
              <w:t xml:space="preserve">may require more than the regular label rate for control. While the termite can typically be controlled at 36 g/m³ or less particularly at higher temperature (&gt;25°C).  </w:t>
            </w:r>
          </w:p>
          <w:p w14:paraId="4F493C26" w14:textId="2EA7AC59" w:rsidR="003030D4" w:rsidRPr="00CD1278" w:rsidRDefault="003030D4" w:rsidP="003030D4">
            <w:pPr>
              <w:tabs>
                <w:tab w:val="left" w:pos="2775"/>
                <w:tab w:val="left" w:pos="6300"/>
              </w:tabs>
              <w:autoSpaceDE w:val="0"/>
              <w:autoSpaceDN w:val="0"/>
              <w:adjustRightInd w:val="0"/>
              <w:spacing w:after="200"/>
              <w:rPr>
                <w:rFonts w:ascii="Arial" w:hAnsi="Arial" w:cs="Arial"/>
                <w:color w:val="auto"/>
                <w:sz w:val="18"/>
                <w:szCs w:val="18"/>
              </w:rPr>
            </w:pPr>
            <w:r w:rsidRPr="00CD1278">
              <w:rPr>
                <w:rFonts w:ascii="Arial" w:hAnsi="Arial"/>
                <w:color w:val="auto"/>
                <w:sz w:val="18"/>
                <w:szCs w:val="18"/>
              </w:rPr>
              <w:t xml:space="preserve">Part of the nomination distinguished between treatments for low level infestations of drywood termite, versus infestations of other wood destroying insects, particularly </w:t>
            </w:r>
            <w:r w:rsidRPr="00CD1278">
              <w:rPr>
                <w:rFonts w:ascii="Arial" w:hAnsi="Arial"/>
                <w:i/>
                <w:color w:val="auto"/>
                <w:sz w:val="18"/>
                <w:szCs w:val="18"/>
              </w:rPr>
              <w:t>Hylotrupes bajulus</w:t>
            </w:r>
            <w:r w:rsidRPr="00CD1278">
              <w:rPr>
                <w:rFonts w:ascii="Arial" w:hAnsi="Arial"/>
                <w:color w:val="auto"/>
                <w:sz w:val="18"/>
                <w:szCs w:val="18"/>
              </w:rPr>
              <w:t xml:space="preserve"> (wood boring beetles), or multiple infestations of drywood termite (with or without </w:t>
            </w:r>
            <w:r w:rsidRPr="00CD1278">
              <w:rPr>
                <w:rFonts w:ascii="Arial" w:hAnsi="Arial"/>
                <w:i/>
                <w:color w:val="auto"/>
                <w:sz w:val="18"/>
                <w:szCs w:val="18"/>
              </w:rPr>
              <w:t>Hylotrupes bajulus</w:t>
            </w:r>
            <w:r w:rsidRPr="00CD1278">
              <w:rPr>
                <w:rFonts w:ascii="Arial" w:hAnsi="Arial"/>
                <w:color w:val="auto"/>
                <w:sz w:val="18"/>
                <w:szCs w:val="18"/>
              </w:rPr>
              <w:t xml:space="preserve">). Similar situations in the US, formerly treated with MB, are now mainly fumigated with SF (MBTOC Assessment reports </w:t>
            </w:r>
            <w:r w:rsidRPr="00CD1278">
              <w:rPr>
                <w:rFonts w:ascii="Arial" w:hAnsi="Arial" w:cs="Arial"/>
                <w:color w:val="auto"/>
                <w:sz w:val="18"/>
                <w:szCs w:val="18"/>
                <w:lang w:eastAsia="he-IL"/>
              </w:rPr>
              <w:t>1998, 2002, 2006, 2010 and 2014</w:t>
            </w:r>
            <w:r w:rsidRPr="00CD1278">
              <w:rPr>
                <w:rFonts w:ascii="Arial" w:hAnsi="Arial"/>
                <w:color w:val="auto"/>
                <w:sz w:val="18"/>
                <w:szCs w:val="18"/>
              </w:rPr>
              <w:t xml:space="preserve">), but heat has also been used. Drywood termite infestations can typically be treated using the ‘search-and-destroy’ system, where access is possible. In this process, the nests are located acoustically, electronically or with detector dogs and the located nests are eliminated by injection with appropriate, registered insecticide formulation. Baiting is not normally used.as, unlike subterranean termites, drywood termite nest in walls and ceilings and do not touch the soil. Established infestations of </w:t>
            </w:r>
            <w:r w:rsidRPr="00CD1278">
              <w:rPr>
                <w:rFonts w:ascii="Arial" w:hAnsi="Arial"/>
                <w:i/>
                <w:color w:val="auto"/>
                <w:sz w:val="18"/>
                <w:szCs w:val="18"/>
              </w:rPr>
              <w:t>Hylotrupes bajulus</w:t>
            </w:r>
            <w:r w:rsidRPr="00CD1278">
              <w:rPr>
                <w:rFonts w:ascii="Arial" w:hAnsi="Arial"/>
                <w:color w:val="auto"/>
                <w:sz w:val="18"/>
                <w:szCs w:val="18"/>
              </w:rPr>
              <w:t>,</w:t>
            </w:r>
            <w:r w:rsidRPr="00CD1278">
              <w:rPr>
                <w:rFonts w:ascii="Arial" w:hAnsi="Arial"/>
                <w:i/>
                <w:color w:val="auto"/>
                <w:sz w:val="18"/>
                <w:szCs w:val="18"/>
              </w:rPr>
              <w:t xml:space="preserve"> </w:t>
            </w:r>
            <w:r w:rsidRPr="00CD1278">
              <w:rPr>
                <w:rFonts w:ascii="Arial" w:hAnsi="Arial"/>
                <w:color w:val="auto"/>
                <w:sz w:val="18"/>
                <w:szCs w:val="18"/>
              </w:rPr>
              <w:t xml:space="preserve">and other wood boring insects, in structural timber are likely to require whole site treatment. </w:t>
            </w:r>
            <w:r w:rsidRPr="00CD1278">
              <w:rPr>
                <w:rFonts w:ascii="Arial" w:hAnsi="Arial" w:cs="Arial"/>
                <w:color w:val="auto"/>
                <w:sz w:val="18"/>
                <w:szCs w:val="18"/>
              </w:rPr>
              <w:t xml:space="preserve">Alternatives to MB include heat treatments at moderately elevated temperatures around 56°C (Dreger, 2007; Lewis and Haverty, 1996). MBTOC found two suppliers of heat producing machines that are also prepared to demonstrate the technique (Hofmeir, 2018; Kroll, 2018). The web links also contain technical details and prices. </w:t>
            </w:r>
          </w:p>
          <w:p w14:paraId="479569ED" w14:textId="77777777" w:rsidR="003030D4" w:rsidRPr="00CD1278" w:rsidRDefault="003030D4" w:rsidP="003030D4">
            <w:pPr>
              <w:tabs>
                <w:tab w:val="left" w:pos="2775"/>
                <w:tab w:val="left" w:pos="6300"/>
              </w:tabs>
              <w:autoSpaceDE w:val="0"/>
              <w:autoSpaceDN w:val="0"/>
              <w:adjustRightInd w:val="0"/>
              <w:spacing w:after="200"/>
              <w:rPr>
                <w:rFonts w:ascii="Arial" w:hAnsi="Arial"/>
                <w:color w:val="auto"/>
                <w:sz w:val="18"/>
                <w:szCs w:val="18"/>
              </w:rPr>
            </w:pPr>
            <w:r w:rsidRPr="00CD1278">
              <w:rPr>
                <w:rFonts w:ascii="Arial" w:hAnsi="Arial" w:cs="Arial"/>
                <w:color w:val="auto"/>
                <w:sz w:val="18"/>
                <w:szCs w:val="18"/>
              </w:rPr>
              <w:t>M</w:t>
            </w:r>
            <w:r w:rsidRPr="00CD1278">
              <w:rPr>
                <w:rFonts w:ascii="Arial" w:hAnsi="Arial"/>
                <w:color w:val="auto"/>
                <w:sz w:val="18"/>
                <w:szCs w:val="18"/>
              </w:rPr>
              <w:t>BTOC recommends an amount of 29.93 t. MBTOC adjusted the nomination to 33.49 % of the requested amount, for the party to begin the implementation of control with SF in 2019, since the registration has been released in 2018.</w:t>
            </w:r>
          </w:p>
          <w:p w14:paraId="4A0D870F" w14:textId="77777777" w:rsidR="003030D4" w:rsidRPr="00CD1278" w:rsidRDefault="003030D4" w:rsidP="003030D4">
            <w:pPr>
              <w:tabs>
                <w:tab w:val="left" w:pos="2775"/>
                <w:tab w:val="left" w:pos="6300"/>
              </w:tabs>
              <w:autoSpaceDE w:val="0"/>
              <w:autoSpaceDN w:val="0"/>
              <w:adjustRightInd w:val="0"/>
              <w:spacing w:after="200"/>
              <w:rPr>
                <w:rFonts w:ascii="Arial" w:hAnsi="Arial"/>
                <w:color w:val="auto"/>
                <w:sz w:val="18"/>
                <w:szCs w:val="18"/>
              </w:rPr>
            </w:pPr>
            <w:r w:rsidRPr="00CD1278">
              <w:rPr>
                <w:rFonts w:ascii="Arial" w:hAnsi="Arial"/>
                <w:color w:val="auto"/>
                <w:sz w:val="18"/>
                <w:szCs w:val="18"/>
              </w:rPr>
              <w:t>MBTOC urges the Party to present more details on its development and demonstration program with alternatives against wood destroying pests in houses and similar structures according to decision IX/6.</w:t>
            </w:r>
          </w:p>
          <w:p w14:paraId="04031BC0" w14:textId="77777777" w:rsidR="003030D4" w:rsidRPr="00CD1278" w:rsidRDefault="003030D4" w:rsidP="00F97A8E">
            <w:pPr>
              <w:spacing w:before="600" w:after="120"/>
              <w:rPr>
                <w:rFonts w:ascii="Arial" w:hAnsi="Arial"/>
                <w:b/>
                <w:color w:val="auto"/>
                <w:sz w:val="18"/>
                <w:szCs w:val="18"/>
              </w:rPr>
            </w:pPr>
            <w:r w:rsidRPr="00CD1278">
              <w:rPr>
                <w:rFonts w:ascii="Arial" w:hAnsi="Arial"/>
                <w:b/>
                <w:color w:val="auto"/>
                <w:sz w:val="18"/>
                <w:szCs w:val="18"/>
              </w:rPr>
              <w:t>MBTOC comments on economics for 2019:</w:t>
            </w:r>
          </w:p>
          <w:p w14:paraId="064C4B4D" w14:textId="77777777" w:rsidR="003030D4" w:rsidRPr="00CD1278" w:rsidRDefault="003030D4" w:rsidP="003030D4">
            <w:pPr>
              <w:rPr>
                <w:rFonts w:ascii="Arial" w:hAnsi="Arial"/>
                <w:color w:val="auto"/>
                <w:sz w:val="18"/>
                <w:szCs w:val="18"/>
              </w:rPr>
            </w:pPr>
            <w:r w:rsidRPr="00CD1278">
              <w:rPr>
                <w:rFonts w:ascii="Arial" w:hAnsi="Arial"/>
                <w:color w:val="auto"/>
                <w:sz w:val="18"/>
                <w:szCs w:val="18"/>
              </w:rPr>
              <w:t>No economic information relevant to the evaluation of the CUN has been provided.</w:t>
            </w:r>
          </w:p>
          <w:p w14:paraId="37F18571" w14:textId="77777777" w:rsidR="003030D4" w:rsidRPr="00CD1278" w:rsidRDefault="003030D4" w:rsidP="003030D4">
            <w:pPr>
              <w:spacing w:before="60" w:after="60"/>
              <w:rPr>
                <w:rFonts w:ascii="Arial" w:hAnsi="Arial"/>
                <w:b/>
                <w:color w:val="auto"/>
                <w:sz w:val="18"/>
                <w:szCs w:val="18"/>
              </w:rPr>
            </w:pPr>
            <w:r w:rsidRPr="00CD1278">
              <w:rPr>
                <w:rFonts w:ascii="Arial" w:hAnsi="Arial"/>
                <w:b/>
                <w:color w:val="auto"/>
                <w:sz w:val="18"/>
                <w:szCs w:val="18"/>
              </w:rPr>
              <w:t>Comments requested in Dec. XX1/11 (para 9):</w:t>
            </w:r>
          </w:p>
          <w:p w14:paraId="479909EE" w14:textId="77777777" w:rsidR="003030D4" w:rsidRPr="00CD1278" w:rsidRDefault="003030D4" w:rsidP="003030D4">
            <w:pPr>
              <w:numPr>
                <w:ilvl w:val="0"/>
                <w:numId w:val="6"/>
              </w:numPr>
              <w:spacing w:after="120"/>
              <w:rPr>
                <w:rFonts w:ascii="Arial" w:hAnsi="Arial"/>
                <w:color w:val="auto"/>
                <w:sz w:val="18"/>
                <w:szCs w:val="18"/>
              </w:rPr>
            </w:pPr>
            <w:r w:rsidRPr="00CD1278">
              <w:rPr>
                <w:rFonts w:ascii="Arial" w:hAnsi="Arial"/>
                <w:b/>
                <w:color w:val="auto"/>
                <w:sz w:val="18"/>
                <w:szCs w:val="18"/>
              </w:rPr>
              <w:t>Dec. IX/6 b(i) Emission Reduction:</w:t>
            </w:r>
            <w:r w:rsidRPr="00CD1278">
              <w:rPr>
                <w:rFonts w:ascii="Arial" w:hAnsi="Arial"/>
                <w:color w:val="auto"/>
                <w:sz w:val="18"/>
                <w:szCs w:val="18"/>
              </w:rPr>
              <w:t xml:space="preserve"> The CUN states that particularly in the sheeted houses, a high level of fumigant containment has been achieved.</w:t>
            </w:r>
          </w:p>
          <w:p w14:paraId="551ECD0C" w14:textId="77777777" w:rsidR="003030D4" w:rsidRPr="00CD1278" w:rsidRDefault="003030D4" w:rsidP="003030D4">
            <w:pPr>
              <w:numPr>
                <w:ilvl w:val="0"/>
                <w:numId w:val="6"/>
              </w:numPr>
              <w:spacing w:after="120"/>
              <w:ind w:left="714" w:hanging="357"/>
              <w:rPr>
                <w:rFonts w:ascii="Arial" w:hAnsi="Arial"/>
                <w:b/>
                <w:color w:val="auto"/>
                <w:sz w:val="18"/>
                <w:szCs w:val="18"/>
              </w:rPr>
            </w:pPr>
            <w:r w:rsidRPr="00CD1278">
              <w:rPr>
                <w:rFonts w:ascii="Arial" w:hAnsi="Arial"/>
                <w:b/>
                <w:color w:val="auto"/>
                <w:sz w:val="18"/>
                <w:szCs w:val="18"/>
              </w:rPr>
              <w:t xml:space="preserve">Dec. IX/6 b(iii) Research Program: </w:t>
            </w:r>
            <w:r w:rsidRPr="00CD1278">
              <w:rPr>
                <w:rFonts w:ascii="Arial" w:hAnsi="Arial"/>
                <w:color w:val="auto"/>
                <w:sz w:val="18"/>
                <w:szCs w:val="18"/>
              </w:rPr>
              <w:t>MBTOC notes the recent, favourable adoption of heat, but very limited work is presented in the CUN on testing promising alternatives. According to the CUN and additional correspondence, the Party is undertaking investigations in the suitability of heat disinfestation as possible alternative in South Africa for the described control of infestation.</w:t>
            </w:r>
          </w:p>
          <w:p w14:paraId="19AD1A2E" w14:textId="77777777" w:rsidR="003030D4" w:rsidRPr="00CD1278" w:rsidRDefault="003030D4" w:rsidP="003030D4">
            <w:pPr>
              <w:pStyle w:val="ListParagraph"/>
              <w:numPr>
                <w:ilvl w:val="0"/>
                <w:numId w:val="6"/>
              </w:numPr>
              <w:spacing w:before="60" w:after="120"/>
              <w:ind w:left="714" w:hanging="357"/>
              <w:rPr>
                <w:color w:val="auto"/>
                <w:sz w:val="18"/>
                <w:szCs w:val="18"/>
              </w:rPr>
            </w:pPr>
            <w:r w:rsidRPr="00CD1278">
              <w:rPr>
                <w:rFonts w:ascii="Arial" w:hAnsi="Arial" w:cs="Arial"/>
                <w:b/>
                <w:color w:val="auto"/>
                <w:sz w:val="18"/>
                <w:szCs w:val="18"/>
              </w:rPr>
              <w:t>Dec. IX/6 b(iii) Appropriate Effort:</w:t>
            </w:r>
            <w:r w:rsidRPr="00CD1278">
              <w:rPr>
                <w:rFonts w:ascii="Arial" w:hAnsi="Arial" w:cs="Arial"/>
                <w:color w:val="auto"/>
                <w:sz w:val="18"/>
                <w:szCs w:val="18"/>
              </w:rPr>
              <w:t xml:space="preserve"> Registration of SF has been released in January 2018.</w:t>
            </w:r>
          </w:p>
          <w:p w14:paraId="20D221DE" w14:textId="77777777" w:rsidR="003030D4" w:rsidRPr="00CD1278" w:rsidRDefault="003030D4" w:rsidP="003030D4">
            <w:pPr>
              <w:pStyle w:val="ListParagraph"/>
              <w:numPr>
                <w:ilvl w:val="0"/>
                <w:numId w:val="6"/>
              </w:numPr>
              <w:spacing w:before="60" w:after="120"/>
              <w:ind w:left="714" w:hanging="357"/>
              <w:rPr>
                <w:color w:val="auto"/>
                <w:szCs w:val="22"/>
              </w:rPr>
            </w:pPr>
            <w:r w:rsidRPr="00CD1278">
              <w:rPr>
                <w:rFonts w:ascii="Arial" w:hAnsi="Arial"/>
                <w:b/>
                <w:color w:val="auto"/>
                <w:sz w:val="18"/>
                <w:szCs w:val="18"/>
              </w:rPr>
              <w:t xml:space="preserve">Dec. Ex 1(4) Annex 1 National Management Strategy: </w:t>
            </w:r>
            <w:r w:rsidRPr="00CD1278">
              <w:rPr>
                <w:rFonts w:ascii="Arial" w:hAnsi="Arial"/>
                <w:color w:val="auto"/>
                <w:sz w:val="18"/>
                <w:szCs w:val="18"/>
              </w:rPr>
              <w:t>No detailed Management Strategy was presented. The Party indicated to phase out the MB use shortly after SF as an alternative will be fully accessible to the market.</w:t>
            </w:r>
          </w:p>
        </w:tc>
      </w:tr>
    </w:tbl>
    <w:p w14:paraId="15966738" w14:textId="54FEB203" w:rsidR="00210905" w:rsidRPr="00CD1278" w:rsidRDefault="009B6A47" w:rsidP="00210905">
      <w:pPr>
        <w:rPr>
          <w:color w:val="auto"/>
        </w:rPr>
        <w:sectPr w:rsidR="00210905" w:rsidRPr="00CD1278" w:rsidSect="0038722C">
          <w:headerReference w:type="even" r:id="rId69"/>
          <w:headerReference w:type="default" r:id="rId70"/>
          <w:footerReference w:type="even" r:id="rId71"/>
          <w:footerReference w:type="default" r:id="rId72"/>
          <w:headerReference w:type="first" r:id="rId73"/>
          <w:pgSz w:w="16834" w:h="11909" w:orient="landscape" w:code="9"/>
          <w:pgMar w:top="1440" w:right="567" w:bottom="1134" w:left="567" w:header="720" w:footer="720" w:gutter="0"/>
          <w:cols w:space="720"/>
          <w:docGrid w:linePitch="360"/>
        </w:sectPr>
      </w:pPr>
      <w:r w:rsidRPr="00CD1278">
        <w:rPr>
          <w:rFonts w:ascii="Arial" w:hAnsi="Arial" w:cs="Arial"/>
          <w:color w:val="auto"/>
          <w:sz w:val="16"/>
          <w:szCs w:val="18"/>
          <w:vertAlign w:val="superscript"/>
        </w:rPr>
        <w:t>1</w:t>
      </w:r>
      <w:r w:rsidRPr="00CD1278">
        <w:rPr>
          <w:rFonts w:ascii="Arial" w:hAnsi="Arial" w:cs="Arial"/>
          <w:color w:val="auto"/>
          <w:sz w:val="16"/>
          <w:szCs w:val="18"/>
        </w:rPr>
        <w:t>MOP25,</w:t>
      </w:r>
      <w:r w:rsidRPr="00CD1278">
        <w:rPr>
          <w:rFonts w:ascii="Arial" w:hAnsi="Arial" w:cs="Arial"/>
          <w:color w:val="auto"/>
          <w:sz w:val="16"/>
          <w:szCs w:val="18"/>
          <w:vertAlign w:val="superscript"/>
        </w:rPr>
        <w:t>2</w:t>
      </w:r>
      <w:r w:rsidRPr="00CD1278">
        <w:rPr>
          <w:rFonts w:ascii="Arial" w:hAnsi="Arial" w:cs="Arial"/>
          <w:color w:val="auto"/>
          <w:sz w:val="16"/>
          <w:szCs w:val="18"/>
        </w:rPr>
        <w:t>MOP26</w:t>
      </w:r>
      <w:r w:rsidRPr="00CD1278">
        <w:rPr>
          <w:rFonts w:ascii="Arial" w:hAnsi="Arial" w:cs="Arial"/>
          <w:b/>
          <w:bCs/>
          <w:color w:val="auto"/>
          <w:sz w:val="16"/>
          <w:szCs w:val="18"/>
        </w:rPr>
        <w:t xml:space="preserve">, </w:t>
      </w:r>
      <w:r w:rsidRPr="00CD1278">
        <w:rPr>
          <w:rFonts w:ascii="Arial" w:hAnsi="Arial" w:cs="Arial"/>
          <w:bCs/>
          <w:color w:val="auto"/>
          <w:sz w:val="16"/>
          <w:szCs w:val="18"/>
          <w:vertAlign w:val="superscript"/>
        </w:rPr>
        <w:t>3</w:t>
      </w:r>
      <w:r w:rsidRPr="00CD1278">
        <w:rPr>
          <w:rFonts w:ascii="Arial" w:hAnsi="Arial" w:cs="Arial"/>
          <w:bCs/>
          <w:color w:val="auto"/>
          <w:sz w:val="16"/>
          <w:szCs w:val="18"/>
        </w:rPr>
        <w:t xml:space="preserve">MOP27, </w:t>
      </w:r>
      <w:r w:rsidRPr="00CD1278">
        <w:rPr>
          <w:rFonts w:ascii="Arial" w:hAnsi="Arial" w:cs="Arial"/>
          <w:bCs/>
          <w:color w:val="auto"/>
          <w:sz w:val="16"/>
          <w:szCs w:val="18"/>
          <w:vertAlign w:val="superscript"/>
        </w:rPr>
        <w:t>4</w:t>
      </w:r>
      <w:r w:rsidRPr="00CD1278">
        <w:rPr>
          <w:rFonts w:ascii="Arial" w:hAnsi="Arial" w:cs="Arial"/>
          <w:bCs/>
          <w:color w:val="auto"/>
          <w:sz w:val="16"/>
          <w:szCs w:val="18"/>
        </w:rPr>
        <w:t xml:space="preserve">MOP28, </w:t>
      </w:r>
      <w:r w:rsidRPr="00CD1278">
        <w:rPr>
          <w:rFonts w:ascii="Arial" w:hAnsi="Arial" w:cs="Arial"/>
          <w:bCs/>
          <w:color w:val="auto"/>
          <w:sz w:val="16"/>
          <w:szCs w:val="18"/>
          <w:vertAlign w:val="superscript"/>
        </w:rPr>
        <w:t>5</w:t>
      </w:r>
      <w:r w:rsidRPr="00CD1278">
        <w:rPr>
          <w:rFonts w:ascii="Arial" w:hAnsi="Arial" w:cs="Arial"/>
          <w:bCs/>
          <w:color w:val="auto"/>
          <w:sz w:val="16"/>
          <w:szCs w:val="18"/>
        </w:rPr>
        <w:t>MOP29</w:t>
      </w:r>
      <w:r w:rsidR="00A1031F" w:rsidRPr="00CD1278">
        <w:rPr>
          <w:color w:val="auto"/>
        </w:rPr>
        <w:br w:type="textWrapping" w:clear="all"/>
      </w:r>
    </w:p>
    <w:p w14:paraId="5A312B09" w14:textId="3D4CE179" w:rsidR="009C0DF0" w:rsidRPr="00CD1278" w:rsidRDefault="009C0DF0" w:rsidP="00A426E1">
      <w:pPr>
        <w:pStyle w:val="Heading1"/>
        <w:rPr>
          <w:rStyle w:val="Heading1Char3"/>
          <w:bCs/>
          <w:color w:val="auto"/>
        </w:rPr>
      </w:pPr>
      <w:bookmarkStart w:id="107" w:name="_Toc453277832"/>
      <w:bookmarkStart w:id="108" w:name="_Toc324255720"/>
      <w:bookmarkEnd w:id="96"/>
      <w:bookmarkEnd w:id="97"/>
      <w:bookmarkEnd w:id="98"/>
      <w:bookmarkEnd w:id="99"/>
      <w:bookmarkEnd w:id="100"/>
      <w:r w:rsidRPr="00CD1278">
        <w:rPr>
          <w:rStyle w:val="Heading1Char3"/>
          <w:bCs/>
          <w:color w:val="auto"/>
        </w:rPr>
        <w:t>1.6</w:t>
      </w:r>
      <w:r w:rsidRPr="00CD1278">
        <w:rPr>
          <w:rStyle w:val="Heading1Char3"/>
          <w:bCs/>
          <w:color w:val="auto"/>
        </w:rPr>
        <w:tab/>
        <w:t>References:</w:t>
      </w:r>
      <w:bookmarkEnd w:id="107"/>
      <w:r w:rsidR="00E624E3" w:rsidRPr="00CD1278">
        <w:rPr>
          <w:rStyle w:val="Heading1Char3"/>
          <w:bCs/>
          <w:color w:val="auto"/>
        </w:rPr>
        <w:t xml:space="preserve"> </w:t>
      </w:r>
    </w:p>
    <w:p w14:paraId="3DE5E52E" w14:textId="57E2F4EB"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Aldercreutz, E.</w:t>
      </w:r>
      <w:r w:rsidR="0087703E" w:rsidRPr="00CD1278">
        <w:rPr>
          <w:rFonts w:ascii="Times New Roman" w:hAnsi="Times New Roman"/>
        </w:rPr>
        <w:t xml:space="preserve"> </w:t>
      </w:r>
      <w:r w:rsidRPr="00CD1278">
        <w:rPr>
          <w:rFonts w:ascii="Times New Roman" w:hAnsi="Times New Roman"/>
        </w:rPr>
        <w:t>G.</w:t>
      </w:r>
      <w:r w:rsidR="0087703E" w:rsidRPr="00CD1278">
        <w:rPr>
          <w:rFonts w:ascii="Times New Roman" w:hAnsi="Times New Roman"/>
        </w:rPr>
        <w:t xml:space="preserve"> </w:t>
      </w:r>
      <w:r w:rsidRPr="00CD1278">
        <w:rPr>
          <w:rFonts w:ascii="Times New Roman" w:hAnsi="Times New Roman"/>
        </w:rPr>
        <w:t xml:space="preserve">A., Szczesny, A. (2010). Evaluación de tratamientos alternativos al </w:t>
      </w:r>
      <w:r w:rsidR="0087703E" w:rsidRPr="00CD1278">
        <w:rPr>
          <w:rFonts w:ascii="Times New Roman" w:hAnsi="Times New Roman"/>
        </w:rPr>
        <w:t>b</w:t>
      </w:r>
      <w:r w:rsidRPr="00CD1278">
        <w:rPr>
          <w:rFonts w:ascii="Times New Roman" w:hAnsi="Times New Roman"/>
        </w:rPr>
        <w:t>romuro de metilo realizados en el mismo período productivo en el cultivo de frutilla (</w:t>
      </w:r>
      <w:r w:rsidRPr="00CD1278">
        <w:rPr>
          <w:rFonts w:ascii="Times New Roman" w:hAnsi="Times New Roman"/>
          <w:i/>
        </w:rPr>
        <w:t>Fragaria x ananassa</w:t>
      </w:r>
      <w:r w:rsidRPr="00CD1278">
        <w:rPr>
          <w:rFonts w:ascii="Times New Roman" w:hAnsi="Times New Roman"/>
        </w:rPr>
        <w:t xml:space="preserve"> Duch.) por el Proyecto Tierra Sana en el Cinturón Hortícola de Mar del Plata. No. 136 Horticultura. In: </w:t>
      </w:r>
      <w:r w:rsidRPr="00CD1278">
        <w:rPr>
          <w:rFonts w:ascii="Times New Roman" w:hAnsi="Times New Roman"/>
          <w:i/>
        </w:rPr>
        <w:t>Horticultura Argentina</w:t>
      </w:r>
      <w:r w:rsidRPr="00CD1278">
        <w:rPr>
          <w:rFonts w:ascii="Times New Roman" w:hAnsi="Times New Roman"/>
        </w:rPr>
        <w:t xml:space="preserve"> 29(70): Sep.-Dic</w:t>
      </w:r>
      <w:r w:rsidR="00D57053" w:rsidRPr="00CD1278">
        <w:rPr>
          <w:rFonts w:ascii="Times New Roman" w:hAnsi="Times New Roman"/>
        </w:rPr>
        <w:t>.</w:t>
      </w:r>
    </w:p>
    <w:p w14:paraId="3795E789" w14:textId="236774BE"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Aldercreutz, E.</w:t>
      </w:r>
      <w:r w:rsidR="0087703E" w:rsidRPr="00CD1278">
        <w:rPr>
          <w:rFonts w:ascii="Times New Roman" w:hAnsi="Times New Roman"/>
        </w:rPr>
        <w:t xml:space="preserve"> </w:t>
      </w:r>
      <w:r w:rsidRPr="00CD1278">
        <w:rPr>
          <w:rFonts w:ascii="Times New Roman" w:hAnsi="Times New Roman"/>
        </w:rPr>
        <w:t>G.</w:t>
      </w:r>
      <w:r w:rsidR="0087703E" w:rsidRPr="00CD1278">
        <w:rPr>
          <w:rFonts w:ascii="Times New Roman" w:hAnsi="Times New Roman"/>
        </w:rPr>
        <w:t xml:space="preserve"> </w:t>
      </w:r>
      <w:r w:rsidRPr="00CD1278">
        <w:rPr>
          <w:rFonts w:ascii="Times New Roman" w:hAnsi="Times New Roman"/>
        </w:rPr>
        <w:t>A., Szczesny, A.</w:t>
      </w:r>
      <w:r w:rsidR="0087703E" w:rsidRPr="00CD1278">
        <w:rPr>
          <w:rFonts w:ascii="Times New Roman" w:hAnsi="Times New Roman"/>
        </w:rPr>
        <w:t xml:space="preserve"> </w:t>
      </w:r>
      <w:r w:rsidRPr="00CD1278">
        <w:rPr>
          <w:rFonts w:ascii="Times New Roman" w:hAnsi="Times New Roman"/>
        </w:rPr>
        <w:t xml:space="preserve"> (2008). Tratamiento de suelos alternativos al </w:t>
      </w:r>
      <w:r w:rsidR="0087703E" w:rsidRPr="00CD1278">
        <w:rPr>
          <w:rFonts w:ascii="Times New Roman" w:hAnsi="Times New Roman"/>
        </w:rPr>
        <w:t>b</w:t>
      </w:r>
      <w:r w:rsidRPr="00CD1278">
        <w:rPr>
          <w:rFonts w:ascii="Times New Roman" w:hAnsi="Times New Roman"/>
        </w:rPr>
        <w:t xml:space="preserve">romuro de </w:t>
      </w:r>
      <w:r w:rsidR="0087703E" w:rsidRPr="00CD1278">
        <w:rPr>
          <w:rFonts w:ascii="Times New Roman" w:hAnsi="Times New Roman"/>
        </w:rPr>
        <w:t>m</w:t>
      </w:r>
      <w:r w:rsidRPr="00CD1278">
        <w:rPr>
          <w:rFonts w:ascii="Times New Roman" w:hAnsi="Times New Roman"/>
        </w:rPr>
        <w:t>etilo en el cultivo de frutilla (</w:t>
      </w:r>
      <w:r w:rsidRPr="00CD1278">
        <w:rPr>
          <w:rFonts w:ascii="Times New Roman" w:hAnsi="Times New Roman"/>
          <w:i/>
        </w:rPr>
        <w:t>Fragaria</w:t>
      </w:r>
      <w:r w:rsidRPr="00CD1278">
        <w:rPr>
          <w:rFonts w:ascii="Times New Roman" w:hAnsi="Times New Roman"/>
        </w:rPr>
        <w:t xml:space="preserve"> x </w:t>
      </w:r>
      <w:r w:rsidRPr="00CD1278">
        <w:rPr>
          <w:rFonts w:ascii="Times New Roman" w:hAnsi="Times New Roman"/>
          <w:i/>
        </w:rPr>
        <w:t>ananassa</w:t>
      </w:r>
      <w:r w:rsidRPr="00CD1278">
        <w:rPr>
          <w:rFonts w:ascii="Times New Roman" w:hAnsi="Times New Roman"/>
        </w:rPr>
        <w:t xml:space="preserve"> Duch.) realizadas por el proyecto Tierra Sana en el cinturón hortícola de Mar del </w:t>
      </w:r>
      <w:r w:rsidR="0087703E" w:rsidRPr="00CD1278">
        <w:rPr>
          <w:rFonts w:ascii="Times New Roman" w:hAnsi="Times New Roman"/>
        </w:rPr>
        <w:t>Plata.</w:t>
      </w:r>
      <w:r w:rsidRPr="00CD1278">
        <w:rPr>
          <w:rFonts w:ascii="Times New Roman" w:hAnsi="Times New Roman"/>
        </w:rPr>
        <w:t xml:space="preserve"> No. 149 Horticultura. In: </w:t>
      </w:r>
      <w:r w:rsidRPr="00CD1278">
        <w:rPr>
          <w:rFonts w:ascii="Times New Roman" w:hAnsi="Times New Roman"/>
          <w:i/>
        </w:rPr>
        <w:t>Horticultura Argentina</w:t>
      </w:r>
      <w:r w:rsidRPr="00CD1278">
        <w:rPr>
          <w:rFonts w:ascii="Times New Roman" w:hAnsi="Times New Roman"/>
        </w:rPr>
        <w:t xml:space="preserve"> 27( 64): Sep-Dic. </w:t>
      </w:r>
    </w:p>
    <w:p w14:paraId="0CE033BC" w14:textId="7C996FC1" w:rsidR="009C0DF0" w:rsidRPr="00CD1278" w:rsidRDefault="009C0DF0" w:rsidP="005A552B">
      <w:pPr>
        <w:pStyle w:val="References"/>
        <w:ind w:left="709" w:hanging="709"/>
        <w:jc w:val="left"/>
        <w:rPr>
          <w:rFonts w:ascii="Times New Roman" w:hAnsi="Times New Roman"/>
          <w:i/>
        </w:rPr>
      </w:pPr>
      <w:r w:rsidRPr="00CD1278">
        <w:rPr>
          <w:rFonts w:ascii="Times New Roman" w:hAnsi="Times New Roman"/>
        </w:rPr>
        <w:t>Andreau, R., Etchevers, P., Chale, W., Etcheverry, M., Calvo, M.</w:t>
      </w:r>
      <w:r w:rsidR="0087703E" w:rsidRPr="00CD1278">
        <w:rPr>
          <w:rFonts w:ascii="Times New Roman" w:hAnsi="Times New Roman"/>
        </w:rPr>
        <w:t xml:space="preserve"> </w:t>
      </w:r>
      <w:r w:rsidRPr="00CD1278">
        <w:rPr>
          <w:rFonts w:ascii="Times New Roman" w:hAnsi="Times New Roman"/>
        </w:rPr>
        <w:t xml:space="preserve">Y., Génova, L. (2014). Injerto de tomate en La Plata: dos años de ensayos con pie Maxifort-copa Elpida conducidos bajo cubierta, bajo distintas condiciones de riego y drenaje. No. 019 Horticultura. In: </w:t>
      </w:r>
      <w:r w:rsidRPr="00CD1278">
        <w:rPr>
          <w:rFonts w:ascii="Times New Roman" w:hAnsi="Times New Roman"/>
          <w:i/>
        </w:rPr>
        <w:t xml:space="preserve">Horticultura Argentina </w:t>
      </w:r>
      <w:r w:rsidRPr="00CD1278">
        <w:rPr>
          <w:rFonts w:ascii="Times New Roman" w:hAnsi="Times New Roman"/>
        </w:rPr>
        <w:t>33(82): Sep-Dic</w:t>
      </w:r>
      <w:r w:rsidRPr="00CD1278">
        <w:rPr>
          <w:rFonts w:ascii="Times New Roman" w:hAnsi="Times New Roman"/>
          <w:i/>
        </w:rPr>
        <w:t xml:space="preserve">. </w:t>
      </w:r>
    </w:p>
    <w:p w14:paraId="51B2130E" w14:textId="5758AB83" w:rsidR="00F35A35" w:rsidRPr="00CD1278" w:rsidRDefault="00F35A35" w:rsidP="005A552B">
      <w:pPr>
        <w:pStyle w:val="References"/>
        <w:ind w:left="709" w:hanging="709"/>
        <w:jc w:val="left"/>
        <w:rPr>
          <w:rFonts w:ascii="Times New Roman" w:hAnsi="Times New Roman"/>
        </w:rPr>
      </w:pPr>
      <w:r w:rsidRPr="00CD1278">
        <w:rPr>
          <w:rFonts w:ascii="Times New Roman" w:hAnsi="Times New Roman"/>
        </w:rPr>
        <w:t>Anon (2013)</w:t>
      </w:r>
      <w:r w:rsidR="0087703E" w:rsidRPr="00CD1278">
        <w:rPr>
          <w:rFonts w:ascii="Times New Roman" w:hAnsi="Times New Roman"/>
        </w:rPr>
        <w:t>.</w:t>
      </w:r>
      <w:r w:rsidRPr="00CD1278">
        <w:rPr>
          <w:rFonts w:ascii="Times New Roman" w:hAnsi="Times New Roman"/>
        </w:rPr>
        <w:t xml:space="preserve"> International Standards for Phytosanitary Measures (ISPM 15)</w:t>
      </w:r>
      <w:r w:rsidR="00A3367B" w:rsidRPr="00CD1278">
        <w:rPr>
          <w:rFonts w:ascii="Times New Roman" w:hAnsi="Times New Roman"/>
        </w:rPr>
        <w:t>.</w:t>
      </w:r>
      <w:r w:rsidRPr="00CD1278">
        <w:rPr>
          <w:rFonts w:ascii="Times New Roman" w:hAnsi="Times New Roman"/>
        </w:rPr>
        <w:t xml:space="preserve"> </w:t>
      </w:r>
      <w:hyperlink r:id="rId74" w:history="1">
        <w:r w:rsidRPr="00CD1278">
          <w:rPr>
            <w:rFonts w:ascii="Times New Roman" w:hAnsi="Times New Roman"/>
          </w:rPr>
          <w:t>http://www.ispm15.com/IPPC%20ISPM15%20draft%20Apr%202013.pdf</w:t>
        </w:r>
      </w:hyperlink>
      <w:r w:rsidR="00A3367B" w:rsidRPr="00CD1278">
        <w:rPr>
          <w:rFonts w:ascii="Times New Roman" w:hAnsi="Times New Roman"/>
        </w:rPr>
        <w:t>.</w:t>
      </w:r>
    </w:p>
    <w:p w14:paraId="75B39806" w14:textId="165F99C0" w:rsidR="00F85F99" w:rsidRPr="00CD1278" w:rsidRDefault="00F85F99" w:rsidP="005A552B">
      <w:pPr>
        <w:pStyle w:val="References"/>
        <w:ind w:left="709" w:hanging="709"/>
        <w:jc w:val="left"/>
        <w:rPr>
          <w:rFonts w:ascii="Times New Roman" w:hAnsi="Times New Roman"/>
        </w:rPr>
      </w:pPr>
      <w:r w:rsidRPr="00CD1278">
        <w:rPr>
          <w:rFonts w:ascii="Times New Roman" w:hAnsi="Times New Roman"/>
        </w:rPr>
        <w:t>Ashraf, M. A., Kondo, N., Shiigi, T. (2011). Use of machine vision to sort tomato seedlings for grafting robot. Engineering in Agriculture, Environment and Food 4(4), 119-125.</w:t>
      </w:r>
    </w:p>
    <w:p w14:paraId="1F29B25F" w14:textId="5D6C16B6" w:rsidR="00B31778" w:rsidRPr="00CD1278" w:rsidRDefault="00B31778" w:rsidP="005A552B">
      <w:pPr>
        <w:pStyle w:val="References"/>
        <w:ind w:left="709" w:hanging="709"/>
        <w:jc w:val="left"/>
        <w:rPr>
          <w:rFonts w:ascii="Times New Roman" w:hAnsi="Times New Roman"/>
        </w:rPr>
      </w:pPr>
      <w:r w:rsidRPr="00CD1278">
        <w:rPr>
          <w:rFonts w:ascii="Times New Roman" w:hAnsi="Times New Roman"/>
        </w:rPr>
        <w:t xml:space="preserve">Baur, X., Poschadel &amp; Budnik, L.T. (2010a). High frequency of fumigants and other toxic gases in imported freight containers - an underestimated occupational and community health risk. </w:t>
      </w:r>
      <w:r w:rsidRPr="00CD1278">
        <w:rPr>
          <w:rFonts w:ascii="Times New Roman" w:hAnsi="Times New Roman"/>
          <w:i/>
        </w:rPr>
        <w:t>Occup Environ Med,</w:t>
      </w:r>
      <w:r w:rsidRPr="00CD1278">
        <w:rPr>
          <w:rFonts w:ascii="Times New Roman" w:hAnsi="Times New Roman"/>
        </w:rPr>
        <w:t xml:space="preserve"> 67(3):207-212.</w:t>
      </w:r>
    </w:p>
    <w:p w14:paraId="4E1D6DFB" w14:textId="5D92A6D6" w:rsidR="00C13BA1" w:rsidRPr="00CD1278" w:rsidRDefault="00C13BA1" w:rsidP="005A552B">
      <w:pPr>
        <w:pStyle w:val="References"/>
        <w:ind w:left="709" w:hanging="709"/>
        <w:jc w:val="left"/>
        <w:rPr>
          <w:rFonts w:ascii="Times New Roman" w:hAnsi="Times New Roman"/>
        </w:rPr>
      </w:pPr>
      <w:r w:rsidRPr="00CD1278">
        <w:rPr>
          <w:rFonts w:ascii="Times New Roman" w:hAnsi="Times New Roman"/>
        </w:rPr>
        <w:t>Baur, X., Budnik, L.T. and Preisser (2010</w:t>
      </w:r>
      <w:r w:rsidR="00B31778" w:rsidRPr="00CD1278">
        <w:rPr>
          <w:rFonts w:ascii="Times New Roman" w:hAnsi="Times New Roman"/>
        </w:rPr>
        <w:t>b</w:t>
      </w:r>
      <w:r w:rsidRPr="00CD1278">
        <w:rPr>
          <w:rFonts w:ascii="Times New Roman" w:hAnsi="Times New Roman"/>
        </w:rPr>
        <w:t xml:space="preserve">). Health risks of residual fumigants in international transport containers. </w:t>
      </w:r>
      <w:r w:rsidRPr="00CD1278">
        <w:rPr>
          <w:rFonts w:ascii="Times New Roman" w:hAnsi="Times New Roman"/>
          <w:i/>
        </w:rPr>
        <w:t>Dtsch Med Wochenschr</w:t>
      </w:r>
      <w:r w:rsidRPr="00CD1278">
        <w:rPr>
          <w:rFonts w:ascii="Times New Roman" w:hAnsi="Times New Roman"/>
        </w:rPr>
        <w:t>, 135(11):516-</w:t>
      </w:r>
      <w:r w:rsidR="00112410" w:rsidRPr="00CD1278">
        <w:rPr>
          <w:rFonts w:ascii="Times New Roman" w:hAnsi="Times New Roman"/>
        </w:rPr>
        <w:t>5</w:t>
      </w:r>
      <w:r w:rsidRPr="00CD1278">
        <w:rPr>
          <w:rFonts w:ascii="Times New Roman" w:hAnsi="Times New Roman"/>
        </w:rPr>
        <w:t>21.</w:t>
      </w:r>
    </w:p>
    <w:p w14:paraId="05DC0EF3" w14:textId="49E18D0F" w:rsidR="00F85F99" w:rsidRPr="00CD1278" w:rsidRDefault="00F85F99" w:rsidP="005A552B">
      <w:pPr>
        <w:pStyle w:val="References"/>
        <w:ind w:left="709" w:hanging="709"/>
        <w:jc w:val="left"/>
        <w:rPr>
          <w:rFonts w:ascii="Times New Roman" w:hAnsi="Times New Roman"/>
          <w:bCs w:val="0"/>
        </w:rPr>
      </w:pPr>
      <w:r w:rsidRPr="00CD1278">
        <w:rPr>
          <w:rFonts w:ascii="Times New Roman" w:hAnsi="Times New Roman"/>
        </w:rPr>
        <w:t>Belda</w:t>
      </w:r>
      <w:r w:rsidRPr="00CD1278">
        <w:rPr>
          <w:rFonts w:ascii="Times New Roman" w:hAnsi="Times New Roman"/>
          <w:bCs w:val="0"/>
        </w:rPr>
        <w:t>,</w:t>
      </w:r>
      <w:r w:rsidR="00DD3CB8" w:rsidRPr="00CD1278">
        <w:rPr>
          <w:rFonts w:ascii="Times New Roman" w:hAnsi="Times New Roman"/>
          <w:bCs w:val="0"/>
        </w:rPr>
        <w:t xml:space="preserve"> </w:t>
      </w:r>
      <w:r w:rsidRPr="00CD1278">
        <w:rPr>
          <w:rFonts w:ascii="Times New Roman" w:hAnsi="Times New Roman"/>
          <w:bCs w:val="0"/>
        </w:rPr>
        <w:t xml:space="preserve">C., Ribes-Dasi, M., Riudavets, J. 2011. Improving pest management in pet food mills using accurate monitoring and spatial analysis. </w:t>
      </w:r>
      <w:r w:rsidRPr="00CD1278">
        <w:rPr>
          <w:rFonts w:ascii="Times New Roman" w:hAnsi="Times New Roman"/>
          <w:bCs w:val="0"/>
          <w:i/>
        </w:rPr>
        <w:t>Journal of Stored Products Research</w:t>
      </w:r>
      <w:r w:rsidRPr="00CD1278">
        <w:rPr>
          <w:rFonts w:ascii="Times New Roman" w:hAnsi="Times New Roman"/>
          <w:bCs w:val="0"/>
        </w:rPr>
        <w:t xml:space="preserve"> 47</w:t>
      </w:r>
      <w:r w:rsidR="00B31778" w:rsidRPr="00CD1278">
        <w:rPr>
          <w:rFonts w:ascii="Times New Roman" w:hAnsi="Times New Roman"/>
          <w:bCs w:val="0"/>
        </w:rPr>
        <w:t>:</w:t>
      </w:r>
      <w:r w:rsidRPr="00CD1278">
        <w:rPr>
          <w:rFonts w:ascii="Times New Roman" w:hAnsi="Times New Roman"/>
          <w:bCs w:val="0"/>
        </w:rPr>
        <w:t xml:space="preserve"> 385-392</w:t>
      </w:r>
      <w:r w:rsidR="0087703E" w:rsidRPr="00CD1278">
        <w:rPr>
          <w:rFonts w:ascii="Times New Roman" w:hAnsi="Times New Roman"/>
          <w:bCs w:val="0"/>
        </w:rPr>
        <w:t>.</w:t>
      </w:r>
    </w:p>
    <w:p w14:paraId="71B6A18A" w14:textId="438E87F1" w:rsidR="00F85F99" w:rsidRPr="00CD1278" w:rsidRDefault="00F85F99" w:rsidP="005A552B">
      <w:pPr>
        <w:pStyle w:val="References"/>
        <w:ind w:left="709" w:hanging="709"/>
        <w:jc w:val="left"/>
        <w:rPr>
          <w:rFonts w:ascii="Times New Roman" w:hAnsi="Times New Roman"/>
        </w:rPr>
      </w:pPr>
      <w:r w:rsidRPr="00CD1278">
        <w:rPr>
          <w:rFonts w:ascii="Times New Roman" w:hAnsi="Times New Roman"/>
        </w:rPr>
        <w:t>Bórquez, A.</w:t>
      </w:r>
      <w:r w:rsidR="0087703E" w:rsidRPr="00CD1278">
        <w:rPr>
          <w:rFonts w:ascii="Times New Roman" w:hAnsi="Times New Roman"/>
        </w:rPr>
        <w:t xml:space="preserve"> </w:t>
      </w:r>
      <w:r w:rsidRPr="00CD1278">
        <w:rPr>
          <w:rFonts w:ascii="Times New Roman" w:hAnsi="Times New Roman"/>
        </w:rPr>
        <w:t>M., Agüero, J.</w:t>
      </w:r>
      <w:r w:rsidR="0087703E" w:rsidRPr="00CD1278">
        <w:rPr>
          <w:rFonts w:ascii="Times New Roman" w:hAnsi="Times New Roman"/>
        </w:rPr>
        <w:t xml:space="preserve"> </w:t>
      </w:r>
      <w:r w:rsidRPr="00CD1278">
        <w:rPr>
          <w:rFonts w:ascii="Times New Roman" w:hAnsi="Times New Roman"/>
        </w:rPr>
        <w:t xml:space="preserve">J. (2007). Evaluación del 1,3 diclorporopeno + cloropicrina y de la utilización del polietileno VIF con dosis reducida de bromuro de metilo 70:30 en la desinfección de suelo para el cultivo de frutilla, en Lules, Tucumán. No. 108. Horticultura. In: </w:t>
      </w:r>
      <w:r w:rsidRPr="00CD1278">
        <w:rPr>
          <w:rFonts w:ascii="Times New Roman" w:hAnsi="Times New Roman"/>
          <w:i/>
        </w:rPr>
        <w:t>Horticultura Argentina</w:t>
      </w:r>
      <w:r w:rsidRPr="00CD1278">
        <w:rPr>
          <w:rFonts w:ascii="Times New Roman" w:hAnsi="Times New Roman"/>
        </w:rPr>
        <w:t xml:space="preserve"> 26(61): Jul.-Dic. </w:t>
      </w:r>
    </w:p>
    <w:p w14:paraId="528D2ABD" w14:textId="099CE269" w:rsidR="00F85F99" w:rsidRPr="00CD1278" w:rsidRDefault="00F85F99" w:rsidP="005A552B">
      <w:pPr>
        <w:pStyle w:val="References"/>
        <w:ind w:left="709" w:hanging="709"/>
        <w:jc w:val="left"/>
        <w:rPr>
          <w:rFonts w:ascii="Times New Roman" w:hAnsi="Times New Roman"/>
        </w:rPr>
      </w:pPr>
      <w:r w:rsidRPr="00CD1278">
        <w:rPr>
          <w:rFonts w:ascii="Times New Roman" w:hAnsi="Times New Roman"/>
        </w:rPr>
        <w:t>Bórquez, A.</w:t>
      </w:r>
      <w:r w:rsidR="00F9389D" w:rsidRPr="00CD1278">
        <w:rPr>
          <w:rFonts w:ascii="Times New Roman" w:hAnsi="Times New Roman"/>
        </w:rPr>
        <w:t xml:space="preserve"> </w:t>
      </w:r>
      <w:r w:rsidRPr="00CD1278">
        <w:rPr>
          <w:rFonts w:ascii="Times New Roman" w:hAnsi="Times New Roman"/>
        </w:rPr>
        <w:t>M., Mollinedo, V.</w:t>
      </w:r>
      <w:r w:rsidR="00F9389D" w:rsidRPr="00CD1278">
        <w:rPr>
          <w:rFonts w:ascii="Times New Roman" w:hAnsi="Times New Roman"/>
        </w:rPr>
        <w:t xml:space="preserve"> </w:t>
      </w:r>
      <w:r w:rsidRPr="00CD1278">
        <w:rPr>
          <w:rFonts w:ascii="Times New Roman" w:hAnsi="Times New Roman"/>
        </w:rPr>
        <w:t xml:space="preserve">A., (2009). Evaluación del uso del ioduro de metilo, metamsodio y metam amonio como alternativas al bromuro de metilopara la desinfección de suelo en frutilla. No. 128. Horticultura. In: </w:t>
      </w:r>
      <w:r w:rsidRPr="00CD1278">
        <w:rPr>
          <w:rFonts w:ascii="Times New Roman" w:hAnsi="Times New Roman"/>
          <w:i/>
        </w:rPr>
        <w:t>Horticultura Argentina</w:t>
      </w:r>
      <w:r w:rsidRPr="00CD1278">
        <w:rPr>
          <w:rFonts w:ascii="Times New Roman" w:hAnsi="Times New Roman"/>
        </w:rPr>
        <w:t xml:space="preserve"> 28(67): Sep.-Dic.</w:t>
      </w:r>
    </w:p>
    <w:p w14:paraId="102D7948" w14:textId="5227C0DE"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Bórquez, A.</w:t>
      </w:r>
      <w:r w:rsidR="00F9389D" w:rsidRPr="00CD1278">
        <w:rPr>
          <w:rFonts w:ascii="Times New Roman" w:hAnsi="Times New Roman"/>
        </w:rPr>
        <w:t xml:space="preserve"> </w:t>
      </w:r>
      <w:r w:rsidRPr="00CD1278">
        <w:rPr>
          <w:rFonts w:ascii="Times New Roman" w:hAnsi="Times New Roman"/>
        </w:rPr>
        <w:t>M., Mollinedo, V.</w:t>
      </w:r>
      <w:r w:rsidR="00F9389D" w:rsidRPr="00CD1278">
        <w:rPr>
          <w:rFonts w:ascii="Times New Roman" w:hAnsi="Times New Roman"/>
        </w:rPr>
        <w:t xml:space="preserve"> </w:t>
      </w:r>
      <w:r w:rsidRPr="00CD1278">
        <w:rPr>
          <w:rFonts w:ascii="Times New Roman" w:hAnsi="Times New Roman"/>
        </w:rPr>
        <w:t xml:space="preserve">A, (2010). Evaluación de alternativas al bromuro de metilo como desinfectante de suelo en el cultivo de frutilla en Lules (Tucumán). No. 155. Horticultura. In: </w:t>
      </w:r>
      <w:r w:rsidRPr="00CD1278">
        <w:rPr>
          <w:rFonts w:ascii="Times New Roman" w:hAnsi="Times New Roman"/>
          <w:i/>
        </w:rPr>
        <w:t>Horticultura Argentina</w:t>
      </w:r>
      <w:r w:rsidRPr="00CD1278">
        <w:rPr>
          <w:rFonts w:ascii="Times New Roman" w:hAnsi="Times New Roman"/>
        </w:rPr>
        <w:t xml:space="preserve"> 29(70): Sep.-Dic. </w:t>
      </w:r>
    </w:p>
    <w:p w14:paraId="5C1BDCB0" w14:textId="77777777" w:rsidR="00DE3D14" w:rsidRPr="00CD1278" w:rsidRDefault="00DE3D14" w:rsidP="005A552B">
      <w:pPr>
        <w:pStyle w:val="references0"/>
        <w:ind w:left="709" w:hanging="709"/>
        <w:jc w:val="left"/>
        <w:rPr>
          <w:rFonts w:ascii="Times New Roman" w:hAnsi="Times New Roman"/>
          <w:bCs/>
          <w:i w:val="0"/>
        </w:rPr>
      </w:pPr>
      <w:r w:rsidRPr="00CD1278">
        <w:rPr>
          <w:rFonts w:ascii="Times New Roman" w:hAnsi="Times New Roman"/>
          <w:bCs/>
          <w:i w:val="0"/>
        </w:rPr>
        <w:t xml:space="preserve">Budnik, L.T., Kloth, S., Velasco-Garrido, M., Baur, X. (2012). Prostate cancer and toxicity from critical use exemptions of methyl bromide: Environmental protection helps protect against human health risks. </w:t>
      </w:r>
      <w:r w:rsidRPr="00CD1278">
        <w:rPr>
          <w:rFonts w:ascii="Times New Roman" w:hAnsi="Times New Roman"/>
          <w:bCs/>
        </w:rPr>
        <w:t>Environmental Health</w:t>
      </w:r>
      <w:r w:rsidRPr="00CD1278">
        <w:rPr>
          <w:rFonts w:ascii="Times New Roman" w:hAnsi="Times New Roman"/>
          <w:bCs/>
          <w:i w:val="0"/>
        </w:rPr>
        <w:t xml:space="preserve"> 11:5,12pp</w:t>
      </w:r>
    </w:p>
    <w:p w14:paraId="17806D16" w14:textId="32065B01" w:rsidR="00F918DF" w:rsidRPr="00CD1278" w:rsidRDefault="00C575E7" w:rsidP="005A552B">
      <w:pPr>
        <w:pStyle w:val="references0"/>
        <w:ind w:left="709" w:hanging="709"/>
        <w:jc w:val="left"/>
        <w:rPr>
          <w:rFonts w:ascii="Times New Roman" w:hAnsi="Times New Roman"/>
          <w:bCs/>
          <w:i w:val="0"/>
        </w:rPr>
      </w:pPr>
      <w:hyperlink r:id="rId75" w:history="1">
        <w:r w:rsidR="00F918DF" w:rsidRPr="00CD1278">
          <w:rPr>
            <w:rFonts w:ascii="Times New Roman" w:hAnsi="Times New Roman"/>
            <w:bCs/>
            <w:i w:val="0"/>
          </w:rPr>
          <w:t>Bulathsinghala AT</w:t>
        </w:r>
      </w:hyperlink>
      <w:r w:rsidR="00F918DF" w:rsidRPr="00CD1278">
        <w:rPr>
          <w:rFonts w:ascii="Times New Roman" w:hAnsi="Times New Roman"/>
          <w:bCs/>
          <w:i w:val="0"/>
        </w:rPr>
        <w:t xml:space="preserve">, </w:t>
      </w:r>
      <w:hyperlink r:id="rId76" w:history="1">
        <w:r w:rsidR="00F918DF" w:rsidRPr="00CD1278">
          <w:rPr>
            <w:rFonts w:ascii="Times New Roman" w:hAnsi="Times New Roman"/>
            <w:bCs/>
            <w:i w:val="0"/>
          </w:rPr>
          <w:t>Shaw IC</w:t>
        </w:r>
      </w:hyperlink>
      <w:r w:rsidR="00F918DF" w:rsidRPr="00CD1278">
        <w:rPr>
          <w:rFonts w:ascii="Times New Roman" w:hAnsi="Times New Roman"/>
          <w:bCs/>
          <w:i w:val="0"/>
        </w:rPr>
        <w:t xml:space="preserve">. (2014). The toxic chemistry of methyl bromide. </w:t>
      </w:r>
      <w:hyperlink r:id="rId77" w:tooltip="Human &amp; experimental toxicology." w:history="1">
        <w:r w:rsidR="00F918DF" w:rsidRPr="00CD1278">
          <w:rPr>
            <w:rFonts w:ascii="Times New Roman" w:hAnsi="Times New Roman"/>
            <w:bCs/>
          </w:rPr>
          <w:t>Human Experimental Toxicology.</w:t>
        </w:r>
      </w:hyperlink>
      <w:r w:rsidR="00F918DF" w:rsidRPr="00CD1278">
        <w:rPr>
          <w:rFonts w:ascii="Times New Roman" w:hAnsi="Times New Roman"/>
          <w:bCs/>
          <w:i w:val="0"/>
        </w:rPr>
        <w:t xml:space="preserve"> 2014 Jan;33(1):81-91. doi: 10.1177/0960327113493299. </w:t>
      </w:r>
    </w:p>
    <w:p w14:paraId="41C49A97" w14:textId="1542E82C" w:rsidR="00C67859" w:rsidRPr="00CD1278" w:rsidRDefault="00C67859" w:rsidP="005A552B">
      <w:pPr>
        <w:spacing w:before="60" w:after="60"/>
        <w:ind w:left="709" w:hanging="709"/>
        <w:rPr>
          <w:bCs/>
          <w:color w:val="auto"/>
          <w:sz w:val="20"/>
        </w:rPr>
      </w:pPr>
      <w:r w:rsidRPr="00CD1278">
        <w:rPr>
          <w:bCs/>
          <w:color w:val="auto"/>
          <w:sz w:val="20"/>
        </w:rPr>
        <w:t xml:space="preserve">Cabrera, A.J., Hanson, B.D., Abit, M.M., Gerik, J.S., Gao, S., Qin, R., Wang, D. (2015). Pre-plant soil fumigation with reduced rates under low permeable films for tree nursery production, orchard and vineyard replanting. </w:t>
      </w:r>
      <w:r w:rsidRPr="00CD1278">
        <w:rPr>
          <w:bCs/>
          <w:i/>
          <w:color w:val="auto"/>
          <w:sz w:val="20"/>
        </w:rPr>
        <w:t>Crop Protection Journal.</w:t>
      </w:r>
      <w:r w:rsidRPr="00CD1278">
        <w:rPr>
          <w:bCs/>
          <w:color w:val="auto"/>
          <w:sz w:val="20"/>
        </w:rPr>
        <w:t xml:space="preserve"> 75:34-39.</w:t>
      </w:r>
    </w:p>
    <w:p w14:paraId="6E97B9ED" w14:textId="1B431522" w:rsidR="00A00F3E" w:rsidRPr="00CD1278" w:rsidRDefault="00F85F99" w:rsidP="005A552B">
      <w:pPr>
        <w:pStyle w:val="References"/>
        <w:ind w:left="709" w:hanging="709"/>
        <w:jc w:val="left"/>
        <w:rPr>
          <w:rFonts w:ascii="Times New Roman" w:hAnsi="Times New Roman"/>
        </w:rPr>
      </w:pPr>
      <w:r w:rsidRPr="00CD1278">
        <w:rPr>
          <w:rFonts w:ascii="Times New Roman" w:hAnsi="Times New Roman"/>
          <w:bCs w:val="0"/>
        </w:rPr>
        <w:t>Castillo,</w:t>
      </w:r>
      <w:r w:rsidR="00F35A35" w:rsidRPr="00CD1278">
        <w:rPr>
          <w:rFonts w:ascii="Times New Roman" w:hAnsi="Times New Roman"/>
          <w:bCs w:val="0"/>
        </w:rPr>
        <w:t xml:space="preserve"> </w:t>
      </w:r>
      <w:r w:rsidRPr="00CD1278">
        <w:rPr>
          <w:rFonts w:ascii="Times New Roman" w:hAnsi="Times New Roman"/>
          <w:bCs w:val="0"/>
        </w:rPr>
        <w:t>G., Ozores-Hampton M., Navia,</w:t>
      </w:r>
      <w:r w:rsidR="00F35A35" w:rsidRPr="00CD1278">
        <w:rPr>
          <w:rFonts w:ascii="Times New Roman" w:hAnsi="Times New Roman"/>
          <w:bCs w:val="0"/>
        </w:rPr>
        <w:t xml:space="preserve"> P.</w:t>
      </w:r>
      <w:r w:rsidRPr="00CD1278">
        <w:rPr>
          <w:rFonts w:ascii="Times New Roman" w:hAnsi="Times New Roman"/>
          <w:bCs w:val="0"/>
        </w:rPr>
        <w:t xml:space="preserve"> (2016). E</w:t>
      </w:r>
      <w:hyperlink r:id="rId78" w:tgtFrame="_blank" w:history="1">
        <w:r w:rsidRPr="00CD1278">
          <w:rPr>
            <w:rFonts w:ascii="Times New Roman" w:hAnsi="Times New Roman"/>
            <w:bCs w:val="0"/>
          </w:rPr>
          <w:t xml:space="preserve">fficacy of </w:t>
        </w:r>
        <w:r w:rsidR="00957E30" w:rsidRPr="00CD1278">
          <w:rPr>
            <w:rFonts w:ascii="Times New Roman" w:hAnsi="Times New Roman"/>
            <w:bCs w:val="0"/>
          </w:rPr>
          <w:t xml:space="preserve">drip injected </w:t>
        </w:r>
        <w:r w:rsidRPr="00CD1278">
          <w:rPr>
            <w:rFonts w:ascii="Times New Roman" w:hAnsi="Times New Roman"/>
            <w:bCs w:val="0"/>
          </w:rPr>
          <w:t>fluensulfone in combination with 1,3-dichloropropene/chloropicrin</w:t>
        </w:r>
      </w:hyperlink>
      <w:r w:rsidRPr="00CD1278">
        <w:rPr>
          <w:rFonts w:ascii="Times New Roman" w:hAnsi="Times New Roman"/>
          <w:bCs w:val="0"/>
        </w:rPr>
        <w:t xml:space="preserve"> </w:t>
      </w:r>
      <w:r w:rsidR="00957E30" w:rsidRPr="00CD1278">
        <w:rPr>
          <w:rFonts w:ascii="Times New Roman" w:hAnsi="Times New Roman"/>
          <w:bCs w:val="0"/>
        </w:rPr>
        <w:t>to manage root-knot nematodes on fresh-market tomatoes</w:t>
      </w:r>
      <w:r w:rsidR="00A00F3E" w:rsidRPr="00CD1278">
        <w:rPr>
          <w:rFonts w:ascii="Times New Roman" w:hAnsi="Times New Roman"/>
          <w:bCs w:val="0"/>
        </w:rPr>
        <w:t xml:space="preserve">. </w:t>
      </w:r>
      <w:r w:rsidR="00A00F3E" w:rsidRPr="00CD1278">
        <w:rPr>
          <w:rFonts w:ascii="Times New Roman" w:hAnsi="Times New Roman"/>
        </w:rPr>
        <w:t xml:space="preserve">In: Obenauf, G. L. (ed.), </w:t>
      </w:r>
      <w:r w:rsidR="00A00F3E" w:rsidRPr="00CD1278">
        <w:rPr>
          <w:rFonts w:ascii="Times New Roman" w:hAnsi="Times New Roman"/>
          <w:i/>
        </w:rPr>
        <w:t>Proceedings of the Annual International Research Conference on Methyl Bromide Alternatives and Emission Reductions</w:t>
      </w:r>
      <w:r w:rsidR="00A00F3E" w:rsidRPr="00CD1278">
        <w:rPr>
          <w:rFonts w:ascii="Times New Roman" w:hAnsi="Times New Roman"/>
        </w:rPr>
        <w:t xml:space="preserve">, </w:t>
      </w:r>
      <w:r w:rsidR="00957E30" w:rsidRPr="00CD1278">
        <w:rPr>
          <w:rFonts w:ascii="Times New Roman" w:hAnsi="Times New Roman"/>
        </w:rPr>
        <w:t xml:space="preserve">(MBAO), </w:t>
      </w:r>
      <w:r w:rsidR="00A00F3E" w:rsidRPr="00CD1278">
        <w:rPr>
          <w:rFonts w:ascii="Times New Roman" w:hAnsi="Times New Roman"/>
        </w:rPr>
        <w:t xml:space="preserve">8-10 November 2016 in Maitland, FL, USA, http://www.mbao.org, </w:t>
      </w:r>
      <w:r w:rsidR="00957E30" w:rsidRPr="00CD1278">
        <w:rPr>
          <w:rFonts w:ascii="Times New Roman" w:hAnsi="Times New Roman"/>
        </w:rPr>
        <w:t>4</w:t>
      </w:r>
      <w:r w:rsidR="00A00F3E" w:rsidRPr="00CD1278">
        <w:rPr>
          <w:rFonts w:ascii="Times New Roman" w:hAnsi="Times New Roman"/>
        </w:rPr>
        <w:t xml:space="preserve">-1 – </w:t>
      </w:r>
      <w:r w:rsidR="00355CF2" w:rsidRPr="00CD1278">
        <w:rPr>
          <w:rFonts w:ascii="Times New Roman" w:hAnsi="Times New Roman"/>
        </w:rPr>
        <w:t>4-4.</w:t>
      </w:r>
    </w:p>
    <w:p w14:paraId="33066FAC" w14:textId="7670F37B" w:rsidR="00355CF2" w:rsidRPr="00CD1278" w:rsidRDefault="00355CF2" w:rsidP="005A552B">
      <w:pPr>
        <w:pStyle w:val="references0"/>
        <w:ind w:left="709" w:hanging="709"/>
        <w:jc w:val="left"/>
      </w:pPr>
      <w:r w:rsidRPr="00CD1278">
        <w:rPr>
          <w:rStyle w:val="ogd"/>
          <w:rFonts w:ascii="Times New Roman" w:eastAsia="MS Mincho" w:hAnsi="Times New Roman"/>
          <w:i w:val="0"/>
        </w:rPr>
        <w:t>CDPR (2014). Approved tarpaulins for methyl bromide field fumigations – California</w:t>
      </w:r>
      <w:r w:rsidRPr="00CD1278">
        <w:rPr>
          <w:rStyle w:val="ogd"/>
          <w:rFonts w:ascii="Times New Roman" w:eastAsia="MS Mincho" w:hAnsi="Times New Roman"/>
          <w:b/>
        </w:rPr>
        <w:t xml:space="preserve"> </w:t>
      </w:r>
      <w:r w:rsidRPr="00CD1278">
        <w:rPr>
          <w:rStyle w:val="HTMLCite"/>
          <w:rFonts w:ascii="Times New Roman" w:eastAsiaTheme="majorEastAsia" w:hAnsi="Times New Roman"/>
        </w:rPr>
        <w:t>www.cdpr.ca.gov/docs/emon/methbrom/tarps.pdf</w:t>
      </w:r>
    </w:p>
    <w:p w14:paraId="4AAEAC7D" w14:textId="5F09831E" w:rsidR="009C0DF0" w:rsidRPr="00CD1278" w:rsidRDefault="009C0DF0" w:rsidP="005A552B">
      <w:pPr>
        <w:pStyle w:val="References"/>
        <w:spacing w:after="120"/>
        <w:ind w:left="709" w:hanging="709"/>
        <w:jc w:val="left"/>
        <w:rPr>
          <w:rFonts w:ascii="Times New Roman" w:hAnsi="Times New Roman"/>
        </w:rPr>
      </w:pPr>
      <w:r w:rsidRPr="00CD1278">
        <w:rPr>
          <w:rFonts w:ascii="Times New Roman" w:hAnsi="Times New Roman"/>
        </w:rPr>
        <w:t xml:space="preserve">Chale, W., Etcheverry, M., Génova, L., Etchevers, P., Calvo, I., Andreau, R., (2013). Ensayo comparativo de rendimiento de cinco injertos de tomate con copa Elpida en suelos con neinátodos conducidos bajo cubierta plastica en La Plata. No. 019 Horticultura. In: </w:t>
      </w:r>
      <w:r w:rsidRPr="00CD1278">
        <w:rPr>
          <w:rFonts w:ascii="Times New Roman" w:hAnsi="Times New Roman"/>
          <w:i/>
        </w:rPr>
        <w:t>Horticultura Argentina</w:t>
      </w:r>
      <w:r w:rsidRPr="00CD1278">
        <w:rPr>
          <w:rFonts w:ascii="Times New Roman" w:hAnsi="Times New Roman"/>
        </w:rPr>
        <w:t xml:space="preserve"> 32(79): Sep.-Dic.</w:t>
      </w:r>
    </w:p>
    <w:p w14:paraId="2A1C1E10" w14:textId="25887029"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Christos, I.</w:t>
      </w:r>
      <w:r w:rsidR="00F9389D" w:rsidRPr="00CD1278">
        <w:rPr>
          <w:rFonts w:ascii="Times New Roman" w:hAnsi="Times New Roman"/>
        </w:rPr>
        <w:t xml:space="preserve"> </w:t>
      </w:r>
      <w:r w:rsidRPr="00CD1278">
        <w:rPr>
          <w:rFonts w:ascii="Times New Roman" w:hAnsi="Times New Roman"/>
        </w:rPr>
        <w:t>R., Ebrahim, M.</w:t>
      </w:r>
      <w:r w:rsidR="00F9389D" w:rsidRPr="00CD1278">
        <w:rPr>
          <w:rFonts w:ascii="Times New Roman" w:hAnsi="Times New Roman"/>
        </w:rPr>
        <w:t xml:space="preserve"> </w:t>
      </w:r>
      <w:r w:rsidRPr="00CD1278">
        <w:rPr>
          <w:rFonts w:ascii="Times New Roman" w:hAnsi="Times New Roman"/>
        </w:rPr>
        <w:t xml:space="preserve">K., Naved, S. (2011). Response of local and commercial tomato cultivars and rootstocks to </w:t>
      </w:r>
      <w:r w:rsidRPr="00CD1278">
        <w:rPr>
          <w:rFonts w:ascii="Times New Roman" w:hAnsi="Times New Roman"/>
          <w:i/>
          <w:iCs/>
        </w:rPr>
        <w:t xml:space="preserve">Meloidogyne javanica </w:t>
      </w:r>
      <w:r w:rsidRPr="00CD1278">
        <w:rPr>
          <w:rFonts w:ascii="Times New Roman" w:hAnsi="Times New Roman"/>
        </w:rPr>
        <w:t xml:space="preserve">infestation. </w:t>
      </w:r>
      <w:r w:rsidRPr="00CD1278">
        <w:rPr>
          <w:rFonts w:ascii="Times New Roman" w:hAnsi="Times New Roman"/>
          <w:i/>
        </w:rPr>
        <w:t xml:space="preserve">Australian Journal of Crop Science </w:t>
      </w:r>
      <w:r w:rsidRPr="00CD1278">
        <w:rPr>
          <w:rFonts w:ascii="Times New Roman" w:hAnsi="Times New Roman"/>
        </w:rPr>
        <w:t>5(11)</w:t>
      </w:r>
      <w:r w:rsidR="00CD1827" w:rsidRPr="00CD1278">
        <w:rPr>
          <w:rFonts w:ascii="Times New Roman" w:hAnsi="Times New Roman"/>
        </w:rPr>
        <w:t>,</w:t>
      </w:r>
      <w:r w:rsidR="00F9389D" w:rsidRPr="00CD1278">
        <w:rPr>
          <w:rFonts w:ascii="Times New Roman" w:hAnsi="Times New Roman"/>
        </w:rPr>
        <w:t xml:space="preserve"> </w:t>
      </w:r>
      <w:r w:rsidRPr="00CD1278">
        <w:rPr>
          <w:rFonts w:ascii="Times New Roman" w:hAnsi="Times New Roman"/>
        </w:rPr>
        <w:t>1388-1395.</w:t>
      </w:r>
    </w:p>
    <w:p w14:paraId="27514B04" w14:textId="3B60702D" w:rsidR="00957E30" w:rsidRPr="00CD1278" w:rsidRDefault="00F85F99" w:rsidP="005A552B">
      <w:pPr>
        <w:pStyle w:val="References"/>
        <w:ind w:left="709" w:hanging="709"/>
        <w:jc w:val="left"/>
        <w:rPr>
          <w:rFonts w:ascii="Times New Roman" w:hAnsi="Times New Roman"/>
        </w:rPr>
      </w:pPr>
      <w:r w:rsidRPr="00CD1278">
        <w:rPr>
          <w:rFonts w:ascii="Times New Roman" w:hAnsi="Times New Roman"/>
          <w:bCs w:val="0"/>
        </w:rPr>
        <w:t xml:space="preserve">Chow E. (2016). </w:t>
      </w:r>
      <w:r w:rsidR="003308B0" w:rsidRPr="00CD1278">
        <w:rPr>
          <w:rFonts w:ascii="Times New Roman" w:hAnsi="Times New Roman"/>
          <w:lang w:eastAsia="de-DE"/>
        </w:rPr>
        <w:t>TIF mulching films provide buffer zone relief to growers</w:t>
      </w:r>
      <w:r w:rsidR="003308B0" w:rsidRPr="00CD1278">
        <w:rPr>
          <w:lang w:eastAsia="de-DE"/>
        </w:rPr>
        <w:t xml:space="preserve"> </w:t>
      </w:r>
      <w:r w:rsidR="003308B0" w:rsidRPr="00CD1278">
        <w:rPr>
          <w:rFonts w:ascii="Times New Roman" w:hAnsi="Times New Roman"/>
          <w:lang w:eastAsia="de-DE"/>
        </w:rPr>
        <w:t>in the USA</w:t>
      </w:r>
      <w:r w:rsidR="003308B0" w:rsidRPr="00CD1278">
        <w:rPr>
          <w:lang w:eastAsia="de-DE"/>
        </w:rPr>
        <w:t xml:space="preserve"> - </w:t>
      </w:r>
      <w:r w:rsidRPr="00CD1278">
        <w:rPr>
          <w:rFonts w:ascii="Times New Roman" w:hAnsi="Times New Roman"/>
          <w:bCs w:val="0"/>
        </w:rPr>
        <w:t xml:space="preserve">An </w:t>
      </w:r>
      <w:r w:rsidR="00F9389D" w:rsidRPr="00CD1278">
        <w:rPr>
          <w:rFonts w:ascii="Times New Roman" w:hAnsi="Times New Roman"/>
          <w:bCs w:val="0"/>
        </w:rPr>
        <w:t>o</w:t>
      </w:r>
      <w:r w:rsidRPr="00CD1278">
        <w:rPr>
          <w:rFonts w:ascii="Times New Roman" w:hAnsi="Times New Roman"/>
          <w:bCs w:val="0"/>
        </w:rPr>
        <w:t xml:space="preserve">verview on the </w:t>
      </w:r>
      <w:r w:rsidR="00F9389D" w:rsidRPr="00CD1278">
        <w:rPr>
          <w:rFonts w:ascii="Times New Roman" w:hAnsi="Times New Roman"/>
          <w:bCs w:val="0"/>
        </w:rPr>
        <w:t>b</w:t>
      </w:r>
      <w:r w:rsidRPr="00CD1278">
        <w:rPr>
          <w:rFonts w:ascii="Times New Roman" w:hAnsi="Times New Roman"/>
          <w:bCs w:val="0"/>
        </w:rPr>
        <w:t xml:space="preserve">enefits of </w:t>
      </w:r>
      <w:r w:rsidR="00F9389D" w:rsidRPr="00CD1278">
        <w:rPr>
          <w:rFonts w:ascii="Times New Roman" w:hAnsi="Times New Roman"/>
          <w:bCs w:val="0"/>
        </w:rPr>
        <w:t>t</w:t>
      </w:r>
      <w:r w:rsidRPr="00CD1278">
        <w:rPr>
          <w:rFonts w:ascii="Times New Roman" w:hAnsi="Times New Roman"/>
          <w:bCs w:val="0"/>
        </w:rPr>
        <w:t xml:space="preserve">otally </w:t>
      </w:r>
      <w:r w:rsidR="00F9389D" w:rsidRPr="00CD1278">
        <w:rPr>
          <w:rFonts w:ascii="Times New Roman" w:hAnsi="Times New Roman"/>
          <w:bCs w:val="0"/>
        </w:rPr>
        <w:t>i</w:t>
      </w:r>
      <w:r w:rsidRPr="00CD1278">
        <w:rPr>
          <w:rFonts w:ascii="Times New Roman" w:hAnsi="Times New Roman"/>
          <w:bCs w:val="0"/>
        </w:rPr>
        <w:t xml:space="preserve">mpermeable </w:t>
      </w:r>
      <w:r w:rsidR="00F9389D" w:rsidRPr="00CD1278">
        <w:rPr>
          <w:rFonts w:ascii="Times New Roman" w:hAnsi="Times New Roman"/>
          <w:bCs w:val="0"/>
        </w:rPr>
        <w:t>f</w:t>
      </w:r>
      <w:r w:rsidRPr="00CD1278">
        <w:rPr>
          <w:rFonts w:ascii="Times New Roman" w:hAnsi="Times New Roman"/>
          <w:bCs w:val="0"/>
        </w:rPr>
        <w:t xml:space="preserve">ilms for </w:t>
      </w:r>
      <w:r w:rsidR="00F9389D" w:rsidRPr="00CD1278">
        <w:rPr>
          <w:rFonts w:ascii="Times New Roman" w:hAnsi="Times New Roman"/>
          <w:bCs w:val="0"/>
        </w:rPr>
        <w:t>s</w:t>
      </w:r>
      <w:r w:rsidRPr="00CD1278">
        <w:rPr>
          <w:rFonts w:ascii="Times New Roman" w:hAnsi="Times New Roman"/>
          <w:bCs w:val="0"/>
        </w:rPr>
        <w:t xml:space="preserve">oil </w:t>
      </w:r>
      <w:r w:rsidR="00F9389D" w:rsidRPr="00CD1278">
        <w:rPr>
          <w:rFonts w:ascii="Times New Roman" w:hAnsi="Times New Roman"/>
          <w:bCs w:val="0"/>
        </w:rPr>
        <w:t>t</w:t>
      </w:r>
      <w:r w:rsidRPr="00CD1278">
        <w:rPr>
          <w:rFonts w:ascii="Times New Roman" w:hAnsi="Times New Roman"/>
          <w:bCs w:val="0"/>
        </w:rPr>
        <w:t xml:space="preserve">reatment. </w:t>
      </w:r>
      <w:r w:rsidR="00957E30" w:rsidRPr="00CD1278">
        <w:rPr>
          <w:rFonts w:ascii="Times New Roman" w:hAnsi="Times New Roman"/>
        </w:rPr>
        <w:t xml:space="preserve">In: Obenauf, G. L. (ed.), </w:t>
      </w:r>
      <w:r w:rsidR="00957E30" w:rsidRPr="00CD1278">
        <w:rPr>
          <w:rFonts w:ascii="Times New Roman" w:hAnsi="Times New Roman"/>
          <w:i/>
        </w:rPr>
        <w:t>Proceedings of the Annual International Research Conference on Methyl Bromide Alternatives and Emission Reductions</w:t>
      </w:r>
      <w:r w:rsidR="00957E30" w:rsidRPr="00CD1278">
        <w:rPr>
          <w:rFonts w:ascii="Times New Roman" w:hAnsi="Times New Roman"/>
        </w:rPr>
        <w:t xml:space="preserve">, (MBAO), 8-10 November 2016 in Maitland, FL, USA, http://www.mbao.org, </w:t>
      </w:r>
      <w:r w:rsidR="00DE6F6C" w:rsidRPr="00CD1278">
        <w:rPr>
          <w:rFonts w:ascii="Times New Roman" w:hAnsi="Times New Roman"/>
        </w:rPr>
        <w:t>10-1</w:t>
      </w:r>
      <w:r w:rsidR="00957E30" w:rsidRPr="00CD1278">
        <w:rPr>
          <w:rFonts w:ascii="Times New Roman" w:hAnsi="Times New Roman"/>
        </w:rPr>
        <w:t>, 26 slides.</w:t>
      </w:r>
    </w:p>
    <w:p w14:paraId="3DFCC1BD" w14:textId="459AA6B4" w:rsidR="00355CF2" w:rsidRPr="00CD1278" w:rsidRDefault="00F35A35" w:rsidP="005A552B">
      <w:pPr>
        <w:pStyle w:val="references0"/>
        <w:ind w:left="709" w:hanging="709"/>
        <w:jc w:val="left"/>
        <w:rPr>
          <w:rFonts w:ascii="Times New Roman" w:hAnsi="Times New Roman"/>
          <w:i w:val="0"/>
        </w:rPr>
      </w:pPr>
      <w:r w:rsidRPr="00CD1278">
        <w:rPr>
          <w:rFonts w:ascii="Times New Roman" w:hAnsi="Times New Roman"/>
          <w:i w:val="0"/>
        </w:rPr>
        <w:t>Cockburn</w:t>
      </w:r>
      <w:r w:rsidR="00355CF2" w:rsidRPr="00CD1278">
        <w:rPr>
          <w:rFonts w:ascii="Times New Roman" w:hAnsi="Times New Roman"/>
          <w:i w:val="0"/>
        </w:rPr>
        <w:t>, M., Mills, P., Zhang, X., Zadnick, J., Goldberg, D., Ritz, B. (2011)</w:t>
      </w:r>
      <w:r w:rsidRPr="00CD1278">
        <w:rPr>
          <w:rFonts w:ascii="Times New Roman" w:hAnsi="Times New Roman"/>
          <w:i w:val="0"/>
        </w:rPr>
        <w:t>.</w:t>
      </w:r>
      <w:r w:rsidR="00355CF2" w:rsidRPr="00CD1278">
        <w:rPr>
          <w:rFonts w:ascii="Times New Roman" w:hAnsi="Times New Roman"/>
          <w:i w:val="0"/>
        </w:rPr>
        <w:t xml:space="preserve"> Prostate Cancer and Ambient Pesticide Exposure in Agriculturally Intensive Areas in California. </w:t>
      </w:r>
      <w:r w:rsidR="00355CF2" w:rsidRPr="00CD1278">
        <w:rPr>
          <w:rFonts w:ascii="Times New Roman" w:hAnsi="Times New Roman"/>
        </w:rPr>
        <w:t>American Journal of Epidemiology</w:t>
      </w:r>
      <w:r w:rsidR="00355CF2" w:rsidRPr="00CD1278">
        <w:rPr>
          <w:rFonts w:ascii="Times New Roman" w:hAnsi="Times New Roman"/>
          <w:i w:val="0"/>
        </w:rPr>
        <w:t xml:space="preserve"> </w:t>
      </w:r>
      <w:r w:rsidR="006D7D8A" w:rsidRPr="00CD1278">
        <w:rPr>
          <w:rFonts w:ascii="Times New Roman" w:hAnsi="Times New Roman"/>
          <w:i w:val="0"/>
        </w:rPr>
        <w:t>173 (11):</w:t>
      </w:r>
      <w:r w:rsidR="00355CF2" w:rsidRPr="00CD1278">
        <w:rPr>
          <w:rFonts w:ascii="Times New Roman" w:hAnsi="Times New Roman"/>
          <w:i w:val="0"/>
        </w:rPr>
        <w:t>1280-1288.</w:t>
      </w:r>
    </w:p>
    <w:p w14:paraId="5BC6257F" w14:textId="3F07FD41" w:rsidR="00F35A35" w:rsidRPr="00CD1278" w:rsidRDefault="00355CF2" w:rsidP="005A552B">
      <w:pPr>
        <w:spacing w:before="60" w:after="120"/>
        <w:ind w:left="709" w:hanging="709"/>
        <w:rPr>
          <w:bCs/>
          <w:color w:val="auto"/>
          <w:sz w:val="20"/>
        </w:rPr>
      </w:pPr>
      <w:r w:rsidRPr="00CD1278">
        <w:rPr>
          <w:bCs/>
          <w:color w:val="auto"/>
          <w:sz w:val="20"/>
        </w:rPr>
        <w:t>C</w:t>
      </w:r>
      <w:r w:rsidR="00F35A35" w:rsidRPr="00CD1278">
        <w:rPr>
          <w:bCs/>
          <w:color w:val="auto"/>
          <w:sz w:val="20"/>
        </w:rPr>
        <w:t>omba</w:t>
      </w:r>
      <w:r w:rsidR="00DE6F6C" w:rsidRPr="00CD1278">
        <w:rPr>
          <w:bCs/>
          <w:color w:val="auto"/>
          <w:sz w:val="20"/>
        </w:rPr>
        <w:t>,</w:t>
      </w:r>
      <w:r w:rsidR="00F35A35" w:rsidRPr="00CD1278">
        <w:rPr>
          <w:bCs/>
          <w:color w:val="auto"/>
          <w:sz w:val="20"/>
        </w:rPr>
        <w:t xml:space="preserve"> L</w:t>
      </w:r>
      <w:r w:rsidR="00DE6F6C" w:rsidRPr="00CD1278">
        <w:rPr>
          <w:bCs/>
          <w:color w:val="auto"/>
          <w:sz w:val="20"/>
        </w:rPr>
        <w:t>.,</w:t>
      </w:r>
      <w:r w:rsidR="00F35A35" w:rsidRPr="00CD1278">
        <w:rPr>
          <w:bCs/>
          <w:color w:val="auto"/>
          <w:sz w:val="20"/>
        </w:rPr>
        <w:t xml:space="preserve"> Gay</w:t>
      </w:r>
      <w:r w:rsidR="00DE6F6C" w:rsidRPr="00CD1278">
        <w:rPr>
          <w:bCs/>
          <w:color w:val="auto"/>
          <w:sz w:val="20"/>
        </w:rPr>
        <w:t>,</w:t>
      </w:r>
      <w:r w:rsidR="00F35A35" w:rsidRPr="00CD1278">
        <w:rPr>
          <w:bCs/>
          <w:color w:val="auto"/>
          <w:sz w:val="20"/>
        </w:rPr>
        <w:t xml:space="preserve"> P., Ricauda</w:t>
      </w:r>
      <w:r w:rsidR="00DE6F6C" w:rsidRPr="00CD1278">
        <w:rPr>
          <w:bCs/>
          <w:color w:val="auto"/>
          <w:sz w:val="20"/>
        </w:rPr>
        <w:t>-</w:t>
      </w:r>
      <w:r w:rsidR="00F35A35" w:rsidRPr="00CD1278">
        <w:rPr>
          <w:bCs/>
          <w:color w:val="auto"/>
          <w:sz w:val="20"/>
        </w:rPr>
        <w:t>Aimonino</w:t>
      </w:r>
      <w:r w:rsidR="00DE6F6C" w:rsidRPr="00CD1278">
        <w:rPr>
          <w:bCs/>
          <w:color w:val="auto"/>
          <w:sz w:val="20"/>
        </w:rPr>
        <w:t>,</w:t>
      </w:r>
      <w:r w:rsidR="00F35A35" w:rsidRPr="00CD1278">
        <w:rPr>
          <w:bCs/>
          <w:color w:val="auto"/>
          <w:sz w:val="20"/>
        </w:rPr>
        <w:t xml:space="preserve"> D. </w:t>
      </w:r>
      <w:r w:rsidR="00DE6F6C" w:rsidRPr="00CD1278">
        <w:rPr>
          <w:bCs/>
          <w:color w:val="auto"/>
          <w:sz w:val="20"/>
        </w:rPr>
        <w:t>(</w:t>
      </w:r>
      <w:r w:rsidR="00F35A35" w:rsidRPr="00CD1278">
        <w:rPr>
          <w:bCs/>
          <w:color w:val="auto"/>
          <w:sz w:val="20"/>
        </w:rPr>
        <w:t>2016</w:t>
      </w:r>
      <w:r w:rsidR="00DE6F6C" w:rsidRPr="00CD1278">
        <w:rPr>
          <w:bCs/>
          <w:color w:val="auto"/>
          <w:sz w:val="20"/>
        </w:rPr>
        <w:t>).</w:t>
      </w:r>
      <w:r w:rsidR="00F35A35" w:rsidRPr="00CD1278">
        <w:rPr>
          <w:bCs/>
          <w:color w:val="auto"/>
          <w:sz w:val="20"/>
        </w:rPr>
        <w:t xml:space="preserve"> Robot ensembles for grafting herbaceous crops. </w:t>
      </w:r>
      <w:r w:rsidR="00F35A35" w:rsidRPr="00CD1278">
        <w:rPr>
          <w:bCs/>
          <w:i/>
          <w:color w:val="auto"/>
          <w:sz w:val="20"/>
        </w:rPr>
        <w:t>Biosystems engineering</w:t>
      </w:r>
      <w:r w:rsidR="00F35A35" w:rsidRPr="00CD1278">
        <w:rPr>
          <w:bCs/>
          <w:color w:val="auto"/>
          <w:sz w:val="20"/>
        </w:rPr>
        <w:t xml:space="preserve"> 146</w:t>
      </w:r>
      <w:r w:rsidR="00DE6F6C" w:rsidRPr="00CD1278">
        <w:rPr>
          <w:bCs/>
          <w:color w:val="auto"/>
          <w:sz w:val="20"/>
        </w:rPr>
        <w:t>,</w:t>
      </w:r>
      <w:r w:rsidR="00F35A35" w:rsidRPr="00CD1278">
        <w:rPr>
          <w:bCs/>
          <w:color w:val="auto"/>
          <w:sz w:val="20"/>
        </w:rPr>
        <w:t xml:space="preserve"> 227-239</w:t>
      </w:r>
      <w:r w:rsidR="00DE6F6C" w:rsidRPr="00CD1278">
        <w:rPr>
          <w:bCs/>
          <w:color w:val="auto"/>
          <w:sz w:val="20"/>
        </w:rPr>
        <w:t>.</w:t>
      </w:r>
      <w:r w:rsidR="00F35A35" w:rsidRPr="00CD1278">
        <w:rPr>
          <w:bCs/>
          <w:color w:val="auto"/>
          <w:sz w:val="20"/>
        </w:rPr>
        <w:t xml:space="preserve"> </w:t>
      </w:r>
    </w:p>
    <w:p w14:paraId="0D9595B7" w14:textId="10FD36BC" w:rsidR="00C67E3E" w:rsidRPr="00CD1278" w:rsidRDefault="00C575E7" w:rsidP="005A552B">
      <w:pPr>
        <w:spacing w:before="60" w:after="60"/>
        <w:ind w:left="709" w:hanging="709"/>
        <w:rPr>
          <w:color w:val="auto"/>
          <w:szCs w:val="22"/>
          <w:lang w:eastAsia="fr-FR"/>
        </w:rPr>
      </w:pPr>
      <w:hyperlink r:id="rId79" w:history="1">
        <w:r w:rsidR="00F35A35" w:rsidRPr="00CD1278">
          <w:rPr>
            <w:bCs/>
            <w:color w:val="auto"/>
            <w:sz w:val="20"/>
          </w:rPr>
          <w:t>Cristóbal-Alejo</w:t>
        </w:r>
      </w:hyperlink>
      <w:r w:rsidR="00DE6F6C" w:rsidRPr="00CD1278">
        <w:rPr>
          <w:bCs/>
          <w:color w:val="auto"/>
          <w:sz w:val="20"/>
        </w:rPr>
        <w:t>,</w:t>
      </w:r>
      <w:r w:rsidR="00F35A35" w:rsidRPr="00CD1278">
        <w:rPr>
          <w:color w:val="auto"/>
        </w:rPr>
        <w:t xml:space="preserve"> J.,</w:t>
      </w:r>
      <w:r w:rsidR="00F35A35" w:rsidRPr="00CD1278">
        <w:rPr>
          <w:bCs/>
          <w:color w:val="auto"/>
          <w:sz w:val="20"/>
        </w:rPr>
        <w:t xml:space="preserve"> </w:t>
      </w:r>
      <w:hyperlink r:id="rId80" w:history="1">
        <w:r w:rsidR="00F35A35" w:rsidRPr="00CD1278">
          <w:rPr>
            <w:bCs/>
            <w:color w:val="auto"/>
            <w:sz w:val="20"/>
          </w:rPr>
          <w:t xml:space="preserve"> Mora-Aguilera</w:t>
        </w:r>
      </w:hyperlink>
      <w:r w:rsidR="00DE6F6C" w:rsidRPr="00CD1278">
        <w:rPr>
          <w:bCs/>
          <w:color w:val="auto"/>
          <w:sz w:val="20"/>
        </w:rPr>
        <w:t>,</w:t>
      </w:r>
      <w:r w:rsidR="00F35A35" w:rsidRPr="00CD1278">
        <w:rPr>
          <w:color w:val="auto"/>
        </w:rPr>
        <w:t xml:space="preserve"> G</w:t>
      </w:r>
      <w:r w:rsidR="00CD1827" w:rsidRPr="00CD1278">
        <w:rPr>
          <w:color w:val="auto"/>
        </w:rPr>
        <w:t xml:space="preserve">., </w:t>
      </w:r>
      <w:r w:rsidR="00CD1827" w:rsidRPr="00CD1278">
        <w:rPr>
          <w:color w:val="auto"/>
          <w:sz w:val="20"/>
        </w:rPr>
        <w:t>Manzanilla-López</w:t>
      </w:r>
      <w:r w:rsidR="00DE6F6C" w:rsidRPr="00CD1278">
        <w:rPr>
          <w:bCs/>
          <w:color w:val="auto"/>
          <w:sz w:val="20"/>
        </w:rPr>
        <w:t>,</w:t>
      </w:r>
      <w:r w:rsidR="00F35A35" w:rsidRPr="00CD1278">
        <w:rPr>
          <w:color w:val="auto"/>
          <w:sz w:val="20"/>
        </w:rPr>
        <w:t xml:space="preserve"> R.</w:t>
      </w:r>
      <w:r w:rsidR="00DE6F6C" w:rsidRPr="00CD1278">
        <w:rPr>
          <w:color w:val="auto"/>
          <w:sz w:val="20"/>
        </w:rPr>
        <w:t xml:space="preserve"> </w:t>
      </w:r>
      <w:r w:rsidR="00F35A35" w:rsidRPr="00CD1278">
        <w:rPr>
          <w:color w:val="auto"/>
          <w:sz w:val="20"/>
        </w:rPr>
        <w:t>H</w:t>
      </w:r>
      <w:r w:rsidR="00F35A35" w:rsidRPr="00CD1278">
        <w:rPr>
          <w:color w:val="auto"/>
        </w:rPr>
        <w:t>.</w:t>
      </w:r>
      <w:r w:rsidR="00DE6F6C" w:rsidRPr="00CD1278">
        <w:rPr>
          <w:bCs/>
          <w:color w:val="auto"/>
          <w:sz w:val="20"/>
        </w:rPr>
        <w:t>,</w:t>
      </w:r>
      <w:r w:rsidR="00F35A35" w:rsidRPr="00CD1278">
        <w:rPr>
          <w:bCs/>
          <w:color w:val="auto"/>
          <w:sz w:val="20"/>
        </w:rPr>
        <w:t xml:space="preserve"> </w:t>
      </w:r>
      <w:hyperlink r:id="rId81" w:history="1">
        <w:r w:rsidR="00F35A35" w:rsidRPr="00CD1278">
          <w:rPr>
            <w:bCs/>
            <w:color w:val="auto"/>
            <w:sz w:val="20"/>
          </w:rPr>
          <w:t>Marbán-Méndoza</w:t>
        </w:r>
      </w:hyperlink>
      <w:r w:rsidR="00DE6F6C" w:rsidRPr="00CD1278">
        <w:rPr>
          <w:bCs/>
          <w:color w:val="auto"/>
          <w:sz w:val="20"/>
        </w:rPr>
        <w:t>,</w:t>
      </w:r>
      <w:r w:rsidR="00F35A35" w:rsidRPr="00CD1278">
        <w:rPr>
          <w:color w:val="auto"/>
        </w:rPr>
        <w:t xml:space="preserve"> N., </w:t>
      </w:r>
      <w:hyperlink r:id="rId82" w:history="1">
        <w:r w:rsidR="00F35A35" w:rsidRPr="00CD1278">
          <w:rPr>
            <w:bCs/>
            <w:color w:val="auto"/>
            <w:sz w:val="20"/>
          </w:rPr>
          <w:t>Sánchez-Garcia</w:t>
        </w:r>
      </w:hyperlink>
      <w:r w:rsidR="00DE6F6C" w:rsidRPr="00CD1278">
        <w:rPr>
          <w:bCs/>
          <w:color w:val="auto"/>
          <w:sz w:val="20"/>
        </w:rPr>
        <w:t>,</w:t>
      </w:r>
      <w:r w:rsidR="00F35A35" w:rsidRPr="00CD1278">
        <w:rPr>
          <w:color w:val="auto"/>
        </w:rPr>
        <w:t xml:space="preserve"> P.,</w:t>
      </w:r>
      <w:hyperlink r:id="rId83" w:history="1">
        <w:r w:rsidR="00F35A35" w:rsidRPr="00CD1278">
          <w:rPr>
            <w:bCs/>
            <w:color w:val="auto"/>
            <w:sz w:val="20"/>
          </w:rPr>
          <w:t xml:space="preserve"> </w:t>
        </w:r>
        <w:r w:rsidR="003E398B" w:rsidRPr="00CD1278">
          <w:rPr>
            <w:bCs/>
            <w:color w:val="auto"/>
            <w:sz w:val="20"/>
          </w:rPr>
          <w:t>d</w:t>
        </w:r>
        <w:r w:rsidR="00F35A35" w:rsidRPr="00CD1278">
          <w:rPr>
            <w:bCs/>
            <w:color w:val="auto"/>
            <w:sz w:val="20"/>
          </w:rPr>
          <w:t>el Prado-Vera</w:t>
        </w:r>
      </w:hyperlink>
      <w:r w:rsidR="00DE6F6C" w:rsidRPr="00CD1278">
        <w:rPr>
          <w:bCs/>
          <w:color w:val="auto"/>
          <w:sz w:val="20"/>
        </w:rPr>
        <w:t>,</w:t>
      </w:r>
      <w:r w:rsidR="00F35A35" w:rsidRPr="00CD1278">
        <w:rPr>
          <w:bCs/>
          <w:color w:val="auto"/>
          <w:sz w:val="20"/>
        </w:rPr>
        <w:t> I.</w:t>
      </w:r>
      <w:r w:rsidR="003E398B" w:rsidRPr="00CD1278">
        <w:rPr>
          <w:bCs/>
          <w:color w:val="auto"/>
          <w:sz w:val="20"/>
        </w:rPr>
        <w:t>C.</w:t>
      </w:r>
      <w:r w:rsidR="00F35A35" w:rsidRPr="00CD1278">
        <w:rPr>
          <w:bCs/>
          <w:color w:val="auto"/>
          <w:sz w:val="20"/>
        </w:rPr>
        <w:t>,</w:t>
      </w:r>
      <w:r w:rsidR="00CD1827" w:rsidRPr="00CD1278">
        <w:rPr>
          <w:bCs/>
          <w:color w:val="auto"/>
          <w:sz w:val="20"/>
        </w:rPr>
        <w:t xml:space="preserve"> Evans</w:t>
      </w:r>
      <w:r w:rsidR="00DE6F6C" w:rsidRPr="00CD1278">
        <w:rPr>
          <w:bCs/>
          <w:color w:val="auto"/>
          <w:sz w:val="20"/>
        </w:rPr>
        <w:t>,</w:t>
      </w:r>
      <w:r w:rsidR="00F35A35" w:rsidRPr="00CD1278">
        <w:rPr>
          <w:bCs/>
          <w:color w:val="auto"/>
          <w:sz w:val="20"/>
        </w:rPr>
        <w:t xml:space="preserve"> K. (2006). Epidemiology and integrated control of </w:t>
      </w:r>
      <w:r w:rsidR="00F35A35" w:rsidRPr="00CD1278">
        <w:rPr>
          <w:bCs/>
          <w:i/>
          <w:color w:val="auto"/>
          <w:sz w:val="20"/>
        </w:rPr>
        <w:t>Nacobbus</w:t>
      </w:r>
      <w:r w:rsidR="00CD1827" w:rsidRPr="00CD1278">
        <w:rPr>
          <w:bCs/>
          <w:i/>
          <w:color w:val="auto"/>
          <w:sz w:val="20"/>
        </w:rPr>
        <w:t xml:space="preserve"> </w:t>
      </w:r>
      <w:r w:rsidR="00F35A35" w:rsidRPr="00CD1278">
        <w:rPr>
          <w:bCs/>
          <w:i/>
          <w:color w:val="auto"/>
          <w:sz w:val="20"/>
        </w:rPr>
        <w:t>aberrans</w:t>
      </w:r>
      <w:r w:rsidR="00F35A35" w:rsidRPr="00CD1278">
        <w:rPr>
          <w:bCs/>
          <w:color w:val="auto"/>
          <w:sz w:val="20"/>
        </w:rPr>
        <w:t xml:space="preserve"> on tomato in Mexico. </w:t>
      </w:r>
      <w:hyperlink r:id="rId84" w:history="1">
        <w:r w:rsidR="00F35A35" w:rsidRPr="00CD1278">
          <w:rPr>
            <w:bCs/>
            <w:i/>
            <w:color w:val="auto"/>
            <w:sz w:val="20"/>
          </w:rPr>
          <w:t>Nematology</w:t>
        </w:r>
      </w:hyperlink>
      <w:r w:rsidR="00F35A35" w:rsidRPr="00CD1278">
        <w:rPr>
          <w:bCs/>
          <w:color w:val="auto"/>
          <w:sz w:val="20"/>
        </w:rPr>
        <w:t xml:space="preserve">, </w:t>
      </w:r>
      <w:r w:rsidR="00F35A35" w:rsidRPr="00CD1278">
        <w:rPr>
          <w:bCs/>
          <w:color w:val="auto"/>
          <w:sz w:val="20"/>
          <w:szCs w:val="36"/>
        </w:rPr>
        <w:t>8</w:t>
      </w:r>
      <w:r w:rsidR="00454ECA" w:rsidRPr="00CD1278">
        <w:rPr>
          <w:bCs/>
          <w:color w:val="auto"/>
          <w:sz w:val="20"/>
          <w:szCs w:val="36"/>
        </w:rPr>
        <w:t>(</w:t>
      </w:r>
      <w:r w:rsidR="00F35A35" w:rsidRPr="00CD1278">
        <w:rPr>
          <w:bCs/>
          <w:color w:val="auto"/>
          <w:sz w:val="20"/>
          <w:szCs w:val="36"/>
        </w:rPr>
        <w:t>5</w:t>
      </w:r>
      <w:r w:rsidR="00454ECA" w:rsidRPr="00CD1278">
        <w:rPr>
          <w:bCs/>
          <w:color w:val="auto"/>
          <w:sz w:val="20"/>
          <w:szCs w:val="36"/>
        </w:rPr>
        <w:t>),</w:t>
      </w:r>
      <w:r w:rsidR="00CD1827" w:rsidRPr="00CD1278">
        <w:rPr>
          <w:bCs/>
          <w:color w:val="auto"/>
          <w:sz w:val="10"/>
        </w:rPr>
        <w:t xml:space="preserve"> </w:t>
      </w:r>
      <w:r w:rsidR="00F35A35" w:rsidRPr="00CD1278">
        <w:rPr>
          <w:bCs/>
          <w:color w:val="auto"/>
          <w:sz w:val="20"/>
        </w:rPr>
        <w:t>727 – 737</w:t>
      </w:r>
      <w:r w:rsidR="00CD1827" w:rsidRPr="00CD1278">
        <w:rPr>
          <w:color w:val="auto"/>
          <w:szCs w:val="22"/>
          <w:lang w:eastAsia="fr-FR"/>
        </w:rPr>
        <w:t>.</w:t>
      </w:r>
      <w:r w:rsidR="00F35A35" w:rsidRPr="00CD1278">
        <w:rPr>
          <w:color w:val="auto"/>
          <w:szCs w:val="22"/>
          <w:lang w:eastAsia="fr-FR"/>
        </w:rPr>
        <w:t xml:space="preserve"> </w:t>
      </w:r>
    </w:p>
    <w:p w14:paraId="717D0523" w14:textId="7BC9F8E1" w:rsidR="00C67E3E" w:rsidRPr="00CD1278" w:rsidRDefault="00C67E3E" w:rsidP="005A552B">
      <w:pPr>
        <w:spacing w:before="60" w:after="60"/>
        <w:ind w:left="709" w:hanging="709"/>
        <w:rPr>
          <w:bCs/>
          <w:color w:val="auto"/>
          <w:sz w:val="20"/>
        </w:rPr>
      </w:pPr>
      <w:r w:rsidRPr="00CD1278">
        <w:rPr>
          <w:bCs/>
          <w:color w:val="auto"/>
          <w:sz w:val="20"/>
        </w:rPr>
        <w:t>De Souza</w:t>
      </w:r>
      <w:r w:rsidR="003E398B" w:rsidRPr="00CD1278">
        <w:rPr>
          <w:bCs/>
          <w:color w:val="auto"/>
          <w:sz w:val="20"/>
        </w:rPr>
        <w:t xml:space="preserve">, </w:t>
      </w:r>
      <w:r w:rsidRPr="00CD1278">
        <w:rPr>
          <w:bCs/>
          <w:color w:val="auto"/>
          <w:sz w:val="20"/>
        </w:rPr>
        <w:t>A., Kedareshwar P.S.,</w:t>
      </w:r>
      <w:hyperlink r:id="rId85" w:history="1">
        <w:r w:rsidRPr="00CD1278">
          <w:rPr>
            <w:rFonts w:eastAsiaTheme="majorEastAsia"/>
            <w:bCs/>
            <w:color w:val="auto"/>
            <w:sz w:val="20"/>
          </w:rPr>
          <w:t xml:space="preserve"> Sindhoora</w:t>
        </w:r>
      </w:hyperlink>
      <w:r w:rsidRPr="00CD1278">
        <w:rPr>
          <w:bCs/>
          <w:color w:val="auto"/>
          <w:sz w:val="20"/>
        </w:rPr>
        <w:t>, K.V. (</w:t>
      </w:r>
      <w:r w:rsidR="00F35A35" w:rsidRPr="00CD1278">
        <w:rPr>
          <w:bCs/>
          <w:color w:val="auto"/>
          <w:sz w:val="20"/>
        </w:rPr>
        <w:t>2013</w:t>
      </w:r>
      <w:r w:rsidRPr="00CD1278">
        <w:rPr>
          <w:bCs/>
          <w:color w:val="auto"/>
          <w:sz w:val="20"/>
        </w:rPr>
        <w:t xml:space="preserve">). The </w:t>
      </w:r>
      <w:r w:rsidR="003E398B" w:rsidRPr="00CD1278">
        <w:rPr>
          <w:bCs/>
          <w:color w:val="auto"/>
          <w:sz w:val="20"/>
        </w:rPr>
        <w:t>n</w:t>
      </w:r>
      <w:r w:rsidRPr="00CD1278">
        <w:rPr>
          <w:bCs/>
          <w:color w:val="auto"/>
          <w:sz w:val="20"/>
        </w:rPr>
        <w:t xml:space="preserve">eurological </w:t>
      </w:r>
      <w:r w:rsidR="003E398B" w:rsidRPr="00CD1278">
        <w:rPr>
          <w:bCs/>
          <w:color w:val="auto"/>
          <w:sz w:val="20"/>
        </w:rPr>
        <w:t>e</w:t>
      </w:r>
      <w:r w:rsidRPr="00CD1278">
        <w:rPr>
          <w:bCs/>
          <w:color w:val="auto"/>
          <w:sz w:val="20"/>
        </w:rPr>
        <w:t xml:space="preserve">ffects of </w:t>
      </w:r>
      <w:r w:rsidR="003E398B" w:rsidRPr="00CD1278">
        <w:rPr>
          <w:bCs/>
          <w:color w:val="auto"/>
          <w:sz w:val="20"/>
        </w:rPr>
        <w:t>m</w:t>
      </w:r>
      <w:r w:rsidRPr="00CD1278">
        <w:rPr>
          <w:bCs/>
          <w:color w:val="auto"/>
          <w:sz w:val="20"/>
        </w:rPr>
        <w:t xml:space="preserve">ethyl </w:t>
      </w:r>
      <w:r w:rsidR="003E398B" w:rsidRPr="00CD1278">
        <w:rPr>
          <w:bCs/>
          <w:color w:val="auto"/>
          <w:sz w:val="20"/>
        </w:rPr>
        <w:t>b</w:t>
      </w:r>
      <w:r w:rsidRPr="00CD1278">
        <w:rPr>
          <w:bCs/>
          <w:color w:val="auto"/>
          <w:sz w:val="20"/>
        </w:rPr>
        <w:t xml:space="preserve">romide </w:t>
      </w:r>
      <w:r w:rsidR="003E398B" w:rsidRPr="00CD1278">
        <w:rPr>
          <w:bCs/>
          <w:color w:val="auto"/>
          <w:sz w:val="20"/>
        </w:rPr>
        <w:t>i</w:t>
      </w:r>
      <w:r w:rsidRPr="00CD1278">
        <w:rPr>
          <w:bCs/>
          <w:color w:val="auto"/>
          <w:sz w:val="20"/>
        </w:rPr>
        <w:t xml:space="preserve">ntoxication. </w:t>
      </w:r>
      <w:r w:rsidRPr="00CD1278">
        <w:rPr>
          <w:bCs/>
          <w:i/>
          <w:color w:val="auto"/>
          <w:sz w:val="20"/>
        </w:rPr>
        <w:t>Journal of Neurological Science</w:t>
      </w:r>
      <w:r w:rsidRPr="00CD1278">
        <w:rPr>
          <w:bCs/>
          <w:color w:val="auto"/>
          <w:sz w:val="20"/>
        </w:rPr>
        <w:t xml:space="preserve"> 335 (1-2), 36-41</w:t>
      </w:r>
      <w:r w:rsidR="00B44B21" w:rsidRPr="00CD1278">
        <w:rPr>
          <w:bCs/>
          <w:color w:val="auto"/>
          <w:sz w:val="20"/>
        </w:rPr>
        <w:t>.</w:t>
      </w:r>
      <w:r w:rsidRPr="00CD1278">
        <w:rPr>
          <w:bCs/>
          <w:color w:val="auto"/>
          <w:sz w:val="20"/>
        </w:rPr>
        <w:t xml:space="preserve"> </w:t>
      </w:r>
    </w:p>
    <w:p w14:paraId="13BA1FCF" w14:textId="423DA51A" w:rsidR="009C0DF0" w:rsidRPr="00CD1278" w:rsidRDefault="009C0DF0" w:rsidP="005A552B">
      <w:pPr>
        <w:pStyle w:val="References"/>
        <w:ind w:left="709" w:hanging="709"/>
        <w:jc w:val="left"/>
        <w:rPr>
          <w:rFonts w:ascii="Times New Roman" w:hAnsi="Times New Roman"/>
          <w:sz w:val="36"/>
          <w:szCs w:val="36"/>
        </w:rPr>
      </w:pPr>
      <w:r w:rsidRPr="00CD1278">
        <w:rPr>
          <w:rFonts w:ascii="Times New Roman" w:hAnsi="Times New Roman"/>
        </w:rPr>
        <w:t>Del Huerto Sordo, A. (2013). Se cultivaron 414 hectáreas de frutilla en la Provincia de Santa Fé. Boletín INTA,</w:t>
      </w:r>
      <w:r w:rsidR="00355CF2" w:rsidRPr="00CD1278">
        <w:rPr>
          <w:rFonts w:ascii="Times New Roman" w:hAnsi="Times New Roman"/>
        </w:rPr>
        <w:t xml:space="preserve"> 3pp.</w:t>
      </w:r>
      <w:r w:rsidR="00CD1827" w:rsidRPr="00CD1278">
        <w:rPr>
          <w:rFonts w:ascii="Times New Roman" w:hAnsi="Times New Roman"/>
        </w:rPr>
        <w:t xml:space="preserve"> </w:t>
      </w:r>
    </w:p>
    <w:p w14:paraId="6663136D" w14:textId="367B18B4"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Devran, Z., Sogut, M.A. (2010).</w:t>
      </w:r>
      <w:r w:rsidR="00865451" w:rsidRPr="00CD1278">
        <w:rPr>
          <w:rFonts w:ascii="Times New Roman" w:hAnsi="Times New Roman"/>
        </w:rPr>
        <w:t xml:space="preserve"> </w:t>
      </w:r>
      <w:r w:rsidRPr="00CD1278">
        <w:rPr>
          <w:rStyle w:val="txtboldonly"/>
          <w:rFonts w:ascii="Times New Roman" w:hAnsi="Times New Roman"/>
        </w:rPr>
        <w:t>Occurrence of virulent root-knot nematode populations on toma</w:t>
      </w:r>
      <w:r w:rsidR="00CD1827" w:rsidRPr="00CD1278">
        <w:rPr>
          <w:rStyle w:val="txtboldonly"/>
          <w:rFonts w:ascii="Times New Roman" w:hAnsi="Times New Roman"/>
        </w:rPr>
        <w:t xml:space="preserve"> </w:t>
      </w:r>
      <w:r w:rsidRPr="00CD1278">
        <w:rPr>
          <w:rStyle w:val="txtboldonly"/>
          <w:rFonts w:ascii="Times New Roman" w:hAnsi="Times New Roman"/>
        </w:rPr>
        <w:t xml:space="preserve">toes bearing the Mi gene in protected vegetable-growing areas of Turkey. </w:t>
      </w:r>
      <w:r w:rsidRPr="00CD1278">
        <w:rPr>
          <w:rFonts w:ascii="Times New Roman" w:hAnsi="Times New Roman"/>
          <w:i/>
          <w:iCs/>
        </w:rPr>
        <w:t>Phytoparasitica</w:t>
      </w:r>
      <w:r w:rsidRPr="00CD1278">
        <w:rPr>
          <w:rFonts w:ascii="Times New Roman" w:hAnsi="Times New Roman"/>
        </w:rPr>
        <w:t xml:space="preserve"> 38</w:t>
      </w:r>
      <w:r w:rsidR="00CD1827" w:rsidRPr="00CD1278">
        <w:rPr>
          <w:rFonts w:ascii="Times New Roman" w:hAnsi="Times New Roman"/>
        </w:rPr>
        <w:t xml:space="preserve">, </w:t>
      </w:r>
      <w:r w:rsidRPr="00CD1278">
        <w:rPr>
          <w:rFonts w:ascii="Times New Roman" w:hAnsi="Times New Roman"/>
        </w:rPr>
        <w:t>245-251.</w:t>
      </w:r>
    </w:p>
    <w:p w14:paraId="2FD6ECBD" w14:textId="19682879" w:rsidR="00E624E3" w:rsidRPr="00CD1278" w:rsidRDefault="00E624E3" w:rsidP="005A552B">
      <w:pPr>
        <w:spacing w:before="60" w:after="60"/>
        <w:ind w:left="720" w:hanging="720"/>
        <w:rPr>
          <w:bCs/>
          <w:color w:val="auto"/>
          <w:sz w:val="20"/>
        </w:rPr>
      </w:pPr>
      <w:r w:rsidRPr="00CD1278">
        <w:rPr>
          <w:bCs/>
          <w:color w:val="auto"/>
          <w:sz w:val="20"/>
        </w:rPr>
        <w:t xml:space="preserve">Díaz-Hernandez S., Gallo-Llobet L., Domínguez-Correa P., Rodríguez A. (2017). Effect of repeated cycles of soil solarization and biosolarization on corky root, weeds and fruit yield in screen-house tomatoes under subtropical climate conditions in the Canary Islands. </w:t>
      </w:r>
      <w:r w:rsidRPr="00CD1278">
        <w:rPr>
          <w:bCs/>
          <w:i/>
          <w:color w:val="auto"/>
          <w:sz w:val="20"/>
        </w:rPr>
        <w:t>Crop Protection</w:t>
      </w:r>
      <w:r w:rsidRPr="00CD1278">
        <w:rPr>
          <w:bCs/>
          <w:color w:val="auto"/>
          <w:sz w:val="20"/>
        </w:rPr>
        <w:t xml:space="preserve"> 94,</w:t>
      </w:r>
      <w:r w:rsidR="00646F95" w:rsidRPr="00CD1278">
        <w:rPr>
          <w:bCs/>
          <w:color w:val="auto"/>
          <w:sz w:val="20"/>
        </w:rPr>
        <w:t xml:space="preserve"> </w:t>
      </w:r>
      <w:r w:rsidRPr="00CD1278">
        <w:rPr>
          <w:bCs/>
          <w:color w:val="auto"/>
          <w:sz w:val="20"/>
        </w:rPr>
        <w:t>20-27</w:t>
      </w:r>
    </w:p>
    <w:p w14:paraId="4FCA8AF1" w14:textId="77777777" w:rsidR="003308B0" w:rsidRPr="00CD1278" w:rsidRDefault="003308B0" w:rsidP="005A552B">
      <w:pPr>
        <w:pStyle w:val="References"/>
        <w:ind w:left="709" w:hanging="709"/>
        <w:jc w:val="left"/>
        <w:rPr>
          <w:rFonts w:ascii="Times New Roman" w:hAnsi="Times New Roman"/>
        </w:rPr>
      </w:pPr>
      <w:r w:rsidRPr="00CD1278">
        <w:rPr>
          <w:rFonts w:ascii="Times New Roman" w:hAnsi="Times New Roman"/>
        </w:rPr>
        <w:t xml:space="preserve">Dreger, I. (2007). Thermal treatment with infrared radiation.  An effective control measure against biotic wood-destroyers. In: Noldt, U., Michels, H. (eds.), Wood-Destroying Organisms in Focus - Alternative Measures for Preservation of Historic Buildings,  </w:t>
      </w:r>
      <w:r w:rsidRPr="00CD1278">
        <w:rPr>
          <w:rFonts w:ascii="Times New Roman" w:hAnsi="Times New Roman"/>
          <w:i/>
        </w:rPr>
        <w:t>Proceedings of the International Conference at the LWL-Open Air Museum Detmold</w:t>
      </w:r>
      <w:r w:rsidRPr="00CD1278">
        <w:rPr>
          <w:rFonts w:ascii="Times New Roman" w:hAnsi="Times New Roman"/>
        </w:rPr>
        <w:t>, Westphalian Museum of Rural History and Culture, 28-30 June 2006, Detmold, Germany, ISBN 978-3-926160-42-3,  265 pp, 173-182.</w:t>
      </w:r>
    </w:p>
    <w:p w14:paraId="60C8B5C4" w14:textId="74DD0DC2" w:rsidR="007B6DFB" w:rsidRPr="00CD1278" w:rsidRDefault="007B6DFB" w:rsidP="005A552B">
      <w:pPr>
        <w:pStyle w:val="References"/>
        <w:ind w:left="709" w:hanging="709"/>
        <w:jc w:val="left"/>
        <w:rPr>
          <w:rFonts w:ascii="Times New Roman" w:hAnsi="Times New Roman"/>
        </w:rPr>
      </w:pPr>
      <w:r w:rsidRPr="00CD1278">
        <w:rPr>
          <w:rFonts w:ascii="Times New Roman" w:eastAsia="Garamond" w:hAnsi="Times New Roman"/>
        </w:rPr>
        <w:t xml:space="preserve">Drinkall, M. J., Dugast, J. F., Reichmuth, Ch., Schöller M. </w:t>
      </w:r>
      <w:r w:rsidR="00CD1827" w:rsidRPr="00CD1278">
        <w:rPr>
          <w:rFonts w:ascii="Times New Roman" w:eastAsia="Garamond" w:hAnsi="Times New Roman"/>
        </w:rPr>
        <w:t>(</w:t>
      </w:r>
      <w:r w:rsidRPr="00CD1278">
        <w:rPr>
          <w:rFonts w:ascii="Times New Roman" w:eastAsia="Garamond" w:hAnsi="Times New Roman"/>
        </w:rPr>
        <w:t>1996</w:t>
      </w:r>
      <w:r w:rsidR="00CD1827" w:rsidRPr="00CD1278">
        <w:rPr>
          <w:rFonts w:ascii="Times New Roman" w:eastAsia="Garamond" w:hAnsi="Times New Roman"/>
        </w:rPr>
        <w:t>)</w:t>
      </w:r>
      <w:r w:rsidRPr="00CD1278">
        <w:rPr>
          <w:rFonts w:ascii="Times New Roman" w:eastAsia="Garamond" w:hAnsi="Times New Roman"/>
        </w:rPr>
        <w:t xml:space="preserve">. The activity of the fumigant sulfuryl fluoride on stored product insects. In: Wildey, K. B. (ed.), </w:t>
      </w:r>
      <w:r w:rsidRPr="00CD1278">
        <w:rPr>
          <w:rFonts w:ascii="Times New Roman" w:eastAsia="Garamond" w:hAnsi="Times New Roman"/>
          <w:i/>
        </w:rPr>
        <w:t>Proceedings of the 2</w:t>
      </w:r>
      <w:r w:rsidRPr="00CD1278">
        <w:rPr>
          <w:rFonts w:ascii="Times New Roman" w:eastAsia="Garamond" w:hAnsi="Times New Roman"/>
          <w:i/>
          <w:vertAlign w:val="superscript"/>
        </w:rPr>
        <w:t xml:space="preserve">nd </w:t>
      </w:r>
      <w:r w:rsidRPr="00CD1278">
        <w:rPr>
          <w:rFonts w:ascii="Times New Roman" w:eastAsia="Garamond" w:hAnsi="Times New Roman"/>
          <w:i/>
        </w:rPr>
        <w:t>International Conference on Insect Pests in the Urban Environment</w:t>
      </w:r>
      <w:r w:rsidRPr="00CD1278">
        <w:rPr>
          <w:rFonts w:ascii="Times New Roman" w:eastAsia="Garamond" w:hAnsi="Times New Roman"/>
        </w:rPr>
        <w:t xml:space="preserve">, 7-10 July in Edinburgh, Scotland, UK, 525-528. </w:t>
      </w:r>
    </w:p>
    <w:p w14:paraId="4B553018" w14:textId="77777777" w:rsidR="00680A98" w:rsidRPr="00CD1278" w:rsidRDefault="00F17628" w:rsidP="005A552B">
      <w:pPr>
        <w:pStyle w:val="References"/>
        <w:spacing w:after="120"/>
        <w:ind w:left="709" w:hanging="709"/>
        <w:jc w:val="left"/>
        <w:rPr>
          <w:rFonts w:ascii="Times New Roman" w:eastAsia="Garamond" w:hAnsi="Times New Roman"/>
        </w:rPr>
      </w:pPr>
      <w:r w:rsidRPr="00CD1278">
        <w:rPr>
          <w:rFonts w:ascii="Times New Roman" w:eastAsia="Garamond" w:hAnsi="Times New Roman"/>
        </w:rPr>
        <w:t>Drinkall</w:t>
      </w:r>
      <w:r w:rsidR="00CD1827" w:rsidRPr="00CD1278">
        <w:rPr>
          <w:rFonts w:ascii="Times New Roman" w:eastAsia="Garamond" w:hAnsi="Times New Roman"/>
        </w:rPr>
        <w:t>,</w:t>
      </w:r>
      <w:r w:rsidRPr="00CD1278">
        <w:rPr>
          <w:rFonts w:ascii="Times New Roman" w:eastAsia="Garamond" w:hAnsi="Times New Roman"/>
        </w:rPr>
        <w:t xml:space="preserve"> M. J., Zaffagnini, V., Süss, L., Locatelli, D. P. </w:t>
      </w:r>
      <w:r w:rsidR="00CD1827" w:rsidRPr="00CD1278">
        <w:rPr>
          <w:rFonts w:ascii="Times New Roman" w:eastAsia="Garamond" w:hAnsi="Times New Roman"/>
        </w:rPr>
        <w:t>(</w:t>
      </w:r>
      <w:r w:rsidRPr="00CD1278">
        <w:rPr>
          <w:rFonts w:ascii="Times New Roman" w:eastAsia="Garamond" w:hAnsi="Times New Roman"/>
        </w:rPr>
        <w:t>2003</w:t>
      </w:r>
      <w:r w:rsidR="00CD1827" w:rsidRPr="00CD1278">
        <w:rPr>
          <w:rFonts w:ascii="Times New Roman" w:eastAsia="Garamond" w:hAnsi="Times New Roman"/>
        </w:rPr>
        <w:t>)</w:t>
      </w:r>
      <w:r w:rsidRPr="00CD1278">
        <w:rPr>
          <w:rFonts w:ascii="Times New Roman" w:eastAsia="Garamond" w:hAnsi="Times New Roman"/>
        </w:rPr>
        <w:t xml:space="preserve">. Efficacy of sulfuryl fluoride on stored-product insects in a semolina mill trial in Italy. In: Credland, P. F., Armitage, D. M., Bell, C. H., Cogan P. M., Highley, E. (eds.), Advances in Stored Product Protection, </w:t>
      </w:r>
      <w:r w:rsidR="00CD1827" w:rsidRPr="00CD1278">
        <w:rPr>
          <w:rFonts w:ascii="Times New Roman" w:eastAsia="Garamond" w:hAnsi="Times New Roman"/>
          <w:i/>
        </w:rPr>
        <w:t>P</w:t>
      </w:r>
      <w:r w:rsidRPr="00CD1278">
        <w:rPr>
          <w:rFonts w:ascii="Times New Roman" w:eastAsia="Garamond" w:hAnsi="Times New Roman"/>
          <w:i/>
        </w:rPr>
        <w:t>roceedings of the 8</w:t>
      </w:r>
      <w:r w:rsidRPr="00CD1278">
        <w:rPr>
          <w:rFonts w:ascii="Times New Roman" w:eastAsia="Garamond" w:hAnsi="Times New Roman"/>
          <w:i/>
          <w:vertAlign w:val="superscript"/>
        </w:rPr>
        <w:t>th</w:t>
      </w:r>
      <w:r w:rsidRPr="00CD1278">
        <w:rPr>
          <w:rFonts w:ascii="Times New Roman" w:eastAsia="Garamond" w:hAnsi="Times New Roman"/>
          <w:i/>
        </w:rPr>
        <w:t xml:space="preserve"> International Working Conference on Stored Product Protection</w:t>
      </w:r>
      <w:r w:rsidRPr="00CD1278">
        <w:rPr>
          <w:rFonts w:ascii="Times New Roman" w:eastAsia="Garamond" w:hAnsi="Times New Roman"/>
        </w:rPr>
        <w:t xml:space="preserve">, 22-26 July in York, UK, CAB International, London, 884-887.  </w:t>
      </w:r>
    </w:p>
    <w:p w14:paraId="095A43EF" w14:textId="77777777" w:rsidR="003308B0" w:rsidRPr="00CD1278" w:rsidRDefault="00680A98" w:rsidP="005A552B">
      <w:pPr>
        <w:pStyle w:val="References"/>
        <w:ind w:left="709" w:hanging="709"/>
        <w:jc w:val="left"/>
        <w:rPr>
          <w:rFonts w:ascii="Times New Roman" w:hAnsi="Times New Roman"/>
        </w:rPr>
      </w:pPr>
      <w:r w:rsidRPr="00CD1278">
        <w:rPr>
          <w:rFonts w:ascii="Times New Roman" w:hAnsi="Times New Roman"/>
        </w:rPr>
        <w:t>Driver, J.G., Welker, R</w:t>
      </w:r>
      <w:r w:rsidR="003308B0" w:rsidRPr="00CD1278">
        <w:rPr>
          <w:rFonts w:ascii="Times New Roman" w:hAnsi="Times New Roman"/>
        </w:rPr>
        <w:t>., Louws, F.J. (2011). Totally i</w:t>
      </w:r>
      <w:r w:rsidRPr="00CD1278">
        <w:rPr>
          <w:rFonts w:ascii="Times New Roman" w:hAnsi="Times New Roman"/>
        </w:rPr>
        <w:t xml:space="preserve">mpermeable films for fumigant rate reduction in North Carolina. </w:t>
      </w:r>
      <w:r w:rsidR="003308B0" w:rsidRPr="00CD1278">
        <w:rPr>
          <w:rFonts w:ascii="Times New Roman" w:hAnsi="Times New Roman"/>
        </w:rPr>
        <w:t xml:space="preserve">. In: Obenauf, G. L. (ed.), </w:t>
      </w:r>
      <w:r w:rsidR="003308B0" w:rsidRPr="00CD1278">
        <w:rPr>
          <w:rFonts w:ascii="Times New Roman" w:hAnsi="Times New Roman"/>
          <w:i/>
        </w:rPr>
        <w:t>Proceedings of the Annual International Research Conference on Methyl Bromide Alternatives and Emission Reductions</w:t>
      </w:r>
      <w:r w:rsidR="003308B0" w:rsidRPr="00CD1278">
        <w:rPr>
          <w:rFonts w:ascii="Times New Roman" w:hAnsi="Times New Roman"/>
        </w:rPr>
        <w:t>, (MBAO), October 31 – November 2, 2011, in San Diego, CA, USA, http://www.mbao.org, 16.1 - 16-4.</w:t>
      </w:r>
    </w:p>
    <w:p w14:paraId="019F000D" w14:textId="6811AE58" w:rsidR="009C0DF0" w:rsidRPr="00CD1278" w:rsidRDefault="009C0DF0" w:rsidP="005A552B">
      <w:pPr>
        <w:pStyle w:val="References"/>
        <w:spacing w:after="120"/>
        <w:ind w:left="709" w:hanging="709"/>
        <w:jc w:val="left"/>
        <w:rPr>
          <w:rFonts w:ascii="Times New Roman" w:hAnsi="Times New Roman"/>
        </w:rPr>
      </w:pPr>
      <w:r w:rsidRPr="00CD1278">
        <w:rPr>
          <w:rFonts w:ascii="Times New Roman" w:eastAsiaTheme="minorHAnsi" w:hAnsi="Times New Roman"/>
        </w:rPr>
        <w:t>Ducasse, A.</w:t>
      </w:r>
      <w:r w:rsidR="00CD1827" w:rsidRPr="00CD1278">
        <w:rPr>
          <w:rFonts w:ascii="Times New Roman" w:eastAsiaTheme="minorHAnsi" w:hAnsi="Times New Roman"/>
        </w:rPr>
        <w:t xml:space="preserve"> </w:t>
      </w:r>
      <w:r w:rsidRPr="00CD1278">
        <w:rPr>
          <w:rFonts w:ascii="Times New Roman" w:eastAsiaTheme="minorHAnsi" w:hAnsi="Times New Roman"/>
        </w:rPr>
        <w:t>M., Garbi, G., Morelli, M.</w:t>
      </w:r>
      <w:r w:rsidR="00CD1827" w:rsidRPr="00CD1278">
        <w:rPr>
          <w:rFonts w:ascii="Times New Roman" w:eastAsiaTheme="minorHAnsi" w:hAnsi="Times New Roman"/>
        </w:rPr>
        <w:t xml:space="preserve"> </w:t>
      </w:r>
      <w:r w:rsidRPr="00CD1278">
        <w:rPr>
          <w:rFonts w:ascii="Times New Roman" w:eastAsiaTheme="minorHAnsi" w:hAnsi="Times New Roman"/>
        </w:rPr>
        <w:t>C., Grimaldi, M., Somoza, J., Carbone, A., Cerisola, C., Martinez, S.</w:t>
      </w:r>
      <w:r w:rsidR="00CD1827" w:rsidRPr="00CD1278">
        <w:rPr>
          <w:rFonts w:ascii="Times New Roman" w:eastAsiaTheme="minorHAnsi" w:hAnsi="Times New Roman"/>
        </w:rPr>
        <w:t xml:space="preserve"> </w:t>
      </w:r>
      <w:r w:rsidRPr="00CD1278">
        <w:rPr>
          <w:rFonts w:ascii="Times New Roman" w:eastAsiaTheme="minorHAnsi" w:hAnsi="Times New Roman"/>
        </w:rPr>
        <w:t xml:space="preserve"> (2013). Características de híbridos de tomate utilizados como pie de injerto cultivados en sualos  con nematodos. </w:t>
      </w:r>
      <w:r w:rsidRPr="00CD1278">
        <w:rPr>
          <w:rFonts w:ascii="Times New Roman" w:hAnsi="Times New Roman"/>
        </w:rPr>
        <w:t>No. 027. Horticultura. In:</w:t>
      </w:r>
      <w:r w:rsidR="00CD1827" w:rsidRPr="00CD1278">
        <w:rPr>
          <w:rFonts w:ascii="Times New Roman" w:hAnsi="Times New Roman"/>
        </w:rPr>
        <w:t xml:space="preserve"> </w:t>
      </w:r>
      <w:r w:rsidRPr="00CD1278">
        <w:rPr>
          <w:rFonts w:ascii="Times New Roman" w:eastAsiaTheme="minorHAnsi" w:hAnsi="Times New Roman"/>
          <w:i/>
        </w:rPr>
        <w:t>Horticultura Argentina</w:t>
      </w:r>
      <w:r w:rsidRPr="00CD1278">
        <w:rPr>
          <w:rFonts w:ascii="Times New Roman" w:eastAsiaTheme="minorHAnsi" w:hAnsi="Times New Roman"/>
        </w:rPr>
        <w:t xml:space="preserve"> 32 (79): Sep.-Dic.</w:t>
      </w:r>
    </w:p>
    <w:p w14:paraId="4791A99B" w14:textId="7924DB73" w:rsidR="00F17628" w:rsidRPr="00CD1278" w:rsidRDefault="00F17628" w:rsidP="005A552B">
      <w:pPr>
        <w:pStyle w:val="References"/>
        <w:ind w:left="709" w:hanging="709"/>
        <w:jc w:val="left"/>
        <w:rPr>
          <w:rFonts w:ascii="Times New Roman" w:eastAsia="Garamond" w:hAnsi="Times New Roman"/>
        </w:rPr>
      </w:pPr>
      <w:r w:rsidRPr="00CD1278">
        <w:rPr>
          <w:rFonts w:ascii="Times New Roman" w:eastAsia="Garamond" w:hAnsi="Times New Roman"/>
        </w:rPr>
        <w:t xml:space="preserve">Ducom, P., Dupuis, S., Stefanini, V., Guichard, A. A. </w:t>
      </w:r>
      <w:r w:rsidR="00CD1827" w:rsidRPr="00CD1278">
        <w:rPr>
          <w:rFonts w:ascii="Times New Roman" w:eastAsia="Garamond" w:hAnsi="Times New Roman"/>
        </w:rPr>
        <w:t>(</w:t>
      </w:r>
      <w:r w:rsidRPr="00CD1278">
        <w:rPr>
          <w:rFonts w:ascii="Times New Roman" w:eastAsia="Garamond" w:hAnsi="Times New Roman"/>
        </w:rPr>
        <w:t>2003</w:t>
      </w:r>
      <w:r w:rsidR="00CD1827" w:rsidRPr="00CD1278">
        <w:rPr>
          <w:rFonts w:ascii="Times New Roman" w:eastAsia="Garamond" w:hAnsi="Times New Roman"/>
        </w:rPr>
        <w:t>)</w:t>
      </w:r>
      <w:r w:rsidRPr="00CD1278">
        <w:rPr>
          <w:rFonts w:ascii="Times New Roman" w:eastAsia="Garamond" w:hAnsi="Times New Roman"/>
        </w:rPr>
        <w:t xml:space="preserve">. Sulfuryl fluoride as a new fumigant for the disinfestations of flour mills in France. In: Credland, P. F., Armitage, D. M., Bell, C. H., Cogan P. M., Highley, E. (eds.), Advances in Stored Product Protection, </w:t>
      </w:r>
      <w:r w:rsidR="00CD1827" w:rsidRPr="00CD1278">
        <w:rPr>
          <w:rFonts w:ascii="Times New Roman" w:eastAsia="Garamond" w:hAnsi="Times New Roman"/>
          <w:i/>
        </w:rPr>
        <w:t>P</w:t>
      </w:r>
      <w:r w:rsidRPr="00CD1278">
        <w:rPr>
          <w:rFonts w:ascii="Times New Roman" w:eastAsia="Garamond" w:hAnsi="Times New Roman"/>
          <w:i/>
        </w:rPr>
        <w:t>roceedings of the 8</w:t>
      </w:r>
      <w:r w:rsidRPr="00CD1278">
        <w:rPr>
          <w:rFonts w:ascii="Times New Roman" w:eastAsia="Garamond" w:hAnsi="Times New Roman"/>
          <w:i/>
          <w:vertAlign w:val="superscript"/>
        </w:rPr>
        <w:t>th</w:t>
      </w:r>
      <w:r w:rsidRPr="00CD1278">
        <w:rPr>
          <w:rFonts w:ascii="Times New Roman" w:eastAsia="Garamond" w:hAnsi="Times New Roman"/>
          <w:i/>
        </w:rPr>
        <w:t xml:space="preserve"> International Working Conference on Stored Product Protection</w:t>
      </w:r>
      <w:r w:rsidRPr="00CD1278">
        <w:rPr>
          <w:rFonts w:ascii="Times New Roman" w:eastAsia="Garamond" w:hAnsi="Times New Roman"/>
        </w:rPr>
        <w:t xml:space="preserve">, 22-26 July in York, UK, CAB International, London,  900-903. </w:t>
      </w:r>
    </w:p>
    <w:p w14:paraId="69136FCB" w14:textId="43F260F2" w:rsidR="001526E0" w:rsidRPr="00CD1278" w:rsidRDefault="00F35A35" w:rsidP="005A552B">
      <w:pPr>
        <w:pStyle w:val="References"/>
        <w:ind w:left="851" w:hanging="851"/>
        <w:jc w:val="left"/>
        <w:rPr>
          <w:rFonts w:ascii="Times New Roman" w:hAnsi="Times New Roman"/>
          <w:bCs w:val="0"/>
        </w:rPr>
      </w:pPr>
      <w:r w:rsidRPr="00CD1278">
        <w:rPr>
          <w:rFonts w:ascii="Times New Roman" w:hAnsi="Times New Roman"/>
          <w:bCs w:val="0"/>
        </w:rPr>
        <w:t xml:space="preserve">EPPO </w:t>
      </w:r>
      <w:r w:rsidR="00CD1827" w:rsidRPr="00CD1278">
        <w:rPr>
          <w:rFonts w:ascii="Times New Roman" w:hAnsi="Times New Roman"/>
          <w:bCs w:val="0"/>
        </w:rPr>
        <w:t>(</w:t>
      </w:r>
      <w:r w:rsidRPr="00CD1278">
        <w:rPr>
          <w:rFonts w:ascii="Times New Roman" w:hAnsi="Times New Roman"/>
          <w:bCs w:val="0"/>
        </w:rPr>
        <w:t>2009</w:t>
      </w:r>
      <w:r w:rsidR="00CD1827" w:rsidRPr="00CD1278">
        <w:rPr>
          <w:rFonts w:ascii="Times New Roman" w:hAnsi="Times New Roman"/>
          <w:bCs w:val="0"/>
        </w:rPr>
        <w:t>)</w:t>
      </w:r>
      <w:r w:rsidRPr="00CD1278">
        <w:rPr>
          <w:rFonts w:ascii="Times New Roman" w:hAnsi="Times New Roman"/>
          <w:bCs w:val="0"/>
        </w:rPr>
        <w:t xml:space="preserve">. </w:t>
      </w:r>
      <w:r w:rsidRPr="00CD1278">
        <w:rPr>
          <w:rFonts w:ascii="Times New Roman" w:hAnsi="Times New Roman"/>
          <w:bCs w:val="0"/>
          <w:i/>
        </w:rPr>
        <w:t>Nacobbus</w:t>
      </w:r>
      <w:r w:rsidR="00CD1827" w:rsidRPr="00CD1278">
        <w:rPr>
          <w:rFonts w:ascii="Times New Roman" w:hAnsi="Times New Roman"/>
          <w:bCs w:val="0"/>
          <w:i/>
        </w:rPr>
        <w:t xml:space="preserve"> </w:t>
      </w:r>
      <w:r w:rsidRPr="00CD1278">
        <w:rPr>
          <w:rFonts w:ascii="Times New Roman" w:hAnsi="Times New Roman"/>
          <w:bCs w:val="0"/>
          <w:i/>
        </w:rPr>
        <w:t>aberrans</w:t>
      </w:r>
      <w:r w:rsidR="00CD1827" w:rsidRPr="00CD1278">
        <w:rPr>
          <w:rFonts w:ascii="Times New Roman" w:hAnsi="Times New Roman"/>
          <w:bCs w:val="0"/>
          <w:i/>
        </w:rPr>
        <w:t xml:space="preserve"> </w:t>
      </w:r>
      <w:r w:rsidRPr="00CD1278">
        <w:rPr>
          <w:rFonts w:ascii="Times New Roman" w:hAnsi="Times New Roman"/>
          <w:bCs w:val="0"/>
          <w:i/>
        </w:rPr>
        <w:t>sensulato</w:t>
      </w:r>
      <w:r w:rsidRPr="00CD1278">
        <w:rPr>
          <w:rFonts w:ascii="Times New Roman" w:hAnsi="Times New Roman"/>
          <w:bCs w:val="0"/>
        </w:rPr>
        <w:t>. EPPO Bull. 39, 376</w:t>
      </w:r>
      <w:r w:rsidR="001526E0" w:rsidRPr="00CD1278">
        <w:rPr>
          <w:rFonts w:ascii="Times New Roman" w:hAnsi="Times New Roman"/>
          <w:bCs w:val="0"/>
        </w:rPr>
        <w:t>-</w:t>
      </w:r>
      <w:r w:rsidRPr="00CD1278">
        <w:rPr>
          <w:rFonts w:ascii="Times New Roman" w:hAnsi="Times New Roman"/>
          <w:bCs w:val="0"/>
        </w:rPr>
        <w:t>381</w:t>
      </w:r>
      <w:r w:rsidR="001526E0" w:rsidRPr="00CD1278">
        <w:rPr>
          <w:rFonts w:ascii="Times New Roman" w:hAnsi="Times New Roman"/>
          <w:bCs w:val="0"/>
        </w:rPr>
        <w:t>.</w:t>
      </w:r>
    </w:p>
    <w:p w14:paraId="4BD19E42" w14:textId="2A8DCB13"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Fang, X., Phillips, D., Verheyen, G., Li, H., Sivasithamparam, K., Barbetti, M.</w:t>
      </w:r>
      <w:r w:rsidR="001526E0" w:rsidRPr="00CD1278">
        <w:rPr>
          <w:rFonts w:ascii="Times New Roman" w:hAnsi="Times New Roman"/>
        </w:rPr>
        <w:t xml:space="preserve"> </w:t>
      </w:r>
      <w:r w:rsidRPr="00CD1278">
        <w:rPr>
          <w:rFonts w:ascii="Times New Roman" w:hAnsi="Times New Roman"/>
        </w:rPr>
        <w:t xml:space="preserve">J. (2012). Yields and resistance of strawberry cultivars to crown and root diseases in the field, and cultivar responses to pathogens under controlled environment conditions. </w:t>
      </w:r>
      <w:r w:rsidRPr="00CD1278">
        <w:rPr>
          <w:rFonts w:ascii="Times New Roman" w:hAnsi="Times New Roman"/>
          <w:i/>
        </w:rPr>
        <w:t>Phytopathologia Mediterranea</w:t>
      </w:r>
      <w:r w:rsidRPr="00CD1278">
        <w:rPr>
          <w:rFonts w:ascii="Times New Roman" w:hAnsi="Times New Roman"/>
        </w:rPr>
        <w:t xml:space="preserve"> 51</w:t>
      </w:r>
      <w:r w:rsidR="001526E0" w:rsidRPr="00CD1278">
        <w:rPr>
          <w:rFonts w:ascii="Times New Roman" w:hAnsi="Times New Roman"/>
        </w:rPr>
        <w:t xml:space="preserve">, </w:t>
      </w:r>
      <w:r w:rsidRPr="00CD1278">
        <w:rPr>
          <w:rFonts w:ascii="Times New Roman" w:hAnsi="Times New Roman"/>
        </w:rPr>
        <w:t>69-84.</w:t>
      </w:r>
    </w:p>
    <w:p w14:paraId="43B128E8" w14:textId="534526C3" w:rsidR="009C0DF0" w:rsidRPr="00CD1278" w:rsidRDefault="009C0DF0" w:rsidP="005A552B">
      <w:pPr>
        <w:pStyle w:val="References"/>
        <w:ind w:left="709" w:hanging="709"/>
        <w:jc w:val="left"/>
        <w:rPr>
          <w:rFonts w:ascii="Times New Roman" w:hAnsi="Times New Roman"/>
          <w:lang w:eastAsia="tr-TR"/>
        </w:rPr>
      </w:pPr>
      <w:r w:rsidRPr="00CD1278">
        <w:rPr>
          <w:rFonts w:ascii="Times New Roman" w:hAnsi="Times New Roman"/>
          <w:lang w:eastAsia="tr-TR"/>
        </w:rPr>
        <w:t>Fery, R.</w:t>
      </w:r>
      <w:r w:rsidR="001526E0" w:rsidRPr="00CD1278">
        <w:rPr>
          <w:rFonts w:ascii="Times New Roman" w:hAnsi="Times New Roman"/>
          <w:lang w:eastAsia="tr-TR"/>
        </w:rPr>
        <w:t xml:space="preserve"> </w:t>
      </w:r>
      <w:r w:rsidRPr="00CD1278">
        <w:rPr>
          <w:rFonts w:ascii="Times New Roman" w:hAnsi="Times New Roman"/>
          <w:lang w:eastAsia="tr-TR"/>
        </w:rPr>
        <w:t>L., Thies, J.</w:t>
      </w:r>
      <w:r w:rsidR="001526E0" w:rsidRPr="00CD1278">
        <w:rPr>
          <w:rFonts w:ascii="Times New Roman" w:hAnsi="Times New Roman"/>
          <w:lang w:eastAsia="tr-TR"/>
        </w:rPr>
        <w:t xml:space="preserve"> </w:t>
      </w:r>
      <w:r w:rsidRPr="00CD1278">
        <w:rPr>
          <w:rFonts w:ascii="Times New Roman" w:hAnsi="Times New Roman"/>
          <w:lang w:eastAsia="tr-TR"/>
        </w:rPr>
        <w:t>A., Truhart, N.</w:t>
      </w:r>
      <w:r w:rsidR="001526E0" w:rsidRPr="00CD1278">
        <w:rPr>
          <w:rFonts w:ascii="Times New Roman" w:hAnsi="Times New Roman"/>
          <w:lang w:eastAsia="tr-TR"/>
        </w:rPr>
        <w:t xml:space="preserve"> </w:t>
      </w:r>
      <w:r w:rsidRPr="00CD1278">
        <w:rPr>
          <w:rFonts w:ascii="Times New Roman" w:hAnsi="Times New Roman"/>
          <w:lang w:eastAsia="tr-TR"/>
        </w:rPr>
        <w:t xml:space="preserve">R. (2011). A </w:t>
      </w:r>
      <w:r w:rsidR="001526E0" w:rsidRPr="00CD1278">
        <w:rPr>
          <w:rFonts w:ascii="Times New Roman" w:hAnsi="Times New Roman"/>
          <w:lang w:eastAsia="tr-TR"/>
        </w:rPr>
        <w:t>r</w:t>
      </w:r>
      <w:r w:rsidRPr="00CD1278">
        <w:rPr>
          <w:rFonts w:ascii="Times New Roman" w:hAnsi="Times New Roman"/>
          <w:lang w:eastAsia="tr-TR"/>
        </w:rPr>
        <w:t xml:space="preserve">oot-knot </w:t>
      </w:r>
      <w:r w:rsidR="001526E0" w:rsidRPr="00CD1278">
        <w:rPr>
          <w:rFonts w:ascii="Times New Roman" w:hAnsi="Times New Roman"/>
          <w:lang w:eastAsia="tr-TR"/>
        </w:rPr>
        <w:t>nematode r</w:t>
      </w:r>
      <w:r w:rsidRPr="00CD1278">
        <w:rPr>
          <w:rFonts w:ascii="Times New Roman" w:hAnsi="Times New Roman"/>
          <w:lang w:eastAsia="tr-TR"/>
        </w:rPr>
        <w:t xml:space="preserve">esistant, </w:t>
      </w:r>
      <w:r w:rsidR="001526E0" w:rsidRPr="00CD1278">
        <w:rPr>
          <w:rFonts w:ascii="Times New Roman" w:hAnsi="Times New Roman"/>
          <w:lang w:eastAsia="tr-TR"/>
        </w:rPr>
        <w:t>p</w:t>
      </w:r>
      <w:r w:rsidRPr="00CD1278">
        <w:rPr>
          <w:rFonts w:ascii="Times New Roman" w:hAnsi="Times New Roman"/>
          <w:lang w:eastAsia="tr-TR"/>
        </w:rPr>
        <w:t xml:space="preserve">imento-type </w:t>
      </w:r>
      <w:r w:rsidR="001526E0" w:rsidRPr="00CD1278">
        <w:rPr>
          <w:rFonts w:ascii="Times New Roman" w:hAnsi="Times New Roman"/>
          <w:lang w:eastAsia="tr-TR"/>
        </w:rPr>
        <w:t>p</w:t>
      </w:r>
      <w:r w:rsidRPr="00CD1278">
        <w:rPr>
          <w:rFonts w:ascii="Times New Roman" w:hAnsi="Times New Roman"/>
          <w:lang w:eastAsia="tr-TR"/>
        </w:rPr>
        <w:t xml:space="preserve">epper. </w:t>
      </w:r>
      <w:r w:rsidRPr="00CD1278">
        <w:rPr>
          <w:rFonts w:ascii="Times New Roman" w:hAnsi="Times New Roman"/>
          <w:i/>
          <w:lang w:eastAsia="tr-TR"/>
        </w:rPr>
        <w:t>Hort</w:t>
      </w:r>
      <w:r w:rsidR="001526E0" w:rsidRPr="00CD1278">
        <w:rPr>
          <w:rFonts w:ascii="Times New Roman" w:hAnsi="Times New Roman"/>
          <w:i/>
          <w:lang w:eastAsia="tr-TR"/>
        </w:rPr>
        <w:t xml:space="preserve">. </w:t>
      </w:r>
      <w:r w:rsidRPr="00CD1278">
        <w:rPr>
          <w:rFonts w:ascii="Times New Roman" w:hAnsi="Times New Roman"/>
          <w:i/>
          <w:lang w:eastAsia="tr-TR"/>
        </w:rPr>
        <w:t>Science</w:t>
      </w:r>
      <w:r w:rsidRPr="00CD1278">
        <w:rPr>
          <w:rFonts w:ascii="Times New Roman" w:hAnsi="Times New Roman"/>
          <w:lang w:eastAsia="tr-TR"/>
        </w:rPr>
        <w:t xml:space="preserve"> 46</w:t>
      </w:r>
      <w:r w:rsidR="001526E0" w:rsidRPr="00CD1278">
        <w:rPr>
          <w:rFonts w:ascii="Times New Roman" w:hAnsi="Times New Roman"/>
          <w:lang w:eastAsia="tr-TR"/>
        </w:rPr>
        <w:t xml:space="preserve">, </w:t>
      </w:r>
      <w:r w:rsidRPr="00CD1278">
        <w:rPr>
          <w:rFonts w:ascii="Times New Roman" w:hAnsi="Times New Roman"/>
          <w:lang w:eastAsia="tr-TR"/>
        </w:rPr>
        <w:t>815-816.</w:t>
      </w:r>
    </w:p>
    <w:p w14:paraId="7E7B1854" w14:textId="7E64D894"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Gabriel, E.</w:t>
      </w:r>
      <w:r w:rsidR="001526E0" w:rsidRPr="00CD1278">
        <w:rPr>
          <w:rFonts w:ascii="Times New Roman" w:hAnsi="Times New Roman"/>
        </w:rPr>
        <w:t xml:space="preserve"> </w:t>
      </w:r>
      <w:r w:rsidRPr="00CD1278">
        <w:rPr>
          <w:rFonts w:ascii="Times New Roman" w:hAnsi="Times New Roman"/>
        </w:rPr>
        <w:t xml:space="preserve">L. (2014). Evaluación de la biosolarización como alternativa para saneamiento de suelos en viveros de frutilla. No.162. Horticultura. In: </w:t>
      </w:r>
      <w:r w:rsidRPr="00CD1278">
        <w:rPr>
          <w:rFonts w:ascii="Times New Roman" w:hAnsi="Times New Roman"/>
          <w:i/>
        </w:rPr>
        <w:t xml:space="preserve">Horticultura Argentina </w:t>
      </w:r>
      <w:r w:rsidRPr="00CD1278">
        <w:rPr>
          <w:rFonts w:ascii="Times New Roman" w:hAnsi="Times New Roman"/>
        </w:rPr>
        <w:t>33(82): Sep-Dic</w:t>
      </w:r>
      <w:r w:rsidR="001526E0" w:rsidRPr="00CD1278">
        <w:rPr>
          <w:rFonts w:ascii="Times New Roman" w:hAnsi="Times New Roman"/>
        </w:rPr>
        <w:t>.</w:t>
      </w:r>
    </w:p>
    <w:p w14:paraId="53615CBB" w14:textId="2049C450" w:rsidR="009C0DF0" w:rsidRPr="00CD1278" w:rsidRDefault="009C0DF0" w:rsidP="005A552B">
      <w:pPr>
        <w:pStyle w:val="References"/>
        <w:ind w:left="709" w:hanging="709"/>
        <w:jc w:val="left"/>
        <w:rPr>
          <w:rFonts w:ascii="Times New Roman" w:eastAsiaTheme="minorHAnsi" w:hAnsi="Times New Roman"/>
        </w:rPr>
      </w:pPr>
      <w:r w:rsidRPr="00CD1278">
        <w:rPr>
          <w:rFonts w:ascii="Times New Roman" w:eastAsiaTheme="minorHAnsi" w:hAnsi="Times New Roman"/>
        </w:rPr>
        <w:t xml:space="preserve">Garbi, M., Morelli, G., Dietz, N., Rossomano, G., Martinez, S. (2013). Respuesta de tres híbridos de tomate injertados sobre Maxifort cultivados en suelo biofumigado. </w:t>
      </w:r>
      <w:r w:rsidRPr="00CD1278">
        <w:rPr>
          <w:rFonts w:ascii="Times New Roman" w:hAnsi="Times New Roman"/>
        </w:rPr>
        <w:t>No. 010. Horticultura. In:</w:t>
      </w:r>
      <w:r w:rsidR="001526E0" w:rsidRPr="00CD1278">
        <w:rPr>
          <w:rFonts w:ascii="Times New Roman" w:hAnsi="Times New Roman"/>
        </w:rPr>
        <w:t xml:space="preserve"> </w:t>
      </w:r>
      <w:r w:rsidRPr="00CD1278">
        <w:rPr>
          <w:rFonts w:ascii="Times New Roman" w:eastAsiaTheme="minorHAnsi" w:hAnsi="Times New Roman"/>
          <w:i/>
        </w:rPr>
        <w:t>Horticultura Argentina</w:t>
      </w:r>
      <w:r w:rsidRPr="00CD1278">
        <w:rPr>
          <w:rFonts w:ascii="Times New Roman" w:eastAsiaTheme="minorHAnsi" w:hAnsi="Times New Roman"/>
        </w:rPr>
        <w:t xml:space="preserve"> 32(79): Sep.-Dic. 2013</w:t>
      </w:r>
    </w:p>
    <w:p w14:paraId="47B9C10A" w14:textId="77777777" w:rsidR="00931C72" w:rsidRPr="00CD1278" w:rsidRDefault="009C0DF0" w:rsidP="005A552B">
      <w:pPr>
        <w:pStyle w:val="References"/>
        <w:ind w:left="709" w:hanging="709"/>
        <w:jc w:val="left"/>
        <w:rPr>
          <w:rFonts w:ascii="Times New Roman" w:hAnsi="Times New Roman"/>
        </w:rPr>
      </w:pPr>
      <w:r w:rsidRPr="00CD1278">
        <w:rPr>
          <w:rFonts w:ascii="Times New Roman" w:hAnsi="Times New Roman"/>
        </w:rPr>
        <w:t>García-Sinovas, D., Andrade, M.</w:t>
      </w:r>
      <w:r w:rsidR="001526E0" w:rsidRPr="00CD1278">
        <w:rPr>
          <w:rFonts w:ascii="Times New Roman" w:hAnsi="Times New Roman"/>
        </w:rPr>
        <w:t xml:space="preserve"> </w:t>
      </w:r>
      <w:r w:rsidRPr="00CD1278">
        <w:rPr>
          <w:rFonts w:ascii="Times New Roman" w:hAnsi="Times New Roman"/>
        </w:rPr>
        <w:t>A., Becerril, M., De Cal, A., Redondo, C., Salto, T., Medina, J.</w:t>
      </w:r>
      <w:r w:rsidR="001526E0" w:rsidRPr="00CD1278">
        <w:rPr>
          <w:rFonts w:ascii="Times New Roman" w:hAnsi="Times New Roman"/>
        </w:rPr>
        <w:t xml:space="preserve"> </w:t>
      </w:r>
      <w:r w:rsidRPr="00CD1278">
        <w:rPr>
          <w:rFonts w:ascii="Times New Roman" w:hAnsi="Times New Roman"/>
        </w:rPr>
        <w:t>J., Soria, C., López-Aranda, J.</w:t>
      </w:r>
      <w:r w:rsidR="001526E0" w:rsidRPr="00CD1278">
        <w:rPr>
          <w:rFonts w:ascii="Times New Roman" w:hAnsi="Times New Roman"/>
        </w:rPr>
        <w:t xml:space="preserve"> </w:t>
      </w:r>
      <w:r w:rsidRPr="00CD1278">
        <w:rPr>
          <w:rFonts w:ascii="Times New Roman" w:hAnsi="Times New Roman"/>
        </w:rPr>
        <w:t>M., Martinez-Treceno, A.</w:t>
      </w:r>
      <w:r w:rsidR="001526E0" w:rsidRPr="00CD1278">
        <w:rPr>
          <w:rFonts w:ascii="Times New Roman" w:hAnsi="Times New Roman"/>
        </w:rPr>
        <w:t xml:space="preserve"> </w:t>
      </w:r>
      <w:r w:rsidRPr="00CD1278">
        <w:rPr>
          <w:rFonts w:ascii="Times New Roman" w:hAnsi="Times New Roman"/>
        </w:rPr>
        <w:t xml:space="preserve">(2014). Soil disinfection in Spanish strawberry nurseries – three years without methyl bromide. </w:t>
      </w:r>
      <w:r w:rsidRPr="00CD1278">
        <w:rPr>
          <w:rFonts w:ascii="Times New Roman" w:hAnsi="Times New Roman"/>
          <w:i/>
        </w:rPr>
        <w:t>Acta Horticulturae</w:t>
      </w:r>
      <w:r w:rsidRPr="00CD1278">
        <w:rPr>
          <w:rFonts w:ascii="Times New Roman" w:hAnsi="Times New Roman"/>
        </w:rPr>
        <w:t xml:space="preserve"> 1049</w:t>
      </w:r>
      <w:r w:rsidR="001526E0" w:rsidRPr="00CD1278">
        <w:rPr>
          <w:rFonts w:ascii="Times New Roman" w:hAnsi="Times New Roman"/>
        </w:rPr>
        <w:t>,</w:t>
      </w:r>
      <w:r w:rsidRPr="00CD1278">
        <w:rPr>
          <w:rFonts w:ascii="Times New Roman" w:hAnsi="Times New Roman"/>
        </w:rPr>
        <w:t xml:space="preserve"> 691-696. </w:t>
      </w:r>
    </w:p>
    <w:p w14:paraId="114ABF54" w14:textId="2F78AD7B" w:rsidR="00680A98" w:rsidRPr="00CD1278" w:rsidRDefault="00680A98" w:rsidP="005A552B">
      <w:pPr>
        <w:pStyle w:val="References"/>
        <w:ind w:left="709" w:hanging="709"/>
        <w:jc w:val="left"/>
        <w:rPr>
          <w:rFonts w:ascii="Times New Roman" w:hAnsi="Times New Roman"/>
        </w:rPr>
      </w:pPr>
      <w:r w:rsidRPr="00CD1278">
        <w:rPr>
          <w:rFonts w:ascii="Times New Roman" w:hAnsi="Times New Roman"/>
        </w:rPr>
        <w:t>Gemm</w:t>
      </w:r>
      <w:r w:rsidR="00931C72" w:rsidRPr="00CD1278">
        <w:rPr>
          <w:rFonts w:ascii="Times New Roman" w:hAnsi="Times New Roman"/>
        </w:rPr>
        <w:t>i</w:t>
      </w:r>
      <w:r w:rsidRPr="00CD1278">
        <w:rPr>
          <w:rFonts w:ascii="Times New Roman" w:hAnsi="Times New Roman"/>
        </w:rPr>
        <w:t>ll, A., Gunier, R.B., Bradman</w:t>
      </w:r>
      <w:r w:rsidR="00931C72" w:rsidRPr="00CD1278">
        <w:rPr>
          <w:rFonts w:ascii="Times New Roman" w:hAnsi="Times New Roman"/>
        </w:rPr>
        <w:t>, A.,</w:t>
      </w:r>
      <w:r w:rsidRPr="00CD1278">
        <w:rPr>
          <w:rFonts w:ascii="Times New Roman" w:hAnsi="Times New Roman"/>
        </w:rPr>
        <w:t xml:space="preserve"> Eskenaz</w:t>
      </w:r>
      <w:r w:rsidR="00931C72" w:rsidRPr="00CD1278">
        <w:rPr>
          <w:rFonts w:ascii="Times New Roman" w:hAnsi="Times New Roman"/>
        </w:rPr>
        <w:t>, B.,</w:t>
      </w:r>
      <w:r w:rsidRPr="00CD1278">
        <w:rPr>
          <w:rFonts w:ascii="Times New Roman" w:hAnsi="Times New Roman"/>
        </w:rPr>
        <w:t xml:space="preserve"> Harley</w:t>
      </w:r>
      <w:r w:rsidR="00931C72" w:rsidRPr="00CD1278">
        <w:rPr>
          <w:rFonts w:ascii="Times New Roman" w:hAnsi="Times New Roman"/>
        </w:rPr>
        <w:t xml:space="preserve">, K.G. (2013). </w:t>
      </w:r>
      <w:r w:rsidRPr="00CD1278">
        <w:rPr>
          <w:rFonts w:ascii="Times New Roman" w:hAnsi="Times New Roman"/>
        </w:rPr>
        <w:t>Residential Proximity to Methyl Bromide Use and Birth Outcomes in an Agricultural Population in California</w:t>
      </w:r>
      <w:r w:rsidR="00931C72" w:rsidRPr="00CD1278">
        <w:rPr>
          <w:rFonts w:ascii="Times New Roman" w:hAnsi="Times New Roman"/>
        </w:rPr>
        <w:t xml:space="preserve">. </w:t>
      </w:r>
      <w:r w:rsidRPr="00CD1278">
        <w:rPr>
          <w:rFonts w:ascii="Times New Roman" w:hAnsi="Times New Roman"/>
          <w:i/>
        </w:rPr>
        <w:t>Environ</w:t>
      </w:r>
      <w:r w:rsidR="00931C72" w:rsidRPr="00CD1278">
        <w:rPr>
          <w:rFonts w:ascii="Times New Roman" w:hAnsi="Times New Roman"/>
          <w:i/>
        </w:rPr>
        <w:t>mental</w:t>
      </w:r>
      <w:r w:rsidRPr="00CD1278">
        <w:rPr>
          <w:rFonts w:ascii="Times New Roman" w:hAnsi="Times New Roman"/>
          <w:i/>
        </w:rPr>
        <w:t xml:space="preserve"> Health Perspect</w:t>
      </w:r>
      <w:r w:rsidR="00931C72" w:rsidRPr="00CD1278">
        <w:rPr>
          <w:rFonts w:ascii="Times New Roman" w:hAnsi="Times New Roman"/>
          <w:i/>
        </w:rPr>
        <w:t>ive</w:t>
      </w:r>
      <w:r w:rsidR="006D7D8A" w:rsidRPr="00CD1278">
        <w:rPr>
          <w:rFonts w:ascii="Times New Roman" w:hAnsi="Times New Roman"/>
          <w:i/>
        </w:rPr>
        <w:t xml:space="preserve"> </w:t>
      </w:r>
      <w:r w:rsidRPr="00CD1278">
        <w:rPr>
          <w:rFonts w:ascii="Times New Roman" w:hAnsi="Times New Roman"/>
        </w:rPr>
        <w:t>121(6):737-743. </w:t>
      </w:r>
    </w:p>
    <w:p w14:paraId="3093CB3B" w14:textId="207163D7" w:rsidR="00E624E3" w:rsidRPr="00CD1278" w:rsidRDefault="00B44B21" w:rsidP="005A552B">
      <w:pPr>
        <w:spacing w:before="60" w:after="60"/>
        <w:ind w:left="720" w:hanging="720"/>
        <w:rPr>
          <w:bCs/>
          <w:color w:val="auto"/>
          <w:sz w:val="20"/>
        </w:rPr>
      </w:pPr>
      <w:r w:rsidRPr="00CD1278">
        <w:rPr>
          <w:bCs/>
          <w:color w:val="auto"/>
          <w:sz w:val="20"/>
        </w:rPr>
        <w:t xml:space="preserve">Gilma X. C., Ozores-Hampton M., Navia Gine P.A. (2017). Effects of fluensulfone combined with soil fumigation on root-knot nematodes and fruit yield of drip-irrigated fresh-market tomatoes, </w:t>
      </w:r>
      <w:r w:rsidRPr="00CD1278">
        <w:rPr>
          <w:bCs/>
          <w:i/>
          <w:color w:val="auto"/>
          <w:sz w:val="20"/>
        </w:rPr>
        <w:t>Crop Protection</w:t>
      </w:r>
      <w:r w:rsidRPr="00CD1278">
        <w:rPr>
          <w:bCs/>
          <w:color w:val="auto"/>
          <w:sz w:val="20"/>
        </w:rPr>
        <w:t xml:space="preserve"> 98, 166-171.</w:t>
      </w:r>
    </w:p>
    <w:p w14:paraId="47F7F6C3" w14:textId="77869AD5" w:rsidR="00F35A35" w:rsidRPr="00CD1278" w:rsidRDefault="00F35A35" w:rsidP="005A552B">
      <w:pPr>
        <w:spacing w:before="60" w:after="60"/>
        <w:ind w:left="709" w:hanging="709"/>
        <w:rPr>
          <w:bCs/>
          <w:color w:val="auto"/>
          <w:sz w:val="20"/>
        </w:rPr>
      </w:pPr>
      <w:r w:rsidRPr="00CD1278">
        <w:rPr>
          <w:bCs/>
          <w:color w:val="auto"/>
          <w:sz w:val="20"/>
        </w:rPr>
        <w:t>Guthman J.</w:t>
      </w:r>
      <w:r w:rsidR="001526E0" w:rsidRPr="00CD1278">
        <w:rPr>
          <w:bCs/>
          <w:color w:val="auto"/>
          <w:sz w:val="20"/>
        </w:rPr>
        <w:t xml:space="preserve"> (</w:t>
      </w:r>
      <w:r w:rsidRPr="00CD1278">
        <w:rPr>
          <w:bCs/>
          <w:color w:val="auto"/>
          <w:sz w:val="20"/>
        </w:rPr>
        <w:t>2016</w:t>
      </w:r>
      <w:r w:rsidR="001526E0" w:rsidRPr="00CD1278">
        <w:rPr>
          <w:bCs/>
          <w:color w:val="auto"/>
          <w:sz w:val="20"/>
        </w:rPr>
        <w:t>)</w:t>
      </w:r>
      <w:r w:rsidRPr="00CD1278">
        <w:rPr>
          <w:bCs/>
          <w:color w:val="auto"/>
          <w:sz w:val="20"/>
        </w:rPr>
        <w:t>. Strawberry growers wavered over methyl iodide, feared public backlash. Calif</w:t>
      </w:r>
      <w:r w:rsidR="007A21F6" w:rsidRPr="00CD1278">
        <w:rPr>
          <w:bCs/>
          <w:color w:val="auto"/>
          <w:sz w:val="20"/>
        </w:rPr>
        <w:t xml:space="preserve"> </w:t>
      </w:r>
      <w:r w:rsidRPr="00CD1278">
        <w:rPr>
          <w:bCs/>
          <w:color w:val="auto"/>
          <w:sz w:val="20"/>
        </w:rPr>
        <w:t>Agr 70(3)</w:t>
      </w:r>
      <w:r w:rsidR="001526E0" w:rsidRPr="00CD1278">
        <w:rPr>
          <w:bCs/>
          <w:color w:val="auto"/>
          <w:sz w:val="20"/>
        </w:rPr>
        <w:t xml:space="preserve">, </w:t>
      </w:r>
      <w:r w:rsidRPr="00CD1278">
        <w:rPr>
          <w:bCs/>
          <w:color w:val="auto"/>
          <w:sz w:val="20"/>
        </w:rPr>
        <w:t>124-129. DOI: 10.3733/ca.2016a0003.</w:t>
      </w:r>
    </w:p>
    <w:p w14:paraId="05108CE7" w14:textId="4520C45E"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Gutiérrez, M.</w:t>
      </w:r>
      <w:r w:rsidR="001526E0" w:rsidRPr="00CD1278">
        <w:rPr>
          <w:rFonts w:ascii="Times New Roman" w:hAnsi="Times New Roman"/>
        </w:rPr>
        <w:t xml:space="preserve"> </w:t>
      </w:r>
      <w:r w:rsidRPr="00CD1278">
        <w:rPr>
          <w:rFonts w:ascii="Times New Roman" w:hAnsi="Times New Roman"/>
        </w:rPr>
        <w:t>T., Peralta, I.</w:t>
      </w:r>
      <w:r w:rsidR="001526E0" w:rsidRPr="00CD1278">
        <w:rPr>
          <w:rFonts w:ascii="Times New Roman" w:hAnsi="Times New Roman"/>
        </w:rPr>
        <w:t xml:space="preserve"> </w:t>
      </w:r>
      <w:r w:rsidRPr="00CD1278">
        <w:rPr>
          <w:rFonts w:ascii="Times New Roman" w:hAnsi="Times New Roman"/>
        </w:rPr>
        <w:t>E., Conte, M.</w:t>
      </w:r>
      <w:r w:rsidR="001526E0" w:rsidRPr="00CD1278">
        <w:rPr>
          <w:rFonts w:ascii="Times New Roman" w:hAnsi="Times New Roman"/>
        </w:rPr>
        <w:t xml:space="preserve"> </w:t>
      </w:r>
      <w:r w:rsidRPr="00CD1278">
        <w:rPr>
          <w:rFonts w:ascii="Times New Roman" w:hAnsi="Times New Roman"/>
        </w:rPr>
        <w:t>E., Hidalgo, A.</w:t>
      </w:r>
      <w:r w:rsidR="001526E0" w:rsidRPr="00CD1278">
        <w:rPr>
          <w:rFonts w:ascii="Times New Roman" w:hAnsi="Times New Roman"/>
        </w:rPr>
        <w:t xml:space="preserve"> </w:t>
      </w:r>
      <w:r w:rsidRPr="00CD1278">
        <w:rPr>
          <w:rFonts w:ascii="Times New Roman" w:hAnsi="Times New Roman"/>
        </w:rPr>
        <w:t xml:space="preserve">A. (2013). Respuesta de porta injertos comerciales de tomate frente al falso nematodo del nudo, </w:t>
      </w:r>
      <w:r w:rsidRPr="00CD1278">
        <w:rPr>
          <w:rFonts w:ascii="Times New Roman" w:hAnsi="Times New Roman"/>
          <w:i/>
        </w:rPr>
        <w:t>Nacobbus aberrans</w:t>
      </w:r>
      <w:r w:rsidRPr="00CD1278">
        <w:rPr>
          <w:rFonts w:ascii="Times New Roman" w:hAnsi="Times New Roman"/>
        </w:rPr>
        <w:t xml:space="preserve"> (Thorne, 1935)Thorne &amp; Allen, 1944). No. 229 Horticultura. In: </w:t>
      </w:r>
      <w:r w:rsidRPr="00CD1278">
        <w:rPr>
          <w:rFonts w:ascii="Times New Roman" w:hAnsi="Times New Roman"/>
          <w:i/>
        </w:rPr>
        <w:t xml:space="preserve">Horticultura Argentina </w:t>
      </w:r>
      <w:r w:rsidRPr="00CD1278">
        <w:rPr>
          <w:rFonts w:ascii="Times New Roman" w:hAnsi="Times New Roman"/>
        </w:rPr>
        <w:t>32(79): Sep-Dic</w:t>
      </w:r>
      <w:r w:rsidR="001526E0" w:rsidRPr="00CD1278">
        <w:rPr>
          <w:rFonts w:ascii="Times New Roman" w:hAnsi="Times New Roman"/>
        </w:rPr>
        <w:t>.</w:t>
      </w:r>
    </w:p>
    <w:p w14:paraId="66FA1B1C" w14:textId="31359526"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Gutiérrez, M.</w:t>
      </w:r>
      <w:r w:rsidR="001526E0" w:rsidRPr="00CD1278">
        <w:rPr>
          <w:rFonts w:ascii="Times New Roman" w:hAnsi="Times New Roman"/>
        </w:rPr>
        <w:t xml:space="preserve"> </w:t>
      </w:r>
      <w:r w:rsidRPr="00CD1278">
        <w:rPr>
          <w:rFonts w:ascii="Times New Roman" w:hAnsi="Times New Roman"/>
        </w:rPr>
        <w:t>T., Peralta, I.</w:t>
      </w:r>
      <w:r w:rsidR="001526E0" w:rsidRPr="00CD1278">
        <w:rPr>
          <w:rFonts w:ascii="Times New Roman" w:hAnsi="Times New Roman"/>
        </w:rPr>
        <w:t xml:space="preserve"> </w:t>
      </w:r>
      <w:r w:rsidRPr="00CD1278">
        <w:rPr>
          <w:rFonts w:ascii="Times New Roman" w:hAnsi="Times New Roman"/>
        </w:rPr>
        <w:t>E., Conte, M.</w:t>
      </w:r>
      <w:r w:rsidR="001526E0" w:rsidRPr="00CD1278">
        <w:rPr>
          <w:rFonts w:ascii="Times New Roman" w:hAnsi="Times New Roman"/>
        </w:rPr>
        <w:t xml:space="preserve"> </w:t>
      </w:r>
      <w:r w:rsidRPr="00CD1278">
        <w:rPr>
          <w:rFonts w:ascii="Times New Roman" w:hAnsi="Times New Roman"/>
        </w:rPr>
        <w:t>E., Hidalgo, A.</w:t>
      </w:r>
      <w:r w:rsidR="001526E0" w:rsidRPr="00CD1278">
        <w:rPr>
          <w:rFonts w:ascii="Times New Roman" w:hAnsi="Times New Roman"/>
        </w:rPr>
        <w:t xml:space="preserve"> </w:t>
      </w:r>
      <w:r w:rsidRPr="00CD1278">
        <w:rPr>
          <w:rFonts w:ascii="Times New Roman" w:hAnsi="Times New Roman"/>
        </w:rPr>
        <w:t xml:space="preserve">A. (2014). Respuesta de cuatro porta injertos comerciales de tomate para consumo en fresco frente al falso nematodo del nudo </w:t>
      </w:r>
      <w:r w:rsidRPr="00CD1278">
        <w:rPr>
          <w:rFonts w:ascii="Times New Roman" w:hAnsi="Times New Roman"/>
          <w:i/>
        </w:rPr>
        <w:t>Nacobbus aberrans.</w:t>
      </w:r>
      <w:r w:rsidRPr="00CD1278">
        <w:rPr>
          <w:rFonts w:ascii="Times New Roman" w:hAnsi="Times New Roman"/>
        </w:rPr>
        <w:t xml:space="preserve"> No. 005 Horticultura. In: </w:t>
      </w:r>
      <w:r w:rsidRPr="00CD1278">
        <w:rPr>
          <w:rFonts w:ascii="Times New Roman" w:hAnsi="Times New Roman"/>
          <w:i/>
        </w:rPr>
        <w:t xml:space="preserve">Horticultura Argentina </w:t>
      </w:r>
      <w:r w:rsidRPr="00CD1278">
        <w:rPr>
          <w:rFonts w:ascii="Times New Roman" w:hAnsi="Times New Roman"/>
        </w:rPr>
        <w:t>33(82): Sep-Dic</w:t>
      </w:r>
      <w:r w:rsidR="001526E0" w:rsidRPr="00CD1278">
        <w:rPr>
          <w:rFonts w:ascii="Times New Roman" w:hAnsi="Times New Roman"/>
        </w:rPr>
        <w:t>.</w:t>
      </w:r>
    </w:p>
    <w:p w14:paraId="552FEBF5" w14:textId="6FA7AF0A" w:rsidR="00F35A35" w:rsidRPr="00CD1278" w:rsidRDefault="00F35A35" w:rsidP="005A552B">
      <w:pPr>
        <w:spacing w:before="60" w:after="60"/>
        <w:ind w:left="709" w:hanging="709"/>
        <w:rPr>
          <w:bCs/>
          <w:color w:val="auto"/>
          <w:sz w:val="20"/>
        </w:rPr>
      </w:pPr>
      <w:r w:rsidRPr="00CD1278">
        <w:rPr>
          <w:bCs/>
          <w:color w:val="auto"/>
          <w:sz w:val="20"/>
        </w:rPr>
        <w:t>Hammond, D. (2015)</w:t>
      </w:r>
      <w:r w:rsidR="001526E0" w:rsidRPr="00CD1278">
        <w:rPr>
          <w:bCs/>
          <w:color w:val="auto"/>
          <w:sz w:val="20"/>
        </w:rPr>
        <w:t>.</w:t>
      </w:r>
      <w:r w:rsidRPr="00CD1278">
        <w:rPr>
          <w:bCs/>
          <w:color w:val="auto"/>
          <w:sz w:val="20"/>
        </w:rPr>
        <w:t xml:space="preserve"> Heat Treatment for Insect Control. Developments and Applications. Elsevier, 99 pp. </w:t>
      </w:r>
    </w:p>
    <w:p w14:paraId="1DD71CDA" w14:textId="1413521B" w:rsidR="009228AB" w:rsidRPr="00CD1278" w:rsidRDefault="009228AB" w:rsidP="005A552B">
      <w:pPr>
        <w:pStyle w:val="Default"/>
        <w:spacing w:before="60" w:after="60"/>
        <w:ind w:left="709" w:hanging="709"/>
        <w:rPr>
          <w:bCs/>
          <w:color w:val="auto"/>
          <w:sz w:val="20"/>
          <w:lang w:val="en-GB" w:eastAsia="zh-CN"/>
        </w:rPr>
      </w:pPr>
      <w:r w:rsidRPr="00CD1278">
        <w:rPr>
          <w:bCs/>
          <w:color w:val="auto"/>
          <w:sz w:val="20"/>
          <w:lang w:val="en-GB" w:eastAsia="zh-CN"/>
        </w:rPr>
        <w:t>Hidalgo, C</w:t>
      </w:r>
      <w:r w:rsidR="001526E0" w:rsidRPr="00CD1278">
        <w:rPr>
          <w:bCs/>
          <w:color w:val="auto"/>
          <w:sz w:val="20"/>
          <w:lang w:val="en-GB" w:eastAsia="zh-CN"/>
        </w:rPr>
        <w:t>.,</w:t>
      </w:r>
      <w:r w:rsidRPr="00CD1278">
        <w:rPr>
          <w:bCs/>
          <w:color w:val="auto"/>
          <w:sz w:val="20"/>
          <w:lang w:val="en-GB" w:eastAsia="zh-CN"/>
        </w:rPr>
        <w:t xml:space="preserve"> Valadez Moctezuma</w:t>
      </w:r>
      <w:r w:rsidR="001526E0" w:rsidRPr="00CD1278">
        <w:rPr>
          <w:bCs/>
          <w:color w:val="auto"/>
          <w:sz w:val="20"/>
          <w:lang w:val="en-GB" w:eastAsia="zh-CN"/>
        </w:rPr>
        <w:t>,</w:t>
      </w:r>
      <w:r w:rsidRPr="00CD1278">
        <w:rPr>
          <w:bCs/>
          <w:color w:val="auto"/>
          <w:sz w:val="20"/>
          <w:lang w:val="en-GB" w:eastAsia="zh-CN"/>
        </w:rPr>
        <w:t xml:space="preserve"> A. J. E</w:t>
      </w:r>
      <w:r w:rsidR="001526E0" w:rsidRPr="00CD1278">
        <w:rPr>
          <w:bCs/>
          <w:color w:val="auto"/>
          <w:sz w:val="20"/>
          <w:lang w:val="en-GB" w:eastAsia="zh-CN"/>
        </w:rPr>
        <w:t>.</w:t>
      </w:r>
      <w:r w:rsidRPr="00CD1278">
        <w:rPr>
          <w:bCs/>
          <w:color w:val="auto"/>
          <w:sz w:val="20"/>
          <w:lang w:val="en-GB" w:eastAsia="zh-CN"/>
        </w:rPr>
        <w:t xml:space="preserve">, Marbán Mendoza, N. (2015). Effect of fluensulfone on the mobility in vitro, and reproduction and root galling of </w:t>
      </w:r>
      <w:r w:rsidRPr="00CD1278">
        <w:rPr>
          <w:bCs/>
          <w:i/>
          <w:color w:val="auto"/>
          <w:sz w:val="20"/>
          <w:lang w:val="en-GB" w:eastAsia="zh-CN"/>
        </w:rPr>
        <w:t>Nacobbus aberrans</w:t>
      </w:r>
      <w:r w:rsidRPr="00CD1278">
        <w:rPr>
          <w:bCs/>
          <w:color w:val="auto"/>
          <w:sz w:val="20"/>
          <w:lang w:val="en-GB" w:eastAsia="zh-CN"/>
        </w:rPr>
        <w:t xml:space="preserve"> in microplots. </w:t>
      </w:r>
      <w:r w:rsidRPr="00CD1278">
        <w:rPr>
          <w:bCs/>
          <w:i/>
          <w:color w:val="auto"/>
          <w:sz w:val="20"/>
          <w:lang w:val="en-GB" w:eastAsia="zh-CN"/>
        </w:rPr>
        <w:t>Nematropica</w:t>
      </w:r>
      <w:r w:rsidRPr="00CD1278">
        <w:rPr>
          <w:bCs/>
          <w:color w:val="auto"/>
          <w:sz w:val="20"/>
          <w:lang w:val="en-GB" w:eastAsia="zh-CN"/>
        </w:rPr>
        <w:t xml:space="preserve"> 45</w:t>
      </w:r>
      <w:r w:rsidR="001526E0" w:rsidRPr="00CD1278">
        <w:rPr>
          <w:bCs/>
          <w:color w:val="auto"/>
          <w:sz w:val="20"/>
          <w:lang w:val="en-GB" w:eastAsia="zh-CN"/>
        </w:rPr>
        <w:t xml:space="preserve">, </w:t>
      </w:r>
      <w:r w:rsidRPr="00CD1278">
        <w:rPr>
          <w:bCs/>
          <w:color w:val="auto"/>
          <w:sz w:val="20"/>
          <w:lang w:val="en-GB" w:eastAsia="zh-CN"/>
        </w:rPr>
        <w:t>59-71.</w:t>
      </w:r>
    </w:p>
    <w:p w14:paraId="4749C00D" w14:textId="77777777" w:rsidR="006D7D8A" w:rsidRPr="00CD1278" w:rsidRDefault="009C0DF0" w:rsidP="005A552B">
      <w:pPr>
        <w:pStyle w:val="References"/>
        <w:ind w:left="709" w:hanging="709"/>
        <w:jc w:val="left"/>
        <w:rPr>
          <w:rFonts w:ascii="Times New Roman" w:hAnsi="Times New Roman"/>
        </w:rPr>
      </w:pPr>
      <w:r w:rsidRPr="00CD1278">
        <w:rPr>
          <w:rFonts w:ascii="Times New Roman" w:hAnsi="Times New Roman"/>
        </w:rPr>
        <w:t xml:space="preserve">Hoffmann, M., Miller, T., Rachuy, J., Dorn, N., Greene, I., Broome, J., Goodhue, R., Fennimore, S. (2015). Soil disinfestation with steam in California strawberry production. In: </w:t>
      </w:r>
      <w:r w:rsidR="001526E0" w:rsidRPr="00CD1278">
        <w:rPr>
          <w:rFonts w:ascii="Times New Roman" w:hAnsi="Times New Roman"/>
        </w:rPr>
        <w:t xml:space="preserve">Obenauf, G. L. (ed.), </w:t>
      </w:r>
      <w:r w:rsidR="001526E0" w:rsidRPr="00CD1278">
        <w:rPr>
          <w:rFonts w:ascii="Times New Roman" w:hAnsi="Times New Roman"/>
          <w:i/>
        </w:rPr>
        <w:t>Proceedings of the Annual International Research Conference on Methyl Bromide Alternatives and Emission Reductions</w:t>
      </w:r>
      <w:r w:rsidR="001526E0" w:rsidRPr="00CD1278">
        <w:rPr>
          <w:rFonts w:ascii="Times New Roman" w:hAnsi="Times New Roman"/>
        </w:rPr>
        <w:t xml:space="preserve">, (MBAO), 9-11 </w:t>
      </w:r>
      <w:r w:rsidRPr="00CD1278">
        <w:rPr>
          <w:rFonts w:ascii="Times New Roman" w:hAnsi="Times New Roman"/>
        </w:rPr>
        <w:t>November</w:t>
      </w:r>
      <w:r w:rsidR="001526E0" w:rsidRPr="00CD1278">
        <w:rPr>
          <w:rFonts w:ascii="Times New Roman" w:hAnsi="Times New Roman"/>
        </w:rPr>
        <w:t xml:space="preserve"> in </w:t>
      </w:r>
      <w:r w:rsidRPr="00CD1278">
        <w:rPr>
          <w:rFonts w:ascii="Times New Roman" w:hAnsi="Times New Roman"/>
        </w:rPr>
        <w:t>San Diego, C</w:t>
      </w:r>
      <w:r w:rsidR="001526E0" w:rsidRPr="00CD1278">
        <w:rPr>
          <w:rFonts w:ascii="Times New Roman" w:hAnsi="Times New Roman"/>
        </w:rPr>
        <w:t>A</w:t>
      </w:r>
      <w:r w:rsidRPr="00CD1278">
        <w:rPr>
          <w:rFonts w:ascii="Times New Roman" w:hAnsi="Times New Roman"/>
        </w:rPr>
        <w:t>, USA</w:t>
      </w:r>
      <w:r w:rsidR="00F9389D" w:rsidRPr="00CD1278">
        <w:rPr>
          <w:rFonts w:ascii="Times New Roman" w:hAnsi="Times New Roman"/>
        </w:rPr>
        <w:t>, 18-1 – 18-4.</w:t>
      </w:r>
    </w:p>
    <w:p w14:paraId="5CB12570" w14:textId="73597F5F" w:rsidR="006C0997" w:rsidRPr="00CD1278" w:rsidRDefault="00C575E7" w:rsidP="005A552B">
      <w:pPr>
        <w:pStyle w:val="References"/>
        <w:ind w:left="709" w:hanging="709"/>
        <w:jc w:val="left"/>
        <w:rPr>
          <w:rFonts w:ascii="Times New Roman" w:hAnsi="Times New Roman"/>
        </w:rPr>
      </w:pPr>
      <w:hyperlink r:id="rId86" w:history="1">
        <w:r w:rsidR="006C0997" w:rsidRPr="00CD1278">
          <w:rPr>
            <w:rFonts w:ascii="Times New Roman" w:hAnsi="Times New Roman"/>
            <w:bCs w:val="0"/>
          </w:rPr>
          <w:t>Huang</w:t>
        </w:r>
      </w:hyperlink>
      <w:r w:rsidR="006C0997" w:rsidRPr="00CD1278">
        <w:rPr>
          <w:rFonts w:ascii="Times New Roman" w:hAnsi="Times New Roman"/>
          <w:bCs w:val="0"/>
        </w:rPr>
        <w:t xml:space="preserve">, B., Li, J., Fang, W., Liu, P., Guo, P., Yan, D., Wang, Q., </w:t>
      </w:r>
      <w:hyperlink r:id="rId87" w:anchor="cor1" w:history="1">
        <w:r w:rsidR="006C0997" w:rsidRPr="00CD1278">
          <w:rPr>
            <w:rFonts w:ascii="Times New Roman" w:hAnsi="Times New Roman"/>
            <w:bCs w:val="0"/>
          </w:rPr>
          <w:t>Cao,</w:t>
        </w:r>
      </w:hyperlink>
      <w:r w:rsidR="006C0997" w:rsidRPr="00CD1278">
        <w:rPr>
          <w:rFonts w:ascii="Times New Roman" w:hAnsi="Times New Roman"/>
          <w:bCs w:val="0"/>
        </w:rPr>
        <w:t xml:space="preserve"> A. (2016). Effect of Soil Fumigation on Degradation of Pendimethalin and Oxyfluorfen in Laboratory and Ginger Field Studies. </w:t>
      </w:r>
      <w:r w:rsidR="006C0997" w:rsidRPr="00CD1278">
        <w:rPr>
          <w:rFonts w:ascii="Times New Roman" w:hAnsi="Times New Roman"/>
          <w:bCs w:val="0"/>
          <w:i/>
          <w:iCs/>
        </w:rPr>
        <w:t>J. Agric. Food Chem.</w:t>
      </w:r>
      <w:r w:rsidR="006C0997" w:rsidRPr="00CD1278">
        <w:rPr>
          <w:rFonts w:ascii="Times New Roman" w:hAnsi="Times New Roman"/>
          <w:bCs w:val="0"/>
        </w:rPr>
        <w:t xml:space="preserve"> 64 (46):  8710–8721</w:t>
      </w:r>
    </w:p>
    <w:p w14:paraId="47D91898" w14:textId="77777777" w:rsidR="003308B0" w:rsidRPr="00CD1278" w:rsidRDefault="003308B0" w:rsidP="005A552B">
      <w:pPr>
        <w:pStyle w:val="References"/>
        <w:ind w:left="709" w:hanging="709"/>
        <w:jc w:val="left"/>
        <w:rPr>
          <w:rFonts w:ascii="Times New Roman" w:hAnsi="Times New Roman"/>
        </w:rPr>
      </w:pPr>
      <w:r w:rsidRPr="00CD1278">
        <w:rPr>
          <w:rFonts w:ascii="Times New Roman" w:hAnsi="Times New Roman"/>
        </w:rPr>
        <w:t xml:space="preserve">Hofmeir, H. (2018). </w:t>
      </w:r>
      <w:hyperlink r:id="rId88" w:history="1">
        <w:r w:rsidRPr="00CD1278">
          <w:rPr>
            <w:rStyle w:val="Hyperlink"/>
            <w:rFonts w:ascii="Times New Roman" w:hAnsi="Times New Roman"/>
            <w:color w:val="auto"/>
            <w:u w:val="none"/>
          </w:rPr>
          <w:t>www.thermonox.de</w:t>
        </w:r>
      </w:hyperlink>
      <w:r w:rsidRPr="00CD1278">
        <w:rPr>
          <w:rFonts w:ascii="Times New Roman" w:hAnsi="Times New Roman"/>
        </w:rPr>
        <w:t xml:space="preserve">, </w:t>
      </w:r>
      <w:hyperlink r:id="rId89" w:history="1">
        <w:r w:rsidRPr="00CD1278">
          <w:rPr>
            <w:rStyle w:val="Hyperlink"/>
            <w:rFonts w:ascii="Times New Roman" w:hAnsi="Times New Roman"/>
            <w:color w:val="auto"/>
            <w:u w:val="none"/>
          </w:rPr>
          <w:t>info@thermonox.de</w:t>
        </w:r>
      </w:hyperlink>
      <w:r w:rsidRPr="00CD1278">
        <w:rPr>
          <w:rFonts w:ascii="Times New Roman" w:hAnsi="Times New Roman"/>
        </w:rPr>
        <w:t xml:space="preserve">, </w:t>
      </w:r>
      <w:r w:rsidRPr="00CD1278">
        <w:rPr>
          <w:rFonts w:ascii="Times New Roman" w:hAnsi="Times New Roman"/>
          <w:lang w:eastAsia="de-DE"/>
        </w:rPr>
        <w:t xml:space="preserve"> Hauptstraße 1, D-85296 Fahlenbach, Phone: +49(0) 8442/8823, Fax: +49(0)8442/7723.    </w:t>
      </w:r>
    </w:p>
    <w:p w14:paraId="4E099519" w14:textId="54F46164" w:rsidR="009C0DF0" w:rsidRPr="00CD1278" w:rsidRDefault="009C0DF0" w:rsidP="005A552B">
      <w:pPr>
        <w:pStyle w:val="References"/>
        <w:spacing w:before="0" w:after="120"/>
        <w:ind w:left="709" w:hanging="709"/>
        <w:jc w:val="left"/>
        <w:rPr>
          <w:rFonts w:ascii="Times New Roman" w:hAnsi="Times New Roman"/>
        </w:rPr>
      </w:pPr>
      <w:r w:rsidRPr="00CD1278">
        <w:rPr>
          <w:rFonts w:ascii="Times New Roman" w:hAnsi="Times New Roman"/>
        </w:rPr>
        <w:t>Jari, S., Michael, M., Archana, P., Ted, R., Steve, F., Susan, M. (2011).</w:t>
      </w:r>
      <w:r w:rsidRPr="00CD1278">
        <w:rPr>
          <w:rFonts w:ascii="Times New Roman" w:hAnsi="Times New Roman"/>
          <w:iCs/>
        </w:rPr>
        <w:t xml:space="preserve"> E</w:t>
      </w:r>
      <w:r w:rsidRPr="00CD1278">
        <w:rPr>
          <w:rFonts w:ascii="Times New Roman" w:hAnsi="Times New Roman"/>
        </w:rPr>
        <w:t xml:space="preserve">valuations of tomato yellow leaf curl virus resistant varieties for commercial production. </w:t>
      </w:r>
      <w:r w:rsidRPr="00CD1278">
        <w:rPr>
          <w:rFonts w:ascii="Times New Roman" w:hAnsi="Times New Roman"/>
          <w:i/>
        </w:rPr>
        <w:t xml:space="preserve">The Food Provider, </w:t>
      </w:r>
      <w:r w:rsidR="00B44B21" w:rsidRPr="00CD1278">
        <w:rPr>
          <w:rFonts w:ascii="Times New Roman" w:hAnsi="Times New Roman"/>
        </w:rPr>
        <w:t>June-J</w:t>
      </w:r>
      <w:r w:rsidRPr="00CD1278">
        <w:rPr>
          <w:rFonts w:ascii="Times New Roman" w:hAnsi="Times New Roman"/>
        </w:rPr>
        <w:t>uly-August</w:t>
      </w:r>
      <w:r w:rsidR="00FA68B7" w:rsidRPr="00CD1278">
        <w:rPr>
          <w:rFonts w:ascii="Times New Roman" w:hAnsi="Times New Roman"/>
        </w:rPr>
        <w:t xml:space="preserve">, </w:t>
      </w:r>
      <w:r w:rsidRPr="00CD1278">
        <w:rPr>
          <w:rFonts w:ascii="Times New Roman" w:hAnsi="Times New Roman"/>
        </w:rPr>
        <w:t>1-6.</w:t>
      </w:r>
    </w:p>
    <w:p w14:paraId="60A9BB1E" w14:textId="5389689F" w:rsidR="009C0DF0" w:rsidRPr="00CD1278" w:rsidRDefault="009C0DF0" w:rsidP="005A552B">
      <w:pPr>
        <w:pStyle w:val="References"/>
        <w:spacing w:before="0" w:after="120"/>
        <w:ind w:left="709" w:hanging="709"/>
        <w:jc w:val="left"/>
        <w:rPr>
          <w:rFonts w:ascii="Times New Roman" w:hAnsi="Times New Roman"/>
        </w:rPr>
      </w:pPr>
      <w:r w:rsidRPr="00CD1278">
        <w:rPr>
          <w:rFonts w:ascii="Times New Roman" w:hAnsi="Times New Roman"/>
        </w:rPr>
        <w:t xml:space="preserve">Ji, X., Qiao, K., Dong, S., Wang, H., Wang, K. (2013). Effects of 1,3-dichloropropene plus chloropicrin on weed seed germination. </w:t>
      </w:r>
      <w:r w:rsidRPr="00CD1278">
        <w:rPr>
          <w:rFonts w:ascii="Times New Roman" w:hAnsi="Times New Roman"/>
          <w:i/>
        </w:rPr>
        <w:t>Crop Protection</w:t>
      </w:r>
      <w:r w:rsidRPr="00CD1278">
        <w:rPr>
          <w:rFonts w:ascii="Times New Roman" w:hAnsi="Times New Roman"/>
        </w:rPr>
        <w:t xml:space="preserve"> 45</w:t>
      </w:r>
      <w:r w:rsidR="00FA68B7" w:rsidRPr="00CD1278">
        <w:rPr>
          <w:rFonts w:ascii="Times New Roman" w:hAnsi="Times New Roman"/>
        </w:rPr>
        <w:t xml:space="preserve">, </w:t>
      </w:r>
      <w:r w:rsidRPr="00CD1278">
        <w:rPr>
          <w:rFonts w:ascii="Times New Roman" w:hAnsi="Times New Roman"/>
        </w:rPr>
        <w:t xml:space="preserve">1-5. </w:t>
      </w:r>
    </w:p>
    <w:p w14:paraId="7CFF3291" w14:textId="77777777" w:rsidR="003308B0" w:rsidRPr="00CD1278" w:rsidRDefault="003308B0" w:rsidP="005A552B">
      <w:pPr>
        <w:autoSpaceDE w:val="0"/>
        <w:autoSpaceDN w:val="0"/>
        <w:adjustRightInd w:val="0"/>
        <w:spacing w:before="60" w:after="60"/>
        <w:ind w:left="709" w:hanging="709"/>
        <w:rPr>
          <w:bCs/>
          <w:color w:val="auto"/>
          <w:sz w:val="20"/>
        </w:rPr>
      </w:pPr>
      <w:r w:rsidRPr="00CD1278">
        <w:rPr>
          <w:color w:val="auto"/>
          <w:sz w:val="20"/>
        </w:rPr>
        <w:t xml:space="preserve">Kroll (2018).  </w:t>
      </w:r>
      <w:hyperlink r:id="rId90" w:history="1">
        <w:r w:rsidRPr="00CD1278">
          <w:rPr>
            <w:rStyle w:val="Hyperlink"/>
            <w:color w:val="auto"/>
            <w:sz w:val="20"/>
            <w:u w:val="none"/>
          </w:rPr>
          <w:t>vertrieb@kroll.de</w:t>
        </w:r>
      </w:hyperlink>
      <w:r w:rsidRPr="00CD1278">
        <w:rPr>
          <w:color w:val="auto"/>
          <w:sz w:val="20"/>
        </w:rPr>
        <w:t xml:space="preserve">, </w:t>
      </w:r>
      <w:hyperlink r:id="rId91" w:history="1">
        <w:r w:rsidRPr="00CD1278">
          <w:rPr>
            <w:rStyle w:val="Hyperlink"/>
            <w:color w:val="auto"/>
            <w:sz w:val="20"/>
            <w:u w:val="none"/>
          </w:rPr>
          <w:t>service@kroll.de</w:t>
        </w:r>
      </w:hyperlink>
      <w:r w:rsidRPr="00CD1278">
        <w:rPr>
          <w:rStyle w:val="Hyperlink"/>
          <w:color w:val="auto"/>
          <w:sz w:val="20"/>
          <w:u w:val="none"/>
        </w:rPr>
        <w:t xml:space="preserve">, </w:t>
      </w:r>
      <w:r w:rsidRPr="00CD1278">
        <w:rPr>
          <w:rStyle w:val="Strong"/>
          <w:b w:val="0"/>
          <w:color w:val="auto"/>
          <w:sz w:val="20"/>
        </w:rPr>
        <w:t xml:space="preserve">Kroll Energy GmbH, </w:t>
      </w:r>
      <w:r w:rsidRPr="00CD1278">
        <w:rPr>
          <w:color w:val="auto"/>
          <w:sz w:val="20"/>
        </w:rPr>
        <w:t>Pfarrgartenstraße 46, D-71737 Kirchberg/Murr, Phone:+49(0)7144/830200, Fax: +49 (0)7144/830201.</w:t>
      </w:r>
    </w:p>
    <w:p w14:paraId="4D7032B7" w14:textId="32E079BE" w:rsidR="00622364" w:rsidRPr="00CD1278" w:rsidRDefault="00622364" w:rsidP="005A552B">
      <w:pPr>
        <w:autoSpaceDE w:val="0"/>
        <w:autoSpaceDN w:val="0"/>
        <w:adjustRightInd w:val="0"/>
        <w:spacing w:before="60" w:after="60"/>
        <w:ind w:left="709" w:hanging="709"/>
        <w:rPr>
          <w:bCs/>
          <w:color w:val="auto"/>
          <w:sz w:val="20"/>
        </w:rPr>
      </w:pPr>
      <w:r w:rsidRPr="00CD1278">
        <w:rPr>
          <w:bCs/>
          <w:color w:val="auto"/>
          <w:sz w:val="20"/>
        </w:rPr>
        <w:t xml:space="preserve">Kubota, C., McClure, M. A., Kokalis-Burelle, N., Bausher, M. G., Rosskopf, E. N. (2008). Vegetable grafting: history, use, and current technology status in North America. </w:t>
      </w:r>
      <w:r w:rsidRPr="00CD1278">
        <w:rPr>
          <w:bCs/>
          <w:i/>
          <w:color w:val="auto"/>
          <w:sz w:val="20"/>
        </w:rPr>
        <w:t>Hort</w:t>
      </w:r>
      <w:r w:rsidR="00454ECA" w:rsidRPr="00CD1278">
        <w:rPr>
          <w:bCs/>
          <w:i/>
          <w:color w:val="auto"/>
          <w:sz w:val="20"/>
        </w:rPr>
        <w:t>icultural</w:t>
      </w:r>
      <w:r w:rsidR="007A21F6" w:rsidRPr="00CD1278">
        <w:rPr>
          <w:bCs/>
          <w:i/>
          <w:color w:val="auto"/>
          <w:sz w:val="20"/>
        </w:rPr>
        <w:t xml:space="preserve"> </w:t>
      </w:r>
      <w:r w:rsidRPr="00CD1278">
        <w:rPr>
          <w:bCs/>
          <w:i/>
          <w:color w:val="auto"/>
          <w:sz w:val="20"/>
        </w:rPr>
        <w:t>Science</w:t>
      </w:r>
      <w:r w:rsidRPr="00CD1278">
        <w:rPr>
          <w:bCs/>
          <w:color w:val="auto"/>
          <w:sz w:val="20"/>
        </w:rPr>
        <w:t xml:space="preserve"> 43(6), 1664-1669.</w:t>
      </w:r>
    </w:p>
    <w:p w14:paraId="2A1FC085" w14:textId="02AE582D" w:rsidR="00622364" w:rsidRPr="00CD1278" w:rsidRDefault="00622364" w:rsidP="005A552B">
      <w:pPr>
        <w:autoSpaceDE w:val="0"/>
        <w:autoSpaceDN w:val="0"/>
        <w:adjustRightInd w:val="0"/>
        <w:spacing w:before="60" w:after="60"/>
        <w:ind w:left="709" w:hanging="709"/>
        <w:rPr>
          <w:bCs/>
          <w:color w:val="auto"/>
          <w:sz w:val="20"/>
        </w:rPr>
      </w:pPr>
      <w:r w:rsidRPr="00CD1278">
        <w:rPr>
          <w:bCs/>
          <w:color w:val="auto"/>
          <w:sz w:val="20"/>
        </w:rPr>
        <w:t>Lax, P., Rondan Duenas, J.</w:t>
      </w:r>
      <w:r w:rsidR="00FA68B7" w:rsidRPr="00CD1278">
        <w:rPr>
          <w:bCs/>
          <w:color w:val="auto"/>
          <w:sz w:val="20"/>
        </w:rPr>
        <w:t xml:space="preserve"> </w:t>
      </w:r>
      <w:r w:rsidRPr="00CD1278">
        <w:rPr>
          <w:bCs/>
          <w:color w:val="auto"/>
          <w:sz w:val="20"/>
        </w:rPr>
        <w:t>C., Coronel, N.</w:t>
      </w:r>
      <w:r w:rsidR="00FA68B7" w:rsidRPr="00CD1278">
        <w:rPr>
          <w:bCs/>
          <w:color w:val="auto"/>
          <w:sz w:val="20"/>
        </w:rPr>
        <w:t xml:space="preserve"> </w:t>
      </w:r>
      <w:r w:rsidRPr="00CD1278">
        <w:rPr>
          <w:bCs/>
          <w:color w:val="auto"/>
          <w:sz w:val="20"/>
        </w:rPr>
        <w:t>B., Gardenal, C.</w:t>
      </w:r>
      <w:r w:rsidR="00FA68B7" w:rsidRPr="00CD1278">
        <w:rPr>
          <w:bCs/>
          <w:color w:val="auto"/>
          <w:sz w:val="20"/>
        </w:rPr>
        <w:t xml:space="preserve"> </w:t>
      </w:r>
      <w:r w:rsidRPr="00CD1278">
        <w:rPr>
          <w:bCs/>
          <w:color w:val="auto"/>
          <w:sz w:val="20"/>
        </w:rPr>
        <w:t>N., Bima, P., Doucet, M.</w:t>
      </w:r>
      <w:r w:rsidR="00FA68B7" w:rsidRPr="00CD1278">
        <w:rPr>
          <w:bCs/>
          <w:color w:val="auto"/>
          <w:sz w:val="20"/>
        </w:rPr>
        <w:t xml:space="preserve"> </w:t>
      </w:r>
      <w:r w:rsidRPr="00CD1278">
        <w:rPr>
          <w:bCs/>
          <w:color w:val="auto"/>
          <w:sz w:val="20"/>
        </w:rPr>
        <w:t>E.</w:t>
      </w:r>
      <w:r w:rsidR="00FA68B7" w:rsidRPr="00CD1278">
        <w:rPr>
          <w:bCs/>
          <w:color w:val="auto"/>
          <w:sz w:val="20"/>
        </w:rPr>
        <w:t xml:space="preserve"> (</w:t>
      </w:r>
      <w:r w:rsidRPr="00CD1278">
        <w:rPr>
          <w:bCs/>
          <w:color w:val="auto"/>
          <w:sz w:val="20"/>
        </w:rPr>
        <w:t>2011</w:t>
      </w:r>
      <w:r w:rsidR="00FA68B7" w:rsidRPr="00CD1278">
        <w:rPr>
          <w:bCs/>
          <w:color w:val="auto"/>
          <w:sz w:val="20"/>
        </w:rPr>
        <w:t>)</w:t>
      </w:r>
      <w:r w:rsidRPr="00CD1278">
        <w:rPr>
          <w:bCs/>
          <w:color w:val="auto"/>
          <w:sz w:val="20"/>
        </w:rPr>
        <w:t xml:space="preserve">. Host range study of Argentine </w:t>
      </w:r>
      <w:r w:rsidRPr="00CD1278">
        <w:rPr>
          <w:bCs/>
          <w:i/>
          <w:color w:val="auto"/>
          <w:sz w:val="20"/>
        </w:rPr>
        <w:t xml:space="preserve">Nacobbus aberrans </w:t>
      </w:r>
      <w:r w:rsidRPr="00CD1278">
        <w:rPr>
          <w:bCs/>
          <w:color w:val="auto"/>
          <w:sz w:val="20"/>
        </w:rPr>
        <w:t xml:space="preserve">sensu Sher populations and comments on the differential host test. </w:t>
      </w:r>
      <w:r w:rsidRPr="00CD1278">
        <w:rPr>
          <w:bCs/>
          <w:i/>
          <w:color w:val="auto"/>
          <w:sz w:val="20"/>
        </w:rPr>
        <w:t>Crop Prot</w:t>
      </w:r>
      <w:r w:rsidR="00454ECA" w:rsidRPr="00CD1278">
        <w:rPr>
          <w:bCs/>
          <w:i/>
          <w:color w:val="auto"/>
          <w:sz w:val="20"/>
        </w:rPr>
        <w:t>ection</w:t>
      </w:r>
      <w:r w:rsidRPr="00CD1278">
        <w:rPr>
          <w:bCs/>
          <w:color w:val="auto"/>
          <w:sz w:val="20"/>
        </w:rPr>
        <w:t xml:space="preserve"> 30, 1414</w:t>
      </w:r>
      <w:r w:rsidR="00FA68B7" w:rsidRPr="00CD1278">
        <w:rPr>
          <w:bCs/>
          <w:color w:val="auto"/>
          <w:sz w:val="20"/>
        </w:rPr>
        <w:t>-</w:t>
      </w:r>
      <w:r w:rsidRPr="00CD1278">
        <w:rPr>
          <w:bCs/>
          <w:color w:val="auto"/>
          <w:sz w:val="20"/>
        </w:rPr>
        <w:t>1420.</w:t>
      </w:r>
    </w:p>
    <w:p w14:paraId="6A7C6256" w14:textId="41EAB659"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Lax, P., Rondan-Duenas, J.</w:t>
      </w:r>
      <w:r w:rsidR="00FA68B7" w:rsidRPr="00CD1278">
        <w:rPr>
          <w:rFonts w:ascii="Times New Roman" w:hAnsi="Times New Roman"/>
        </w:rPr>
        <w:t xml:space="preserve"> </w:t>
      </w:r>
      <w:r w:rsidRPr="00CD1278">
        <w:rPr>
          <w:rFonts w:ascii="Times New Roman" w:hAnsi="Times New Roman"/>
        </w:rPr>
        <w:t>C., Ramos, D., Doucet, M.</w:t>
      </w:r>
      <w:r w:rsidR="00FA68B7" w:rsidRPr="00CD1278">
        <w:rPr>
          <w:rFonts w:ascii="Times New Roman" w:hAnsi="Times New Roman"/>
        </w:rPr>
        <w:t xml:space="preserve"> </w:t>
      </w:r>
      <w:r w:rsidRPr="00CD1278">
        <w:rPr>
          <w:rFonts w:ascii="Times New Roman" w:hAnsi="Times New Roman"/>
        </w:rPr>
        <w:t xml:space="preserve">D., Braga, R., Kobori, R. (2016). Host suitability of peppers to the false root-knot nematode </w:t>
      </w:r>
      <w:r w:rsidRPr="00CD1278">
        <w:rPr>
          <w:rFonts w:ascii="Times New Roman" w:hAnsi="Times New Roman"/>
          <w:i/>
          <w:iCs/>
        </w:rPr>
        <w:t xml:space="preserve">Nacobbus aberrans. </w:t>
      </w:r>
      <w:r w:rsidRPr="00CD1278">
        <w:rPr>
          <w:rFonts w:ascii="Times New Roman" w:hAnsi="Times New Roman"/>
          <w:i/>
        </w:rPr>
        <w:t>Crop Protection</w:t>
      </w:r>
      <w:r w:rsidRPr="00CD1278">
        <w:rPr>
          <w:rFonts w:ascii="Times New Roman" w:hAnsi="Times New Roman"/>
        </w:rPr>
        <w:t xml:space="preserve"> 79</w:t>
      </w:r>
      <w:r w:rsidR="00602D40" w:rsidRPr="00CD1278">
        <w:rPr>
          <w:rFonts w:ascii="Times New Roman" w:hAnsi="Times New Roman"/>
        </w:rPr>
        <w:t xml:space="preserve">, </w:t>
      </w:r>
      <w:r w:rsidRPr="00CD1278">
        <w:rPr>
          <w:rFonts w:ascii="Times New Roman" w:hAnsi="Times New Roman"/>
        </w:rPr>
        <w:t>15-19</w:t>
      </w:r>
      <w:r w:rsidR="00602D40" w:rsidRPr="00CD1278">
        <w:rPr>
          <w:rFonts w:ascii="Times New Roman" w:hAnsi="Times New Roman"/>
        </w:rPr>
        <w:t>.</w:t>
      </w:r>
    </w:p>
    <w:p w14:paraId="18AE94EE" w14:textId="2AAB5C2B" w:rsidR="00622364" w:rsidRPr="00CD1278" w:rsidRDefault="00622364" w:rsidP="005A552B">
      <w:pPr>
        <w:autoSpaceDE w:val="0"/>
        <w:autoSpaceDN w:val="0"/>
        <w:adjustRightInd w:val="0"/>
        <w:spacing w:before="60" w:after="60"/>
        <w:ind w:left="709" w:hanging="709"/>
        <w:rPr>
          <w:bCs/>
          <w:color w:val="auto"/>
          <w:sz w:val="20"/>
        </w:rPr>
      </w:pPr>
      <w:r w:rsidRPr="00CD1278">
        <w:rPr>
          <w:bCs/>
          <w:color w:val="auto"/>
          <w:sz w:val="20"/>
        </w:rPr>
        <w:t>Lee, J.-M., Kubota, C., Tsao, S. J., Bie, Z., Echevarria, P. H., Morra, L</w:t>
      </w:r>
      <w:r w:rsidR="00602D40" w:rsidRPr="00CD1278">
        <w:rPr>
          <w:bCs/>
          <w:color w:val="auto"/>
          <w:sz w:val="20"/>
        </w:rPr>
        <w:t>.</w:t>
      </w:r>
      <w:r w:rsidRPr="00CD1278">
        <w:rPr>
          <w:bCs/>
          <w:color w:val="auto"/>
          <w:sz w:val="20"/>
        </w:rPr>
        <w:t xml:space="preserve"> (2010). Current status of vegetable grafting: diffusion, grafting techniques, automation. </w:t>
      </w:r>
      <w:r w:rsidRPr="00CD1278">
        <w:rPr>
          <w:bCs/>
          <w:i/>
          <w:color w:val="auto"/>
          <w:sz w:val="20"/>
        </w:rPr>
        <w:t>Scientia Horticulturae</w:t>
      </w:r>
      <w:r w:rsidRPr="00CD1278">
        <w:rPr>
          <w:bCs/>
          <w:color w:val="auto"/>
          <w:sz w:val="20"/>
        </w:rPr>
        <w:t xml:space="preserve"> 127(2), 93-105.</w:t>
      </w:r>
    </w:p>
    <w:p w14:paraId="5949E62D" w14:textId="77777777" w:rsidR="003308B0" w:rsidRPr="00CD1278" w:rsidRDefault="003308B0" w:rsidP="005A552B">
      <w:pPr>
        <w:pStyle w:val="References"/>
        <w:ind w:left="709" w:hanging="709"/>
        <w:jc w:val="left"/>
        <w:rPr>
          <w:rFonts w:ascii="Times New Roman" w:hAnsi="Times New Roman"/>
        </w:rPr>
      </w:pPr>
      <w:r w:rsidRPr="00CD1278">
        <w:rPr>
          <w:rFonts w:ascii="Times New Roman" w:hAnsi="Times New Roman"/>
        </w:rPr>
        <w:t xml:space="preserve">Lewis, V. R., Haverty, M. I. (1996). Evaluation of six techniques for control of the Western dry wood termite (Isoptera: Kalotermidae) in structures. </w:t>
      </w:r>
      <w:r w:rsidRPr="00CD1278">
        <w:rPr>
          <w:rFonts w:ascii="Times New Roman" w:hAnsi="Times New Roman"/>
          <w:i/>
        </w:rPr>
        <w:t>Journal of Economic Entomology</w:t>
      </w:r>
      <w:r w:rsidRPr="00CD1278">
        <w:rPr>
          <w:rFonts w:ascii="Times New Roman" w:hAnsi="Times New Roman"/>
        </w:rPr>
        <w:t xml:space="preserve"> 89, 922-934.</w:t>
      </w:r>
    </w:p>
    <w:p w14:paraId="1F1D13F5" w14:textId="5B11C949" w:rsidR="00E5259C" w:rsidRPr="00CD1278" w:rsidRDefault="00E5259C" w:rsidP="005A552B">
      <w:pPr>
        <w:autoSpaceDE w:val="0"/>
        <w:autoSpaceDN w:val="0"/>
        <w:adjustRightInd w:val="0"/>
        <w:spacing w:before="60" w:after="60"/>
        <w:ind w:left="709" w:hanging="709"/>
        <w:rPr>
          <w:bCs/>
          <w:color w:val="auto"/>
          <w:sz w:val="20"/>
        </w:rPr>
      </w:pPr>
      <w:r w:rsidRPr="00CD1278">
        <w:rPr>
          <w:bCs/>
          <w:color w:val="auto"/>
          <w:sz w:val="20"/>
        </w:rPr>
        <w:t>Liangang M., Qiuxia W., Dongdong Y., Yuan L., Canbin O., Meixia G., Aocheng C. (2016). Flame soil disinfestation: A novel, promising, non-chemical method to control soilborne nematodes, fungal and bacterial pathogens in China</w:t>
      </w:r>
      <w:r w:rsidR="00602D40" w:rsidRPr="00CD1278">
        <w:rPr>
          <w:bCs/>
          <w:color w:val="auto"/>
          <w:sz w:val="20"/>
        </w:rPr>
        <w:t>.</w:t>
      </w:r>
      <w:r w:rsidRPr="00CD1278">
        <w:rPr>
          <w:bCs/>
          <w:color w:val="auto"/>
          <w:sz w:val="20"/>
        </w:rPr>
        <w:t xml:space="preserve"> </w:t>
      </w:r>
      <w:r w:rsidRPr="00CD1278">
        <w:rPr>
          <w:bCs/>
          <w:i/>
          <w:color w:val="auto"/>
          <w:sz w:val="20"/>
        </w:rPr>
        <w:t>Crop Protection</w:t>
      </w:r>
      <w:r w:rsidRPr="00CD1278">
        <w:rPr>
          <w:bCs/>
          <w:color w:val="auto"/>
          <w:sz w:val="20"/>
        </w:rPr>
        <w:t xml:space="preserve"> 83</w:t>
      </w:r>
      <w:r w:rsidR="005C66ED" w:rsidRPr="00CD1278">
        <w:rPr>
          <w:bCs/>
          <w:color w:val="auto"/>
          <w:sz w:val="20"/>
        </w:rPr>
        <w:t>,</w:t>
      </w:r>
      <w:r w:rsidRPr="00CD1278">
        <w:rPr>
          <w:bCs/>
          <w:color w:val="auto"/>
          <w:sz w:val="20"/>
        </w:rPr>
        <w:t xml:space="preserve"> 90-94</w:t>
      </w:r>
      <w:r w:rsidR="005C66ED" w:rsidRPr="00CD1278">
        <w:rPr>
          <w:bCs/>
          <w:color w:val="auto"/>
          <w:sz w:val="20"/>
        </w:rPr>
        <w:t>.</w:t>
      </w:r>
    </w:p>
    <w:p w14:paraId="5A4E5FA9" w14:textId="77777777" w:rsidR="00AE5394" w:rsidRPr="00CD1278" w:rsidRDefault="009C0DF0" w:rsidP="005A552B">
      <w:pPr>
        <w:pStyle w:val="References"/>
        <w:ind w:left="709" w:hanging="709"/>
        <w:jc w:val="left"/>
        <w:rPr>
          <w:rFonts w:ascii="Times New Roman" w:hAnsi="Times New Roman"/>
          <w:i/>
        </w:rPr>
      </w:pPr>
      <w:r w:rsidRPr="00CD1278">
        <w:rPr>
          <w:rFonts w:ascii="Times New Roman" w:hAnsi="Times New Roman"/>
        </w:rPr>
        <w:t xml:space="preserve">Lobos, E.A., Occhionero, M.A., Occhionero, M., Werenitzky, D. (2013). Actividad nematicida de Neemazal 1.2. EC (Azadirachtina) en el control de </w:t>
      </w:r>
      <w:r w:rsidRPr="00CD1278">
        <w:rPr>
          <w:rFonts w:ascii="Times New Roman" w:hAnsi="Times New Roman"/>
          <w:i/>
        </w:rPr>
        <w:t xml:space="preserve">Meloidogyne </w:t>
      </w:r>
      <w:r w:rsidRPr="00CD1278">
        <w:rPr>
          <w:rFonts w:ascii="Times New Roman" w:hAnsi="Times New Roman"/>
        </w:rPr>
        <w:t xml:space="preserve">spp en el cultivo de tomate. </w:t>
      </w:r>
      <w:r w:rsidRPr="00CD1278" w:rsidDel="00B5430E">
        <w:rPr>
          <w:rFonts w:ascii="Times New Roman" w:hAnsi="Times New Roman"/>
        </w:rPr>
        <w:t xml:space="preserve">No. 131 </w:t>
      </w:r>
      <w:r w:rsidRPr="00CD1278">
        <w:rPr>
          <w:rFonts w:ascii="Times New Roman" w:hAnsi="Times New Roman"/>
        </w:rPr>
        <w:t xml:space="preserve">Horticultura. In:  </w:t>
      </w:r>
      <w:r w:rsidRPr="00CD1278">
        <w:rPr>
          <w:rFonts w:ascii="Times New Roman" w:hAnsi="Times New Roman"/>
          <w:i/>
        </w:rPr>
        <w:t xml:space="preserve">Horticultura Argentina 32(79): Sep-Dic. </w:t>
      </w:r>
    </w:p>
    <w:p w14:paraId="3E61B0D0" w14:textId="0BB8BB54" w:rsidR="00AE5394" w:rsidRPr="00CD1278" w:rsidRDefault="00AE5394" w:rsidP="005A552B">
      <w:pPr>
        <w:pStyle w:val="References"/>
        <w:ind w:left="709" w:hanging="709"/>
        <w:jc w:val="left"/>
        <w:rPr>
          <w:rFonts w:ascii="Times New Roman" w:hAnsi="Times New Roman"/>
        </w:rPr>
      </w:pPr>
      <w:r w:rsidRPr="00CD1278">
        <w:rPr>
          <w:rFonts w:ascii="Times New Roman" w:hAnsi="Times New Roman"/>
        </w:rPr>
        <w:t xml:space="preserve">López-Aranda, J.M., Domínguez, P., Miranda, L., de los Santos, B., Talavera, M., Daugovish, O., Soria, C., Chamorro, M., Medina, J.J. (2016): Fumigant Use for Strawberry Production in Europe: The Current Landscape and Solutions, </w:t>
      </w:r>
      <w:r w:rsidRPr="00CD1278">
        <w:rPr>
          <w:rFonts w:ascii="Times New Roman" w:hAnsi="Times New Roman"/>
          <w:i/>
        </w:rPr>
        <w:t>International Journal of Fruit Science,</w:t>
      </w:r>
      <w:r w:rsidRPr="00CD1278">
        <w:rPr>
          <w:rFonts w:ascii="Times New Roman" w:hAnsi="Times New Roman"/>
        </w:rPr>
        <w:t xml:space="preserve"> DOI: 10.1080/15538362.2016.1199995</w:t>
      </w:r>
    </w:p>
    <w:p w14:paraId="4FD292FE" w14:textId="5C124130"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López-Galarza, S., San Bautista, A., Martínez, A., Pascual, B., Maroto, J.</w:t>
      </w:r>
      <w:r w:rsidR="005C66ED" w:rsidRPr="00CD1278">
        <w:rPr>
          <w:rFonts w:ascii="Times New Roman" w:hAnsi="Times New Roman"/>
        </w:rPr>
        <w:t xml:space="preserve"> </w:t>
      </w:r>
      <w:r w:rsidRPr="00CD1278">
        <w:rPr>
          <w:rFonts w:ascii="Times New Roman" w:hAnsi="Times New Roman"/>
        </w:rPr>
        <w:t>V.</w:t>
      </w:r>
      <w:r w:rsidR="005C66ED" w:rsidRPr="00CD1278">
        <w:rPr>
          <w:rFonts w:ascii="Times New Roman" w:hAnsi="Times New Roman"/>
        </w:rPr>
        <w:t xml:space="preserve"> </w:t>
      </w:r>
      <w:r w:rsidRPr="00CD1278">
        <w:rPr>
          <w:rFonts w:ascii="Times New Roman" w:hAnsi="Times New Roman"/>
        </w:rPr>
        <w:t xml:space="preserve">(2010). Influence of substrate on strawberry plug plant production. </w:t>
      </w:r>
      <w:r w:rsidRPr="00CD1278">
        <w:rPr>
          <w:rFonts w:ascii="Times New Roman" w:hAnsi="Times New Roman"/>
          <w:i/>
        </w:rPr>
        <w:t>Journal of Horticultural Science and Biotechnology</w:t>
      </w:r>
      <w:r w:rsidRPr="00CD1278">
        <w:rPr>
          <w:rFonts w:ascii="Times New Roman" w:hAnsi="Times New Roman"/>
        </w:rPr>
        <w:t xml:space="preserve"> 85</w:t>
      </w:r>
      <w:r w:rsidR="005C66ED" w:rsidRPr="00CD1278">
        <w:rPr>
          <w:rFonts w:ascii="Times New Roman" w:hAnsi="Times New Roman"/>
        </w:rPr>
        <w:t>,</w:t>
      </w:r>
      <w:r w:rsidRPr="00CD1278">
        <w:rPr>
          <w:rFonts w:ascii="Times New Roman" w:hAnsi="Times New Roman"/>
        </w:rPr>
        <w:t xml:space="preserve"> 415-420.</w:t>
      </w:r>
    </w:p>
    <w:p w14:paraId="5C5DF2C3" w14:textId="49A4D78D"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Manzanilla-López, R., Costilla, M.</w:t>
      </w:r>
      <w:r w:rsidR="005C66ED" w:rsidRPr="00CD1278">
        <w:rPr>
          <w:rFonts w:ascii="Times New Roman" w:hAnsi="Times New Roman"/>
        </w:rPr>
        <w:t xml:space="preserve"> </w:t>
      </w:r>
      <w:r w:rsidRPr="00CD1278">
        <w:rPr>
          <w:rFonts w:ascii="Times New Roman" w:hAnsi="Times New Roman"/>
        </w:rPr>
        <w:t>A., Doucet, M., Franco, J., Inserra, R.</w:t>
      </w:r>
      <w:r w:rsidR="005C66ED" w:rsidRPr="00CD1278">
        <w:rPr>
          <w:rFonts w:ascii="Times New Roman" w:hAnsi="Times New Roman"/>
        </w:rPr>
        <w:t xml:space="preserve"> </w:t>
      </w:r>
      <w:r w:rsidRPr="00CD1278">
        <w:rPr>
          <w:rFonts w:ascii="Times New Roman" w:hAnsi="Times New Roman"/>
        </w:rPr>
        <w:t>N., Lehman, P.</w:t>
      </w:r>
      <w:r w:rsidR="005C66ED" w:rsidRPr="00CD1278">
        <w:rPr>
          <w:rFonts w:ascii="Times New Roman" w:hAnsi="Times New Roman"/>
        </w:rPr>
        <w:t xml:space="preserve"> </w:t>
      </w:r>
      <w:r w:rsidRPr="00CD1278">
        <w:rPr>
          <w:rFonts w:ascii="Times New Roman" w:hAnsi="Times New Roman"/>
        </w:rPr>
        <w:t xml:space="preserve">S., Cid Del Prado, I., Souza, R., Evans, K., (2002). </w:t>
      </w:r>
      <w:r w:rsidRPr="00CD1278">
        <w:rPr>
          <w:rFonts w:ascii="Times New Roman" w:hAnsi="Times New Roman"/>
          <w:i/>
        </w:rPr>
        <w:t>Nacobbus</w:t>
      </w:r>
      <w:r w:rsidRPr="00CD1278">
        <w:rPr>
          <w:rFonts w:ascii="Times New Roman" w:hAnsi="Times New Roman"/>
        </w:rPr>
        <w:t xml:space="preserve"> species: Systematic, distribution, biology and management. </w:t>
      </w:r>
      <w:r w:rsidRPr="00CD1278">
        <w:rPr>
          <w:rFonts w:ascii="Times New Roman" w:hAnsi="Times New Roman"/>
          <w:i/>
        </w:rPr>
        <w:t xml:space="preserve">Nematropica </w:t>
      </w:r>
      <w:r w:rsidRPr="00CD1278">
        <w:rPr>
          <w:rFonts w:ascii="Times New Roman" w:hAnsi="Times New Roman"/>
        </w:rPr>
        <w:t>32</w:t>
      </w:r>
      <w:r w:rsidR="005C66ED" w:rsidRPr="00CD1278">
        <w:rPr>
          <w:rFonts w:ascii="Times New Roman" w:hAnsi="Times New Roman"/>
        </w:rPr>
        <w:t xml:space="preserve">, </w:t>
      </w:r>
      <w:r w:rsidRPr="00CD1278">
        <w:rPr>
          <w:rFonts w:ascii="Times New Roman" w:hAnsi="Times New Roman"/>
        </w:rPr>
        <w:t xml:space="preserve">149-227. </w:t>
      </w:r>
    </w:p>
    <w:p w14:paraId="2A822E9D" w14:textId="457F9E49" w:rsidR="009C0DF0" w:rsidRPr="00CD1278" w:rsidRDefault="009C0DF0" w:rsidP="005A552B">
      <w:pPr>
        <w:pStyle w:val="References"/>
        <w:ind w:left="709" w:hanging="709"/>
        <w:jc w:val="left"/>
        <w:rPr>
          <w:rFonts w:ascii="Times New Roman" w:eastAsiaTheme="minorHAnsi" w:hAnsi="Times New Roman"/>
          <w:i/>
          <w:iCs/>
        </w:rPr>
      </w:pPr>
      <w:r w:rsidRPr="00CD1278">
        <w:rPr>
          <w:rFonts w:ascii="Times New Roman" w:eastAsiaTheme="minorHAnsi" w:hAnsi="Times New Roman"/>
        </w:rPr>
        <w:t xml:space="preserve">Martínez, S., Morelli, G., Garbi, M., Barrenechea, M., Notar, S., Ludueña, M. (2013). Evaluación del efecto de diferentes porta injertos de tomate sobre la respuesta de un híbrido comercial. </w:t>
      </w:r>
      <w:r w:rsidRPr="00CD1278">
        <w:rPr>
          <w:rFonts w:ascii="Times New Roman" w:hAnsi="Times New Roman"/>
        </w:rPr>
        <w:t>No. 024. Horticultura. En:</w:t>
      </w:r>
      <w:r w:rsidR="005C66ED" w:rsidRPr="00CD1278">
        <w:rPr>
          <w:rFonts w:ascii="Times New Roman" w:hAnsi="Times New Roman"/>
        </w:rPr>
        <w:t xml:space="preserve"> </w:t>
      </w:r>
      <w:r w:rsidRPr="00CD1278">
        <w:rPr>
          <w:rFonts w:ascii="Times New Roman" w:eastAsiaTheme="minorHAnsi" w:hAnsi="Times New Roman"/>
          <w:i/>
          <w:iCs/>
        </w:rPr>
        <w:t xml:space="preserve">Horticultura Argentina 32(79): Sep. -Dic. </w:t>
      </w:r>
    </w:p>
    <w:p w14:paraId="291120BC" w14:textId="1FD022E1"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Mattner, S.</w:t>
      </w:r>
      <w:r w:rsidR="005C66ED" w:rsidRPr="00CD1278">
        <w:rPr>
          <w:rFonts w:ascii="Times New Roman" w:hAnsi="Times New Roman"/>
        </w:rPr>
        <w:t xml:space="preserve"> </w:t>
      </w:r>
      <w:r w:rsidRPr="00CD1278">
        <w:rPr>
          <w:rFonts w:ascii="Times New Roman" w:hAnsi="Times New Roman"/>
        </w:rPr>
        <w:t>W., Horstra, C.</w:t>
      </w:r>
      <w:r w:rsidR="005C66ED" w:rsidRPr="00CD1278">
        <w:rPr>
          <w:rFonts w:ascii="Times New Roman" w:hAnsi="Times New Roman"/>
        </w:rPr>
        <w:t xml:space="preserve"> </w:t>
      </w:r>
      <w:r w:rsidRPr="00CD1278">
        <w:rPr>
          <w:rFonts w:ascii="Times New Roman" w:hAnsi="Times New Roman"/>
        </w:rPr>
        <w:t>B., Milinkovic, M., Merriman, P.</w:t>
      </w:r>
      <w:r w:rsidR="005C66ED" w:rsidRPr="00CD1278">
        <w:rPr>
          <w:rFonts w:ascii="Times New Roman" w:hAnsi="Times New Roman"/>
        </w:rPr>
        <w:t xml:space="preserve"> </w:t>
      </w:r>
      <w:r w:rsidRPr="00CD1278">
        <w:rPr>
          <w:rFonts w:ascii="Times New Roman" w:hAnsi="Times New Roman"/>
        </w:rPr>
        <w:t>R., Greenhalgh, F.</w:t>
      </w:r>
      <w:r w:rsidR="005C66ED" w:rsidRPr="00CD1278">
        <w:rPr>
          <w:rFonts w:ascii="Times New Roman" w:hAnsi="Times New Roman"/>
        </w:rPr>
        <w:t xml:space="preserve"> </w:t>
      </w:r>
      <w:r w:rsidRPr="00CD1278">
        <w:rPr>
          <w:rFonts w:ascii="Times New Roman" w:hAnsi="Times New Roman"/>
        </w:rPr>
        <w:t>C. (</w:t>
      </w:r>
      <w:r w:rsidRPr="00CD1278">
        <w:rPr>
          <w:rFonts w:ascii="Times New Roman" w:hAnsi="Times New Roman"/>
          <w:iCs/>
        </w:rPr>
        <w:t>201</w:t>
      </w:r>
      <w:r w:rsidR="00816821" w:rsidRPr="00CD1278">
        <w:rPr>
          <w:rFonts w:ascii="Times New Roman" w:hAnsi="Times New Roman"/>
          <w:iCs/>
        </w:rPr>
        <w:t>7</w:t>
      </w:r>
      <w:r w:rsidRPr="00CD1278">
        <w:rPr>
          <w:rFonts w:ascii="Times New Roman" w:hAnsi="Times New Roman"/>
          <w:iCs/>
        </w:rPr>
        <w:t xml:space="preserve">). </w:t>
      </w:r>
      <w:r w:rsidRPr="00CD1278">
        <w:rPr>
          <w:rFonts w:ascii="Times New Roman" w:hAnsi="Times New Roman"/>
        </w:rPr>
        <w:t xml:space="preserve">Evaluation of soil-less systems for strawberry transplant production in Australia. </w:t>
      </w:r>
      <w:r w:rsidRPr="00CD1278">
        <w:rPr>
          <w:rFonts w:ascii="Times New Roman" w:hAnsi="Times New Roman"/>
          <w:i/>
          <w:iCs/>
        </w:rPr>
        <w:t>Acta</w:t>
      </w:r>
      <w:r w:rsidR="009041AB" w:rsidRPr="00CD1278">
        <w:rPr>
          <w:rFonts w:ascii="Times New Roman" w:hAnsi="Times New Roman"/>
          <w:i/>
          <w:iCs/>
        </w:rPr>
        <w:t xml:space="preserve"> </w:t>
      </w:r>
      <w:r w:rsidRPr="00CD1278">
        <w:rPr>
          <w:rFonts w:ascii="Times New Roman" w:hAnsi="Times New Roman"/>
          <w:i/>
          <w:iCs/>
        </w:rPr>
        <w:t>Horticulturae</w:t>
      </w:r>
      <w:r w:rsidR="00C912D9" w:rsidRPr="00CD1278">
        <w:rPr>
          <w:rFonts w:ascii="Times New Roman" w:hAnsi="Times New Roman"/>
          <w:i/>
          <w:iCs/>
        </w:rPr>
        <w:t xml:space="preserve"> </w:t>
      </w:r>
      <w:r w:rsidR="00C912D9" w:rsidRPr="00CD1278">
        <w:rPr>
          <w:rFonts w:ascii="Times New Roman" w:hAnsi="Times New Roman"/>
          <w:iCs/>
        </w:rPr>
        <w:t>(In Press)</w:t>
      </w:r>
    </w:p>
    <w:p w14:paraId="11218B8A" w14:textId="6FB5DDF1"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Mattner, S., Milinkovic,</w:t>
      </w:r>
      <w:r w:rsidR="005C66ED" w:rsidRPr="00CD1278">
        <w:rPr>
          <w:rFonts w:ascii="Times New Roman" w:hAnsi="Times New Roman"/>
        </w:rPr>
        <w:t xml:space="preserve"> </w:t>
      </w:r>
      <w:r w:rsidR="00A64839" w:rsidRPr="00CD1278">
        <w:rPr>
          <w:rFonts w:ascii="Times New Roman" w:hAnsi="Times New Roman"/>
        </w:rPr>
        <w:t>M</w:t>
      </w:r>
      <w:r w:rsidRPr="00CD1278">
        <w:rPr>
          <w:rFonts w:ascii="Times New Roman" w:hAnsi="Times New Roman"/>
        </w:rPr>
        <w:t>.</w:t>
      </w:r>
      <w:r w:rsidR="00A64839" w:rsidRPr="00CD1278">
        <w:rPr>
          <w:rFonts w:ascii="Times New Roman" w:hAnsi="Times New Roman"/>
        </w:rPr>
        <w:t xml:space="preserve">, </w:t>
      </w:r>
      <w:r w:rsidRPr="00CD1278">
        <w:rPr>
          <w:rFonts w:ascii="Times New Roman" w:hAnsi="Times New Roman"/>
        </w:rPr>
        <w:t>Horstra,</w:t>
      </w:r>
      <w:r w:rsidR="00A64839" w:rsidRPr="00CD1278">
        <w:rPr>
          <w:rFonts w:ascii="Times New Roman" w:hAnsi="Times New Roman"/>
        </w:rPr>
        <w:t xml:space="preserve"> C., </w:t>
      </w:r>
      <w:r w:rsidRPr="00CD1278">
        <w:rPr>
          <w:rFonts w:ascii="Times New Roman" w:hAnsi="Times New Roman"/>
        </w:rPr>
        <w:t xml:space="preserve"> Greenhalgh,</w:t>
      </w:r>
      <w:r w:rsidR="00A64839" w:rsidRPr="00CD1278">
        <w:rPr>
          <w:rFonts w:ascii="Times New Roman" w:hAnsi="Times New Roman"/>
        </w:rPr>
        <w:t xml:space="preserve"> F., </w:t>
      </w:r>
      <w:r w:rsidRPr="00CD1278">
        <w:rPr>
          <w:rFonts w:ascii="Times New Roman" w:hAnsi="Times New Roman"/>
        </w:rPr>
        <w:t>Welker,</w:t>
      </w:r>
      <w:r w:rsidR="00A64839" w:rsidRPr="00CD1278">
        <w:rPr>
          <w:rFonts w:ascii="Times New Roman" w:hAnsi="Times New Roman"/>
        </w:rPr>
        <w:t xml:space="preserve"> R., Tan, D., </w:t>
      </w:r>
      <w:r w:rsidRPr="00CD1278">
        <w:rPr>
          <w:rFonts w:ascii="Times New Roman" w:hAnsi="Times New Roman"/>
        </w:rPr>
        <w:t>Horvath</w:t>
      </w:r>
      <w:r w:rsidR="00A64839" w:rsidRPr="00CD1278">
        <w:rPr>
          <w:rFonts w:ascii="Times New Roman" w:hAnsi="Times New Roman"/>
        </w:rPr>
        <w:t>, A.</w:t>
      </w:r>
      <w:r w:rsidRPr="00CD1278">
        <w:rPr>
          <w:rFonts w:ascii="Times New Roman" w:hAnsi="Times New Roman"/>
        </w:rPr>
        <w:t xml:space="preserve"> (2015). Efficacy and plant-back of DMDS in the Australian strawberry nursery industry. In: </w:t>
      </w:r>
      <w:r w:rsidR="00A64839" w:rsidRPr="00CD1278">
        <w:rPr>
          <w:rFonts w:ascii="Times New Roman" w:hAnsi="Times New Roman"/>
        </w:rPr>
        <w:t xml:space="preserve">Obenauf, G. L. (ed.), </w:t>
      </w:r>
      <w:r w:rsidR="00A64839" w:rsidRPr="00CD1278">
        <w:rPr>
          <w:rFonts w:ascii="Times New Roman" w:hAnsi="Times New Roman"/>
          <w:i/>
        </w:rPr>
        <w:t>Proceedings of the Annual International Research Conference on Methyl Bromide Alternatives and Emission Reductions</w:t>
      </w:r>
      <w:r w:rsidR="00A64839" w:rsidRPr="00CD1278">
        <w:rPr>
          <w:rFonts w:ascii="Times New Roman" w:hAnsi="Times New Roman"/>
        </w:rPr>
        <w:t xml:space="preserve">, (MBAO), </w:t>
      </w:r>
      <w:r w:rsidRPr="00CD1278">
        <w:rPr>
          <w:rFonts w:ascii="Times New Roman" w:hAnsi="Times New Roman"/>
        </w:rPr>
        <w:t>November 9-11, San Diego, California, USA</w:t>
      </w:r>
      <w:r w:rsidR="00A64839" w:rsidRPr="00CD1278">
        <w:rPr>
          <w:rFonts w:ascii="Times New Roman" w:hAnsi="Times New Roman"/>
        </w:rPr>
        <w:t>, 73-1 – 73-4, poster as slide.</w:t>
      </w:r>
    </w:p>
    <w:p w14:paraId="4EF2EC4C" w14:textId="07949B1F"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Mattner, S.</w:t>
      </w:r>
      <w:r w:rsidR="005C66ED" w:rsidRPr="00CD1278">
        <w:rPr>
          <w:rFonts w:ascii="Times New Roman" w:hAnsi="Times New Roman"/>
        </w:rPr>
        <w:t xml:space="preserve"> </w:t>
      </w:r>
      <w:r w:rsidRPr="00CD1278">
        <w:rPr>
          <w:rFonts w:ascii="Times New Roman" w:hAnsi="Times New Roman"/>
        </w:rPr>
        <w:t>W., Milinkovic, M., Merriman, P.</w:t>
      </w:r>
      <w:r w:rsidR="005C66ED" w:rsidRPr="00CD1278">
        <w:rPr>
          <w:rFonts w:ascii="Times New Roman" w:hAnsi="Times New Roman"/>
        </w:rPr>
        <w:t xml:space="preserve"> </w:t>
      </w:r>
      <w:r w:rsidRPr="00CD1278">
        <w:rPr>
          <w:rFonts w:ascii="Times New Roman" w:hAnsi="Times New Roman"/>
        </w:rPr>
        <w:t>R., Porter, I.</w:t>
      </w:r>
      <w:r w:rsidR="005C66ED" w:rsidRPr="00CD1278">
        <w:rPr>
          <w:rFonts w:ascii="Times New Roman" w:hAnsi="Times New Roman"/>
        </w:rPr>
        <w:t xml:space="preserve"> </w:t>
      </w:r>
      <w:r w:rsidRPr="00CD1278">
        <w:rPr>
          <w:rFonts w:ascii="Times New Roman" w:hAnsi="Times New Roman"/>
        </w:rPr>
        <w:t xml:space="preserve">J. (2014).  Critical challenges for the phase-out of methyl bromide in the Australian strawberry industry. </w:t>
      </w:r>
      <w:r w:rsidRPr="00CD1278">
        <w:rPr>
          <w:rFonts w:ascii="Times New Roman" w:hAnsi="Times New Roman"/>
          <w:i/>
        </w:rPr>
        <w:t>Acta</w:t>
      </w:r>
      <w:r w:rsidR="009041AB" w:rsidRPr="00CD1278">
        <w:rPr>
          <w:rFonts w:ascii="Times New Roman" w:hAnsi="Times New Roman"/>
          <w:i/>
        </w:rPr>
        <w:t xml:space="preserve"> </w:t>
      </w:r>
      <w:r w:rsidRPr="00CD1278">
        <w:rPr>
          <w:rFonts w:ascii="Times New Roman" w:hAnsi="Times New Roman"/>
          <w:i/>
        </w:rPr>
        <w:t>Horticulturae</w:t>
      </w:r>
      <w:r w:rsidRPr="00CD1278">
        <w:rPr>
          <w:rFonts w:ascii="Times New Roman" w:hAnsi="Times New Roman"/>
        </w:rPr>
        <w:t>. 1044</w:t>
      </w:r>
      <w:r w:rsidR="005C66ED" w:rsidRPr="00CD1278">
        <w:rPr>
          <w:rFonts w:ascii="Times New Roman" w:hAnsi="Times New Roman"/>
        </w:rPr>
        <w:t xml:space="preserve">, </w:t>
      </w:r>
      <w:r w:rsidRPr="00CD1278">
        <w:rPr>
          <w:rFonts w:ascii="Times New Roman" w:hAnsi="Times New Roman"/>
        </w:rPr>
        <w:t>367-373</w:t>
      </w:r>
      <w:r w:rsidR="005C66ED" w:rsidRPr="00CD1278">
        <w:rPr>
          <w:rFonts w:ascii="Times New Roman" w:hAnsi="Times New Roman"/>
        </w:rPr>
        <w:t>.</w:t>
      </w:r>
    </w:p>
    <w:p w14:paraId="2DEE3B73" w14:textId="77777777" w:rsidR="003308B0" w:rsidRPr="00CD1278" w:rsidRDefault="003308B0" w:rsidP="005A552B">
      <w:pPr>
        <w:pStyle w:val="References"/>
        <w:ind w:left="709" w:hanging="709"/>
        <w:jc w:val="left"/>
        <w:rPr>
          <w:rFonts w:ascii="Times New Roman" w:hAnsi="Times New Roman"/>
        </w:rPr>
      </w:pPr>
      <w:r w:rsidRPr="00CD1278">
        <w:rPr>
          <w:rFonts w:ascii="Times New Roman" w:hAnsi="Times New Roman"/>
        </w:rPr>
        <w:t>MBTOC (1998). Report of the Methyl Bromide Technical Options Committee. 1998 Assessment. UNEP, Nairobi, online: ozone.unep.org, 375 pp.</w:t>
      </w:r>
    </w:p>
    <w:p w14:paraId="276B6C0B" w14:textId="77777777" w:rsidR="003308B0" w:rsidRPr="00CD1278" w:rsidRDefault="003308B0" w:rsidP="005A552B">
      <w:pPr>
        <w:pStyle w:val="References"/>
        <w:ind w:left="709" w:hanging="709"/>
        <w:jc w:val="left"/>
        <w:rPr>
          <w:rFonts w:ascii="Times New Roman" w:hAnsi="Times New Roman"/>
        </w:rPr>
      </w:pPr>
      <w:r w:rsidRPr="00CD1278">
        <w:rPr>
          <w:rFonts w:ascii="Times New Roman" w:hAnsi="Times New Roman"/>
        </w:rPr>
        <w:t>MBTOC (2002). Report of the Methyl Bromide Technical Options Committee. 2002 Assessment. UNEP, Nairobi, online: ozone.unep.org, 455 pp.</w:t>
      </w:r>
    </w:p>
    <w:p w14:paraId="5F1C9D7D" w14:textId="77777777" w:rsidR="003308B0" w:rsidRPr="00CD1278" w:rsidRDefault="003308B0" w:rsidP="005A552B">
      <w:pPr>
        <w:pStyle w:val="References"/>
        <w:ind w:left="709" w:hanging="709"/>
        <w:jc w:val="left"/>
        <w:rPr>
          <w:rFonts w:ascii="Times New Roman" w:hAnsi="Times New Roman"/>
        </w:rPr>
      </w:pPr>
      <w:r w:rsidRPr="00CD1278">
        <w:rPr>
          <w:rFonts w:ascii="Times New Roman" w:hAnsi="Times New Roman"/>
        </w:rPr>
        <w:t>MBTOC (2007). Report of the Methyl Bromide Technical Options Committee. 2006 Assessment. UNEP, Nairobi, online: ozone.unep.org, 482 pp.</w:t>
      </w:r>
    </w:p>
    <w:p w14:paraId="67D2A6CA" w14:textId="77777777" w:rsidR="003308B0" w:rsidRPr="00CD1278" w:rsidRDefault="003308B0" w:rsidP="005A552B">
      <w:pPr>
        <w:pStyle w:val="References"/>
        <w:ind w:left="709" w:hanging="709"/>
        <w:jc w:val="left"/>
        <w:rPr>
          <w:rFonts w:ascii="Times New Roman" w:hAnsi="Times New Roman"/>
        </w:rPr>
      </w:pPr>
      <w:r w:rsidRPr="00CD1278">
        <w:rPr>
          <w:rFonts w:ascii="Times New Roman" w:hAnsi="Times New Roman"/>
        </w:rPr>
        <w:t>MBTOC (2011). Report of the Methyl Bromide Technical Options Committee. 2010 Assessment. UNEP, Nairobi, online: ozone.unep.org, 398 pp.</w:t>
      </w:r>
    </w:p>
    <w:p w14:paraId="585FFE2B" w14:textId="77777777"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 xml:space="preserve">MBTOC (2011). Report of the Methyl Bromide Technical Options Committee. 2010 Assessment. UNEP, Nairobi, Kenya, 335 pp. </w:t>
      </w:r>
    </w:p>
    <w:p w14:paraId="75A69A4C" w14:textId="77777777"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MBTOC (2015). Report of the Methyl Bromide Technical Options Committee. 2014 Assessment. UNEP, Nairobi, Kenya, 278 pp.</w:t>
      </w:r>
    </w:p>
    <w:p w14:paraId="222BAC90" w14:textId="377339D0" w:rsidR="00B84C2D" w:rsidRPr="00CD1278" w:rsidRDefault="00B84C2D" w:rsidP="005A552B">
      <w:pPr>
        <w:pStyle w:val="References"/>
        <w:ind w:left="709" w:hanging="709"/>
        <w:jc w:val="left"/>
        <w:rPr>
          <w:rFonts w:ascii="Times New Roman" w:hAnsi="Times New Roman"/>
          <w:sz w:val="36"/>
          <w:szCs w:val="36"/>
        </w:rPr>
      </w:pPr>
      <w:r w:rsidRPr="00CD1278">
        <w:rPr>
          <w:rFonts w:ascii="Times New Roman" w:hAnsi="Times New Roman"/>
        </w:rPr>
        <w:t xml:space="preserve">McCall, J., Harris, D., and Berk, M (2016). Examination of the Effects of Chronic Exposure to Federally-Regulated and Approved Levels of Methyl Bromide in Dock Workers: A Case Series (S8.003) </w:t>
      </w:r>
      <w:r w:rsidRPr="00CD1278">
        <w:rPr>
          <w:rStyle w:val="HTMLCite"/>
          <w:rFonts w:ascii="Times New Roman" w:hAnsi="Times New Roman"/>
          <w:iCs w:val="0"/>
          <w:bdr w:val="none" w:sz="0" w:space="0" w:color="auto" w:frame="1"/>
        </w:rPr>
        <w:t>Neurology</w:t>
      </w:r>
      <w:r w:rsidRPr="00CD1278">
        <w:rPr>
          <w:rStyle w:val="apple-converted-space"/>
          <w:rFonts w:ascii="Times New Roman" w:hAnsi="Times New Roman"/>
          <w:bdr w:val="none" w:sz="0" w:space="0" w:color="auto" w:frame="1"/>
        </w:rPr>
        <w:t> </w:t>
      </w:r>
      <w:r w:rsidR="00A64839" w:rsidRPr="00CD1278">
        <w:rPr>
          <w:rStyle w:val="slug-pub-date"/>
          <w:rFonts w:ascii="Times New Roman" w:hAnsi="Times New Roman"/>
          <w:bdr w:val="none" w:sz="0" w:space="0" w:color="auto" w:frame="1"/>
        </w:rPr>
        <w:t>April 5,</w:t>
      </w:r>
      <w:r w:rsidRPr="00CD1278">
        <w:rPr>
          <w:rStyle w:val="slug-vol"/>
          <w:rFonts w:ascii="Times New Roman" w:hAnsi="Times New Roman"/>
          <w:bdr w:val="none" w:sz="0" w:space="0" w:color="auto" w:frame="1"/>
        </w:rPr>
        <w:t xml:space="preserve"> 86</w:t>
      </w:r>
      <w:r w:rsidRPr="00CD1278">
        <w:rPr>
          <w:rStyle w:val="apple-converted-space"/>
          <w:rFonts w:ascii="Times New Roman" w:hAnsi="Times New Roman"/>
          <w:bdr w:val="none" w:sz="0" w:space="0" w:color="auto" w:frame="1"/>
        </w:rPr>
        <w:t> </w:t>
      </w:r>
      <w:r w:rsidRPr="00CD1278">
        <w:rPr>
          <w:rStyle w:val="slug-issue"/>
          <w:rFonts w:ascii="Times New Roman" w:hAnsi="Times New Roman"/>
          <w:bdr w:val="none" w:sz="0" w:space="0" w:color="auto" w:frame="1"/>
        </w:rPr>
        <w:t>no. 16 Supplement</w:t>
      </w:r>
      <w:r w:rsidRPr="00CD1278">
        <w:rPr>
          <w:rStyle w:val="apple-converted-space"/>
          <w:rFonts w:ascii="Times New Roman" w:hAnsi="Times New Roman"/>
          <w:bdr w:val="none" w:sz="0" w:space="0" w:color="auto" w:frame="1"/>
        </w:rPr>
        <w:t> </w:t>
      </w:r>
      <w:r w:rsidRPr="00CD1278">
        <w:rPr>
          <w:rStyle w:val="slug-elocation"/>
          <w:rFonts w:ascii="Times New Roman" w:eastAsia="MS Mincho" w:hAnsi="Times New Roman"/>
          <w:bdr w:val="none" w:sz="0" w:space="0" w:color="auto" w:frame="1"/>
        </w:rPr>
        <w:t>S8.003</w:t>
      </w:r>
      <w:r w:rsidR="00A64839" w:rsidRPr="00CD1278">
        <w:rPr>
          <w:rStyle w:val="slug-elocation"/>
          <w:rFonts w:ascii="Times New Roman" w:eastAsia="MS Mincho" w:hAnsi="Times New Roman"/>
          <w:bdr w:val="none" w:sz="0" w:space="0" w:color="auto" w:frame="1"/>
        </w:rPr>
        <w:t xml:space="preserve"> </w:t>
      </w:r>
    </w:p>
    <w:p w14:paraId="137A5E48" w14:textId="6E1CE214"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Mezquíriz, N., Polack, L.</w:t>
      </w:r>
      <w:r w:rsidR="00A64839" w:rsidRPr="00CD1278">
        <w:rPr>
          <w:rFonts w:ascii="Times New Roman" w:hAnsi="Times New Roman"/>
        </w:rPr>
        <w:t xml:space="preserve"> </w:t>
      </w:r>
      <w:r w:rsidRPr="00CD1278">
        <w:rPr>
          <w:rFonts w:ascii="Times New Roman" w:hAnsi="Times New Roman"/>
        </w:rPr>
        <w:t>A., Amoia, P.</w:t>
      </w:r>
      <w:r w:rsidR="00A64839" w:rsidRPr="00CD1278">
        <w:rPr>
          <w:rFonts w:ascii="Times New Roman" w:hAnsi="Times New Roman"/>
        </w:rPr>
        <w:t xml:space="preserve"> </w:t>
      </w:r>
      <w:r w:rsidRPr="00CD1278">
        <w:rPr>
          <w:rFonts w:ascii="Times New Roman" w:hAnsi="Times New Roman"/>
        </w:rPr>
        <w:t xml:space="preserve">R., Villagra, J., Busse, G. (2013). Evaluación de alternativas para controlar patógenos de suelo y nematodos en tomate bajo invernadero. </w:t>
      </w:r>
      <w:r w:rsidRPr="00CD1278" w:rsidDel="009B3D67">
        <w:rPr>
          <w:rFonts w:ascii="Times New Roman" w:hAnsi="Times New Roman"/>
        </w:rPr>
        <w:t xml:space="preserve">No. 144 </w:t>
      </w:r>
      <w:r w:rsidRPr="00CD1278">
        <w:rPr>
          <w:rFonts w:ascii="Times New Roman" w:hAnsi="Times New Roman"/>
        </w:rPr>
        <w:t xml:space="preserve">Horticultura. En: </w:t>
      </w:r>
      <w:r w:rsidRPr="00CD1278">
        <w:rPr>
          <w:rFonts w:ascii="Times New Roman" w:hAnsi="Times New Roman"/>
          <w:i/>
        </w:rPr>
        <w:t xml:space="preserve">Horticultura Argentina </w:t>
      </w:r>
      <w:r w:rsidRPr="00CD1278">
        <w:rPr>
          <w:rFonts w:ascii="Times New Roman" w:hAnsi="Times New Roman"/>
        </w:rPr>
        <w:t>32(79): Sep-Dic</w:t>
      </w:r>
      <w:r w:rsidR="00A64839" w:rsidRPr="00CD1278">
        <w:rPr>
          <w:rFonts w:ascii="Times New Roman" w:hAnsi="Times New Roman"/>
        </w:rPr>
        <w:t>.</w:t>
      </w:r>
    </w:p>
    <w:p w14:paraId="59234C3E" w14:textId="77777777" w:rsidR="001A6071" w:rsidRPr="00CD1278" w:rsidRDefault="009C0DF0" w:rsidP="005A552B">
      <w:pPr>
        <w:pStyle w:val="References"/>
        <w:ind w:left="709" w:hanging="709"/>
        <w:jc w:val="left"/>
        <w:rPr>
          <w:rFonts w:ascii="Times New Roman" w:hAnsi="Times New Roman"/>
        </w:rPr>
      </w:pPr>
      <w:r w:rsidRPr="00CD1278">
        <w:rPr>
          <w:rFonts w:ascii="Times New Roman" w:hAnsi="Times New Roman"/>
        </w:rPr>
        <w:t>Minuto, A., Gullino, M.</w:t>
      </w:r>
      <w:r w:rsidR="00A64839" w:rsidRPr="00CD1278">
        <w:rPr>
          <w:rFonts w:ascii="Times New Roman" w:hAnsi="Times New Roman"/>
        </w:rPr>
        <w:t xml:space="preserve"> </w:t>
      </w:r>
      <w:r w:rsidRPr="00CD1278">
        <w:rPr>
          <w:rFonts w:ascii="Times New Roman" w:hAnsi="Times New Roman"/>
        </w:rPr>
        <w:t xml:space="preserve">L., Lamberti, F., D’Addabbo, T., Tescari, E., Ajwa, H., Garibaldi, A. (2006).  Application of an emulsifiable mixture of 1,3-dichloropropene and chloropicrin against root knot nematodes and soilborne fungi for greenhouse tomatoes in Italy. </w:t>
      </w:r>
      <w:r w:rsidRPr="00CD1278">
        <w:rPr>
          <w:rFonts w:ascii="Times New Roman" w:hAnsi="Times New Roman"/>
          <w:i/>
        </w:rPr>
        <w:t>Crop Protection</w:t>
      </w:r>
      <w:r w:rsidRPr="00CD1278">
        <w:rPr>
          <w:rFonts w:ascii="Times New Roman" w:hAnsi="Times New Roman"/>
        </w:rPr>
        <w:t xml:space="preserve"> 25</w:t>
      </w:r>
      <w:r w:rsidR="00A64839" w:rsidRPr="00CD1278">
        <w:rPr>
          <w:rFonts w:ascii="Times New Roman" w:hAnsi="Times New Roman"/>
        </w:rPr>
        <w:t>,</w:t>
      </w:r>
      <w:r w:rsidR="001A6071" w:rsidRPr="00CD1278">
        <w:rPr>
          <w:rFonts w:ascii="Times New Roman" w:hAnsi="Times New Roman"/>
        </w:rPr>
        <w:t xml:space="preserve"> 1244–1252.</w:t>
      </w:r>
    </w:p>
    <w:p w14:paraId="6174CC64" w14:textId="738CD034" w:rsidR="001A6071" w:rsidRPr="00CD1278" w:rsidRDefault="006D7D8A" w:rsidP="005A552B">
      <w:pPr>
        <w:pStyle w:val="References"/>
        <w:ind w:left="709" w:hanging="709"/>
        <w:jc w:val="left"/>
        <w:rPr>
          <w:rFonts w:ascii="Times New Roman" w:hAnsi="Times New Roman"/>
          <w:lang w:eastAsia="en-AU"/>
        </w:rPr>
      </w:pPr>
      <w:r w:rsidRPr="00CD1278">
        <w:rPr>
          <w:rFonts w:ascii="Times New Roman" w:hAnsi="Times New Roman"/>
          <w:lang w:eastAsia="en-AU"/>
        </w:rPr>
        <w:t>Mi</w:t>
      </w:r>
      <w:r w:rsidR="001A6071" w:rsidRPr="00CD1278">
        <w:rPr>
          <w:rFonts w:ascii="Times New Roman" w:hAnsi="Times New Roman"/>
          <w:lang w:eastAsia="en-AU"/>
        </w:rPr>
        <w:t>r</w:t>
      </w:r>
      <w:r w:rsidRPr="00CD1278">
        <w:rPr>
          <w:rFonts w:ascii="Times New Roman" w:hAnsi="Times New Roman"/>
          <w:lang w:eastAsia="en-AU"/>
        </w:rPr>
        <w:t>anda, F.R., da Silva, V.B., dos Santos, F.S.</w:t>
      </w:r>
      <w:r w:rsidR="001A6071" w:rsidRPr="00CD1278">
        <w:rPr>
          <w:rFonts w:ascii="Times New Roman" w:hAnsi="Times New Roman"/>
          <w:lang w:eastAsia="en-AU"/>
        </w:rPr>
        <w:t>R.</w:t>
      </w:r>
      <w:r w:rsidRPr="00CD1278">
        <w:rPr>
          <w:rFonts w:ascii="Times New Roman" w:hAnsi="Times New Roman"/>
          <w:lang w:eastAsia="en-AU"/>
        </w:rPr>
        <w:t xml:space="preserve">, Rosetti, A.G., da Silva, </w:t>
      </w:r>
      <w:r w:rsidR="001A6071" w:rsidRPr="00CD1278">
        <w:rPr>
          <w:rFonts w:ascii="Times New Roman" w:hAnsi="Times New Roman"/>
          <w:lang w:eastAsia="en-AU"/>
        </w:rPr>
        <w:t>C</w:t>
      </w:r>
      <w:r w:rsidRPr="00CD1278">
        <w:rPr>
          <w:rFonts w:ascii="Times New Roman" w:hAnsi="Times New Roman"/>
          <w:lang w:eastAsia="en-AU"/>
        </w:rPr>
        <w:t xml:space="preserve">.B. </w:t>
      </w:r>
      <w:r w:rsidR="001A6071" w:rsidRPr="00CD1278">
        <w:rPr>
          <w:rFonts w:ascii="Times New Roman" w:hAnsi="Times New Roman"/>
          <w:lang w:eastAsia="en-AU"/>
        </w:rPr>
        <w:t xml:space="preserve">(2014). Production of strawberry cultivars in closed hydroponic systems and coconut fibre substrate. </w:t>
      </w:r>
      <w:r w:rsidR="001A6071" w:rsidRPr="00CD1278">
        <w:rPr>
          <w:i/>
        </w:rPr>
        <w:t>Revista Ciência Agronômica</w:t>
      </w:r>
      <w:r w:rsidR="001A6071" w:rsidRPr="00CD1278">
        <w:t>, 45 (4), 833-841</w:t>
      </w:r>
    </w:p>
    <w:p w14:paraId="35CC3126" w14:textId="4FA0DA00" w:rsidR="00DD3CB8" w:rsidRPr="00CD1278" w:rsidRDefault="00DD3CB8" w:rsidP="005A552B">
      <w:pPr>
        <w:spacing w:before="60" w:after="60"/>
        <w:ind w:left="709" w:hanging="709"/>
        <w:rPr>
          <w:color w:val="auto"/>
          <w:sz w:val="36"/>
          <w:szCs w:val="36"/>
        </w:rPr>
      </w:pPr>
      <w:r w:rsidRPr="00CD1278">
        <w:rPr>
          <w:bCs/>
          <w:color w:val="auto"/>
          <w:sz w:val="20"/>
        </w:rPr>
        <w:t>Mitidieri, M.</w:t>
      </w:r>
      <w:r w:rsidR="00A64839" w:rsidRPr="00CD1278">
        <w:rPr>
          <w:bCs/>
          <w:color w:val="auto"/>
          <w:sz w:val="20"/>
        </w:rPr>
        <w:t xml:space="preserve"> </w:t>
      </w:r>
      <w:r w:rsidRPr="00CD1278">
        <w:rPr>
          <w:bCs/>
          <w:color w:val="auto"/>
          <w:sz w:val="20"/>
        </w:rPr>
        <w:t>S., Brambilla, M.</w:t>
      </w:r>
      <w:r w:rsidR="00A64839" w:rsidRPr="00CD1278">
        <w:rPr>
          <w:bCs/>
          <w:color w:val="auto"/>
          <w:sz w:val="20"/>
        </w:rPr>
        <w:t xml:space="preserve"> </w:t>
      </w:r>
      <w:r w:rsidRPr="00CD1278">
        <w:rPr>
          <w:bCs/>
          <w:color w:val="auto"/>
          <w:sz w:val="20"/>
        </w:rPr>
        <w:t>V., Piris, M., Maldonado, L. (2005). El uso de portainjertos resistentes en cultivo de tomate bajocubierta: resultados sobre la sanidad y el rendimiento del cultivo. INTA, Estacion. Experimental Agropecuaria San Pedro, Argentina</w:t>
      </w:r>
      <w:r w:rsidR="00A64839" w:rsidRPr="00CD1278">
        <w:rPr>
          <w:bCs/>
          <w:color w:val="auto"/>
          <w:sz w:val="20"/>
        </w:rPr>
        <w:t xml:space="preserve"> </w:t>
      </w:r>
    </w:p>
    <w:p w14:paraId="7586495B" w14:textId="3CD639F4" w:rsidR="00DD3CB8" w:rsidRPr="00CD1278" w:rsidRDefault="00DD3CB8" w:rsidP="005A552B">
      <w:pPr>
        <w:spacing w:before="60" w:after="60"/>
        <w:ind w:left="709" w:hanging="709"/>
        <w:rPr>
          <w:bCs/>
          <w:color w:val="auto"/>
          <w:sz w:val="20"/>
        </w:rPr>
      </w:pPr>
      <w:r w:rsidRPr="00CD1278">
        <w:rPr>
          <w:bCs/>
          <w:color w:val="auto"/>
          <w:sz w:val="20"/>
        </w:rPr>
        <w:t>Mitideri, M.</w:t>
      </w:r>
      <w:r w:rsidR="00A64839" w:rsidRPr="00CD1278">
        <w:rPr>
          <w:bCs/>
          <w:color w:val="auto"/>
          <w:sz w:val="20"/>
        </w:rPr>
        <w:t xml:space="preserve"> </w:t>
      </w:r>
      <w:r w:rsidRPr="00CD1278">
        <w:rPr>
          <w:bCs/>
          <w:color w:val="auto"/>
          <w:sz w:val="20"/>
        </w:rPr>
        <w:t>S., Piris, E., Brambilla, V., Barbieri, M., Cap, G., González, J., Del Prado, K.,  Ciapone, M., Paunero, I., Schiavone, E., Celié, R., Arpía, E., Peralta, R., Verón, R., Sánchez, F.</w:t>
      </w:r>
      <w:r w:rsidR="00C7112B" w:rsidRPr="00CD1278">
        <w:rPr>
          <w:bCs/>
          <w:color w:val="auto"/>
          <w:sz w:val="20"/>
        </w:rPr>
        <w:t xml:space="preserve"> </w:t>
      </w:r>
      <w:r w:rsidRPr="00CD1278">
        <w:rPr>
          <w:bCs/>
          <w:color w:val="auto"/>
          <w:sz w:val="20"/>
        </w:rPr>
        <w:t xml:space="preserve">(2013). Evaluación de Solanum sisymbriifolium (Lam) como pie de injerto en cultivo de tomate bajo cubierta. </w:t>
      </w:r>
      <w:r w:rsidRPr="00CD1278" w:rsidDel="009B3D67">
        <w:rPr>
          <w:bCs/>
          <w:color w:val="auto"/>
          <w:sz w:val="20"/>
        </w:rPr>
        <w:t xml:space="preserve">No. 026 </w:t>
      </w:r>
      <w:r w:rsidRPr="00CD1278">
        <w:rPr>
          <w:bCs/>
          <w:color w:val="auto"/>
          <w:sz w:val="20"/>
        </w:rPr>
        <w:t xml:space="preserve">Horticultura. In: </w:t>
      </w:r>
      <w:r w:rsidRPr="00CD1278">
        <w:rPr>
          <w:bCs/>
          <w:i/>
          <w:color w:val="auto"/>
          <w:sz w:val="20"/>
        </w:rPr>
        <w:t>Horticultura Argentina</w:t>
      </w:r>
      <w:r w:rsidRPr="00CD1278">
        <w:rPr>
          <w:bCs/>
          <w:color w:val="auto"/>
          <w:sz w:val="20"/>
        </w:rPr>
        <w:t xml:space="preserve"> 32(79): Sep-Dic.</w:t>
      </w:r>
    </w:p>
    <w:p w14:paraId="5D85B337" w14:textId="77777777" w:rsidR="00DD3CB8" w:rsidRPr="00CD1278" w:rsidRDefault="00DD3CB8" w:rsidP="005A552B">
      <w:pPr>
        <w:spacing w:before="60" w:after="60"/>
        <w:ind w:left="709" w:hanging="709"/>
        <w:rPr>
          <w:bCs/>
          <w:color w:val="auto"/>
          <w:sz w:val="20"/>
        </w:rPr>
      </w:pPr>
      <w:r w:rsidRPr="00CD1278">
        <w:rPr>
          <w:bCs/>
          <w:color w:val="auto"/>
          <w:sz w:val="20"/>
        </w:rPr>
        <w:t>MLF, (2014a). Multilateral Fund Secretariat for the Montreal Protocol. Policy 71 Plans to December 2013. Montreal, Canada, 845 pp (pdf document)</w:t>
      </w:r>
    </w:p>
    <w:p w14:paraId="6D39312D" w14:textId="17C3C9A3" w:rsidR="00DD3CB8" w:rsidRPr="00CD1278" w:rsidRDefault="00DD3CB8" w:rsidP="005A552B">
      <w:pPr>
        <w:spacing w:before="60" w:after="60"/>
        <w:ind w:left="709" w:hanging="709"/>
        <w:rPr>
          <w:bCs/>
          <w:color w:val="auto"/>
          <w:sz w:val="20"/>
        </w:rPr>
      </w:pPr>
      <w:r w:rsidRPr="00CD1278">
        <w:rPr>
          <w:bCs/>
          <w:color w:val="auto"/>
          <w:sz w:val="20"/>
        </w:rPr>
        <w:t>MLF, (2014b). Multilateral Fund Secretariat for the Montreal Protocol. MB Projects Database. Montreal, Canada, 154</w:t>
      </w:r>
      <w:r w:rsidR="00D73CAA" w:rsidRPr="00CD1278">
        <w:rPr>
          <w:bCs/>
          <w:color w:val="auto"/>
          <w:sz w:val="20"/>
        </w:rPr>
        <w:t xml:space="preserve"> </w:t>
      </w:r>
      <w:r w:rsidRPr="00CD1278">
        <w:rPr>
          <w:bCs/>
          <w:color w:val="auto"/>
          <w:sz w:val="20"/>
        </w:rPr>
        <w:t>pp (pdf document).</w:t>
      </w:r>
    </w:p>
    <w:p w14:paraId="6F06CEEB" w14:textId="77777777" w:rsidR="00B556C5" w:rsidRPr="00CD1278" w:rsidRDefault="00622364" w:rsidP="005A552B">
      <w:pPr>
        <w:pStyle w:val="Default"/>
        <w:spacing w:before="60" w:after="60"/>
        <w:ind w:left="709" w:hanging="709"/>
        <w:rPr>
          <w:bCs/>
          <w:color w:val="auto"/>
          <w:sz w:val="20"/>
          <w:lang w:val="en-GB" w:eastAsia="zh-CN"/>
        </w:rPr>
      </w:pPr>
      <w:r w:rsidRPr="00CD1278">
        <w:rPr>
          <w:bCs/>
          <w:color w:val="auto"/>
          <w:sz w:val="20"/>
          <w:lang w:val="en-GB" w:eastAsia="zh-CN"/>
        </w:rPr>
        <w:t>OEPP/EPPO (1984) Data sheets on quarantine organisms</w:t>
      </w:r>
      <w:r w:rsidR="00D73CAA" w:rsidRPr="00CD1278">
        <w:rPr>
          <w:bCs/>
          <w:color w:val="auto"/>
          <w:sz w:val="20"/>
          <w:lang w:val="en-GB" w:eastAsia="zh-CN"/>
        </w:rPr>
        <w:t>.</w:t>
      </w:r>
      <w:r w:rsidRPr="00CD1278">
        <w:rPr>
          <w:bCs/>
          <w:color w:val="auto"/>
          <w:sz w:val="20"/>
          <w:lang w:val="en-GB" w:eastAsia="zh-CN"/>
        </w:rPr>
        <w:t xml:space="preserve"> No. 144, </w:t>
      </w:r>
      <w:r w:rsidRPr="00CD1278">
        <w:rPr>
          <w:bCs/>
          <w:i/>
          <w:color w:val="auto"/>
          <w:sz w:val="20"/>
          <w:lang w:val="en-GB" w:eastAsia="zh-CN"/>
        </w:rPr>
        <w:t>Nacobbus aberrans.</w:t>
      </w:r>
      <w:r w:rsidRPr="00CD1278">
        <w:rPr>
          <w:bCs/>
          <w:color w:val="auto"/>
          <w:sz w:val="20"/>
          <w:lang w:val="en-GB" w:eastAsia="zh-CN"/>
        </w:rPr>
        <w:t xml:space="preserve"> Bulletin OEPP/EPPO Bulletin 14, 61-66.</w:t>
      </w:r>
    </w:p>
    <w:p w14:paraId="338A605E" w14:textId="77777777" w:rsidR="003308B0" w:rsidRPr="00CD1278" w:rsidRDefault="003308B0" w:rsidP="005A552B">
      <w:pPr>
        <w:pStyle w:val="Default"/>
        <w:spacing w:before="60" w:after="60"/>
        <w:ind w:left="709" w:hanging="709"/>
        <w:rPr>
          <w:bCs/>
          <w:color w:val="auto"/>
          <w:sz w:val="20"/>
          <w:lang w:val="en-GB" w:eastAsia="zh-CN"/>
        </w:rPr>
      </w:pPr>
      <w:r w:rsidRPr="00CD1278">
        <w:rPr>
          <w:color w:val="auto"/>
          <w:sz w:val="20"/>
          <w:lang w:val="en-GB"/>
        </w:rPr>
        <w:t xml:space="preserve">Osbrink, W.L.A., Scheffrahn, R.H., Su, N.Y., Rust, M.K. (1987) Laboratory comparisons of sulfuryl fluoride toxicity and mean time of mortality among ten termite species. </w:t>
      </w:r>
      <w:r w:rsidRPr="00CD1278">
        <w:rPr>
          <w:i/>
          <w:color w:val="auto"/>
          <w:sz w:val="20"/>
          <w:lang w:val="en-GB"/>
        </w:rPr>
        <w:t>Journalof Economic Entomology</w:t>
      </w:r>
      <w:r w:rsidRPr="00CD1278">
        <w:rPr>
          <w:color w:val="auto"/>
          <w:sz w:val="20"/>
          <w:lang w:val="en-GB"/>
        </w:rPr>
        <w:t xml:space="preserve"> 80, 1044–1047</w:t>
      </w:r>
    </w:p>
    <w:p w14:paraId="2A19D38B" w14:textId="3C8D0D07" w:rsidR="00E57B00" w:rsidRPr="00CD1278" w:rsidRDefault="00E57B00" w:rsidP="005A552B">
      <w:pPr>
        <w:spacing w:before="60" w:after="60"/>
        <w:ind w:left="720" w:hanging="720"/>
        <w:rPr>
          <w:bCs/>
          <w:color w:val="auto"/>
          <w:sz w:val="20"/>
        </w:rPr>
      </w:pPr>
      <w:r w:rsidRPr="00CD1278">
        <w:rPr>
          <w:bCs/>
          <w:color w:val="auto"/>
          <w:sz w:val="20"/>
        </w:rPr>
        <w:t xml:space="preserve">Papadaki A.M., Bletsos F.A., Eleftherohorinos I.G., Menexes G., Lagopodi A.L. (2017). Effectiveness of seven commercial rootstocks against verticillium wilt and their effects on growth, yield, and fruit quality of tomato. </w:t>
      </w:r>
      <w:r w:rsidRPr="00CD1278">
        <w:rPr>
          <w:bCs/>
          <w:i/>
          <w:color w:val="auto"/>
          <w:sz w:val="20"/>
        </w:rPr>
        <w:t>Crop Protection</w:t>
      </w:r>
      <w:r w:rsidRPr="00CD1278">
        <w:rPr>
          <w:bCs/>
          <w:color w:val="auto"/>
          <w:sz w:val="20"/>
        </w:rPr>
        <w:t>, 102, 25-31.</w:t>
      </w:r>
    </w:p>
    <w:p w14:paraId="0733348C" w14:textId="1CD1FCD7" w:rsidR="00622364" w:rsidRPr="00CD1278" w:rsidRDefault="00622364" w:rsidP="005A552B">
      <w:pPr>
        <w:autoSpaceDE w:val="0"/>
        <w:autoSpaceDN w:val="0"/>
        <w:adjustRightInd w:val="0"/>
        <w:spacing w:before="60" w:after="60"/>
        <w:ind w:left="709" w:hanging="709"/>
        <w:rPr>
          <w:bCs/>
          <w:color w:val="auto"/>
          <w:sz w:val="20"/>
        </w:rPr>
      </w:pPr>
      <w:r w:rsidRPr="00CD1278">
        <w:rPr>
          <w:bCs/>
          <w:color w:val="auto"/>
          <w:sz w:val="20"/>
        </w:rPr>
        <w:t>Pérez-Rodríguez, I., Franco-Navarro</w:t>
      </w:r>
      <w:r w:rsidR="00D73CAA" w:rsidRPr="00CD1278">
        <w:rPr>
          <w:bCs/>
          <w:color w:val="auto"/>
          <w:sz w:val="20"/>
        </w:rPr>
        <w:t>,</w:t>
      </w:r>
      <w:r w:rsidRPr="00CD1278">
        <w:rPr>
          <w:bCs/>
          <w:color w:val="auto"/>
          <w:sz w:val="20"/>
        </w:rPr>
        <w:t xml:space="preserve"> F</w:t>
      </w:r>
      <w:r w:rsidR="00D73CAA" w:rsidRPr="00CD1278">
        <w:rPr>
          <w:bCs/>
          <w:color w:val="auto"/>
          <w:sz w:val="20"/>
        </w:rPr>
        <w:t>.,</w:t>
      </w:r>
      <w:r w:rsidRPr="00CD1278">
        <w:rPr>
          <w:bCs/>
          <w:color w:val="auto"/>
          <w:sz w:val="20"/>
        </w:rPr>
        <w:t xml:space="preserve"> Cid del Prado-Vera,</w:t>
      </w:r>
      <w:r w:rsidR="00D73CAA" w:rsidRPr="00CD1278">
        <w:rPr>
          <w:bCs/>
          <w:color w:val="auto"/>
          <w:sz w:val="20"/>
        </w:rPr>
        <w:t xml:space="preserve"> </w:t>
      </w:r>
      <w:r w:rsidRPr="00CD1278">
        <w:rPr>
          <w:bCs/>
          <w:color w:val="auto"/>
          <w:sz w:val="20"/>
        </w:rPr>
        <w:t>Zavaleta-Mejía</w:t>
      </w:r>
      <w:r w:rsidR="0090398C" w:rsidRPr="00CD1278">
        <w:rPr>
          <w:bCs/>
          <w:color w:val="auto"/>
          <w:sz w:val="20"/>
        </w:rPr>
        <w:t xml:space="preserve"> I. E. </w:t>
      </w:r>
      <w:r w:rsidR="00D73CAA" w:rsidRPr="00CD1278">
        <w:rPr>
          <w:bCs/>
          <w:color w:val="auto"/>
          <w:sz w:val="20"/>
        </w:rPr>
        <w:t>(</w:t>
      </w:r>
      <w:r w:rsidRPr="00CD1278">
        <w:rPr>
          <w:bCs/>
          <w:color w:val="auto"/>
          <w:sz w:val="20"/>
        </w:rPr>
        <w:t>2010</w:t>
      </w:r>
      <w:r w:rsidR="00D73CAA" w:rsidRPr="00CD1278">
        <w:rPr>
          <w:bCs/>
          <w:color w:val="auto"/>
          <w:sz w:val="20"/>
        </w:rPr>
        <w:t>)</w:t>
      </w:r>
      <w:r w:rsidRPr="00CD1278">
        <w:rPr>
          <w:bCs/>
          <w:color w:val="auto"/>
          <w:sz w:val="20"/>
        </w:rPr>
        <w:t xml:space="preserve">. Control of </w:t>
      </w:r>
      <w:r w:rsidRPr="00CD1278">
        <w:rPr>
          <w:bCs/>
          <w:i/>
          <w:color w:val="auto"/>
          <w:sz w:val="20"/>
        </w:rPr>
        <w:t>Nacobbus aberrans</w:t>
      </w:r>
      <w:r w:rsidRPr="00CD1278">
        <w:rPr>
          <w:bCs/>
          <w:color w:val="auto"/>
          <w:sz w:val="20"/>
        </w:rPr>
        <w:t xml:space="preserve"> in chili pepper (</w:t>
      </w:r>
      <w:r w:rsidRPr="00CD1278">
        <w:rPr>
          <w:bCs/>
          <w:i/>
          <w:color w:val="auto"/>
          <w:sz w:val="20"/>
        </w:rPr>
        <w:t>Capsicum annuum</w:t>
      </w:r>
      <w:r w:rsidRPr="00CD1278">
        <w:rPr>
          <w:bCs/>
          <w:color w:val="auto"/>
          <w:sz w:val="20"/>
        </w:rPr>
        <w:t xml:space="preserve"> L.) by the combination of organic amendments, nematophagous fungi and nematicides. </w:t>
      </w:r>
      <w:r w:rsidRPr="00CD1278">
        <w:rPr>
          <w:bCs/>
          <w:i/>
          <w:color w:val="auto"/>
          <w:sz w:val="20"/>
        </w:rPr>
        <w:t>Nematropica</w:t>
      </w:r>
      <w:r w:rsidRPr="00CD1278">
        <w:rPr>
          <w:bCs/>
          <w:color w:val="auto"/>
          <w:sz w:val="20"/>
        </w:rPr>
        <w:t xml:space="preserve"> 41</w:t>
      </w:r>
      <w:r w:rsidR="00D73CAA" w:rsidRPr="00CD1278">
        <w:rPr>
          <w:bCs/>
          <w:color w:val="auto"/>
          <w:sz w:val="20"/>
        </w:rPr>
        <w:t xml:space="preserve">, </w:t>
      </w:r>
      <w:r w:rsidRPr="00CD1278">
        <w:rPr>
          <w:bCs/>
          <w:color w:val="auto"/>
          <w:sz w:val="20"/>
        </w:rPr>
        <w:t>122-129.</w:t>
      </w:r>
    </w:p>
    <w:p w14:paraId="0D5FBBC8" w14:textId="001E1010" w:rsidR="009C0DF0" w:rsidRPr="00CD1278" w:rsidRDefault="009C0DF0" w:rsidP="005A552B">
      <w:pPr>
        <w:pStyle w:val="References"/>
        <w:ind w:left="709" w:hanging="709"/>
        <w:jc w:val="left"/>
        <w:rPr>
          <w:rFonts w:ascii="Times New Roman" w:hAnsi="Times New Roman"/>
          <w:i/>
          <w:iCs/>
        </w:rPr>
      </w:pPr>
      <w:r w:rsidRPr="00CD1278">
        <w:rPr>
          <w:rFonts w:ascii="Times New Roman" w:hAnsi="Times New Roman"/>
        </w:rPr>
        <w:t>Porter, I.</w:t>
      </w:r>
      <w:r w:rsidR="00D73CAA" w:rsidRPr="00CD1278">
        <w:rPr>
          <w:rFonts w:ascii="Times New Roman" w:hAnsi="Times New Roman"/>
        </w:rPr>
        <w:t xml:space="preserve"> </w:t>
      </w:r>
      <w:r w:rsidRPr="00CD1278">
        <w:rPr>
          <w:rFonts w:ascii="Times New Roman" w:hAnsi="Times New Roman"/>
        </w:rPr>
        <w:t xml:space="preserve">J., Trinder, L., Partington, D. (2006).  Special report validating the yield performance of alternatives to methyl bromide for preplant fumigation. </w:t>
      </w:r>
      <w:r w:rsidRPr="00CD1278">
        <w:rPr>
          <w:rFonts w:ascii="Times New Roman" w:hAnsi="Times New Roman"/>
          <w:i/>
        </w:rPr>
        <w:t>TEAP/MBTOC Special Report</w:t>
      </w:r>
      <w:r w:rsidRPr="00CD1278">
        <w:rPr>
          <w:rFonts w:ascii="Times New Roman" w:hAnsi="Times New Roman"/>
        </w:rPr>
        <w:t xml:space="preserve">, UNEP Nairobi, May 2006, 97 pp. </w:t>
      </w:r>
    </w:p>
    <w:p w14:paraId="7EFBD08F" w14:textId="77777777" w:rsidR="006765D9" w:rsidRPr="00CD1278" w:rsidRDefault="009C0DF0" w:rsidP="005A552B">
      <w:pPr>
        <w:pStyle w:val="References"/>
        <w:ind w:left="709" w:hanging="709"/>
        <w:jc w:val="left"/>
        <w:rPr>
          <w:rFonts w:ascii="Times New Roman" w:hAnsi="Times New Roman"/>
          <w:i/>
        </w:rPr>
      </w:pPr>
      <w:r w:rsidRPr="00CD1278">
        <w:rPr>
          <w:rFonts w:ascii="Times New Roman" w:hAnsi="Times New Roman"/>
        </w:rPr>
        <w:t>Quiroga, R.</w:t>
      </w:r>
      <w:r w:rsidR="00D73CAA" w:rsidRPr="00CD1278">
        <w:rPr>
          <w:rFonts w:ascii="Times New Roman" w:hAnsi="Times New Roman"/>
        </w:rPr>
        <w:t xml:space="preserve"> </w:t>
      </w:r>
      <w:r w:rsidRPr="00CD1278">
        <w:rPr>
          <w:rFonts w:ascii="Times New Roman" w:hAnsi="Times New Roman"/>
        </w:rPr>
        <w:t xml:space="preserve">J., Meneguzzi, </w:t>
      </w:r>
      <w:r w:rsidR="006B128D" w:rsidRPr="00CD1278">
        <w:rPr>
          <w:rFonts w:ascii="Times New Roman" w:hAnsi="Times New Roman"/>
        </w:rPr>
        <w:t>N.</w:t>
      </w:r>
      <w:r w:rsidR="00D73CAA" w:rsidRPr="00CD1278">
        <w:rPr>
          <w:rFonts w:ascii="Times New Roman" w:hAnsi="Times New Roman"/>
        </w:rPr>
        <w:t xml:space="preserve"> </w:t>
      </w:r>
      <w:r w:rsidR="006B128D" w:rsidRPr="00CD1278">
        <w:rPr>
          <w:rFonts w:ascii="Times New Roman" w:hAnsi="Times New Roman"/>
        </w:rPr>
        <w:t xml:space="preserve">G., </w:t>
      </w:r>
      <w:r w:rsidRPr="00CD1278">
        <w:rPr>
          <w:rFonts w:ascii="Times New Roman" w:hAnsi="Times New Roman"/>
        </w:rPr>
        <w:t xml:space="preserve">Borquez, </w:t>
      </w:r>
      <w:r w:rsidR="006B128D" w:rsidRPr="00CD1278">
        <w:rPr>
          <w:rFonts w:ascii="Times New Roman" w:hAnsi="Times New Roman"/>
        </w:rPr>
        <w:t>A.</w:t>
      </w:r>
      <w:r w:rsidR="00D73CAA" w:rsidRPr="00CD1278">
        <w:rPr>
          <w:rFonts w:ascii="Times New Roman" w:hAnsi="Times New Roman"/>
        </w:rPr>
        <w:t xml:space="preserve"> </w:t>
      </w:r>
      <w:r w:rsidR="006B128D" w:rsidRPr="00CD1278">
        <w:rPr>
          <w:rFonts w:ascii="Times New Roman" w:hAnsi="Times New Roman"/>
        </w:rPr>
        <w:t xml:space="preserve">M., </w:t>
      </w:r>
      <w:r w:rsidRPr="00CD1278">
        <w:rPr>
          <w:rFonts w:ascii="Times New Roman" w:hAnsi="Times New Roman"/>
        </w:rPr>
        <w:t>Kirschbaum</w:t>
      </w:r>
      <w:r w:rsidR="006B128D" w:rsidRPr="00CD1278">
        <w:rPr>
          <w:rFonts w:ascii="Times New Roman" w:hAnsi="Times New Roman"/>
        </w:rPr>
        <w:t>,</w:t>
      </w:r>
      <w:r w:rsidRPr="00CD1278">
        <w:rPr>
          <w:rFonts w:ascii="Times New Roman" w:hAnsi="Times New Roman"/>
        </w:rPr>
        <w:t xml:space="preserve"> </w:t>
      </w:r>
      <w:r w:rsidR="006B128D" w:rsidRPr="00CD1278">
        <w:rPr>
          <w:rFonts w:ascii="Times New Roman" w:hAnsi="Times New Roman"/>
        </w:rPr>
        <w:t>D.</w:t>
      </w:r>
      <w:r w:rsidR="00D73CAA" w:rsidRPr="00CD1278">
        <w:rPr>
          <w:rFonts w:ascii="Times New Roman" w:hAnsi="Times New Roman"/>
        </w:rPr>
        <w:t xml:space="preserve"> </w:t>
      </w:r>
      <w:r w:rsidR="006B128D" w:rsidRPr="00CD1278">
        <w:rPr>
          <w:rFonts w:ascii="Times New Roman" w:hAnsi="Times New Roman"/>
        </w:rPr>
        <w:t xml:space="preserve">S. </w:t>
      </w:r>
      <w:r w:rsidRPr="00CD1278">
        <w:rPr>
          <w:rFonts w:ascii="Times New Roman" w:hAnsi="Times New Roman"/>
        </w:rPr>
        <w:t xml:space="preserve">(2014). Dinámica de la temperatura a diferentes profundidades durante la solarización de un suelo franco-limoso en Tucumán. No. 115 Horticultura. En: </w:t>
      </w:r>
      <w:r w:rsidRPr="00CD1278">
        <w:rPr>
          <w:rFonts w:ascii="Times New Roman" w:hAnsi="Times New Roman"/>
          <w:i/>
        </w:rPr>
        <w:t xml:space="preserve">Horticultura Argentina </w:t>
      </w:r>
      <w:r w:rsidRPr="00CD1278">
        <w:rPr>
          <w:rFonts w:ascii="Times New Roman" w:hAnsi="Times New Roman"/>
        </w:rPr>
        <w:t>33(82): Sep-Dic.</w:t>
      </w:r>
      <w:r w:rsidRPr="00CD1278">
        <w:rPr>
          <w:rFonts w:ascii="Times New Roman" w:hAnsi="Times New Roman"/>
          <w:i/>
        </w:rPr>
        <w:t xml:space="preserve"> </w:t>
      </w:r>
    </w:p>
    <w:p w14:paraId="5B22DC7A" w14:textId="4DD6D363" w:rsidR="006765D9" w:rsidRPr="00CD1278" w:rsidRDefault="006765D9" w:rsidP="005A552B">
      <w:pPr>
        <w:pStyle w:val="References"/>
        <w:ind w:left="709" w:hanging="709"/>
        <w:jc w:val="left"/>
        <w:rPr>
          <w:rFonts w:ascii="Times New Roman" w:hAnsi="Times New Roman"/>
        </w:rPr>
      </w:pPr>
      <w:r w:rsidRPr="00CD1278">
        <w:rPr>
          <w:rFonts w:ascii="Times New Roman" w:hAnsi="Times New Roman"/>
        </w:rPr>
        <w:t xml:space="preserve">Rambeau, M., Benitez, D., Dupuis, A.S., Ducom, P. (2001).  Hydrogen cyanide as an intermediate alternative to methyl bromide for structural fumigations. In: Donahaye J.E., Navarro S., Leesch J.G. (eds): </w:t>
      </w:r>
      <w:r w:rsidRPr="00CD1278">
        <w:rPr>
          <w:rFonts w:ascii="Times New Roman" w:hAnsi="Times New Roman"/>
          <w:i/>
        </w:rPr>
        <w:t>Proceedings International Conference on Controlled Atmosphere and Fumigation in Stored Products</w:t>
      </w:r>
      <w:r w:rsidRPr="00CD1278">
        <w:rPr>
          <w:rFonts w:ascii="Times New Roman" w:hAnsi="Times New Roman"/>
        </w:rPr>
        <w:t>, Fresno, USA, Oct 29–Nov 3, 2000.Clovis, Executive Printing Services: 101–111.</w:t>
      </w:r>
    </w:p>
    <w:p w14:paraId="002AADE8" w14:textId="538336EF" w:rsidR="00F17628" w:rsidRPr="00CD1278" w:rsidRDefault="006765D9" w:rsidP="005A552B">
      <w:pPr>
        <w:pStyle w:val="references0"/>
        <w:ind w:left="709" w:hanging="709"/>
        <w:jc w:val="left"/>
        <w:rPr>
          <w:rFonts w:ascii="Times New Roman" w:hAnsi="Times New Roman"/>
          <w:bCs/>
          <w:i w:val="0"/>
        </w:rPr>
      </w:pPr>
      <w:r w:rsidRPr="00CD1278">
        <w:rPr>
          <w:rFonts w:ascii="Times New Roman" w:hAnsi="Times New Roman"/>
          <w:bCs/>
          <w:i w:val="0"/>
        </w:rPr>
        <w:t>R</w:t>
      </w:r>
      <w:r w:rsidR="00F17628" w:rsidRPr="00CD1278">
        <w:rPr>
          <w:rFonts w:ascii="Times New Roman" w:hAnsi="Times New Roman"/>
          <w:bCs/>
          <w:i w:val="0"/>
        </w:rPr>
        <w:t xml:space="preserve">eichmuth, Ch., Rassmann, W., Binker, G., Fröba, G., Drinkall, M. J. </w:t>
      </w:r>
      <w:r w:rsidR="00D73CAA" w:rsidRPr="00CD1278">
        <w:rPr>
          <w:rFonts w:ascii="Times New Roman" w:hAnsi="Times New Roman"/>
          <w:bCs/>
          <w:i w:val="0"/>
        </w:rPr>
        <w:t>(</w:t>
      </w:r>
      <w:r w:rsidR="00F17628" w:rsidRPr="00CD1278">
        <w:rPr>
          <w:rFonts w:ascii="Times New Roman" w:hAnsi="Times New Roman"/>
          <w:bCs/>
          <w:i w:val="0"/>
        </w:rPr>
        <w:t>2003</w:t>
      </w:r>
      <w:r w:rsidR="00D73CAA" w:rsidRPr="00CD1278">
        <w:rPr>
          <w:rFonts w:ascii="Times New Roman" w:hAnsi="Times New Roman"/>
          <w:bCs/>
          <w:i w:val="0"/>
        </w:rPr>
        <w:t>)</w:t>
      </w:r>
      <w:r w:rsidR="00F17628" w:rsidRPr="00CD1278">
        <w:rPr>
          <w:rFonts w:ascii="Times New Roman" w:hAnsi="Times New Roman"/>
          <w:bCs/>
          <w:i w:val="0"/>
        </w:rPr>
        <w:t>. Disinfestation of rust-red flour beetle (</w:t>
      </w:r>
      <w:r w:rsidR="00F17628" w:rsidRPr="00CD1278">
        <w:rPr>
          <w:rFonts w:ascii="Times New Roman" w:hAnsi="Times New Roman"/>
          <w:bCs/>
        </w:rPr>
        <w:t>Tribolium castaneum</w:t>
      </w:r>
      <w:r w:rsidR="00F17628" w:rsidRPr="00CD1278">
        <w:rPr>
          <w:rFonts w:ascii="Times New Roman" w:hAnsi="Times New Roman"/>
          <w:bCs/>
          <w:i w:val="0"/>
        </w:rPr>
        <w:t>), saw-toothed grain beetle (</w:t>
      </w:r>
      <w:r w:rsidR="00F17628" w:rsidRPr="00CD1278">
        <w:rPr>
          <w:rFonts w:ascii="Times New Roman" w:hAnsi="Times New Roman"/>
          <w:bCs/>
        </w:rPr>
        <w:t>Oryzaephilus surinamensis</w:t>
      </w:r>
      <w:r w:rsidR="00F17628" w:rsidRPr="00CD1278">
        <w:rPr>
          <w:rFonts w:ascii="Times New Roman" w:hAnsi="Times New Roman"/>
          <w:bCs/>
          <w:i w:val="0"/>
        </w:rPr>
        <w:t>), yellow meal worm (</w:t>
      </w:r>
      <w:r w:rsidR="00F17628" w:rsidRPr="00CD1278">
        <w:rPr>
          <w:rFonts w:ascii="Times New Roman" w:hAnsi="Times New Roman"/>
          <w:bCs/>
        </w:rPr>
        <w:t>Tenebrio molitor</w:t>
      </w:r>
      <w:r w:rsidR="00F17628" w:rsidRPr="00CD1278">
        <w:rPr>
          <w:rFonts w:ascii="Times New Roman" w:hAnsi="Times New Roman"/>
          <w:bCs/>
          <w:i w:val="0"/>
        </w:rPr>
        <w:t>), Mediterranean flour moth (</w:t>
      </w:r>
      <w:r w:rsidR="00F17628" w:rsidRPr="00CD1278">
        <w:rPr>
          <w:rFonts w:ascii="Times New Roman" w:hAnsi="Times New Roman"/>
          <w:bCs/>
        </w:rPr>
        <w:t>Ephestia kuehniella</w:t>
      </w:r>
      <w:r w:rsidR="00F17628" w:rsidRPr="00CD1278">
        <w:rPr>
          <w:rFonts w:ascii="Times New Roman" w:hAnsi="Times New Roman"/>
          <w:bCs/>
          <w:i w:val="0"/>
        </w:rPr>
        <w:t xml:space="preserve">), and Indian meal moth (Plodia interpunctella) with sulfuryl fluoride in flour mills. In: Credland, P. F., Armitage, D. M., Bell, C. H., Cogan P. M., Highley, E. (eds.), Advances in Stored Product Protection, </w:t>
      </w:r>
      <w:r w:rsidR="00F17628" w:rsidRPr="00CD1278">
        <w:rPr>
          <w:rFonts w:ascii="Times New Roman" w:hAnsi="Times New Roman"/>
          <w:bCs/>
        </w:rPr>
        <w:t>Proceedings of the 8th International Working Conference on Stored Product Protection</w:t>
      </w:r>
      <w:r w:rsidR="00F17628" w:rsidRPr="00CD1278">
        <w:rPr>
          <w:rFonts w:ascii="Times New Roman" w:hAnsi="Times New Roman"/>
          <w:bCs/>
          <w:i w:val="0"/>
        </w:rPr>
        <w:t xml:space="preserve">, 22-26 July in York, UK, CAB International, London, 736-738.  </w:t>
      </w:r>
    </w:p>
    <w:p w14:paraId="25F73288" w14:textId="7F05B54E"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 xml:space="preserve">Rodríguez-Delfín, A. (2012). Advances of hydroponics in Latin America. </w:t>
      </w:r>
      <w:r w:rsidRPr="00CD1278">
        <w:rPr>
          <w:rFonts w:ascii="Times New Roman" w:hAnsi="Times New Roman"/>
          <w:i/>
        </w:rPr>
        <w:t>Acta Horticulturae</w:t>
      </w:r>
      <w:r w:rsidRPr="00CD1278">
        <w:rPr>
          <w:rFonts w:ascii="Times New Roman" w:hAnsi="Times New Roman"/>
        </w:rPr>
        <w:t xml:space="preserve"> 947</w:t>
      </w:r>
      <w:r w:rsidR="00C7112B" w:rsidRPr="00CD1278">
        <w:rPr>
          <w:rFonts w:ascii="Times New Roman" w:hAnsi="Times New Roman"/>
        </w:rPr>
        <w:t>,</w:t>
      </w:r>
      <w:r w:rsidRPr="00CD1278">
        <w:rPr>
          <w:rFonts w:ascii="Times New Roman" w:hAnsi="Times New Roman"/>
        </w:rPr>
        <w:t xml:space="preserve"> 23-32.</w:t>
      </w:r>
    </w:p>
    <w:p w14:paraId="58634D32" w14:textId="6CC59C03" w:rsidR="00DD3CB8" w:rsidRPr="00CD1278" w:rsidRDefault="00DD3CB8" w:rsidP="005A552B">
      <w:pPr>
        <w:pStyle w:val="References"/>
        <w:ind w:left="709" w:hanging="709"/>
        <w:jc w:val="left"/>
        <w:rPr>
          <w:rFonts w:ascii="Times New Roman" w:hAnsi="Times New Roman"/>
        </w:rPr>
      </w:pPr>
      <w:r w:rsidRPr="00CD1278">
        <w:rPr>
          <w:rFonts w:ascii="Times New Roman" w:hAnsi="Times New Roman"/>
        </w:rPr>
        <w:t>Rodrigues de Miranda, F., Barros da Silva, V., Ribeiro dos Santos, F.</w:t>
      </w:r>
      <w:r w:rsidR="00C7112B" w:rsidRPr="00CD1278">
        <w:rPr>
          <w:rFonts w:ascii="Times New Roman" w:hAnsi="Times New Roman"/>
        </w:rPr>
        <w:t xml:space="preserve"> </w:t>
      </w:r>
      <w:r w:rsidRPr="00CD1278">
        <w:rPr>
          <w:rFonts w:ascii="Times New Roman" w:hAnsi="Times New Roman"/>
        </w:rPr>
        <w:t>S., Guimarães Rossetti, A., Brucede Fatima, C.</w:t>
      </w:r>
      <w:r w:rsidR="00A3367B" w:rsidRPr="00CD1278">
        <w:rPr>
          <w:rFonts w:ascii="Times New Roman" w:hAnsi="Times New Roman"/>
        </w:rPr>
        <w:t xml:space="preserve"> </w:t>
      </w:r>
      <w:r w:rsidRPr="00CD1278">
        <w:rPr>
          <w:rFonts w:ascii="Times New Roman" w:hAnsi="Times New Roman"/>
        </w:rPr>
        <w:t>(2014). Production of strawberry cultivars in closed hydroponic systems and coconut fibre substrate.</w:t>
      </w:r>
      <w:r w:rsidRPr="00CD1278">
        <w:rPr>
          <w:rStyle w:val="apple-converted-space"/>
          <w:rFonts w:ascii="Times New Roman" w:hAnsi="Times New Roman"/>
        </w:rPr>
        <w:t> </w:t>
      </w:r>
      <w:r w:rsidRPr="00CD1278">
        <w:rPr>
          <w:rFonts w:ascii="Times New Roman" w:hAnsi="Times New Roman"/>
          <w:i/>
          <w:iCs/>
        </w:rPr>
        <w:t>Revista Ciência Agronômica</w:t>
      </w:r>
      <w:r w:rsidRPr="00CD1278">
        <w:rPr>
          <w:rStyle w:val="apple-converted-space"/>
          <w:rFonts w:ascii="Times New Roman" w:hAnsi="Times New Roman"/>
        </w:rPr>
        <w:t> </w:t>
      </w:r>
      <w:r w:rsidRPr="00CD1278">
        <w:rPr>
          <w:rFonts w:ascii="Times New Roman" w:hAnsi="Times New Roman"/>
          <w:i/>
          <w:iCs/>
        </w:rPr>
        <w:t>45</w:t>
      </w:r>
      <w:r w:rsidRPr="00CD1278">
        <w:rPr>
          <w:rFonts w:ascii="Times New Roman" w:hAnsi="Times New Roman"/>
        </w:rPr>
        <w:t>(4)</w:t>
      </w:r>
      <w:r w:rsidR="00C7112B" w:rsidRPr="00CD1278">
        <w:rPr>
          <w:rFonts w:ascii="Times New Roman" w:hAnsi="Times New Roman"/>
        </w:rPr>
        <w:t>,</w:t>
      </w:r>
      <w:r w:rsidRPr="00CD1278">
        <w:rPr>
          <w:rFonts w:ascii="Times New Roman" w:hAnsi="Times New Roman"/>
        </w:rPr>
        <w:t xml:space="preserve"> 833-841. </w:t>
      </w:r>
    </w:p>
    <w:p w14:paraId="4BD27C84" w14:textId="5CF502B7" w:rsidR="001A7667" w:rsidRPr="00CD1278" w:rsidRDefault="0039658C" w:rsidP="005A552B">
      <w:pPr>
        <w:pStyle w:val="references0"/>
        <w:ind w:left="709" w:hanging="709"/>
        <w:jc w:val="left"/>
        <w:rPr>
          <w:rFonts w:ascii="Times New Roman" w:hAnsi="Times New Roman"/>
          <w:bCs/>
          <w:i w:val="0"/>
        </w:rPr>
      </w:pPr>
      <w:r w:rsidRPr="00CD1278">
        <w:rPr>
          <w:rFonts w:ascii="Times New Roman" w:hAnsi="Times New Roman"/>
          <w:bCs/>
          <w:i w:val="0"/>
        </w:rPr>
        <w:t xml:space="preserve">Sass, J. (2015). </w:t>
      </w:r>
      <w:r w:rsidR="001A7667" w:rsidRPr="00CD1278">
        <w:rPr>
          <w:rFonts w:ascii="Times New Roman" w:hAnsi="Times New Roman"/>
          <w:bCs/>
          <w:i w:val="0"/>
        </w:rPr>
        <w:t>Methyl Bromide pesticide - long banned for indoor home uses -suspected of severely poisoning a family after vacation home is fumigated</w:t>
      </w:r>
      <w:r w:rsidRPr="00CD1278">
        <w:rPr>
          <w:rFonts w:ascii="Times New Roman" w:hAnsi="Times New Roman"/>
          <w:bCs/>
          <w:i w:val="0"/>
        </w:rPr>
        <w:t>. https://www.nrdc.org</w:t>
      </w:r>
    </w:p>
    <w:p w14:paraId="3F071C39" w14:textId="77777777" w:rsidR="003308B0" w:rsidRPr="00CD1278" w:rsidRDefault="003308B0" w:rsidP="005A552B">
      <w:pPr>
        <w:autoSpaceDE w:val="0"/>
        <w:autoSpaceDN w:val="0"/>
        <w:adjustRightInd w:val="0"/>
        <w:spacing w:after="0"/>
        <w:ind w:left="709" w:hanging="709"/>
        <w:rPr>
          <w:rFonts w:eastAsia="Garamond"/>
          <w:color w:val="auto"/>
        </w:rPr>
      </w:pPr>
      <w:r w:rsidRPr="00CD1278">
        <w:rPr>
          <w:color w:val="auto"/>
          <w:sz w:val="20"/>
        </w:rPr>
        <w:t>Schuh, M.</w:t>
      </w:r>
      <w:r w:rsidRPr="00CD1278">
        <w:rPr>
          <w:noProof/>
          <w:color w:val="auto"/>
          <w:sz w:val="20"/>
          <w:lang w:eastAsia="de-DE"/>
        </w:rPr>
        <w:t>; Fischer, L.; Persin, C.; Böye, J.; Rübsamen, B.; Hofmeir, H.; Binker, G.; Binker, J.; Fröba, G. 2008. Die Entwesung einer Großmühle mit dem Kombinationsverfahren ProFume + Wärme am Beispiel der Rosenmühle in Ergolding [The disinfestation of a larger mill (Rosenmmühle in Ergolding, Germany) with the combined measure „ProFume“ + Heat</w:t>
      </w:r>
      <w:r w:rsidRPr="00CD1278">
        <w:rPr>
          <w:noProof/>
          <w:color w:val="auto"/>
          <w:lang w:eastAsia="de-DE"/>
        </w:rPr>
        <w:t>]</w:t>
      </w:r>
      <w:r w:rsidRPr="00CD1278">
        <w:rPr>
          <w:noProof/>
          <w:color w:val="auto"/>
          <w:sz w:val="20"/>
          <w:lang w:eastAsia="de-DE"/>
        </w:rPr>
        <w:t xml:space="preserve">.  </w:t>
      </w:r>
      <w:r w:rsidRPr="00CD1278">
        <w:rPr>
          <w:i/>
          <w:noProof/>
          <w:color w:val="auto"/>
          <w:sz w:val="20"/>
          <w:lang w:eastAsia="de-DE"/>
        </w:rPr>
        <w:t>Mühle + Mischfuttertechnik</w:t>
      </w:r>
      <w:r w:rsidRPr="00CD1278">
        <w:rPr>
          <w:noProof/>
          <w:color w:val="auto"/>
          <w:sz w:val="20"/>
          <w:lang w:eastAsia="de-DE"/>
        </w:rPr>
        <w:t xml:space="preserve"> 145, 73-76.</w:t>
      </w:r>
    </w:p>
    <w:p w14:paraId="0ED28336" w14:textId="77777777" w:rsidR="003308B0" w:rsidRPr="00CD1278" w:rsidRDefault="003308B0" w:rsidP="005A552B">
      <w:pPr>
        <w:autoSpaceDE w:val="0"/>
        <w:autoSpaceDN w:val="0"/>
        <w:adjustRightInd w:val="0"/>
        <w:spacing w:before="60" w:after="60"/>
        <w:ind w:left="709" w:hanging="709"/>
        <w:rPr>
          <w:bCs/>
          <w:color w:val="auto"/>
          <w:sz w:val="20"/>
        </w:rPr>
      </w:pPr>
      <w:r w:rsidRPr="00CD1278">
        <w:rPr>
          <w:bCs/>
          <w:color w:val="auto"/>
          <w:sz w:val="20"/>
        </w:rPr>
        <w:t xml:space="preserve">Sisler, G. M. de, Casaurang, A. P. de (1983). Reacci on de cultivares de tomate y pimiento a </w:t>
      </w:r>
      <w:r w:rsidRPr="00CD1278">
        <w:rPr>
          <w:bCs/>
          <w:i/>
          <w:color w:val="auto"/>
          <w:sz w:val="20"/>
        </w:rPr>
        <w:t>Nacobbus aberrans</w:t>
      </w:r>
      <w:r w:rsidRPr="00CD1278">
        <w:rPr>
          <w:bCs/>
          <w:color w:val="auto"/>
          <w:sz w:val="20"/>
        </w:rPr>
        <w:t xml:space="preserve"> (Nematoda, Nacobbidae). </w:t>
      </w:r>
      <w:r w:rsidRPr="00CD1278">
        <w:rPr>
          <w:bCs/>
          <w:i/>
          <w:color w:val="auto"/>
          <w:sz w:val="20"/>
        </w:rPr>
        <w:t>Rev. la Fac. Agron</w:t>
      </w:r>
      <w:r w:rsidRPr="00CD1278">
        <w:rPr>
          <w:bCs/>
          <w:color w:val="auto"/>
          <w:sz w:val="20"/>
        </w:rPr>
        <w:t>. 4, 79-82.</w:t>
      </w:r>
    </w:p>
    <w:p w14:paraId="3D00738D" w14:textId="77777777" w:rsidR="003308B0" w:rsidRPr="00CD1278" w:rsidRDefault="003308B0" w:rsidP="005A552B">
      <w:pPr>
        <w:pStyle w:val="References"/>
        <w:ind w:left="709" w:hanging="709"/>
        <w:jc w:val="left"/>
        <w:rPr>
          <w:rStyle w:val="Hyperlink"/>
          <w:rFonts w:ascii="Times New Roman" w:hAnsi="Times New Roman"/>
          <w:color w:val="auto"/>
          <w:u w:val="none"/>
        </w:rPr>
      </w:pPr>
      <w:r w:rsidRPr="00CD1278">
        <w:rPr>
          <w:rFonts w:ascii="Times New Roman" w:hAnsi="Times New Roman"/>
        </w:rPr>
        <w:t xml:space="preserve">Sjulin, T., Greene, I. (2011). Growing Strawberries in: Substrates:Challenges and Opportunities, California Strawberry Commission; presentation available in </w:t>
      </w:r>
      <w:hyperlink r:id="rId92" w:history="1">
        <w:r w:rsidRPr="00CD1278">
          <w:rPr>
            <w:rStyle w:val="Hyperlink"/>
            <w:rFonts w:ascii="Times New Roman" w:hAnsi="Times New Roman"/>
            <w:color w:val="auto"/>
            <w:u w:val="none"/>
          </w:rPr>
          <w:t>http://cesantabarbara.ucanr.edu/files/75478.pdf</w:t>
        </w:r>
      </w:hyperlink>
      <w:r w:rsidRPr="00CD1278">
        <w:rPr>
          <w:rStyle w:val="Hyperlink"/>
          <w:rFonts w:ascii="Times New Roman" w:hAnsi="Times New Roman"/>
          <w:color w:val="auto"/>
          <w:u w:val="none"/>
        </w:rPr>
        <w:t>.</w:t>
      </w:r>
    </w:p>
    <w:p w14:paraId="555DC642" w14:textId="77777777" w:rsidR="003308B0" w:rsidRPr="00CD1278" w:rsidRDefault="003308B0" w:rsidP="005A552B">
      <w:pPr>
        <w:pStyle w:val="References"/>
        <w:ind w:left="709" w:hanging="709"/>
        <w:jc w:val="left"/>
        <w:rPr>
          <w:rFonts w:ascii="Times New Roman" w:hAnsi="Times New Roman"/>
        </w:rPr>
      </w:pPr>
      <w:r w:rsidRPr="00CD1278">
        <w:rPr>
          <w:rFonts w:ascii="Times New Roman" w:hAnsi="Times New Roman"/>
        </w:rPr>
        <w:t xml:space="preserve">Stewart D. (1957). Sulfuryl fluoride - a new fumigant for control of the drywood termite </w:t>
      </w:r>
      <w:r w:rsidRPr="00CD1278">
        <w:rPr>
          <w:rFonts w:ascii="Times New Roman" w:hAnsi="Times New Roman"/>
          <w:i/>
        </w:rPr>
        <w:t>Kalotermes minor</w:t>
      </w:r>
      <w:r w:rsidRPr="00CD1278">
        <w:rPr>
          <w:rFonts w:ascii="Times New Roman" w:hAnsi="Times New Roman"/>
        </w:rPr>
        <w:t xml:space="preserve"> Hagen. </w:t>
      </w:r>
      <w:r w:rsidRPr="00CD1278">
        <w:rPr>
          <w:rFonts w:ascii="Times New Roman" w:hAnsi="Times New Roman"/>
          <w:i/>
        </w:rPr>
        <w:t xml:space="preserve">Journal of Economic </w:t>
      </w:r>
      <w:r w:rsidRPr="00CD1278">
        <w:rPr>
          <w:rFonts w:ascii="Times New Roman" w:hAnsi="Times New Roman"/>
        </w:rPr>
        <w:t>50, 7-11.</w:t>
      </w:r>
    </w:p>
    <w:p w14:paraId="7A74B0A5" w14:textId="5A7DB12F" w:rsidR="00622364" w:rsidRPr="00CD1278" w:rsidRDefault="00622364" w:rsidP="005A552B">
      <w:pPr>
        <w:pStyle w:val="Default"/>
        <w:spacing w:before="60" w:after="60"/>
        <w:ind w:left="709" w:hanging="709"/>
        <w:rPr>
          <w:bCs/>
          <w:color w:val="auto"/>
          <w:sz w:val="20"/>
          <w:lang w:val="en-GB" w:eastAsia="zh-CN"/>
        </w:rPr>
      </w:pPr>
      <w:r w:rsidRPr="00CD1278">
        <w:rPr>
          <w:bCs/>
          <w:color w:val="auto"/>
          <w:sz w:val="20"/>
          <w:lang w:val="en-GB" w:eastAsia="zh-CN"/>
        </w:rPr>
        <w:t>Stone, A.</w:t>
      </w:r>
      <w:r w:rsidR="00C7112B" w:rsidRPr="00CD1278">
        <w:rPr>
          <w:bCs/>
          <w:color w:val="auto"/>
          <w:sz w:val="20"/>
          <w:lang w:val="en-GB" w:eastAsia="zh-CN"/>
        </w:rPr>
        <w:t xml:space="preserve"> </w:t>
      </w:r>
      <w:r w:rsidRPr="00CD1278">
        <w:rPr>
          <w:bCs/>
          <w:color w:val="auto"/>
          <w:sz w:val="20"/>
          <w:lang w:val="en-GB" w:eastAsia="zh-CN"/>
        </w:rPr>
        <w:t>R.</w:t>
      </w:r>
      <w:r w:rsidR="00C7112B" w:rsidRPr="00CD1278">
        <w:rPr>
          <w:bCs/>
          <w:color w:val="auto"/>
          <w:sz w:val="20"/>
          <w:lang w:val="en-GB" w:eastAsia="zh-CN"/>
        </w:rPr>
        <w:t>,</w:t>
      </w:r>
      <w:r w:rsidRPr="00CD1278">
        <w:rPr>
          <w:bCs/>
          <w:color w:val="auto"/>
          <w:sz w:val="20"/>
          <w:lang w:val="en-GB" w:eastAsia="zh-CN"/>
        </w:rPr>
        <w:t xml:space="preserve"> Burrows, P.</w:t>
      </w:r>
      <w:r w:rsidR="00C7112B" w:rsidRPr="00CD1278">
        <w:rPr>
          <w:bCs/>
          <w:color w:val="auto"/>
          <w:sz w:val="20"/>
          <w:lang w:val="en-GB" w:eastAsia="zh-CN"/>
        </w:rPr>
        <w:t xml:space="preserve"> </w:t>
      </w:r>
      <w:r w:rsidRPr="00CD1278">
        <w:rPr>
          <w:bCs/>
          <w:color w:val="auto"/>
          <w:sz w:val="20"/>
          <w:lang w:val="en-GB" w:eastAsia="zh-CN"/>
        </w:rPr>
        <w:t>R. (1985).</w:t>
      </w:r>
      <w:r w:rsidR="00C7112B" w:rsidRPr="00CD1278">
        <w:rPr>
          <w:bCs/>
          <w:color w:val="auto"/>
          <w:sz w:val="20"/>
          <w:lang w:val="en-GB" w:eastAsia="zh-CN"/>
        </w:rPr>
        <w:t xml:space="preserve"> </w:t>
      </w:r>
      <w:r w:rsidRPr="00CD1278">
        <w:rPr>
          <w:bCs/>
          <w:i/>
          <w:color w:val="auto"/>
          <w:sz w:val="20"/>
          <w:lang w:val="en-GB" w:eastAsia="zh-CN"/>
        </w:rPr>
        <w:t>Nacobbus aberrans</w:t>
      </w:r>
      <w:r w:rsidRPr="00CD1278">
        <w:rPr>
          <w:bCs/>
          <w:color w:val="auto"/>
          <w:sz w:val="20"/>
          <w:lang w:val="en-GB" w:eastAsia="zh-CN"/>
        </w:rPr>
        <w:t>. CIH Descriptions of Plant-Parasitic Nematodes No. 119. CAB International, Wallingford, UK.</w:t>
      </w:r>
      <w:r w:rsidR="00C7112B" w:rsidRPr="00CD1278">
        <w:rPr>
          <w:bCs/>
          <w:color w:val="auto"/>
          <w:sz w:val="20"/>
          <w:lang w:val="en-GB" w:eastAsia="zh-CN"/>
        </w:rPr>
        <w:t xml:space="preserve"> </w:t>
      </w:r>
    </w:p>
    <w:p w14:paraId="14D4F983" w14:textId="484BD6EB"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Thalavaisundaram, T., Mattner, S., Milinkovic, M.</w:t>
      </w:r>
      <w:r w:rsidR="00C7112B" w:rsidRPr="00CD1278">
        <w:rPr>
          <w:rFonts w:ascii="Times New Roman" w:hAnsi="Times New Roman"/>
        </w:rPr>
        <w:t xml:space="preserve"> </w:t>
      </w:r>
      <w:r w:rsidRPr="00CD1278">
        <w:rPr>
          <w:rFonts w:ascii="Times New Roman" w:hAnsi="Times New Roman"/>
        </w:rPr>
        <w:t xml:space="preserve">T., Ridley, R., Greenhalgh, F. (2015). VIF improves the efficacy of EDN® Fumigas in the Australian Strawberry Nursery Industry. </w:t>
      </w:r>
      <w:r w:rsidR="00C7112B" w:rsidRPr="00CD1278">
        <w:rPr>
          <w:rFonts w:ascii="Times New Roman" w:hAnsi="Times New Roman"/>
        </w:rPr>
        <w:t xml:space="preserve">In: Obenauf, G. L. (ed.), </w:t>
      </w:r>
      <w:r w:rsidR="00C7112B" w:rsidRPr="00CD1278">
        <w:rPr>
          <w:rFonts w:ascii="Times New Roman" w:hAnsi="Times New Roman"/>
          <w:i/>
        </w:rPr>
        <w:t>Proceedings of the Annual International Research Conference on Methyl Bromide Alternatives and Emission Reductions</w:t>
      </w:r>
      <w:r w:rsidR="00C7112B" w:rsidRPr="00CD1278">
        <w:rPr>
          <w:rFonts w:ascii="Times New Roman" w:hAnsi="Times New Roman"/>
        </w:rPr>
        <w:t xml:space="preserve">, (MBAO), 9-11 </w:t>
      </w:r>
      <w:r w:rsidRPr="00CD1278">
        <w:rPr>
          <w:rFonts w:ascii="Times New Roman" w:hAnsi="Times New Roman"/>
        </w:rPr>
        <w:t>November</w:t>
      </w:r>
      <w:r w:rsidR="00C7112B" w:rsidRPr="00CD1278">
        <w:rPr>
          <w:rFonts w:ascii="Times New Roman" w:hAnsi="Times New Roman"/>
        </w:rPr>
        <w:t xml:space="preserve"> in </w:t>
      </w:r>
      <w:r w:rsidRPr="00CD1278">
        <w:rPr>
          <w:rFonts w:ascii="Times New Roman" w:hAnsi="Times New Roman"/>
        </w:rPr>
        <w:t>San Diego, C</w:t>
      </w:r>
      <w:r w:rsidR="00C7112B" w:rsidRPr="00CD1278">
        <w:rPr>
          <w:rFonts w:ascii="Times New Roman" w:hAnsi="Times New Roman"/>
        </w:rPr>
        <w:t>A</w:t>
      </w:r>
      <w:r w:rsidRPr="00CD1278">
        <w:rPr>
          <w:rFonts w:ascii="Times New Roman" w:hAnsi="Times New Roman"/>
        </w:rPr>
        <w:t>, USA</w:t>
      </w:r>
      <w:r w:rsidR="00C7112B" w:rsidRPr="00CD1278">
        <w:rPr>
          <w:rFonts w:ascii="Times New Roman" w:hAnsi="Times New Roman"/>
        </w:rPr>
        <w:t>, 4-1 - 4-4, 18 slides.</w:t>
      </w:r>
    </w:p>
    <w:p w14:paraId="4974CF03" w14:textId="7E7E47F6" w:rsidR="009C0DF0" w:rsidRPr="00CD1278" w:rsidRDefault="009C0DF0" w:rsidP="005A552B">
      <w:pPr>
        <w:pStyle w:val="References"/>
        <w:ind w:left="709" w:hanging="709"/>
        <w:jc w:val="left"/>
        <w:rPr>
          <w:rFonts w:ascii="Times New Roman" w:hAnsi="Times New Roman"/>
        </w:rPr>
      </w:pPr>
      <w:r w:rsidRPr="00CD1278">
        <w:rPr>
          <w:rFonts w:ascii="Times New Roman" w:hAnsi="Times New Roman"/>
        </w:rPr>
        <w:t>Valdez, I., Jaldo, H.</w:t>
      </w:r>
      <w:r w:rsidR="00C7112B" w:rsidRPr="00CD1278">
        <w:rPr>
          <w:rFonts w:ascii="Times New Roman" w:hAnsi="Times New Roman"/>
        </w:rPr>
        <w:t xml:space="preserve"> </w:t>
      </w:r>
      <w:r w:rsidRPr="00CD1278">
        <w:rPr>
          <w:rFonts w:ascii="Times New Roman" w:hAnsi="Times New Roman"/>
        </w:rPr>
        <w:t>E., Foros, A.</w:t>
      </w:r>
      <w:r w:rsidR="00C7112B" w:rsidRPr="00CD1278">
        <w:rPr>
          <w:rFonts w:ascii="Times New Roman" w:hAnsi="Times New Roman"/>
        </w:rPr>
        <w:t xml:space="preserve"> </w:t>
      </w:r>
      <w:r w:rsidRPr="00CD1278">
        <w:rPr>
          <w:rFonts w:ascii="Times New Roman" w:hAnsi="Times New Roman"/>
        </w:rPr>
        <w:t xml:space="preserve">C., Ale, J. (2007). Ensayo de alternativas químicas al bromuro de metilo. Lules, Tucumán. No. 079. Horticultura. In: </w:t>
      </w:r>
      <w:r w:rsidRPr="00CD1278">
        <w:rPr>
          <w:rFonts w:ascii="Times New Roman" w:hAnsi="Times New Roman"/>
          <w:i/>
        </w:rPr>
        <w:t>Horticultura Argentina</w:t>
      </w:r>
      <w:r w:rsidRPr="00CD1278">
        <w:rPr>
          <w:rFonts w:ascii="Times New Roman" w:hAnsi="Times New Roman"/>
        </w:rPr>
        <w:t xml:space="preserve"> 26(61): Jul-Dic</w:t>
      </w:r>
      <w:r w:rsidR="00C7112B" w:rsidRPr="00CD1278">
        <w:rPr>
          <w:rFonts w:ascii="Times New Roman" w:hAnsi="Times New Roman"/>
        </w:rPr>
        <w:t>.</w:t>
      </w:r>
    </w:p>
    <w:p w14:paraId="21367750" w14:textId="373977E8" w:rsidR="009C0DF0" w:rsidRPr="00CD1278" w:rsidRDefault="009C0DF0" w:rsidP="005A552B">
      <w:pPr>
        <w:pStyle w:val="References"/>
        <w:ind w:left="709" w:hanging="709"/>
        <w:jc w:val="left"/>
        <w:rPr>
          <w:rStyle w:val="publication-meta-date"/>
          <w:rFonts w:ascii="Times New Roman" w:hAnsi="Times New Roman"/>
          <w:caps/>
          <w:shd w:val="clear" w:color="auto" w:fill="FFFFFF"/>
        </w:rPr>
      </w:pPr>
      <w:r w:rsidRPr="00CD1278">
        <w:rPr>
          <w:rFonts w:ascii="Times New Roman" w:hAnsi="Times New Roman"/>
        </w:rPr>
        <w:t>Veremis, J.</w:t>
      </w:r>
      <w:r w:rsidR="00C7112B" w:rsidRPr="00CD1278">
        <w:rPr>
          <w:rFonts w:ascii="Times New Roman" w:hAnsi="Times New Roman"/>
        </w:rPr>
        <w:t xml:space="preserve"> </w:t>
      </w:r>
      <w:r w:rsidRPr="00CD1278">
        <w:rPr>
          <w:rFonts w:ascii="Times New Roman" w:hAnsi="Times New Roman"/>
        </w:rPr>
        <w:t>C., Cap, G.</w:t>
      </w:r>
      <w:r w:rsidR="00C7112B" w:rsidRPr="00CD1278">
        <w:rPr>
          <w:rFonts w:ascii="Times New Roman" w:hAnsi="Times New Roman"/>
        </w:rPr>
        <w:t xml:space="preserve"> </w:t>
      </w:r>
      <w:r w:rsidRPr="00CD1278">
        <w:rPr>
          <w:rFonts w:ascii="Times New Roman" w:hAnsi="Times New Roman"/>
        </w:rPr>
        <w:t>B., Roberts, P.</w:t>
      </w:r>
      <w:r w:rsidR="00C7112B" w:rsidRPr="00CD1278">
        <w:rPr>
          <w:rFonts w:ascii="Times New Roman" w:hAnsi="Times New Roman"/>
        </w:rPr>
        <w:t xml:space="preserve"> </w:t>
      </w:r>
      <w:r w:rsidRPr="00CD1278">
        <w:rPr>
          <w:rFonts w:ascii="Times New Roman" w:hAnsi="Times New Roman"/>
        </w:rPr>
        <w:t xml:space="preserve">A. (1997). A </w:t>
      </w:r>
      <w:r w:rsidR="00C7112B" w:rsidRPr="00CD1278">
        <w:rPr>
          <w:rFonts w:ascii="Times New Roman" w:hAnsi="Times New Roman"/>
        </w:rPr>
        <w:t>s</w:t>
      </w:r>
      <w:r w:rsidRPr="00CD1278">
        <w:rPr>
          <w:rFonts w:ascii="Times New Roman" w:hAnsi="Times New Roman"/>
        </w:rPr>
        <w:t xml:space="preserve">earch for </w:t>
      </w:r>
      <w:r w:rsidR="00C7112B" w:rsidRPr="00CD1278">
        <w:rPr>
          <w:rFonts w:ascii="Times New Roman" w:hAnsi="Times New Roman"/>
        </w:rPr>
        <w:t>r</w:t>
      </w:r>
      <w:r w:rsidRPr="00CD1278">
        <w:rPr>
          <w:rFonts w:ascii="Times New Roman" w:hAnsi="Times New Roman"/>
        </w:rPr>
        <w:t>esistance in</w:t>
      </w:r>
      <w:r w:rsidRPr="00CD1278">
        <w:rPr>
          <w:rStyle w:val="apple-converted-space"/>
          <w:rFonts w:ascii="Times New Roman" w:hAnsi="Times New Roman"/>
        </w:rPr>
        <w:t> </w:t>
      </w:r>
      <w:r w:rsidRPr="00CD1278">
        <w:rPr>
          <w:rFonts w:ascii="Times New Roman" w:hAnsi="Times New Roman"/>
          <w:i/>
        </w:rPr>
        <w:t>Lycopersicon</w:t>
      </w:r>
      <w:r w:rsidRPr="00CD1278">
        <w:rPr>
          <w:rStyle w:val="apple-converted-space"/>
          <w:rFonts w:ascii="Times New Roman" w:hAnsi="Times New Roman"/>
          <w:i/>
        </w:rPr>
        <w:t> </w:t>
      </w:r>
      <w:r w:rsidRPr="00CD1278">
        <w:rPr>
          <w:rFonts w:ascii="Times New Roman" w:hAnsi="Times New Roman"/>
        </w:rPr>
        <w:t>spp. to</w:t>
      </w:r>
      <w:r w:rsidRPr="00CD1278">
        <w:rPr>
          <w:rStyle w:val="apple-converted-space"/>
          <w:rFonts w:ascii="Times New Roman" w:hAnsi="Times New Roman"/>
        </w:rPr>
        <w:t> </w:t>
      </w:r>
      <w:r w:rsidRPr="00CD1278">
        <w:rPr>
          <w:rFonts w:ascii="Times New Roman" w:hAnsi="Times New Roman"/>
          <w:i/>
        </w:rPr>
        <w:t>Nacobbus aberrans</w:t>
      </w:r>
      <w:r w:rsidRPr="00CD1278">
        <w:rPr>
          <w:rStyle w:val="Emphasis"/>
          <w:rFonts w:ascii="Times New Roman" w:eastAsia="MS ????" w:hAnsi="Times New Roman"/>
          <w:bCs w:val="0"/>
        </w:rPr>
        <w:t xml:space="preserve">. </w:t>
      </w:r>
      <w:r w:rsidRPr="00CD1278">
        <w:rPr>
          <w:rStyle w:val="publication-meta-journal"/>
          <w:rFonts w:ascii="Times New Roman" w:hAnsi="Times New Roman"/>
          <w:i/>
          <w:shd w:val="clear" w:color="auto" w:fill="FFFFFF"/>
        </w:rPr>
        <w:t xml:space="preserve">Plant Disease </w:t>
      </w:r>
      <w:r w:rsidRPr="00CD1278">
        <w:rPr>
          <w:rStyle w:val="publication-meta-journal"/>
          <w:rFonts w:ascii="Times New Roman" w:hAnsi="Times New Roman"/>
          <w:caps/>
          <w:shd w:val="clear" w:color="auto" w:fill="FFFFFF"/>
        </w:rPr>
        <w:t>81</w:t>
      </w:r>
      <w:r w:rsidR="00595BC3" w:rsidRPr="00CD1278">
        <w:rPr>
          <w:rStyle w:val="publication-meta-journal"/>
          <w:rFonts w:ascii="Times New Roman" w:hAnsi="Times New Roman"/>
          <w:caps/>
          <w:shd w:val="clear" w:color="auto" w:fill="FFFFFF"/>
        </w:rPr>
        <w:t xml:space="preserve">, </w:t>
      </w:r>
      <w:r w:rsidRPr="00CD1278">
        <w:rPr>
          <w:rStyle w:val="publication-meta-journal"/>
          <w:rFonts w:ascii="Times New Roman" w:hAnsi="Times New Roman"/>
          <w:caps/>
          <w:shd w:val="clear" w:color="auto" w:fill="FFFFFF"/>
        </w:rPr>
        <w:t>217-221</w:t>
      </w:r>
      <w:r w:rsidRPr="00CD1278">
        <w:rPr>
          <w:rStyle w:val="publication-meta-date"/>
          <w:rFonts w:ascii="Times New Roman" w:hAnsi="Times New Roman"/>
          <w:caps/>
          <w:shd w:val="clear" w:color="auto" w:fill="FFFFFF"/>
        </w:rPr>
        <w:t>.</w:t>
      </w:r>
    </w:p>
    <w:p w14:paraId="1FFA7A36" w14:textId="77777777" w:rsidR="003D1F26" w:rsidRPr="00CD1278" w:rsidRDefault="00BB73D8" w:rsidP="005A552B">
      <w:pPr>
        <w:pStyle w:val="References"/>
        <w:ind w:left="709" w:hanging="709"/>
        <w:jc w:val="left"/>
        <w:rPr>
          <w:rFonts w:ascii="Times New Roman" w:hAnsi="Times New Roman"/>
          <w:lang w:eastAsia="en-AU"/>
        </w:rPr>
      </w:pPr>
      <w:r w:rsidRPr="00CD1278">
        <w:rPr>
          <w:rFonts w:ascii="Times New Roman" w:hAnsi="Times New Roman"/>
          <w:lang w:eastAsia="en-AU"/>
        </w:rPr>
        <w:t>Weiland, J.</w:t>
      </w:r>
      <w:r w:rsidR="00595BC3" w:rsidRPr="00CD1278">
        <w:rPr>
          <w:rFonts w:ascii="Times New Roman" w:hAnsi="Times New Roman"/>
          <w:lang w:eastAsia="en-AU"/>
        </w:rPr>
        <w:t xml:space="preserve"> </w:t>
      </w:r>
      <w:r w:rsidRPr="00CD1278">
        <w:rPr>
          <w:rFonts w:ascii="Times New Roman" w:hAnsi="Times New Roman"/>
          <w:lang w:eastAsia="en-AU"/>
        </w:rPr>
        <w:t>E., Littke, W.</w:t>
      </w:r>
      <w:r w:rsidR="00595BC3" w:rsidRPr="00CD1278">
        <w:rPr>
          <w:rFonts w:ascii="Times New Roman" w:hAnsi="Times New Roman"/>
          <w:lang w:eastAsia="en-AU"/>
        </w:rPr>
        <w:t xml:space="preserve"> </w:t>
      </w:r>
      <w:r w:rsidRPr="00CD1278">
        <w:rPr>
          <w:rFonts w:ascii="Times New Roman" w:hAnsi="Times New Roman"/>
          <w:lang w:eastAsia="en-AU"/>
        </w:rPr>
        <w:t>R., Browning, J.</w:t>
      </w:r>
      <w:r w:rsidR="00595BC3" w:rsidRPr="00CD1278">
        <w:rPr>
          <w:rFonts w:ascii="Times New Roman" w:hAnsi="Times New Roman"/>
          <w:lang w:eastAsia="en-AU"/>
        </w:rPr>
        <w:t xml:space="preserve"> </w:t>
      </w:r>
      <w:r w:rsidRPr="00CD1278">
        <w:rPr>
          <w:rFonts w:ascii="Times New Roman" w:hAnsi="Times New Roman"/>
          <w:lang w:eastAsia="en-AU"/>
        </w:rPr>
        <w:t>E., Edmonds, J.</w:t>
      </w:r>
      <w:r w:rsidR="00595BC3" w:rsidRPr="00CD1278">
        <w:rPr>
          <w:rFonts w:ascii="Times New Roman" w:hAnsi="Times New Roman"/>
          <w:lang w:eastAsia="en-AU"/>
        </w:rPr>
        <w:t xml:space="preserve"> </w:t>
      </w:r>
      <w:r w:rsidRPr="00CD1278">
        <w:rPr>
          <w:rFonts w:ascii="Times New Roman" w:hAnsi="Times New Roman"/>
          <w:lang w:eastAsia="en-AU"/>
        </w:rPr>
        <w:t>L.,</w:t>
      </w:r>
      <w:r w:rsidR="00A15BF4" w:rsidRPr="00CD1278">
        <w:rPr>
          <w:rFonts w:ascii="Times New Roman" w:hAnsi="Times New Roman"/>
          <w:lang w:eastAsia="en-AU"/>
        </w:rPr>
        <w:t xml:space="preserve"> </w:t>
      </w:r>
      <w:r w:rsidRPr="00CD1278">
        <w:rPr>
          <w:rFonts w:ascii="Times New Roman" w:hAnsi="Times New Roman"/>
          <w:lang w:eastAsia="en-AU"/>
        </w:rPr>
        <w:t>Davis</w:t>
      </w:r>
      <w:r w:rsidR="00A15BF4" w:rsidRPr="00CD1278">
        <w:rPr>
          <w:rFonts w:ascii="Times New Roman" w:hAnsi="Times New Roman"/>
          <w:lang w:eastAsia="en-AU"/>
        </w:rPr>
        <w:t>, A.</w:t>
      </w:r>
      <w:r w:rsidRPr="00CD1278">
        <w:rPr>
          <w:rFonts w:ascii="Times New Roman" w:hAnsi="Times New Roman"/>
          <w:lang w:eastAsia="en-AU"/>
        </w:rPr>
        <w:t>, Beck</w:t>
      </w:r>
      <w:r w:rsidR="00A15BF4" w:rsidRPr="00CD1278">
        <w:rPr>
          <w:rFonts w:ascii="Times New Roman" w:hAnsi="Times New Roman"/>
          <w:lang w:eastAsia="en-AU"/>
        </w:rPr>
        <w:t>, B.</w:t>
      </w:r>
      <w:r w:rsidR="00595BC3" w:rsidRPr="00CD1278">
        <w:rPr>
          <w:rFonts w:ascii="Times New Roman" w:hAnsi="Times New Roman"/>
          <w:lang w:eastAsia="en-AU"/>
        </w:rPr>
        <w:t xml:space="preserve"> </w:t>
      </w:r>
      <w:r w:rsidR="00A15BF4" w:rsidRPr="00CD1278">
        <w:rPr>
          <w:rFonts w:ascii="Times New Roman" w:hAnsi="Times New Roman"/>
          <w:lang w:eastAsia="en-AU"/>
        </w:rPr>
        <w:t>R.</w:t>
      </w:r>
      <w:r w:rsidR="00595BC3" w:rsidRPr="00CD1278">
        <w:rPr>
          <w:rFonts w:ascii="Times New Roman" w:hAnsi="Times New Roman"/>
          <w:lang w:eastAsia="en-AU"/>
        </w:rPr>
        <w:t>,</w:t>
      </w:r>
      <w:r w:rsidRPr="00CD1278">
        <w:rPr>
          <w:rFonts w:ascii="Times New Roman" w:hAnsi="Times New Roman"/>
          <w:lang w:eastAsia="en-AU"/>
        </w:rPr>
        <w:t xml:space="preserve"> Miller</w:t>
      </w:r>
      <w:r w:rsidR="00595BC3" w:rsidRPr="00CD1278">
        <w:rPr>
          <w:rFonts w:ascii="Times New Roman" w:hAnsi="Times New Roman"/>
          <w:lang w:eastAsia="en-AU"/>
        </w:rPr>
        <w:t>, T. W</w:t>
      </w:r>
      <w:r w:rsidR="00A15BF4" w:rsidRPr="00CD1278">
        <w:rPr>
          <w:rFonts w:ascii="Times New Roman" w:hAnsi="Times New Roman"/>
          <w:lang w:eastAsia="en-AU"/>
        </w:rPr>
        <w:t>. (2016)</w:t>
      </w:r>
      <w:r w:rsidRPr="00CD1278">
        <w:rPr>
          <w:rFonts w:ascii="Times New Roman" w:hAnsi="Times New Roman"/>
          <w:lang w:eastAsia="en-AU"/>
        </w:rPr>
        <w:t xml:space="preserve"> Efficacy of reduced rate fumigant alternatives and methyl bromide against soilborne pathogens and weeds in western forest nurseries</w:t>
      </w:r>
      <w:r w:rsidR="00595BC3" w:rsidRPr="00CD1278">
        <w:rPr>
          <w:rFonts w:ascii="Times New Roman" w:hAnsi="Times New Roman"/>
          <w:lang w:eastAsia="en-AU"/>
        </w:rPr>
        <w:t>.</w:t>
      </w:r>
      <w:r w:rsidRPr="00CD1278">
        <w:rPr>
          <w:rFonts w:ascii="Times New Roman" w:hAnsi="Times New Roman"/>
          <w:lang w:eastAsia="en-AU"/>
        </w:rPr>
        <w:t xml:space="preserve"> </w:t>
      </w:r>
      <w:r w:rsidR="00A15BF4" w:rsidRPr="00CD1278">
        <w:rPr>
          <w:rFonts w:ascii="Times New Roman" w:hAnsi="Times New Roman"/>
          <w:i/>
          <w:lang w:eastAsia="en-AU"/>
        </w:rPr>
        <w:t>Crop Protection</w:t>
      </w:r>
      <w:r w:rsidR="00A15BF4" w:rsidRPr="00CD1278">
        <w:rPr>
          <w:rFonts w:ascii="Times New Roman" w:hAnsi="Times New Roman"/>
          <w:lang w:eastAsia="en-AU"/>
        </w:rPr>
        <w:t xml:space="preserve"> 85</w:t>
      </w:r>
      <w:r w:rsidR="00595BC3" w:rsidRPr="00CD1278">
        <w:rPr>
          <w:rFonts w:ascii="Times New Roman" w:hAnsi="Times New Roman"/>
          <w:lang w:eastAsia="en-AU"/>
        </w:rPr>
        <w:t>,</w:t>
      </w:r>
      <w:r w:rsidR="00A15BF4" w:rsidRPr="00CD1278">
        <w:rPr>
          <w:rFonts w:ascii="Times New Roman" w:hAnsi="Times New Roman"/>
          <w:lang w:eastAsia="en-AU"/>
        </w:rPr>
        <w:t xml:space="preserve"> </w:t>
      </w:r>
      <w:r w:rsidRPr="00CD1278">
        <w:rPr>
          <w:rFonts w:ascii="Times New Roman" w:hAnsi="Times New Roman"/>
          <w:lang w:eastAsia="en-AU"/>
        </w:rPr>
        <w:t>57</w:t>
      </w:r>
      <w:r w:rsidR="00A15BF4" w:rsidRPr="00CD1278">
        <w:rPr>
          <w:rFonts w:ascii="Times New Roman" w:hAnsi="Times New Roman"/>
          <w:lang w:eastAsia="en-AU"/>
        </w:rPr>
        <w:t>-</w:t>
      </w:r>
      <w:r w:rsidRPr="00CD1278">
        <w:rPr>
          <w:rFonts w:ascii="Times New Roman" w:hAnsi="Times New Roman"/>
          <w:lang w:eastAsia="en-AU"/>
        </w:rPr>
        <w:t>64</w:t>
      </w:r>
      <w:r w:rsidR="00595BC3" w:rsidRPr="00CD1278">
        <w:rPr>
          <w:rFonts w:ascii="Times New Roman" w:hAnsi="Times New Roman"/>
          <w:lang w:eastAsia="en-AU"/>
        </w:rPr>
        <w:t>.</w:t>
      </w:r>
    </w:p>
    <w:p w14:paraId="6AD50753" w14:textId="6EFC9ACF" w:rsidR="003D1F26" w:rsidRPr="00CD1278" w:rsidRDefault="003D1F26" w:rsidP="005A552B">
      <w:pPr>
        <w:pStyle w:val="References"/>
        <w:ind w:left="709" w:hanging="709"/>
        <w:jc w:val="left"/>
        <w:rPr>
          <w:rFonts w:ascii="Times New Roman" w:hAnsi="Times New Roman"/>
        </w:rPr>
      </w:pPr>
      <w:r w:rsidRPr="00CD1278">
        <w:rPr>
          <w:rFonts w:ascii="Times New Roman" w:hAnsi="Times New Roman"/>
          <w:lang w:eastAsia="en-AU"/>
        </w:rPr>
        <w:t xml:space="preserve">Yamano, </w:t>
      </w:r>
      <w:r w:rsidRPr="00CD1278">
        <w:rPr>
          <w:rFonts w:ascii="Times New Roman" w:hAnsi="Times New Roman"/>
        </w:rPr>
        <w:t>Y., Kagawa, J., Ishizu, S., (</w:t>
      </w:r>
      <w:r w:rsidRPr="00CD1278">
        <w:rPr>
          <w:rFonts w:ascii="Times New Roman" w:hAnsi="Times New Roman"/>
          <w:lang w:eastAsia="en-AU"/>
        </w:rPr>
        <w:t>2001). Two cases of methyl bromide poisoning in termite exterminators</w:t>
      </w:r>
      <w:r w:rsidRPr="00CD1278">
        <w:rPr>
          <w:rFonts w:ascii="Times New Roman" w:hAnsi="Times New Roman"/>
          <w:i/>
          <w:lang w:eastAsia="en-AU"/>
        </w:rPr>
        <w:t xml:space="preserve">.  </w:t>
      </w:r>
      <w:r w:rsidR="00DE7AFC" w:rsidRPr="00CD1278">
        <w:rPr>
          <w:rFonts w:ascii="Times New Roman" w:hAnsi="Times New Roman"/>
          <w:i/>
        </w:rPr>
        <w:t>Journal of</w:t>
      </w:r>
      <w:r w:rsidRPr="00CD1278">
        <w:rPr>
          <w:rFonts w:ascii="Times New Roman" w:hAnsi="Times New Roman"/>
          <w:i/>
        </w:rPr>
        <w:t xml:space="preserve"> Occupational Health</w:t>
      </w:r>
      <w:r w:rsidRPr="00CD1278">
        <w:rPr>
          <w:rFonts w:ascii="Times New Roman" w:hAnsi="Times New Roman"/>
        </w:rPr>
        <w:t xml:space="preserve"> 43</w:t>
      </w:r>
      <w:r w:rsidR="00DE7AFC" w:rsidRPr="00CD1278">
        <w:rPr>
          <w:rFonts w:ascii="Times New Roman" w:hAnsi="Times New Roman"/>
        </w:rPr>
        <w:t>,</w:t>
      </w:r>
      <w:r w:rsidRPr="00CD1278">
        <w:rPr>
          <w:rFonts w:ascii="Times New Roman" w:hAnsi="Times New Roman"/>
        </w:rPr>
        <w:t xml:space="preserve"> 291–294</w:t>
      </w:r>
    </w:p>
    <w:p w14:paraId="2045BAE2" w14:textId="0763E442" w:rsidR="003D1F26" w:rsidRPr="00CD1278" w:rsidRDefault="003D1F26" w:rsidP="005A552B">
      <w:pPr>
        <w:pStyle w:val="references0"/>
        <w:ind w:left="709" w:hanging="709"/>
        <w:jc w:val="left"/>
        <w:rPr>
          <w:rFonts w:ascii="Times New Roman" w:hAnsi="Times New Roman"/>
          <w:bCs/>
          <w:i w:val="0"/>
          <w:lang w:eastAsia="en-AU"/>
        </w:rPr>
      </w:pPr>
      <w:r w:rsidRPr="00CD1278">
        <w:rPr>
          <w:rFonts w:ascii="Times New Roman" w:hAnsi="Times New Roman"/>
          <w:bCs/>
          <w:i w:val="0"/>
          <w:lang w:eastAsia="en-AU"/>
        </w:rPr>
        <w:t>Yamano</w:t>
      </w:r>
      <w:r w:rsidR="00DE7AFC" w:rsidRPr="00CD1278">
        <w:rPr>
          <w:rFonts w:ascii="Times New Roman" w:hAnsi="Times New Roman"/>
          <w:bCs/>
          <w:i w:val="0"/>
          <w:lang w:eastAsia="en-AU"/>
        </w:rPr>
        <w:t xml:space="preserve">, Y., </w:t>
      </w:r>
      <w:r w:rsidRPr="00CD1278">
        <w:rPr>
          <w:rFonts w:ascii="Times New Roman" w:hAnsi="Times New Roman"/>
          <w:bCs/>
          <w:i w:val="0"/>
          <w:lang w:eastAsia="en-AU"/>
        </w:rPr>
        <w:t>Nakadate,</w:t>
      </w:r>
      <w:r w:rsidR="00DE7AFC" w:rsidRPr="00CD1278">
        <w:rPr>
          <w:rFonts w:ascii="Times New Roman" w:hAnsi="Times New Roman"/>
          <w:bCs/>
          <w:i w:val="0"/>
          <w:lang w:eastAsia="en-AU"/>
        </w:rPr>
        <w:t xml:space="preserve"> T. </w:t>
      </w:r>
      <w:r w:rsidRPr="00CD1278">
        <w:rPr>
          <w:rFonts w:ascii="Times New Roman" w:hAnsi="Times New Roman"/>
          <w:bCs/>
          <w:i w:val="0"/>
          <w:lang w:eastAsia="en-AU"/>
        </w:rPr>
        <w:t xml:space="preserve"> </w:t>
      </w:r>
      <w:r w:rsidR="00DE7AFC" w:rsidRPr="00CD1278">
        <w:rPr>
          <w:rFonts w:ascii="Times New Roman" w:hAnsi="Times New Roman"/>
          <w:bCs/>
          <w:i w:val="0"/>
          <w:lang w:eastAsia="en-AU"/>
        </w:rPr>
        <w:t>(</w:t>
      </w:r>
      <w:r w:rsidRPr="00CD1278">
        <w:rPr>
          <w:rFonts w:ascii="Times New Roman" w:hAnsi="Times New Roman"/>
          <w:bCs/>
          <w:i w:val="0"/>
          <w:lang w:eastAsia="en-AU"/>
        </w:rPr>
        <w:t>2006</w:t>
      </w:r>
      <w:r w:rsidR="00DE7AFC" w:rsidRPr="00CD1278">
        <w:rPr>
          <w:rFonts w:ascii="Times New Roman" w:hAnsi="Times New Roman"/>
          <w:bCs/>
          <w:i w:val="0"/>
          <w:lang w:eastAsia="en-AU"/>
        </w:rPr>
        <w:t xml:space="preserve">). Three occupationally exposed cases of severe methyl bromide poisoning: accident caused by a gas leak during the fumigation of a folklore museum. </w:t>
      </w:r>
      <w:r w:rsidR="009618EE" w:rsidRPr="00CD1278">
        <w:rPr>
          <w:rFonts w:ascii="Times New Roman" w:hAnsi="Times New Roman"/>
          <w:bCs/>
          <w:i w:val="0"/>
          <w:lang w:eastAsia="en-AU"/>
        </w:rPr>
        <w:t xml:space="preserve"> </w:t>
      </w:r>
      <w:hyperlink r:id="rId93" w:tooltip="Journal of occupational health." w:history="1">
        <w:r w:rsidR="00DE7AFC" w:rsidRPr="00CD1278">
          <w:rPr>
            <w:rFonts w:ascii="Times New Roman" w:hAnsi="Times New Roman"/>
            <w:bCs/>
            <w:lang w:eastAsia="en-AU"/>
          </w:rPr>
          <w:t>Journal of Occupational Health.</w:t>
        </w:r>
      </w:hyperlink>
      <w:r w:rsidR="00DE7AFC" w:rsidRPr="00CD1278">
        <w:rPr>
          <w:rFonts w:ascii="Times New Roman" w:hAnsi="Times New Roman"/>
          <w:bCs/>
          <w:i w:val="0"/>
          <w:lang w:eastAsia="en-AU"/>
        </w:rPr>
        <w:t xml:space="preserve"> 48(2),</w:t>
      </w:r>
      <w:r w:rsidR="00976BE2" w:rsidRPr="00CD1278">
        <w:rPr>
          <w:rFonts w:ascii="Times New Roman" w:hAnsi="Times New Roman"/>
          <w:bCs/>
          <w:i w:val="0"/>
          <w:lang w:eastAsia="en-AU"/>
        </w:rPr>
        <w:t xml:space="preserve"> </w:t>
      </w:r>
      <w:r w:rsidR="00DE7AFC" w:rsidRPr="00CD1278">
        <w:rPr>
          <w:rFonts w:ascii="Times New Roman" w:hAnsi="Times New Roman"/>
          <w:bCs/>
          <w:i w:val="0"/>
          <w:lang w:eastAsia="en-AU"/>
        </w:rPr>
        <w:t>129-33.</w:t>
      </w:r>
    </w:p>
    <w:p w14:paraId="24FFA9D1" w14:textId="76D944AE" w:rsidR="007A2E96" w:rsidRPr="00CD1278" w:rsidRDefault="007A2E96" w:rsidP="005A552B">
      <w:pPr>
        <w:spacing w:after="0"/>
        <w:ind w:left="709" w:hanging="709"/>
        <w:rPr>
          <w:rStyle w:val="Heading1Char3"/>
          <w:color w:val="auto"/>
          <w:sz w:val="24"/>
          <w:lang w:eastAsia="zh-CN"/>
        </w:rPr>
      </w:pPr>
      <w:bookmarkStart w:id="109" w:name="_Toc293054758"/>
      <w:bookmarkStart w:id="110" w:name="_Toc324255721"/>
      <w:bookmarkEnd w:id="108"/>
    </w:p>
    <w:p w14:paraId="1CDD0FC0" w14:textId="77777777" w:rsidR="00DE7AFC" w:rsidRPr="00CD1278" w:rsidRDefault="00DE7AFC" w:rsidP="005A552B">
      <w:pPr>
        <w:spacing w:after="0"/>
        <w:rPr>
          <w:rStyle w:val="Heading1Char3"/>
          <w:color w:val="auto"/>
          <w:sz w:val="24"/>
          <w:lang w:eastAsia="zh-CN"/>
        </w:rPr>
      </w:pPr>
      <w:r w:rsidRPr="00CD1278">
        <w:rPr>
          <w:rStyle w:val="Heading1Char3"/>
          <w:color w:val="auto"/>
          <w:sz w:val="24"/>
          <w:lang w:eastAsia="zh-CN"/>
        </w:rPr>
        <w:br w:type="page"/>
      </w:r>
    </w:p>
    <w:p w14:paraId="4F154FF4" w14:textId="580C8711" w:rsidR="0088693B" w:rsidRPr="00CD1278" w:rsidRDefault="008D5F24" w:rsidP="005A552B">
      <w:pPr>
        <w:spacing w:after="0"/>
        <w:rPr>
          <w:rStyle w:val="Heading1Char3"/>
          <w:rFonts w:ascii="Arial" w:hAnsi="Arial" w:cs="Arial"/>
          <w:color w:val="auto"/>
          <w:sz w:val="20"/>
          <w:szCs w:val="18"/>
          <w:lang w:eastAsia="zh-CN"/>
        </w:rPr>
      </w:pPr>
      <w:r w:rsidRPr="00CD1278">
        <w:rPr>
          <w:rStyle w:val="Heading1Char3"/>
          <w:color w:val="auto"/>
          <w:lang w:eastAsia="zh-CN"/>
        </w:rPr>
        <w:t xml:space="preserve">ANNEX </w:t>
      </w:r>
      <w:r w:rsidR="00310FF5" w:rsidRPr="00CD1278">
        <w:rPr>
          <w:rStyle w:val="Heading1Char3"/>
          <w:color w:val="auto"/>
          <w:lang w:eastAsia="zh-CN"/>
        </w:rPr>
        <w:t>I</w:t>
      </w:r>
      <w:r w:rsidRPr="00CD1278">
        <w:rPr>
          <w:rStyle w:val="Heading1Char3"/>
          <w:color w:val="auto"/>
          <w:lang w:eastAsia="zh-CN"/>
        </w:rPr>
        <w:t>:</w:t>
      </w:r>
      <w:bookmarkEnd w:id="109"/>
      <w:r w:rsidR="00613936" w:rsidRPr="00CD1278">
        <w:rPr>
          <w:rStyle w:val="Heading1Char3"/>
          <w:color w:val="auto"/>
          <w:lang w:eastAsia="zh-CN"/>
        </w:rPr>
        <w:t xml:space="preserve"> </w:t>
      </w:r>
    </w:p>
    <w:p w14:paraId="425C0768" w14:textId="77777777" w:rsidR="003E398B" w:rsidRPr="00CD1278" w:rsidRDefault="003E398B" w:rsidP="005A552B">
      <w:pPr>
        <w:pStyle w:val="Heading1"/>
        <w:rPr>
          <w:rStyle w:val="Heading2Char"/>
          <w:rFonts w:ascii="Times New Roman" w:hAnsi="Times New Roman"/>
          <w:i w:val="0"/>
          <w:color w:val="auto"/>
          <w:sz w:val="24"/>
        </w:rPr>
      </w:pPr>
      <w:bookmarkStart w:id="111" w:name="_Toc293054759"/>
      <w:bookmarkStart w:id="112" w:name="_Toc453277833"/>
    </w:p>
    <w:p w14:paraId="7FA92CB0" w14:textId="77777777" w:rsidR="008D5F24" w:rsidRPr="00CD1278" w:rsidRDefault="008D5F24" w:rsidP="005A552B">
      <w:pPr>
        <w:pStyle w:val="Heading1"/>
        <w:rPr>
          <w:rStyle w:val="Heading2Char"/>
          <w:rFonts w:ascii="Times New Roman" w:hAnsi="Times New Roman"/>
          <w:b w:val="0"/>
          <w:i w:val="0"/>
          <w:color w:val="auto"/>
          <w:sz w:val="24"/>
        </w:rPr>
      </w:pPr>
      <w:r w:rsidRPr="00CD1278">
        <w:rPr>
          <w:rStyle w:val="Heading2Char"/>
          <w:rFonts w:ascii="Times New Roman" w:hAnsi="Times New Roman"/>
          <w:b w:val="0"/>
          <w:i w:val="0"/>
          <w:color w:val="auto"/>
          <w:sz w:val="24"/>
        </w:rPr>
        <w:t>Decision IX/6</w:t>
      </w:r>
      <w:bookmarkEnd w:id="110"/>
      <w:r w:rsidR="00AA5A08" w:rsidRPr="00CD1278">
        <w:rPr>
          <w:rStyle w:val="Heading2Char"/>
          <w:rFonts w:ascii="Times New Roman" w:hAnsi="Times New Roman"/>
          <w:b w:val="0"/>
          <w:i w:val="0"/>
          <w:color w:val="auto"/>
          <w:sz w:val="24"/>
        </w:rPr>
        <w:t xml:space="preserve"> Critical Use Exemptions for Methyl Bromide</w:t>
      </w:r>
      <w:bookmarkEnd w:id="111"/>
      <w:bookmarkEnd w:id="112"/>
    </w:p>
    <w:p w14:paraId="18244F1B" w14:textId="77777777" w:rsidR="008D5F24" w:rsidRPr="00CD1278" w:rsidRDefault="008D5F24" w:rsidP="005A552B">
      <w:pPr>
        <w:tabs>
          <w:tab w:val="left" w:pos="720"/>
        </w:tabs>
        <w:spacing w:after="120"/>
        <w:rPr>
          <w:snapToGrid w:val="0"/>
          <w:color w:val="auto"/>
        </w:rPr>
      </w:pPr>
      <w:r w:rsidRPr="00CD1278">
        <w:rPr>
          <w:i/>
          <w:snapToGrid w:val="0"/>
          <w:color w:val="auto"/>
        </w:rPr>
        <w:t>1.</w:t>
      </w:r>
      <w:r w:rsidRPr="00CD1278">
        <w:rPr>
          <w:i/>
          <w:snapToGrid w:val="0"/>
          <w:color w:val="auto"/>
        </w:rPr>
        <w:tab/>
      </w:r>
      <w:r w:rsidRPr="00CD1278">
        <w:rPr>
          <w:snapToGrid w:val="0"/>
          <w:color w:val="auto"/>
        </w:rPr>
        <w:t xml:space="preserve"> To apply the following criteria and procedure in assessing a critical methyl bromide use for the purposes of control measures in Article 2 of the Protocol:</w:t>
      </w:r>
    </w:p>
    <w:p w14:paraId="43FB7954" w14:textId="77777777" w:rsidR="008D5F24" w:rsidRPr="00CD1278" w:rsidRDefault="008D5F24" w:rsidP="005A552B">
      <w:pPr>
        <w:tabs>
          <w:tab w:val="left" w:pos="2155"/>
        </w:tabs>
        <w:spacing w:after="120"/>
        <w:ind w:left="867" w:hanging="510"/>
        <w:rPr>
          <w:snapToGrid w:val="0"/>
          <w:color w:val="auto"/>
        </w:rPr>
      </w:pPr>
      <w:r w:rsidRPr="00CD1278">
        <w:rPr>
          <w:snapToGrid w:val="0"/>
          <w:color w:val="auto"/>
        </w:rPr>
        <w:t>(a)</w:t>
      </w:r>
      <w:r w:rsidRPr="00CD1278">
        <w:rPr>
          <w:snapToGrid w:val="0"/>
          <w:color w:val="auto"/>
        </w:rPr>
        <w:tab/>
        <w:t>That a use of methyl bromide should qualify as “critical” only if the nominating Party determines that:</w:t>
      </w:r>
    </w:p>
    <w:p w14:paraId="216A6009" w14:textId="77777777" w:rsidR="008D5F24" w:rsidRPr="00CD1278" w:rsidRDefault="008D5F24" w:rsidP="005A552B">
      <w:pPr>
        <w:tabs>
          <w:tab w:val="left" w:pos="2835"/>
        </w:tabs>
        <w:ind w:left="1378" w:hanging="510"/>
        <w:rPr>
          <w:snapToGrid w:val="0"/>
          <w:color w:val="auto"/>
        </w:rPr>
      </w:pPr>
      <w:r w:rsidRPr="00CD1278">
        <w:rPr>
          <w:snapToGrid w:val="0"/>
          <w:color w:val="auto"/>
        </w:rPr>
        <w:t xml:space="preserve">(i) </w:t>
      </w:r>
      <w:r w:rsidRPr="00CD1278">
        <w:rPr>
          <w:snapToGrid w:val="0"/>
          <w:color w:val="auto"/>
        </w:rPr>
        <w:tab/>
        <w:t>The specific use is critical because the lack of availability of methyl bromide for that use would result in a significant market disruption; and</w:t>
      </w:r>
    </w:p>
    <w:p w14:paraId="08F30EEB" w14:textId="77777777" w:rsidR="008D5F24" w:rsidRPr="00CD1278" w:rsidRDefault="008D5F24" w:rsidP="005A552B">
      <w:pPr>
        <w:tabs>
          <w:tab w:val="left" w:pos="2835"/>
        </w:tabs>
        <w:ind w:left="1378" w:hanging="510"/>
        <w:rPr>
          <w:snapToGrid w:val="0"/>
          <w:color w:val="auto"/>
        </w:rPr>
      </w:pPr>
      <w:r w:rsidRPr="00CD1278">
        <w:rPr>
          <w:snapToGrid w:val="0"/>
          <w:color w:val="auto"/>
        </w:rPr>
        <w:t xml:space="preserve">(ii) </w:t>
      </w:r>
      <w:r w:rsidRPr="00CD1278">
        <w:rPr>
          <w:snapToGrid w:val="0"/>
          <w:color w:val="auto"/>
        </w:rPr>
        <w:tab/>
        <w:t>There are no technically and economically feasible alternatives or substitutes available to the user that are acceptable from the standpoint of environment and health and are suitable to the crops and circumstances of the nomination;</w:t>
      </w:r>
    </w:p>
    <w:p w14:paraId="6F8FF215" w14:textId="77777777" w:rsidR="008D5F24" w:rsidRPr="00CD1278" w:rsidRDefault="008D5F24" w:rsidP="005A552B">
      <w:pPr>
        <w:tabs>
          <w:tab w:val="left" w:pos="2155"/>
        </w:tabs>
        <w:spacing w:after="120"/>
        <w:ind w:left="867" w:hanging="510"/>
        <w:rPr>
          <w:snapToGrid w:val="0"/>
          <w:color w:val="auto"/>
        </w:rPr>
      </w:pPr>
      <w:r w:rsidRPr="00CD1278">
        <w:rPr>
          <w:snapToGrid w:val="0"/>
          <w:color w:val="auto"/>
        </w:rPr>
        <w:t>(b)</w:t>
      </w:r>
      <w:r w:rsidRPr="00CD1278">
        <w:rPr>
          <w:snapToGrid w:val="0"/>
          <w:color w:val="auto"/>
        </w:rPr>
        <w:tab/>
        <w:t>That production and consumption, if any, of methyl bromide for critical uses should be permitted only if:</w:t>
      </w:r>
    </w:p>
    <w:p w14:paraId="00470FFC" w14:textId="77777777" w:rsidR="008D5F24" w:rsidRPr="00CD1278" w:rsidRDefault="008D5F24" w:rsidP="005A552B">
      <w:pPr>
        <w:tabs>
          <w:tab w:val="left" w:pos="2835"/>
        </w:tabs>
        <w:ind w:left="1378" w:hanging="510"/>
        <w:rPr>
          <w:snapToGrid w:val="0"/>
          <w:color w:val="auto"/>
        </w:rPr>
      </w:pPr>
      <w:r w:rsidRPr="00CD1278">
        <w:rPr>
          <w:snapToGrid w:val="0"/>
          <w:color w:val="auto"/>
        </w:rPr>
        <w:t xml:space="preserve">(i) </w:t>
      </w:r>
      <w:r w:rsidRPr="00CD1278">
        <w:rPr>
          <w:snapToGrid w:val="0"/>
          <w:color w:val="auto"/>
        </w:rPr>
        <w:tab/>
        <w:t>All technically and economically feasible steps have been taken to minimise the critical use and any associated emission of methyl bromide;</w:t>
      </w:r>
    </w:p>
    <w:p w14:paraId="413CEFDE" w14:textId="77777777" w:rsidR="008D5F24" w:rsidRPr="00CD1278" w:rsidRDefault="008D5F24" w:rsidP="005A552B">
      <w:pPr>
        <w:tabs>
          <w:tab w:val="left" w:pos="2835"/>
        </w:tabs>
        <w:ind w:left="1378" w:hanging="510"/>
        <w:rPr>
          <w:snapToGrid w:val="0"/>
          <w:color w:val="auto"/>
        </w:rPr>
      </w:pPr>
      <w:r w:rsidRPr="00CD1278">
        <w:rPr>
          <w:snapToGrid w:val="0"/>
          <w:color w:val="auto"/>
        </w:rPr>
        <w:t>(ii)</w:t>
      </w:r>
      <w:r w:rsidRPr="00CD1278">
        <w:rPr>
          <w:snapToGrid w:val="0"/>
          <w:color w:val="auto"/>
        </w:rPr>
        <w:tab/>
        <w:t xml:space="preserve"> Methyl bromide is not available in sufficient quantity and quality from existing stocks of banked or recycled methyl bromide, also bearing in mind the developing countries’ need for methyl bromide;</w:t>
      </w:r>
    </w:p>
    <w:p w14:paraId="59CAEFC4" w14:textId="77777777" w:rsidR="008D5F24" w:rsidRPr="00CD1278" w:rsidRDefault="008D5F24" w:rsidP="005A552B">
      <w:pPr>
        <w:tabs>
          <w:tab w:val="left" w:pos="2835"/>
        </w:tabs>
        <w:ind w:left="1378" w:hanging="510"/>
        <w:rPr>
          <w:snapToGrid w:val="0"/>
          <w:color w:val="auto"/>
        </w:rPr>
      </w:pPr>
      <w:r w:rsidRPr="00CD1278">
        <w:rPr>
          <w:snapToGrid w:val="0"/>
          <w:color w:val="auto"/>
        </w:rPr>
        <w:t>(iii)</w:t>
      </w:r>
      <w:r w:rsidRPr="00CD1278">
        <w:rPr>
          <w:snapToGrid w:val="0"/>
          <w:color w:val="auto"/>
        </w:rPr>
        <w:tab/>
        <w:t xml:space="preserve"> It is demonstrated that an appropriate effort is being made to evaluate, commercialise and secure national regulatory approval of alternatives and substitutes, taking into consideration the circumstances of the particular nomination and the special needs of Article 5 Parties, including lack of financial and expert resources, institutional capacity, and information. Non-Article 5 Parties must demonstrate that research programmes are in place to develop and deploy alternatives and substitutes. Article 5 Parties must demonstrate that feasible alternatives shall be adopted as soon as they are confirmed as suitable to the Party’s specific conditions and/or that they have applied to the Multilateral Fund or other sources for assistance in identifying, evaluating, adapting and demonstrating such options;</w:t>
      </w:r>
    </w:p>
    <w:p w14:paraId="595D0B71" w14:textId="77777777" w:rsidR="008D5F24" w:rsidRPr="00CD1278" w:rsidRDefault="008D5F24" w:rsidP="005A552B">
      <w:pPr>
        <w:tabs>
          <w:tab w:val="left" w:pos="720"/>
        </w:tabs>
        <w:spacing w:before="120"/>
        <w:rPr>
          <w:snapToGrid w:val="0"/>
          <w:color w:val="auto"/>
        </w:rPr>
      </w:pPr>
      <w:r w:rsidRPr="00CD1278">
        <w:rPr>
          <w:snapToGrid w:val="0"/>
          <w:color w:val="auto"/>
        </w:rPr>
        <w:t xml:space="preserve">2. </w:t>
      </w:r>
      <w:r w:rsidRPr="00CD1278">
        <w:rPr>
          <w:snapToGrid w:val="0"/>
          <w:color w:val="auto"/>
        </w:rPr>
        <w:tab/>
        <w:t>To request the Technology and Economic Assessment Panel to review nominations and make recommendations based on the criteria established in paragraphs 1 (a) (ii) and 1 (b) of the present decision;</w:t>
      </w:r>
    </w:p>
    <w:p w14:paraId="618CD4B3" w14:textId="77777777" w:rsidR="008D5F24" w:rsidRPr="00CD1278" w:rsidRDefault="008D5F24" w:rsidP="005A552B">
      <w:pPr>
        <w:tabs>
          <w:tab w:val="left" w:pos="720"/>
        </w:tabs>
        <w:rPr>
          <w:color w:val="auto"/>
        </w:rPr>
      </w:pPr>
      <w:r w:rsidRPr="00CD1278">
        <w:rPr>
          <w:snapToGrid w:val="0"/>
          <w:color w:val="auto"/>
        </w:rPr>
        <w:t xml:space="preserve">3. </w:t>
      </w:r>
      <w:r w:rsidRPr="00CD1278">
        <w:rPr>
          <w:snapToGrid w:val="0"/>
          <w:color w:val="auto"/>
        </w:rPr>
        <w:tab/>
        <w:t>That the present decision will apply to Parties operating under Article 5 and Parties not so operating only after the phase-out date applicable to those Parties.</w:t>
      </w:r>
    </w:p>
    <w:p w14:paraId="72C8D162" w14:textId="77777777" w:rsidR="008D5F24" w:rsidRPr="00CD1278" w:rsidRDefault="008D5F24" w:rsidP="005A552B">
      <w:pPr>
        <w:keepNext/>
        <w:keepLines/>
        <w:rPr>
          <w:color w:val="auto"/>
        </w:rPr>
      </w:pPr>
      <w:r w:rsidRPr="00CD1278">
        <w:rPr>
          <w:color w:val="auto"/>
        </w:rPr>
        <w:t>Para. 2 of Decision IX/6 does not assign TEAP the responsibility for determining the existence of “significant market disruption” specified in paragraph 1(a)(i).</w:t>
      </w:r>
    </w:p>
    <w:p w14:paraId="1D158E32" w14:textId="77777777" w:rsidR="008D5F24" w:rsidRPr="00CD1278" w:rsidRDefault="008D5F24" w:rsidP="005A552B">
      <w:pPr>
        <w:rPr>
          <w:snapToGrid w:val="0"/>
          <w:color w:val="auto"/>
        </w:rPr>
      </w:pPr>
      <w:r w:rsidRPr="00CD1278">
        <w:rPr>
          <w:color w:val="auto"/>
        </w:rPr>
        <w:t xml:space="preserve">TEAP assigned its Methyl Bromide Technical Options Committee (MBTOC) to determine whether there are </w:t>
      </w:r>
      <w:r w:rsidRPr="00CD1278">
        <w:rPr>
          <w:snapToGrid w:val="0"/>
          <w:color w:val="auto"/>
        </w:rPr>
        <w:t>no technically and economically feasible alternatives or substitutes available to the user that are acceptable from the standpoint of environment and health and are suitable to the crops and circumstances of the nomination, and to address the criteria listed in Decision IX/6 1(b).</w:t>
      </w:r>
    </w:p>
    <w:p w14:paraId="5EFCD5BA" w14:textId="77777777" w:rsidR="00214DED" w:rsidRPr="00CD1278" w:rsidRDefault="00214DED" w:rsidP="005A552B">
      <w:pPr>
        <w:spacing w:after="0"/>
        <w:rPr>
          <w:snapToGrid w:val="0"/>
          <w:color w:val="auto"/>
        </w:rPr>
      </w:pPr>
      <w:r w:rsidRPr="00CD1278">
        <w:rPr>
          <w:snapToGrid w:val="0"/>
          <w:color w:val="auto"/>
        </w:rPr>
        <w:br w:type="page"/>
      </w:r>
    </w:p>
    <w:p w14:paraId="24A017F0" w14:textId="77777777" w:rsidR="008B741B" w:rsidRPr="00CD1278" w:rsidRDefault="008B741B" w:rsidP="005A552B">
      <w:pPr>
        <w:ind w:left="2890" w:hanging="1733"/>
        <w:rPr>
          <w:b/>
          <w:color w:val="auto"/>
          <w:sz w:val="20"/>
        </w:rPr>
      </w:pPr>
      <w:bookmarkStart w:id="113" w:name="_Toc293054760"/>
    </w:p>
    <w:p w14:paraId="2CC32416" w14:textId="77777777" w:rsidR="008B741B" w:rsidRPr="00CD1278" w:rsidRDefault="008B741B" w:rsidP="005A552B">
      <w:pPr>
        <w:pStyle w:val="Heading1"/>
        <w:rPr>
          <w:rStyle w:val="Heading1Char3"/>
          <w:color w:val="auto"/>
          <w:sz w:val="32"/>
          <w:lang w:eastAsia="zh-CN"/>
        </w:rPr>
      </w:pPr>
      <w:bookmarkStart w:id="114" w:name="_Toc453277834"/>
      <w:r w:rsidRPr="00CD1278">
        <w:rPr>
          <w:rStyle w:val="Heading1Char3"/>
          <w:color w:val="auto"/>
          <w:sz w:val="32"/>
          <w:lang w:eastAsia="zh-CN"/>
        </w:rPr>
        <w:t>ANNEX II:</w:t>
      </w:r>
      <w:bookmarkEnd w:id="114"/>
      <w:r w:rsidRPr="00CD1278">
        <w:rPr>
          <w:rStyle w:val="Heading1Char3"/>
          <w:color w:val="auto"/>
          <w:sz w:val="32"/>
          <w:lang w:eastAsia="zh-CN"/>
        </w:rPr>
        <w:t xml:space="preserve">  </w:t>
      </w:r>
    </w:p>
    <w:p w14:paraId="554C27EC" w14:textId="61176EB6" w:rsidR="00F108F5" w:rsidRPr="00CD1278" w:rsidRDefault="00F108F5" w:rsidP="005A552B">
      <w:pPr>
        <w:pStyle w:val="Heading1"/>
        <w:rPr>
          <w:lang w:val="en-GB"/>
        </w:rPr>
      </w:pPr>
      <w:bookmarkStart w:id="115" w:name="_Toc453277835"/>
      <w:r w:rsidRPr="00CD1278">
        <w:rPr>
          <w:lang w:val="en-GB"/>
        </w:rPr>
        <w:t>Decision Ex.I/4.</w:t>
      </w:r>
      <w:r w:rsidR="002873C0" w:rsidRPr="00CD1278">
        <w:rPr>
          <w:lang w:val="en-GB"/>
        </w:rPr>
        <w:t xml:space="preserve"> C</w:t>
      </w:r>
      <w:r w:rsidRPr="00CD1278">
        <w:rPr>
          <w:lang w:val="en-GB"/>
        </w:rPr>
        <w:t>onditions for granting and reporting critical-use exemptions for methyl bromide</w:t>
      </w:r>
      <w:bookmarkEnd w:id="115"/>
    </w:p>
    <w:p w14:paraId="65A470F5" w14:textId="77777777" w:rsidR="00F108F5" w:rsidRPr="00CD1278" w:rsidRDefault="00F108F5" w:rsidP="005A552B">
      <w:pPr>
        <w:widowControl w:val="0"/>
        <w:spacing w:after="120"/>
        <w:ind w:left="851" w:hanging="425"/>
        <w:rPr>
          <w:color w:val="auto"/>
          <w:szCs w:val="22"/>
        </w:rPr>
      </w:pPr>
      <w:r w:rsidRPr="00CD1278">
        <w:rPr>
          <w:i/>
          <w:color w:val="auto"/>
          <w:szCs w:val="22"/>
        </w:rPr>
        <w:t xml:space="preserve">Mindful </w:t>
      </w:r>
      <w:r w:rsidRPr="00CD1278">
        <w:rPr>
          <w:color w:val="auto"/>
          <w:szCs w:val="22"/>
        </w:rPr>
        <w:t>of the principles set forth in the report</w:t>
      </w:r>
      <w:r w:rsidRPr="00CD1278">
        <w:rPr>
          <w:rStyle w:val="FootnoteReference"/>
          <w:color w:val="auto"/>
          <w:szCs w:val="22"/>
        </w:rPr>
        <w:footnoteReference w:id="3"/>
      </w:r>
      <w:r w:rsidRPr="00CD1278">
        <w:rPr>
          <w:color w:val="auto"/>
          <w:szCs w:val="22"/>
        </w:rPr>
        <w:t xml:space="preserve"> by the chair of the informal consultation on methyl bromide held in Buenos Aires on 4 and 5 March 2004, namely, fairness, certainty and confidence, practicality and flexibility, and transparency,</w:t>
      </w:r>
    </w:p>
    <w:p w14:paraId="708E5A3E" w14:textId="77777777" w:rsidR="00F108F5" w:rsidRPr="00CD1278" w:rsidRDefault="00F108F5" w:rsidP="005A552B">
      <w:pPr>
        <w:widowControl w:val="0"/>
        <w:spacing w:after="120"/>
        <w:ind w:left="851" w:hanging="425"/>
        <w:rPr>
          <w:color w:val="auto"/>
          <w:szCs w:val="22"/>
        </w:rPr>
      </w:pPr>
      <w:r w:rsidRPr="00CD1278">
        <w:rPr>
          <w:i/>
          <w:color w:val="auto"/>
          <w:szCs w:val="22"/>
        </w:rPr>
        <w:t>Recognizing</w:t>
      </w:r>
      <w:r w:rsidRPr="00CD1278">
        <w:rPr>
          <w:color w:val="auto"/>
          <w:szCs w:val="22"/>
        </w:rPr>
        <w:t xml:space="preserve"> that technically and economically feasible alternatives exist for most uses of methyl bromide,</w:t>
      </w:r>
    </w:p>
    <w:p w14:paraId="2028E44D" w14:textId="77777777" w:rsidR="00F108F5" w:rsidRPr="00CD1278" w:rsidRDefault="00F108F5" w:rsidP="005A552B">
      <w:pPr>
        <w:widowControl w:val="0"/>
        <w:spacing w:after="120"/>
        <w:ind w:left="851" w:hanging="425"/>
        <w:rPr>
          <w:color w:val="auto"/>
          <w:szCs w:val="22"/>
        </w:rPr>
      </w:pPr>
      <w:r w:rsidRPr="00CD1278">
        <w:rPr>
          <w:i/>
          <w:color w:val="auto"/>
          <w:szCs w:val="22"/>
        </w:rPr>
        <w:t>Noting</w:t>
      </w:r>
      <w:r w:rsidRPr="00CD1278">
        <w:rPr>
          <w:color w:val="auto"/>
          <w:szCs w:val="22"/>
        </w:rPr>
        <w:t xml:space="preserve"> that those alternatives are not always technically and economically feasible in the circumstances of nominations,</w:t>
      </w:r>
    </w:p>
    <w:p w14:paraId="5BCB277A" w14:textId="77777777" w:rsidR="00F108F5" w:rsidRPr="00CD1278" w:rsidRDefault="00F108F5" w:rsidP="005A552B">
      <w:pPr>
        <w:widowControl w:val="0"/>
        <w:spacing w:after="120"/>
        <w:ind w:left="851" w:hanging="425"/>
        <w:rPr>
          <w:color w:val="auto"/>
          <w:szCs w:val="22"/>
        </w:rPr>
      </w:pPr>
      <w:r w:rsidRPr="00CD1278">
        <w:rPr>
          <w:i/>
          <w:color w:val="auto"/>
          <w:szCs w:val="22"/>
        </w:rPr>
        <w:t xml:space="preserve">Noting </w:t>
      </w:r>
      <w:r w:rsidRPr="00CD1278">
        <w:rPr>
          <w:color w:val="auto"/>
          <w:szCs w:val="22"/>
        </w:rPr>
        <w:t>that Article 5 and non-Article 5 Parties have made substantial progress in the adoption of effective alternatives,</w:t>
      </w:r>
    </w:p>
    <w:p w14:paraId="1BB6546E" w14:textId="77777777" w:rsidR="00F108F5" w:rsidRPr="00CD1278" w:rsidRDefault="00F108F5" w:rsidP="005A552B">
      <w:pPr>
        <w:widowControl w:val="0"/>
        <w:spacing w:after="120"/>
        <w:ind w:left="851" w:hanging="425"/>
        <w:rPr>
          <w:color w:val="auto"/>
          <w:szCs w:val="22"/>
        </w:rPr>
      </w:pPr>
      <w:r w:rsidRPr="00CD1278">
        <w:rPr>
          <w:i/>
          <w:color w:val="auto"/>
          <w:szCs w:val="22"/>
        </w:rPr>
        <w:t>Mindful</w:t>
      </w:r>
      <w:r w:rsidRPr="00CD1278">
        <w:rPr>
          <w:color w:val="auto"/>
          <w:szCs w:val="22"/>
        </w:rPr>
        <w:t xml:space="preserve"> that exemptions must comply fully with decision IX/6 and are intended to be limited, temporary derogations from the phase-out of methyl bromide,</w:t>
      </w:r>
    </w:p>
    <w:p w14:paraId="3CD1C306" w14:textId="77777777" w:rsidR="00F108F5" w:rsidRPr="00CD1278" w:rsidRDefault="00F108F5" w:rsidP="005A552B">
      <w:pPr>
        <w:widowControl w:val="0"/>
        <w:spacing w:after="120"/>
        <w:ind w:left="851" w:hanging="425"/>
        <w:rPr>
          <w:color w:val="auto"/>
          <w:szCs w:val="22"/>
        </w:rPr>
      </w:pPr>
      <w:r w:rsidRPr="00CD1278">
        <w:rPr>
          <w:i/>
          <w:color w:val="auto"/>
          <w:szCs w:val="22"/>
        </w:rPr>
        <w:t xml:space="preserve">Recognizing </w:t>
      </w:r>
      <w:r w:rsidRPr="00CD1278">
        <w:rPr>
          <w:color w:val="auto"/>
          <w:szCs w:val="22"/>
        </w:rPr>
        <w:t>the desirability of a transparent presentation of data on alternatives to methyl bromide to assist the Parties to understand better the critical-use volumes and to gauge progress on and impediments to the transition from methyl bromide,</w:t>
      </w:r>
    </w:p>
    <w:p w14:paraId="56338675" w14:textId="77777777" w:rsidR="00F108F5" w:rsidRPr="00CD1278" w:rsidRDefault="00F108F5" w:rsidP="005A552B">
      <w:pPr>
        <w:widowControl w:val="0"/>
        <w:spacing w:after="120"/>
        <w:ind w:left="851" w:hanging="425"/>
        <w:rPr>
          <w:color w:val="auto"/>
          <w:szCs w:val="22"/>
        </w:rPr>
      </w:pPr>
      <w:r w:rsidRPr="00CD1278">
        <w:rPr>
          <w:i/>
          <w:color w:val="auto"/>
          <w:szCs w:val="22"/>
        </w:rPr>
        <w:t>Resolved</w:t>
      </w:r>
      <w:r w:rsidRPr="00CD1278">
        <w:rPr>
          <w:color w:val="auto"/>
          <w:szCs w:val="22"/>
        </w:rPr>
        <w:t xml:space="preserve"> that each Party should aim at significantly and progressively decreasing its production and consumption of methyl bromide for critical uses with the intention of completely phasing out methyl bromide as soon as technically and economically feasible alternatives are available,</w:t>
      </w:r>
    </w:p>
    <w:p w14:paraId="11BA2913" w14:textId="77777777" w:rsidR="00F108F5" w:rsidRPr="00CD1278" w:rsidRDefault="00F108F5" w:rsidP="005A552B">
      <w:pPr>
        <w:widowControl w:val="0"/>
        <w:spacing w:after="120"/>
        <w:ind w:left="851" w:hanging="425"/>
        <w:rPr>
          <w:color w:val="auto"/>
          <w:szCs w:val="22"/>
        </w:rPr>
      </w:pPr>
      <w:r w:rsidRPr="00CD1278">
        <w:rPr>
          <w:i/>
          <w:color w:val="auto"/>
          <w:szCs w:val="22"/>
        </w:rPr>
        <w:t>Recognizing</w:t>
      </w:r>
      <w:r w:rsidRPr="00CD1278">
        <w:rPr>
          <w:color w:val="auto"/>
          <w:szCs w:val="22"/>
        </w:rPr>
        <w:t xml:space="preserve"> that Parties should revert to methyl bromide only as a last resort, in the event that a technically and economically feasible alternative to methyl bromide which is in use ceases to be available as a result of de-registration or for other reasons,</w:t>
      </w:r>
    </w:p>
    <w:p w14:paraId="2DC666F7" w14:textId="77777777" w:rsidR="00F108F5" w:rsidRPr="00CD1278" w:rsidRDefault="00F108F5" w:rsidP="005A552B">
      <w:pPr>
        <w:widowControl w:val="0"/>
        <w:numPr>
          <w:ilvl w:val="0"/>
          <w:numId w:val="8"/>
        </w:numPr>
        <w:spacing w:after="120"/>
        <w:ind w:left="851" w:hanging="425"/>
        <w:rPr>
          <w:color w:val="auto"/>
          <w:szCs w:val="22"/>
        </w:rPr>
      </w:pPr>
      <w:r w:rsidRPr="00CD1278">
        <w:rPr>
          <w:color w:val="auto"/>
          <w:szCs w:val="22"/>
        </w:rPr>
        <w:t>That each Party which has an agreed critical use under the present decision should submit available information to the Ozone Secretariat before 1 February 2005 on the alternatives available, listed according to their pre-harvest or post-harvest uses and the possible date of registration, if required, for each alternative; and on the alternatives which the Parties can disclose to be under development, listed according to their pre-harvest or post-harvest uses and the likely date of registration, if required and known, for those alternatives, and that the Ozone Secretariat shall be requested to provide a template for that information and to post the said information in a database entitled “Methyl Bromide Alternatives” on its web site;</w:t>
      </w:r>
    </w:p>
    <w:p w14:paraId="2F68D9E3" w14:textId="77777777" w:rsidR="00F108F5" w:rsidRPr="00CD1278" w:rsidRDefault="00F108F5" w:rsidP="005A552B">
      <w:pPr>
        <w:widowControl w:val="0"/>
        <w:numPr>
          <w:ilvl w:val="0"/>
          <w:numId w:val="8"/>
        </w:numPr>
        <w:spacing w:after="120"/>
        <w:ind w:left="851" w:hanging="425"/>
        <w:rPr>
          <w:color w:val="auto"/>
          <w:szCs w:val="22"/>
        </w:rPr>
      </w:pPr>
      <w:r w:rsidRPr="00CD1278">
        <w:rPr>
          <w:color w:val="auto"/>
          <w:szCs w:val="22"/>
        </w:rPr>
        <w:t>That each Party which submits a nomination for the production and consumption of methyl bromide for years after 2005 should also submit information listed in paragraph 1 to the Ozone Secretariat to include in its Methyl Bromide Alternatives database and that any other Party which no longer consumes methyl bromide should also submit information on alternatives to the Secretariat for inclusion in that database;</w:t>
      </w:r>
    </w:p>
    <w:p w14:paraId="647BB03B" w14:textId="77777777" w:rsidR="00F108F5" w:rsidRPr="00CD1278" w:rsidRDefault="00F108F5" w:rsidP="005A552B">
      <w:pPr>
        <w:widowControl w:val="0"/>
        <w:numPr>
          <w:ilvl w:val="0"/>
          <w:numId w:val="8"/>
        </w:numPr>
        <w:spacing w:after="120"/>
        <w:ind w:left="851" w:hanging="425"/>
        <w:rPr>
          <w:color w:val="auto"/>
          <w:szCs w:val="22"/>
        </w:rPr>
      </w:pPr>
      <w:r w:rsidRPr="00CD1278">
        <w:rPr>
          <w:color w:val="auto"/>
          <w:szCs w:val="22"/>
        </w:rPr>
        <w:t>To request each Party which makes a critical-use nomination after 2005 to submit a national management strategy for phase-out of critical uses of methyl bromide to the Ozone Secretariat before 1 February 2006. The management strategy should aim, among other things:</w:t>
      </w:r>
    </w:p>
    <w:p w14:paraId="7824AE4F"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avoid any increase in methyl bromide consumption except for unforeseen circumstances;</w:t>
      </w:r>
    </w:p>
    <w:p w14:paraId="323FF59A"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encourage the use of alternatives through the use of expedited procedures, where possible, to develop, register and deploy technically and economically feasible alternatives;</w:t>
      </w:r>
    </w:p>
    <w:p w14:paraId="5ABDD3CF"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provide information, for each current pre-harvest and post-harvest use for which a nomination is planned, on the potential market penetration of newly deployed alternatives and alternatives which may be used in the near future, to bring forward the time when it is estimated that methyl bromide consumption for such uses can be reduced and/or ultimately eliminated;</w:t>
      </w:r>
    </w:p>
    <w:p w14:paraId="3F739540"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promote the implementation of measures which ensure that any emissions of methyl bromide are minimized;</w:t>
      </w:r>
    </w:p>
    <w:p w14:paraId="5031850D"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show how the management strategy will be implemented to promote the phase</w:t>
      </w:r>
      <w:r w:rsidRPr="00CD1278">
        <w:rPr>
          <w:color w:val="auto"/>
          <w:szCs w:val="22"/>
        </w:rPr>
        <w:noBreakHyphen/>
        <w:t>out of uses of methyl bromide as soon as technically and economically feasible alternatives are available, in particular describing the steps which the Party is taking in regard to subparagraph (b) (iii) of paragraph 1 of decision IX/6 in respect of research programmes in non-Article 5 Parties and the adoption of alternatives by Article 5 Parties;</w:t>
      </w:r>
    </w:p>
    <w:p w14:paraId="16CA2488" w14:textId="77777777" w:rsidR="00F108F5" w:rsidRPr="00CD1278" w:rsidRDefault="00F108F5" w:rsidP="005A552B">
      <w:pPr>
        <w:widowControl w:val="0"/>
        <w:numPr>
          <w:ilvl w:val="0"/>
          <w:numId w:val="8"/>
        </w:numPr>
        <w:spacing w:after="120"/>
        <w:ind w:left="851" w:hanging="425"/>
        <w:rPr>
          <w:color w:val="auto"/>
          <w:szCs w:val="22"/>
        </w:rPr>
      </w:pPr>
      <w:r w:rsidRPr="00CD1278">
        <w:rPr>
          <w:color w:val="auto"/>
          <w:szCs w:val="22"/>
        </w:rPr>
        <w:t>To request the Meeting of the Parties to take into account information submitted pursuant to paragraphs 1 and 3 of the present decision when it considers permitting a Party to produce or consume methyl bromide for critical uses after 2006;</w:t>
      </w:r>
    </w:p>
    <w:p w14:paraId="63E842F5" w14:textId="77777777" w:rsidR="00F108F5" w:rsidRPr="00CD1278" w:rsidRDefault="00F108F5" w:rsidP="005A552B">
      <w:pPr>
        <w:widowControl w:val="0"/>
        <w:numPr>
          <w:ilvl w:val="0"/>
          <w:numId w:val="8"/>
        </w:numPr>
        <w:spacing w:after="120"/>
        <w:ind w:left="851" w:hanging="425"/>
        <w:rPr>
          <w:color w:val="auto"/>
          <w:szCs w:val="22"/>
        </w:rPr>
      </w:pPr>
      <w:r w:rsidRPr="00CD1278">
        <w:rPr>
          <w:color w:val="auto"/>
          <w:szCs w:val="22"/>
        </w:rPr>
        <w:t>To request a Party that has submitted a request for a critical use exemption to consider and implement, if feasible, Technology and Economic Assessment Panel and Methyl Bromide Technical Options Committee recommendations on actions which a Party may take to reduce critical uses of methyl bromide;</w:t>
      </w:r>
    </w:p>
    <w:p w14:paraId="605D8AC4" w14:textId="77777777" w:rsidR="00F108F5" w:rsidRPr="00CD1278" w:rsidRDefault="00F108F5" w:rsidP="005A552B">
      <w:pPr>
        <w:keepLines/>
        <w:widowControl w:val="0"/>
        <w:numPr>
          <w:ilvl w:val="0"/>
          <w:numId w:val="8"/>
        </w:numPr>
        <w:spacing w:after="120"/>
        <w:ind w:left="851" w:hanging="425"/>
        <w:rPr>
          <w:color w:val="auto"/>
          <w:szCs w:val="22"/>
        </w:rPr>
      </w:pPr>
      <w:r w:rsidRPr="00CD1278">
        <w:rPr>
          <w:color w:val="auto"/>
          <w:szCs w:val="22"/>
        </w:rPr>
        <w:t>To request any Party submitting a critical-use nomination after 2004 to describe in its nomination the methodology used to determine economic feasibility in the event that economic feasibility is used as a criterion to justify the requirement for the critical use of methyl bromide, using as a guide the economic criteria contained in section 4 of annex I to the present report;</w:t>
      </w:r>
    </w:p>
    <w:p w14:paraId="7FA17244" w14:textId="77777777" w:rsidR="00F108F5" w:rsidRPr="00CD1278" w:rsidRDefault="00F108F5" w:rsidP="005A552B">
      <w:pPr>
        <w:widowControl w:val="0"/>
        <w:numPr>
          <w:ilvl w:val="0"/>
          <w:numId w:val="8"/>
        </w:numPr>
        <w:spacing w:after="120"/>
        <w:ind w:left="851" w:hanging="425"/>
        <w:rPr>
          <w:color w:val="auto"/>
          <w:szCs w:val="22"/>
        </w:rPr>
      </w:pPr>
      <w:r w:rsidRPr="00CD1278">
        <w:rPr>
          <w:color w:val="auto"/>
          <w:szCs w:val="22"/>
        </w:rPr>
        <w:t>To request each Party from 1 January 2005 to provide to the Ozone Secretariat a summary of each crop or post-harvest nomination containing the following information:</w:t>
      </w:r>
    </w:p>
    <w:p w14:paraId="6FA99E93"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Name of the nominating Party;</w:t>
      </w:r>
    </w:p>
    <w:p w14:paraId="5935619D"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Descriptive title of the nomination;</w:t>
      </w:r>
    </w:p>
    <w:p w14:paraId="6FEEB9BF"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Crop name (open field or protected) or post-harvest use;</w:t>
      </w:r>
    </w:p>
    <w:p w14:paraId="3458BBF0"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Quantity of methyl bromide requested in each year;</w:t>
      </w:r>
    </w:p>
    <w:p w14:paraId="4B2EC13A"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Reason or reasons why alternatives to methyl bromide are not technically and economically feasible;</w:t>
      </w:r>
    </w:p>
    <w:p w14:paraId="5BB79C25" w14:textId="77777777" w:rsidR="00F108F5" w:rsidRPr="00CD1278" w:rsidRDefault="00F108F5" w:rsidP="005A552B">
      <w:pPr>
        <w:numPr>
          <w:ilvl w:val="0"/>
          <w:numId w:val="8"/>
        </w:numPr>
        <w:spacing w:after="120"/>
        <w:ind w:left="851" w:hanging="425"/>
        <w:rPr>
          <w:color w:val="auto"/>
          <w:szCs w:val="22"/>
        </w:rPr>
      </w:pPr>
      <w:r w:rsidRPr="00CD1278">
        <w:rPr>
          <w:color w:val="auto"/>
          <w:szCs w:val="22"/>
        </w:rPr>
        <w:t>To request the Ozone Secretariat to post the information submitted pursuant to paragraph 7 above, categorized according to the year in which it was received, on its web site within 10 days of receiving the nomination;</w:t>
      </w:r>
    </w:p>
    <w:p w14:paraId="2DEE1B9F" w14:textId="77777777" w:rsidR="00F108F5" w:rsidRPr="00CD1278" w:rsidRDefault="00F108F5" w:rsidP="005A552B">
      <w:pPr>
        <w:widowControl w:val="0"/>
        <w:numPr>
          <w:ilvl w:val="0"/>
          <w:numId w:val="8"/>
        </w:numPr>
        <w:spacing w:after="120"/>
        <w:ind w:left="851" w:hanging="425"/>
        <w:rPr>
          <w:color w:val="auto"/>
          <w:szCs w:val="22"/>
        </w:rPr>
      </w:pPr>
      <w:r w:rsidRPr="00CD1278">
        <w:rPr>
          <w:color w:val="auto"/>
          <w:szCs w:val="22"/>
        </w:rPr>
        <w:t>To request the Technology and Economic Assessment Panel:</w:t>
      </w:r>
    </w:p>
    <w:p w14:paraId="22A676FC"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identify options which Parties may consider for preventing potential harmful trade of methyl bromide stocks to Article 5 Parties as consumption is reduced in non-Article 5 Parties and to publish its evaluation in 2005 to enable the Seventeenth Meeting of the Parties to decide if suitable mitigating steps are necessary;</w:t>
      </w:r>
    </w:p>
    <w:p w14:paraId="672F5B51"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identify factors which Article 5 Parties may wish to take into account in evaluating whether they should either undertake new accelerated phase-out commitments through the Multilateral Fund for the Implementation of the Montreal Protocol or seek changes to already agreed accelerated phase-outs of methyl bromide under the Multilateral Fund;</w:t>
      </w:r>
    </w:p>
    <w:p w14:paraId="1ECF0DFE"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assess economic infeasibility, based on the methodology submitted by the nominating Party under paragraph 6 above, in making its recommendations on each critical-use nomination. The report by the Technology and Economic Assessment Panel should be made with a view to encouraging nominating Parties to adopt a common approach in assessing the economic feasibility of alternatives;</w:t>
      </w:r>
    </w:p>
    <w:p w14:paraId="08587B67"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submit a report to the Open-ended Working Group at its twenty-sixth session on the possible need for methyl bromide critical uses over the next few years, based on a review of the management strategies submitted by Parties pursuant to paragraph 3 of the present decision;</w:t>
      </w:r>
    </w:p>
    <w:p w14:paraId="4582E5C0"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review critical-use nominations on an annual basis and apply the criteria set forth in decision IX/6 and of other relevant criteria agreed by the Parties;</w:t>
      </w:r>
    </w:p>
    <w:p w14:paraId="49B4CD97"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recommend an accounting framework for adoption by the Sixteenth Meeting of the Parties which can be used for reporting quantities of methyl bromide produced, imported and exported by Parties under the terms of critical-use exemptions, and after the end of 2005 to request each Party which has been granted a critical-use exemption to submit information together with its nomination using the agreed format;</w:t>
      </w:r>
    </w:p>
    <w:p w14:paraId="384007B3"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provide, in consultation with interested Parties, a format for a critical-use exemption report, based on the content of annex I to the present report, for adoption by the Sixteenth Meeting of the Parties, and to request each Party which reapplies for a methyl bromide critical-use exemption after the end of 2005 to submit a critical-use exemption report in the agreed format;</w:t>
      </w:r>
    </w:p>
    <w:p w14:paraId="0B7442CF"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assess, annually where appropriate, any critical-use nomination made after the end of 2006 in the light of the Methyl Bromide Alternatives database information submitted pursuant to paragraph 1 of the present decision, and to compare, annually where appropriate, the quantity, in the nomination, of methyl bromide requested and recommended for each pre-harvest and post-harvest use with the management strategy submitted by the Party pursuant to paragraph 3 of the present decision;</w:t>
      </w:r>
    </w:p>
    <w:p w14:paraId="0633BE71"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report annually on the status of re-registration and review of methyl bromide uses for the applications reflected in the critical-use exemptions, including any information on health effects and environmental acceptability;</w:t>
      </w:r>
    </w:p>
    <w:p w14:paraId="0A1DB438"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 xml:space="preserve">To report annually on the status of registration of alternatives and substitutes for methyl bromide, with particular emphasis on possible regulatory actions that will increase or decrease dependence on methyl bromide; </w:t>
      </w:r>
    </w:p>
    <w:p w14:paraId="3097808B" w14:textId="77777777" w:rsidR="00F108F5" w:rsidRPr="00CD1278" w:rsidRDefault="00F108F5" w:rsidP="005A552B">
      <w:pPr>
        <w:widowControl w:val="0"/>
        <w:numPr>
          <w:ilvl w:val="2"/>
          <w:numId w:val="8"/>
        </w:numPr>
        <w:spacing w:after="120"/>
        <w:ind w:left="851" w:hanging="425"/>
        <w:rPr>
          <w:color w:val="auto"/>
          <w:szCs w:val="22"/>
        </w:rPr>
      </w:pPr>
      <w:r w:rsidRPr="00CD1278">
        <w:rPr>
          <w:color w:val="auto"/>
          <w:szCs w:val="22"/>
        </w:rPr>
        <w:t>To modify the handbook on critical-use nominations for methyl bromide to take the present decision and other relevant information into account, for submission to the Sixteenth Meeting of the Parties.</w:t>
      </w:r>
    </w:p>
    <w:bookmarkEnd w:id="113"/>
    <w:p w14:paraId="3F2B10D0" w14:textId="77777777" w:rsidR="00214DED" w:rsidRPr="00CD1278" w:rsidRDefault="00214DED" w:rsidP="009446BE">
      <w:pPr>
        <w:jc w:val="both"/>
        <w:rPr>
          <w:color w:val="auto"/>
          <w:szCs w:val="22"/>
        </w:rPr>
      </w:pPr>
    </w:p>
    <w:p w14:paraId="7230DDDE" w14:textId="77777777" w:rsidR="008D5F24" w:rsidRPr="00CD1278" w:rsidRDefault="008D5F24" w:rsidP="009D2B4C">
      <w:pPr>
        <w:rPr>
          <w:snapToGrid w:val="0"/>
          <w:color w:val="auto"/>
        </w:rPr>
      </w:pPr>
    </w:p>
    <w:p w14:paraId="57BC737A" w14:textId="77777777" w:rsidR="00A81059" w:rsidRPr="00CD1278" w:rsidRDefault="008D5F24" w:rsidP="00986AB9">
      <w:pPr>
        <w:spacing w:before="120" w:after="120"/>
        <w:rPr>
          <w:rFonts w:ascii="Arial" w:hAnsi="Arial" w:cs="Arial"/>
          <w:color w:val="auto"/>
          <w:szCs w:val="22"/>
        </w:rPr>
        <w:sectPr w:rsidR="00A81059" w:rsidRPr="00CD1278" w:rsidSect="0038722C">
          <w:headerReference w:type="even" r:id="rId94"/>
          <w:headerReference w:type="default" r:id="rId95"/>
          <w:footerReference w:type="even" r:id="rId96"/>
          <w:footerReference w:type="default" r:id="rId97"/>
          <w:headerReference w:type="first" r:id="rId98"/>
          <w:pgSz w:w="11906" w:h="16838"/>
          <w:pgMar w:top="1440" w:right="1440" w:bottom="1134" w:left="1440" w:header="708" w:footer="708" w:gutter="0"/>
          <w:cols w:space="708"/>
          <w:docGrid w:linePitch="360"/>
        </w:sectPr>
      </w:pPr>
      <w:r w:rsidRPr="00CD1278">
        <w:rPr>
          <w:color w:val="auto"/>
        </w:rPr>
        <w:br w:type="page"/>
      </w:r>
      <w:bookmarkStart w:id="116" w:name="_Toc324255723"/>
    </w:p>
    <w:p w14:paraId="3D990A16" w14:textId="2B5F1EEA" w:rsidR="002812E9" w:rsidRPr="00CD1278" w:rsidRDefault="008D5F24" w:rsidP="00A426E1">
      <w:pPr>
        <w:pStyle w:val="Heading1"/>
        <w:rPr>
          <w:rStyle w:val="Heading1Char3"/>
          <w:color w:val="auto"/>
        </w:rPr>
      </w:pPr>
      <w:bookmarkStart w:id="117" w:name="_Toc321747477"/>
      <w:bookmarkStart w:id="118" w:name="_Toc293054761"/>
      <w:bookmarkStart w:id="119" w:name="_Toc453277836"/>
      <w:r w:rsidRPr="00CD1278">
        <w:rPr>
          <w:rStyle w:val="Heading1Char3"/>
          <w:color w:val="auto"/>
        </w:rPr>
        <w:t>ANNEX II</w:t>
      </w:r>
      <w:r w:rsidR="007E3C82" w:rsidRPr="00CD1278">
        <w:rPr>
          <w:rStyle w:val="Heading1Char3"/>
          <w:color w:val="auto"/>
        </w:rPr>
        <w:t>I</w:t>
      </w:r>
      <w:r w:rsidRPr="00CD1278">
        <w:rPr>
          <w:rStyle w:val="Heading1Char3"/>
          <w:color w:val="auto"/>
        </w:rPr>
        <w:t xml:space="preserve"> - Part A: </w:t>
      </w:r>
      <w:r w:rsidR="00DD40B2" w:rsidRPr="00CD1278">
        <w:rPr>
          <w:rStyle w:val="Heading1Char3"/>
          <w:color w:val="auto"/>
        </w:rPr>
        <w:t xml:space="preserve">Historic </w:t>
      </w:r>
      <w:r w:rsidRPr="00CD1278">
        <w:rPr>
          <w:rStyle w:val="Heading1Char3"/>
          <w:color w:val="auto"/>
        </w:rPr>
        <w:t>Trend</w:t>
      </w:r>
      <w:r w:rsidR="00DD40B2" w:rsidRPr="00CD1278">
        <w:rPr>
          <w:rStyle w:val="Heading1Char3"/>
          <w:color w:val="auto"/>
        </w:rPr>
        <w:t>s</w:t>
      </w:r>
      <w:r w:rsidRPr="00CD1278">
        <w:rPr>
          <w:rStyle w:val="Heading1Char3"/>
          <w:color w:val="auto"/>
        </w:rPr>
        <w:t xml:space="preserve"> in </w:t>
      </w:r>
      <w:r w:rsidR="00D34C6F" w:rsidRPr="00CD1278">
        <w:rPr>
          <w:rStyle w:val="Heading1Char3"/>
          <w:color w:val="auto"/>
        </w:rPr>
        <w:t xml:space="preserve">non A5 </w:t>
      </w:r>
      <w:r w:rsidRPr="00CD1278">
        <w:rPr>
          <w:rStyle w:val="Heading1Char3"/>
          <w:color w:val="auto"/>
        </w:rPr>
        <w:t>Preplant Soil Nominations and Exemptions</w:t>
      </w:r>
      <w:bookmarkEnd w:id="116"/>
      <w:r w:rsidR="00D72537" w:rsidRPr="00CD1278">
        <w:rPr>
          <w:rStyle w:val="Heading1Char3"/>
          <w:color w:val="auto"/>
        </w:rPr>
        <w:t xml:space="preserve"> </w:t>
      </w:r>
      <w:r w:rsidR="00DC7383" w:rsidRPr="00CD1278">
        <w:rPr>
          <w:rStyle w:val="Heading1Char3"/>
          <w:color w:val="auto"/>
        </w:rPr>
        <w:t xml:space="preserve">for </w:t>
      </w:r>
      <w:bookmarkEnd w:id="117"/>
      <w:bookmarkEnd w:id="118"/>
      <w:bookmarkEnd w:id="119"/>
      <w:r w:rsidR="002812E9" w:rsidRPr="00CD1278">
        <w:rPr>
          <w:rStyle w:val="Heading1Char3"/>
          <w:color w:val="auto"/>
        </w:rPr>
        <w:t>Uses of MB reported to have been phased out</w:t>
      </w:r>
    </w:p>
    <w:p w14:paraId="64712565" w14:textId="2F111680" w:rsidR="008D5F24" w:rsidRPr="00CD1278" w:rsidRDefault="008D5F24" w:rsidP="00A426E1">
      <w:pPr>
        <w:pStyle w:val="Heading1"/>
        <w:rPr>
          <w:lang w:val="en-GB"/>
        </w:rPr>
      </w:pPr>
      <w:r w:rsidRPr="00CD1278">
        <w:rPr>
          <w:lang w:val="en-GB"/>
        </w:rPr>
        <w:t>List of nominated (2005 – 201</w:t>
      </w:r>
      <w:r w:rsidR="00986AB9" w:rsidRPr="00CD1278">
        <w:rPr>
          <w:lang w:val="en-GB"/>
        </w:rPr>
        <w:t>5</w:t>
      </w:r>
      <w:r w:rsidRPr="00CD1278">
        <w:rPr>
          <w:lang w:val="en-GB"/>
        </w:rPr>
        <w:t>) and exempted (2005 – 201</w:t>
      </w:r>
      <w:r w:rsidR="002812E9" w:rsidRPr="00CD1278">
        <w:rPr>
          <w:b/>
          <w:lang w:val="en-GB"/>
        </w:rPr>
        <w:t>5</w:t>
      </w:r>
      <w:r w:rsidRPr="00CD1278">
        <w:rPr>
          <w:lang w:val="en-GB"/>
        </w:rPr>
        <w:t xml:space="preserve">) amounts of MB granted by Parties under the CUE process for each crop. </w:t>
      </w:r>
    </w:p>
    <w:tbl>
      <w:tblPr>
        <w:tblW w:w="16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824"/>
        <w:gridCol w:w="770"/>
        <w:gridCol w:w="647"/>
        <w:gridCol w:w="709"/>
        <w:gridCol w:w="567"/>
        <w:gridCol w:w="709"/>
        <w:gridCol w:w="567"/>
        <w:gridCol w:w="708"/>
        <w:gridCol w:w="567"/>
        <w:gridCol w:w="567"/>
        <w:gridCol w:w="629"/>
        <w:gridCol w:w="567"/>
        <w:gridCol w:w="567"/>
        <w:gridCol w:w="709"/>
        <w:gridCol w:w="709"/>
        <w:gridCol w:w="708"/>
        <w:gridCol w:w="709"/>
        <w:gridCol w:w="567"/>
        <w:gridCol w:w="647"/>
        <w:gridCol w:w="567"/>
        <w:gridCol w:w="567"/>
        <w:gridCol w:w="567"/>
        <w:gridCol w:w="567"/>
        <w:gridCol w:w="567"/>
        <w:gridCol w:w="567"/>
      </w:tblGrid>
      <w:tr w:rsidR="003C102E" w:rsidRPr="00CD1278" w14:paraId="65F6C03F" w14:textId="77777777" w:rsidTr="00FC4A53">
        <w:trPr>
          <w:trHeight w:val="270"/>
          <w:tblHeader/>
          <w:jc w:val="center"/>
        </w:trPr>
        <w:tc>
          <w:tcPr>
            <w:tcW w:w="662" w:type="dxa"/>
            <w:vMerge w:val="restart"/>
            <w:shd w:val="clear" w:color="auto" w:fill="auto"/>
            <w:vAlign w:val="center"/>
          </w:tcPr>
          <w:p w14:paraId="63B47386" w14:textId="77777777" w:rsidR="00E723F5" w:rsidRPr="00CD1278" w:rsidRDefault="00E723F5" w:rsidP="008277E3">
            <w:pPr>
              <w:spacing w:after="60"/>
              <w:rPr>
                <w:b/>
                <w:bCs/>
                <w:color w:val="auto"/>
                <w:sz w:val="12"/>
                <w:szCs w:val="12"/>
              </w:rPr>
            </w:pPr>
            <w:bookmarkStart w:id="120" w:name="_Toc324255724"/>
            <w:bookmarkStart w:id="121" w:name="_Toc210294181"/>
            <w:r w:rsidRPr="00CD1278">
              <w:rPr>
                <w:b/>
                <w:bCs/>
                <w:color w:val="auto"/>
                <w:sz w:val="12"/>
                <w:szCs w:val="12"/>
              </w:rPr>
              <w:t>Party</w:t>
            </w:r>
          </w:p>
        </w:tc>
        <w:tc>
          <w:tcPr>
            <w:tcW w:w="824" w:type="dxa"/>
            <w:vMerge w:val="restart"/>
            <w:shd w:val="clear" w:color="auto" w:fill="auto"/>
            <w:vAlign w:val="center"/>
          </w:tcPr>
          <w:p w14:paraId="1CC0C1BC" w14:textId="77777777" w:rsidR="00E723F5" w:rsidRPr="00CD1278" w:rsidRDefault="00E723F5" w:rsidP="00D1371C">
            <w:pPr>
              <w:spacing w:after="60"/>
              <w:ind w:left="-87"/>
              <w:rPr>
                <w:b/>
                <w:bCs/>
                <w:color w:val="auto"/>
                <w:sz w:val="12"/>
                <w:szCs w:val="12"/>
              </w:rPr>
            </w:pPr>
            <w:r w:rsidRPr="00CD1278">
              <w:rPr>
                <w:b/>
                <w:bCs/>
                <w:color w:val="auto"/>
                <w:sz w:val="12"/>
                <w:szCs w:val="12"/>
              </w:rPr>
              <w:t>Industry</w:t>
            </w:r>
          </w:p>
        </w:tc>
        <w:tc>
          <w:tcPr>
            <w:tcW w:w="7574" w:type="dxa"/>
            <w:gridSpan w:val="12"/>
            <w:shd w:val="clear" w:color="auto" w:fill="auto"/>
            <w:vAlign w:val="center"/>
          </w:tcPr>
          <w:p w14:paraId="29D50BE9" w14:textId="77777777" w:rsidR="00E723F5" w:rsidRPr="00CD1278" w:rsidRDefault="00E723F5" w:rsidP="008277E3">
            <w:pPr>
              <w:spacing w:after="60"/>
              <w:jc w:val="center"/>
              <w:rPr>
                <w:b/>
                <w:bCs/>
                <w:color w:val="auto"/>
                <w:sz w:val="12"/>
                <w:szCs w:val="12"/>
              </w:rPr>
            </w:pPr>
            <w:r w:rsidRPr="00CD1278">
              <w:rPr>
                <w:b/>
                <w:bCs/>
                <w:color w:val="auto"/>
                <w:sz w:val="12"/>
                <w:szCs w:val="12"/>
              </w:rPr>
              <w:t>Total CUN MB Quantities</w:t>
            </w:r>
          </w:p>
        </w:tc>
        <w:tc>
          <w:tcPr>
            <w:tcW w:w="7451" w:type="dxa"/>
            <w:gridSpan w:val="12"/>
            <w:shd w:val="clear" w:color="auto" w:fill="auto"/>
            <w:vAlign w:val="center"/>
          </w:tcPr>
          <w:p w14:paraId="6D36AF7A" w14:textId="77777777" w:rsidR="00E723F5" w:rsidRPr="00CD1278" w:rsidRDefault="00E723F5" w:rsidP="008277E3">
            <w:pPr>
              <w:spacing w:after="60"/>
              <w:jc w:val="center"/>
              <w:rPr>
                <w:b/>
                <w:bCs/>
                <w:color w:val="auto"/>
                <w:sz w:val="12"/>
                <w:szCs w:val="12"/>
              </w:rPr>
            </w:pPr>
            <w:r w:rsidRPr="00CD1278">
              <w:rPr>
                <w:b/>
                <w:bCs/>
                <w:color w:val="auto"/>
                <w:sz w:val="12"/>
                <w:szCs w:val="12"/>
              </w:rPr>
              <w:t>Total CUE Quantities</w:t>
            </w:r>
          </w:p>
        </w:tc>
      </w:tr>
      <w:tr w:rsidR="003C102E" w:rsidRPr="00CD1278" w14:paraId="659BB3F6" w14:textId="77777777" w:rsidTr="008277E3">
        <w:trPr>
          <w:trHeight w:val="393"/>
          <w:tblHeader/>
          <w:jc w:val="center"/>
        </w:trPr>
        <w:tc>
          <w:tcPr>
            <w:tcW w:w="662" w:type="dxa"/>
            <w:vMerge/>
            <w:shd w:val="clear" w:color="auto" w:fill="auto"/>
            <w:vAlign w:val="center"/>
          </w:tcPr>
          <w:p w14:paraId="463A2480" w14:textId="77777777" w:rsidR="00D34C6F" w:rsidRPr="00CD1278" w:rsidRDefault="00D34C6F" w:rsidP="008277E3">
            <w:pPr>
              <w:spacing w:after="60"/>
              <w:jc w:val="center"/>
              <w:rPr>
                <w:b/>
                <w:bCs/>
                <w:color w:val="auto"/>
                <w:sz w:val="12"/>
                <w:szCs w:val="12"/>
              </w:rPr>
            </w:pPr>
          </w:p>
        </w:tc>
        <w:tc>
          <w:tcPr>
            <w:tcW w:w="824" w:type="dxa"/>
            <w:vMerge/>
            <w:shd w:val="clear" w:color="auto" w:fill="auto"/>
            <w:vAlign w:val="center"/>
          </w:tcPr>
          <w:p w14:paraId="3F9726C1" w14:textId="77777777" w:rsidR="00D34C6F" w:rsidRPr="00CD1278" w:rsidRDefault="00D34C6F" w:rsidP="00D1371C">
            <w:pPr>
              <w:spacing w:after="60"/>
              <w:ind w:left="-87"/>
              <w:jc w:val="center"/>
              <w:rPr>
                <w:b/>
                <w:bCs/>
                <w:color w:val="auto"/>
                <w:sz w:val="12"/>
                <w:szCs w:val="12"/>
              </w:rPr>
            </w:pPr>
          </w:p>
        </w:tc>
        <w:tc>
          <w:tcPr>
            <w:tcW w:w="770" w:type="dxa"/>
            <w:shd w:val="clear" w:color="auto" w:fill="auto"/>
            <w:vAlign w:val="center"/>
          </w:tcPr>
          <w:p w14:paraId="24B6954E" w14:textId="77777777" w:rsidR="00D34C6F" w:rsidRPr="00CD1278" w:rsidRDefault="00D34C6F" w:rsidP="008277E3">
            <w:pPr>
              <w:spacing w:after="60"/>
              <w:jc w:val="center"/>
              <w:rPr>
                <w:b/>
                <w:bCs/>
                <w:color w:val="auto"/>
                <w:sz w:val="12"/>
                <w:szCs w:val="12"/>
              </w:rPr>
            </w:pPr>
            <w:r w:rsidRPr="00CD1278">
              <w:rPr>
                <w:b/>
                <w:bCs/>
                <w:color w:val="auto"/>
                <w:sz w:val="12"/>
                <w:szCs w:val="12"/>
              </w:rPr>
              <w:t>2005</w:t>
            </w:r>
          </w:p>
        </w:tc>
        <w:tc>
          <w:tcPr>
            <w:tcW w:w="647" w:type="dxa"/>
            <w:shd w:val="clear" w:color="auto" w:fill="auto"/>
            <w:vAlign w:val="center"/>
          </w:tcPr>
          <w:p w14:paraId="0B8A86FD" w14:textId="77777777" w:rsidR="00D34C6F" w:rsidRPr="00CD1278" w:rsidRDefault="00D34C6F" w:rsidP="008277E3">
            <w:pPr>
              <w:spacing w:after="60"/>
              <w:jc w:val="center"/>
              <w:rPr>
                <w:b/>
                <w:bCs/>
                <w:color w:val="auto"/>
                <w:sz w:val="12"/>
                <w:szCs w:val="12"/>
              </w:rPr>
            </w:pPr>
            <w:r w:rsidRPr="00CD1278">
              <w:rPr>
                <w:b/>
                <w:bCs/>
                <w:color w:val="auto"/>
                <w:sz w:val="12"/>
                <w:szCs w:val="12"/>
              </w:rPr>
              <w:t>2006</w:t>
            </w:r>
          </w:p>
        </w:tc>
        <w:tc>
          <w:tcPr>
            <w:tcW w:w="709" w:type="dxa"/>
            <w:shd w:val="clear" w:color="auto" w:fill="auto"/>
            <w:vAlign w:val="center"/>
          </w:tcPr>
          <w:p w14:paraId="5C694D7C" w14:textId="77777777" w:rsidR="00D34C6F" w:rsidRPr="00CD1278" w:rsidRDefault="00D34C6F" w:rsidP="008277E3">
            <w:pPr>
              <w:spacing w:after="60"/>
              <w:jc w:val="center"/>
              <w:rPr>
                <w:b/>
                <w:bCs/>
                <w:color w:val="auto"/>
                <w:sz w:val="12"/>
                <w:szCs w:val="12"/>
              </w:rPr>
            </w:pPr>
            <w:r w:rsidRPr="00CD1278">
              <w:rPr>
                <w:b/>
                <w:bCs/>
                <w:color w:val="auto"/>
                <w:sz w:val="12"/>
                <w:szCs w:val="12"/>
              </w:rPr>
              <w:t>2007</w:t>
            </w:r>
          </w:p>
        </w:tc>
        <w:tc>
          <w:tcPr>
            <w:tcW w:w="567" w:type="dxa"/>
            <w:shd w:val="clear" w:color="auto" w:fill="auto"/>
            <w:vAlign w:val="center"/>
          </w:tcPr>
          <w:p w14:paraId="4ECE6304" w14:textId="77777777" w:rsidR="00D34C6F" w:rsidRPr="00CD1278" w:rsidRDefault="00D34C6F" w:rsidP="008277E3">
            <w:pPr>
              <w:spacing w:after="60"/>
              <w:jc w:val="center"/>
              <w:rPr>
                <w:b/>
                <w:bCs/>
                <w:color w:val="auto"/>
                <w:sz w:val="12"/>
                <w:szCs w:val="12"/>
              </w:rPr>
            </w:pPr>
            <w:r w:rsidRPr="00CD1278">
              <w:rPr>
                <w:b/>
                <w:bCs/>
                <w:color w:val="auto"/>
                <w:sz w:val="12"/>
                <w:szCs w:val="12"/>
              </w:rPr>
              <w:t>2008</w:t>
            </w:r>
          </w:p>
        </w:tc>
        <w:tc>
          <w:tcPr>
            <w:tcW w:w="709" w:type="dxa"/>
            <w:shd w:val="clear" w:color="auto" w:fill="auto"/>
            <w:vAlign w:val="center"/>
          </w:tcPr>
          <w:p w14:paraId="5EB9698B" w14:textId="77777777" w:rsidR="00D34C6F" w:rsidRPr="00CD1278" w:rsidRDefault="00D34C6F" w:rsidP="008277E3">
            <w:pPr>
              <w:spacing w:after="60"/>
              <w:jc w:val="center"/>
              <w:rPr>
                <w:b/>
                <w:bCs/>
                <w:color w:val="auto"/>
                <w:sz w:val="12"/>
                <w:szCs w:val="12"/>
              </w:rPr>
            </w:pPr>
            <w:r w:rsidRPr="00CD1278">
              <w:rPr>
                <w:b/>
                <w:bCs/>
                <w:color w:val="auto"/>
                <w:sz w:val="12"/>
                <w:szCs w:val="12"/>
              </w:rPr>
              <w:t>2009</w:t>
            </w:r>
          </w:p>
        </w:tc>
        <w:tc>
          <w:tcPr>
            <w:tcW w:w="567" w:type="dxa"/>
            <w:shd w:val="clear" w:color="auto" w:fill="auto"/>
            <w:vAlign w:val="center"/>
          </w:tcPr>
          <w:p w14:paraId="0A12D237" w14:textId="77777777" w:rsidR="00D34C6F" w:rsidRPr="00CD1278" w:rsidRDefault="00D34C6F" w:rsidP="008277E3">
            <w:pPr>
              <w:spacing w:after="60"/>
              <w:jc w:val="center"/>
              <w:rPr>
                <w:b/>
                <w:bCs/>
                <w:color w:val="auto"/>
                <w:sz w:val="12"/>
                <w:szCs w:val="12"/>
              </w:rPr>
            </w:pPr>
            <w:r w:rsidRPr="00CD1278">
              <w:rPr>
                <w:b/>
                <w:bCs/>
                <w:color w:val="auto"/>
                <w:sz w:val="12"/>
                <w:szCs w:val="12"/>
              </w:rPr>
              <w:t>2010</w:t>
            </w:r>
          </w:p>
        </w:tc>
        <w:tc>
          <w:tcPr>
            <w:tcW w:w="708" w:type="dxa"/>
            <w:shd w:val="clear" w:color="auto" w:fill="auto"/>
            <w:vAlign w:val="center"/>
          </w:tcPr>
          <w:p w14:paraId="0F173DDB" w14:textId="77777777" w:rsidR="00D34C6F" w:rsidRPr="00CD1278" w:rsidRDefault="00D34C6F" w:rsidP="008277E3">
            <w:pPr>
              <w:spacing w:after="60"/>
              <w:jc w:val="center"/>
              <w:rPr>
                <w:b/>
                <w:bCs/>
                <w:color w:val="auto"/>
                <w:sz w:val="12"/>
                <w:szCs w:val="12"/>
              </w:rPr>
            </w:pPr>
            <w:r w:rsidRPr="00CD1278">
              <w:rPr>
                <w:b/>
                <w:bCs/>
                <w:color w:val="auto"/>
                <w:sz w:val="12"/>
                <w:szCs w:val="12"/>
              </w:rPr>
              <w:t>2011</w:t>
            </w:r>
          </w:p>
        </w:tc>
        <w:tc>
          <w:tcPr>
            <w:tcW w:w="567" w:type="dxa"/>
            <w:shd w:val="clear" w:color="auto" w:fill="auto"/>
            <w:vAlign w:val="center"/>
          </w:tcPr>
          <w:p w14:paraId="09ACC50A" w14:textId="77777777" w:rsidR="00D34C6F" w:rsidRPr="00CD1278" w:rsidRDefault="00D34C6F" w:rsidP="008277E3">
            <w:pPr>
              <w:spacing w:after="60"/>
              <w:jc w:val="center"/>
              <w:rPr>
                <w:b/>
                <w:bCs/>
                <w:color w:val="auto"/>
                <w:sz w:val="12"/>
                <w:szCs w:val="12"/>
              </w:rPr>
            </w:pPr>
            <w:r w:rsidRPr="00CD1278">
              <w:rPr>
                <w:b/>
                <w:bCs/>
                <w:color w:val="auto"/>
                <w:sz w:val="12"/>
                <w:szCs w:val="12"/>
              </w:rPr>
              <w:t>2012</w:t>
            </w:r>
          </w:p>
        </w:tc>
        <w:tc>
          <w:tcPr>
            <w:tcW w:w="567" w:type="dxa"/>
            <w:shd w:val="clear" w:color="auto" w:fill="auto"/>
            <w:vAlign w:val="center"/>
          </w:tcPr>
          <w:p w14:paraId="440FD93D" w14:textId="77777777" w:rsidR="00D34C6F" w:rsidRPr="00CD1278" w:rsidRDefault="00D34C6F" w:rsidP="008277E3">
            <w:pPr>
              <w:spacing w:after="60"/>
              <w:jc w:val="center"/>
              <w:rPr>
                <w:b/>
                <w:bCs/>
                <w:color w:val="auto"/>
                <w:sz w:val="12"/>
                <w:szCs w:val="12"/>
              </w:rPr>
            </w:pPr>
            <w:r w:rsidRPr="00CD1278">
              <w:rPr>
                <w:b/>
                <w:bCs/>
                <w:color w:val="auto"/>
                <w:sz w:val="12"/>
                <w:szCs w:val="12"/>
              </w:rPr>
              <w:t>2013</w:t>
            </w:r>
          </w:p>
        </w:tc>
        <w:tc>
          <w:tcPr>
            <w:tcW w:w="629" w:type="dxa"/>
            <w:vAlign w:val="center"/>
          </w:tcPr>
          <w:p w14:paraId="2F0DD360" w14:textId="77777777" w:rsidR="00D34C6F" w:rsidRPr="00CD1278" w:rsidRDefault="00D34C6F" w:rsidP="008277E3">
            <w:pPr>
              <w:spacing w:after="60"/>
              <w:jc w:val="center"/>
              <w:rPr>
                <w:b/>
                <w:bCs/>
                <w:color w:val="auto"/>
                <w:sz w:val="12"/>
                <w:szCs w:val="12"/>
              </w:rPr>
            </w:pPr>
            <w:r w:rsidRPr="00CD1278">
              <w:rPr>
                <w:b/>
                <w:bCs/>
                <w:color w:val="auto"/>
                <w:sz w:val="12"/>
                <w:szCs w:val="12"/>
              </w:rPr>
              <w:t>2014</w:t>
            </w:r>
          </w:p>
        </w:tc>
        <w:tc>
          <w:tcPr>
            <w:tcW w:w="567" w:type="dxa"/>
            <w:vAlign w:val="center"/>
          </w:tcPr>
          <w:p w14:paraId="4072D807" w14:textId="77777777" w:rsidR="00D34C6F" w:rsidRPr="00CD1278" w:rsidRDefault="00D34C6F" w:rsidP="008277E3">
            <w:pPr>
              <w:spacing w:after="60"/>
              <w:jc w:val="center"/>
              <w:rPr>
                <w:b/>
                <w:bCs/>
                <w:color w:val="auto"/>
                <w:sz w:val="12"/>
                <w:szCs w:val="12"/>
              </w:rPr>
            </w:pPr>
            <w:r w:rsidRPr="00CD1278">
              <w:rPr>
                <w:b/>
                <w:bCs/>
                <w:color w:val="auto"/>
                <w:sz w:val="12"/>
                <w:szCs w:val="12"/>
              </w:rPr>
              <w:t>2015</w:t>
            </w:r>
          </w:p>
        </w:tc>
        <w:tc>
          <w:tcPr>
            <w:tcW w:w="567" w:type="dxa"/>
            <w:vAlign w:val="center"/>
          </w:tcPr>
          <w:p w14:paraId="10D64955" w14:textId="77777777" w:rsidR="00D34C6F" w:rsidRPr="00CD1278" w:rsidRDefault="00D34C6F" w:rsidP="008277E3">
            <w:pPr>
              <w:spacing w:after="60"/>
              <w:jc w:val="center"/>
              <w:rPr>
                <w:b/>
                <w:bCs/>
                <w:color w:val="auto"/>
                <w:sz w:val="12"/>
                <w:szCs w:val="12"/>
              </w:rPr>
            </w:pPr>
            <w:r w:rsidRPr="00CD1278">
              <w:rPr>
                <w:b/>
                <w:bCs/>
                <w:color w:val="auto"/>
                <w:sz w:val="12"/>
                <w:szCs w:val="12"/>
              </w:rPr>
              <w:t>2016</w:t>
            </w:r>
          </w:p>
        </w:tc>
        <w:tc>
          <w:tcPr>
            <w:tcW w:w="709" w:type="dxa"/>
            <w:shd w:val="clear" w:color="auto" w:fill="auto"/>
            <w:vAlign w:val="center"/>
          </w:tcPr>
          <w:p w14:paraId="07C7EB9E" w14:textId="77777777" w:rsidR="00D34C6F" w:rsidRPr="00CD1278" w:rsidRDefault="00D34C6F" w:rsidP="008277E3">
            <w:pPr>
              <w:spacing w:after="60"/>
              <w:jc w:val="center"/>
              <w:rPr>
                <w:b/>
                <w:bCs/>
                <w:color w:val="auto"/>
                <w:sz w:val="12"/>
                <w:szCs w:val="12"/>
              </w:rPr>
            </w:pPr>
            <w:r w:rsidRPr="00CD1278">
              <w:rPr>
                <w:b/>
                <w:bCs/>
                <w:color w:val="auto"/>
                <w:sz w:val="12"/>
                <w:szCs w:val="12"/>
              </w:rPr>
              <w:t>2005</w:t>
            </w:r>
          </w:p>
        </w:tc>
        <w:tc>
          <w:tcPr>
            <w:tcW w:w="709" w:type="dxa"/>
            <w:shd w:val="clear" w:color="auto" w:fill="auto"/>
            <w:vAlign w:val="center"/>
          </w:tcPr>
          <w:p w14:paraId="1BA6C68C" w14:textId="77777777" w:rsidR="00D34C6F" w:rsidRPr="00CD1278" w:rsidRDefault="00D34C6F" w:rsidP="008277E3">
            <w:pPr>
              <w:spacing w:after="60"/>
              <w:jc w:val="center"/>
              <w:rPr>
                <w:b/>
                <w:bCs/>
                <w:color w:val="auto"/>
                <w:sz w:val="12"/>
                <w:szCs w:val="12"/>
              </w:rPr>
            </w:pPr>
            <w:r w:rsidRPr="00CD1278">
              <w:rPr>
                <w:b/>
                <w:bCs/>
                <w:color w:val="auto"/>
                <w:sz w:val="12"/>
                <w:szCs w:val="12"/>
              </w:rPr>
              <w:t>2006</w:t>
            </w:r>
          </w:p>
        </w:tc>
        <w:tc>
          <w:tcPr>
            <w:tcW w:w="708" w:type="dxa"/>
            <w:shd w:val="clear" w:color="auto" w:fill="auto"/>
            <w:vAlign w:val="center"/>
          </w:tcPr>
          <w:p w14:paraId="681B9A89" w14:textId="77777777" w:rsidR="00D34C6F" w:rsidRPr="00CD1278" w:rsidRDefault="00D34C6F" w:rsidP="008277E3">
            <w:pPr>
              <w:spacing w:after="60"/>
              <w:jc w:val="center"/>
              <w:rPr>
                <w:b/>
                <w:bCs/>
                <w:color w:val="auto"/>
                <w:sz w:val="12"/>
                <w:szCs w:val="12"/>
              </w:rPr>
            </w:pPr>
            <w:r w:rsidRPr="00CD1278">
              <w:rPr>
                <w:b/>
                <w:bCs/>
                <w:color w:val="auto"/>
                <w:sz w:val="12"/>
                <w:szCs w:val="12"/>
              </w:rPr>
              <w:t>2007</w:t>
            </w:r>
          </w:p>
        </w:tc>
        <w:tc>
          <w:tcPr>
            <w:tcW w:w="709" w:type="dxa"/>
            <w:shd w:val="clear" w:color="auto" w:fill="auto"/>
            <w:vAlign w:val="center"/>
          </w:tcPr>
          <w:p w14:paraId="06046406" w14:textId="77777777" w:rsidR="00D34C6F" w:rsidRPr="00CD1278" w:rsidRDefault="00D34C6F" w:rsidP="008277E3">
            <w:pPr>
              <w:spacing w:after="60"/>
              <w:jc w:val="center"/>
              <w:rPr>
                <w:b/>
                <w:bCs/>
                <w:color w:val="auto"/>
                <w:sz w:val="12"/>
                <w:szCs w:val="12"/>
              </w:rPr>
            </w:pPr>
            <w:r w:rsidRPr="00CD1278">
              <w:rPr>
                <w:b/>
                <w:bCs/>
                <w:color w:val="auto"/>
                <w:sz w:val="12"/>
                <w:szCs w:val="12"/>
              </w:rPr>
              <w:t>2008</w:t>
            </w:r>
          </w:p>
        </w:tc>
        <w:tc>
          <w:tcPr>
            <w:tcW w:w="567" w:type="dxa"/>
            <w:shd w:val="clear" w:color="auto" w:fill="auto"/>
            <w:vAlign w:val="center"/>
          </w:tcPr>
          <w:p w14:paraId="717DDD05" w14:textId="77777777" w:rsidR="00D34C6F" w:rsidRPr="00CD1278" w:rsidRDefault="00D34C6F" w:rsidP="008277E3">
            <w:pPr>
              <w:spacing w:after="60"/>
              <w:jc w:val="center"/>
              <w:rPr>
                <w:b/>
                <w:bCs/>
                <w:color w:val="auto"/>
                <w:sz w:val="12"/>
                <w:szCs w:val="12"/>
              </w:rPr>
            </w:pPr>
            <w:r w:rsidRPr="00CD1278">
              <w:rPr>
                <w:b/>
                <w:bCs/>
                <w:color w:val="auto"/>
                <w:sz w:val="12"/>
                <w:szCs w:val="12"/>
              </w:rPr>
              <w:t>2009</w:t>
            </w:r>
          </w:p>
        </w:tc>
        <w:tc>
          <w:tcPr>
            <w:tcW w:w="647" w:type="dxa"/>
            <w:shd w:val="clear" w:color="auto" w:fill="auto"/>
            <w:vAlign w:val="center"/>
          </w:tcPr>
          <w:p w14:paraId="0494F46B" w14:textId="77777777" w:rsidR="00D34C6F" w:rsidRPr="00CD1278" w:rsidRDefault="00D34C6F" w:rsidP="008277E3">
            <w:pPr>
              <w:spacing w:after="60"/>
              <w:jc w:val="center"/>
              <w:rPr>
                <w:b/>
                <w:bCs/>
                <w:color w:val="auto"/>
                <w:sz w:val="12"/>
                <w:szCs w:val="12"/>
              </w:rPr>
            </w:pPr>
            <w:r w:rsidRPr="00CD1278">
              <w:rPr>
                <w:b/>
                <w:bCs/>
                <w:color w:val="auto"/>
                <w:sz w:val="12"/>
                <w:szCs w:val="12"/>
              </w:rPr>
              <w:t>2010</w:t>
            </w:r>
          </w:p>
        </w:tc>
        <w:tc>
          <w:tcPr>
            <w:tcW w:w="567" w:type="dxa"/>
            <w:shd w:val="clear" w:color="auto" w:fill="auto"/>
            <w:vAlign w:val="center"/>
          </w:tcPr>
          <w:p w14:paraId="61715A0D" w14:textId="77777777" w:rsidR="00D34C6F" w:rsidRPr="00CD1278" w:rsidRDefault="00D34C6F" w:rsidP="008277E3">
            <w:pPr>
              <w:spacing w:after="60"/>
              <w:jc w:val="center"/>
              <w:rPr>
                <w:b/>
                <w:bCs/>
                <w:color w:val="auto"/>
                <w:sz w:val="12"/>
                <w:szCs w:val="12"/>
              </w:rPr>
            </w:pPr>
            <w:r w:rsidRPr="00CD1278">
              <w:rPr>
                <w:b/>
                <w:bCs/>
                <w:color w:val="auto"/>
                <w:sz w:val="12"/>
                <w:szCs w:val="12"/>
              </w:rPr>
              <w:t>2011</w:t>
            </w:r>
          </w:p>
        </w:tc>
        <w:tc>
          <w:tcPr>
            <w:tcW w:w="567" w:type="dxa"/>
            <w:shd w:val="clear" w:color="auto" w:fill="auto"/>
            <w:vAlign w:val="center"/>
          </w:tcPr>
          <w:p w14:paraId="549892DE" w14:textId="77777777" w:rsidR="00D34C6F" w:rsidRPr="00CD1278" w:rsidRDefault="00D34C6F" w:rsidP="008277E3">
            <w:pPr>
              <w:spacing w:after="60"/>
              <w:jc w:val="center"/>
              <w:rPr>
                <w:b/>
                <w:bCs/>
                <w:color w:val="auto"/>
                <w:sz w:val="12"/>
                <w:szCs w:val="12"/>
              </w:rPr>
            </w:pPr>
            <w:r w:rsidRPr="00CD1278">
              <w:rPr>
                <w:b/>
                <w:bCs/>
                <w:color w:val="auto"/>
                <w:sz w:val="12"/>
                <w:szCs w:val="12"/>
              </w:rPr>
              <w:t>2012</w:t>
            </w:r>
          </w:p>
        </w:tc>
        <w:tc>
          <w:tcPr>
            <w:tcW w:w="567" w:type="dxa"/>
            <w:vAlign w:val="center"/>
          </w:tcPr>
          <w:p w14:paraId="7C4728EF" w14:textId="77777777" w:rsidR="00D34C6F" w:rsidRPr="00CD1278" w:rsidRDefault="00D34C6F" w:rsidP="008277E3">
            <w:pPr>
              <w:spacing w:after="60"/>
              <w:jc w:val="center"/>
              <w:rPr>
                <w:b/>
                <w:bCs/>
                <w:color w:val="auto"/>
                <w:sz w:val="12"/>
                <w:szCs w:val="12"/>
              </w:rPr>
            </w:pPr>
            <w:r w:rsidRPr="00CD1278">
              <w:rPr>
                <w:b/>
                <w:bCs/>
                <w:color w:val="auto"/>
                <w:sz w:val="12"/>
                <w:szCs w:val="12"/>
              </w:rPr>
              <w:t>2013</w:t>
            </w:r>
          </w:p>
        </w:tc>
        <w:tc>
          <w:tcPr>
            <w:tcW w:w="567" w:type="dxa"/>
            <w:vAlign w:val="center"/>
          </w:tcPr>
          <w:p w14:paraId="50FA544E" w14:textId="77777777" w:rsidR="00D34C6F" w:rsidRPr="00CD1278" w:rsidRDefault="00D34C6F" w:rsidP="008277E3">
            <w:pPr>
              <w:spacing w:after="60"/>
              <w:jc w:val="center"/>
              <w:rPr>
                <w:b/>
                <w:bCs/>
                <w:color w:val="auto"/>
                <w:sz w:val="12"/>
                <w:szCs w:val="12"/>
              </w:rPr>
            </w:pPr>
            <w:r w:rsidRPr="00CD1278">
              <w:rPr>
                <w:b/>
                <w:bCs/>
                <w:color w:val="auto"/>
                <w:sz w:val="12"/>
                <w:szCs w:val="12"/>
              </w:rPr>
              <w:t>2014</w:t>
            </w:r>
          </w:p>
        </w:tc>
        <w:tc>
          <w:tcPr>
            <w:tcW w:w="567" w:type="dxa"/>
            <w:vAlign w:val="center"/>
          </w:tcPr>
          <w:p w14:paraId="2E811B5D" w14:textId="77777777" w:rsidR="00D34C6F" w:rsidRPr="00CD1278" w:rsidRDefault="00D34C6F" w:rsidP="008277E3">
            <w:pPr>
              <w:spacing w:after="60"/>
              <w:jc w:val="center"/>
              <w:rPr>
                <w:b/>
                <w:bCs/>
                <w:color w:val="auto"/>
                <w:sz w:val="12"/>
                <w:szCs w:val="12"/>
              </w:rPr>
            </w:pPr>
            <w:r w:rsidRPr="00CD1278">
              <w:rPr>
                <w:b/>
                <w:bCs/>
                <w:color w:val="auto"/>
                <w:sz w:val="12"/>
                <w:szCs w:val="12"/>
              </w:rPr>
              <w:t>2015</w:t>
            </w:r>
          </w:p>
        </w:tc>
        <w:tc>
          <w:tcPr>
            <w:tcW w:w="567" w:type="dxa"/>
            <w:vAlign w:val="center"/>
          </w:tcPr>
          <w:p w14:paraId="2A038F43" w14:textId="77777777" w:rsidR="00D34C6F" w:rsidRPr="00CD1278" w:rsidRDefault="00D34C6F" w:rsidP="008277E3">
            <w:pPr>
              <w:spacing w:after="60"/>
              <w:jc w:val="center"/>
              <w:rPr>
                <w:b/>
                <w:bCs/>
                <w:color w:val="auto"/>
                <w:sz w:val="12"/>
                <w:szCs w:val="12"/>
              </w:rPr>
            </w:pPr>
            <w:r w:rsidRPr="00CD1278">
              <w:rPr>
                <w:b/>
                <w:bCs/>
                <w:color w:val="auto"/>
                <w:sz w:val="12"/>
                <w:szCs w:val="12"/>
              </w:rPr>
              <w:t>2016</w:t>
            </w:r>
          </w:p>
        </w:tc>
      </w:tr>
      <w:tr w:rsidR="003C102E" w:rsidRPr="00CD1278" w14:paraId="3A3B6642" w14:textId="77777777" w:rsidTr="008277E3">
        <w:trPr>
          <w:trHeight w:val="465"/>
          <w:jc w:val="center"/>
        </w:trPr>
        <w:tc>
          <w:tcPr>
            <w:tcW w:w="662" w:type="dxa"/>
            <w:shd w:val="clear" w:color="auto" w:fill="auto"/>
            <w:vAlign w:val="center"/>
          </w:tcPr>
          <w:p w14:paraId="2153CE2B" w14:textId="77777777" w:rsidR="00D34C6F" w:rsidRPr="00CD1278" w:rsidRDefault="00D34C6F" w:rsidP="008277E3">
            <w:pPr>
              <w:spacing w:after="60"/>
              <w:rPr>
                <w:color w:val="auto"/>
                <w:sz w:val="12"/>
                <w:szCs w:val="12"/>
              </w:rPr>
            </w:pPr>
            <w:r w:rsidRPr="00CD1278">
              <w:rPr>
                <w:color w:val="auto"/>
                <w:sz w:val="12"/>
                <w:szCs w:val="12"/>
              </w:rPr>
              <w:t>Australia</w:t>
            </w:r>
          </w:p>
        </w:tc>
        <w:tc>
          <w:tcPr>
            <w:tcW w:w="824" w:type="dxa"/>
            <w:shd w:val="clear" w:color="auto" w:fill="auto"/>
            <w:vAlign w:val="center"/>
          </w:tcPr>
          <w:p w14:paraId="27190D62" w14:textId="77777777" w:rsidR="00D34C6F" w:rsidRPr="00CD1278" w:rsidRDefault="00D34C6F" w:rsidP="00D1371C">
            <w:pPr>
              <w:spacing w:after="60"/>
              <w:ind w:left="-87"/>
              <w:rPr>
                <w:color w:val="auto"/>
                <w:sz w:val="12"/>
                <w:szCs w:val="12"/>
              </w:rPr>
            </w:pPr>
            <w:r w:rsidRPr="00CD1278">
              <w:rPr>
                <w:color w:val="auto"/>
                <w:sz w:val="12"/>
                <w:szCs w:val="12"/>
              </w:rPr>
              <w:t>Cut Flowers – field</w:t>
            </w:r>
          </w:p>
        </w:tc>
        <w:tc>
          <w:tcPr>
            <w:tcW w:w="770" w:type="dxa"/>
            <w:shd w:val="clear" w:color="auto" w:fill="auto"/>
            <w:vAlign w:val="center"/>
          </w:tcPr>
          <w:p w14:paraId="07232034" w14:textId="77777777" w:rsidR="00D34C6F" w:rsidRPr="00CD1278" w:rsidRDefault="00D34C6F" w:rsidP="008277E3">
            <w:pPr>
              <w:spacing w:after="60"/>
              <w:rPr>
                <w:color w:val="auto"/>
                <w:sz w:val="10"/>
                <w:szCs w:val="10"/>
              </w:rPr>
            </w:pPr>
            <w:r w:rsidRPr="00CD1278">
              <w:rPr>
                <w:color w:val="auto"/>
                <w:sz w:val="10"/>
                <w:szCs w:val="10"/>
              </w:rPr>
              <w:t>40.000</w:t>
            </w:r>
          </w:p>
        </w:tc>
        <w:tc>
          <w:tcPr>
            <w:tcW w:w="647" w:type="dxa"/>
            <w:shd w:val="clear" w:color="auto" w:fill="auto"/>
            <w:vAlign w:val="center"/>
          </w:tcPr>
          <w:p w14:paraId="699715D3" w14:textId="77777777" w:rsidR="00D34C6F" w:rsidRPr="00CD1278" w:rsidRDefault="00D34C6F" w:rsidP="008277E3">
            <w:pPr>
              <w:spacing w:after="60"/>
              <w:rPr>
                <w:color w:val="auto"/>
                <w:sz w:val="10"/>
                <w:szCs w:val="10"/>
              </w:rPr>
            </w:pPr>
            <w:r w:rsidRPr="00CD1278">
              <w:rPr>
                <w:color w:val="auto"/>
                <w:sz w:val="10"/>
                <w:szCs w:val="10"/>
              </w:rPr>
              <w:t>22.350</w:t>
            </w:r>
          </w:p>
        </w:tc>
        <w:tc>
          <w:tcPr>
            <w:tcW w:w="709" w:type="dxa"/>
            <w:shd w:val="clear" w:color="auto" w:fill="auto"/>
            <w:vAlign w:val="center"/>
          </w:tcPr>
          <w:p w14:paraId="642D1C9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1ADA325"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D588C5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90C035F"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5CEA4EC4" w14:textId="77777777" w:rsidR="00D34C6F" w:rsidRPr="00CD1278" w:rsidRDefault="00D34C6F" w:rsidP="008277E3">
            <w:pPr>
              <w:spacing w:after="60"/>
              <w:rPr>
                <w:b/>
                <w:bCs/>
                <w:color w:val="auto"/>
                <w:sz w:val="10"/>
                <w:szCs w:val="10"/>
              </w:rPr>
            </w:pPr>
            <w:r w:rsidRPr="00CD1278">
              <w:rPr>
                <w:b/>
                <w:bCs/>
                <w:color w:val="auto"/>
                <w:sz w:val="10"/>
                <w:szCs w:val="10"/>
              </w:rPr>
              <w:t> </w:t>
            </w:r>
          </w:p>
        </w:tc>
        <w:tc>
          <w:tcPr>
            <w:tcW w:w="567" w:type="dxa"/>
            <w:shd w:val="clear" w:color="auto" w:fill="auto"/>
            <w:vAlign w:val="center"/>
          </w:tcPr>
          <w:p w14:paraId="23DCADC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402F5A4"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609692AE" w14:textId="77777777" w:rsidR="00D34C6F" w:rsidRPr="00CD1278" w:rsidRDefault="00D34C6F" w:rsidP="008277E3">
            <w:pPr>
              <w:spacing w:after="60"/>
              <w:rPr>
                <w:color w:val="auto"/>
                <w:sz w:val="10"/>
                <w:szCs w:val="10"/>
              </w:rPr>
            </w:pPr>
          </w:p>
        </w:tc>
        <w:tc>
          <w:tcPr>
            <w:tcW w:w="567" w:type="dxa"/>
          </w:tcPr>
          <w:p w14:paraId="0B8611F4" w14:textId="77777777" w:rsidR="00D34C6F" w:rsidRPr="00CD1278" w:rsidRDefault="00D34C6F" w:rsidP="008277E3">
            <w:pPr>
              <w:spacing w:after="60"/>
              <w:jc w:val="center"/>
              <w:rPr>
                <w:color w:val="auto"/>
                <w:sz w:val="10"/>
                <w:szCs w:val="10"/>
              </w:rPr>
            </w:pPr>
          </w:p>
        </w:tc>
        <w:tc>
          <w:tcPr>
            <w:tcW w:w="567" w:type="dxa"/>
          </w:tcPr>
          <w:p w14:paraId="316B70F8"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1D99DD5" w14:textId="77777777" w:rsidR="00D34C6F" w:rsidRPr="00CD1278" w:rsidRDefault="00D34C6F" w:rsidP="008277E3">
            <w:pPr>
              <w:spacing w:after="60"/>
              <w:rPr>
                <w:color w:val="auto"/>
                <w:sz w:val="10"/>
                <w:szCs w:val="10"/>
              </w:rPr>
            </w:pPr>
            <w:r w:rsidRPr="00CD1278">
              <w:rPr>
                <w:color w:val="auto"/>
                <w:sz w:val="10"/>
                <w:szCs w:val="10"/>
              </w:rPr>
              <w:t>18.375</w:t>
            </w:r>
          </w:p>
        </w:tc>
        <w:tc>
          <w:tcPr>
            <w:tcW w:w="709" w:type="dxa"/>
            <w:shd w:val="clear" w:color="auto" w:fill="auto"/>
            <w:vAlign w:val="center"/>
          </w:tcPr>
          <w:p w14:paraId="1488AFA6" w14:textId="77777777" w:rsidR="00D34C6F" w:rsidRPr="00CD1278" w:rsidRDefault="00D34C6F" w:rsidP="008277E3">
            <w:pPr>
              <w:spacing w:after="60"/>
              <w:ind w:right="-108"/>
              <w:rPr>
                <w:color w:val="auto"/>
                <w:sz w:val="10"/>
                <w:szCs w:val="10"/>
              </w:rPr>
            </w:pPr>
            <w:r w:rsidRPr="00CD1278">
              <w:rPr>
                <w:color w:val="auto"/>
                <w:sz w:val="10"/>
                <w:szCs w:val="10"/>
              </w:rPr>
              <w:t>22.350</w:t>
            </w:r>
          </w:p>
        </w:tc>
        <w:tc>
          <w:tcPr>
            <w:tcW w:w="708" w:type="dxa"/>
            <w:shd w:val="clear" w:color="auto" w:fill="auto"/>
            <w:vAlign w:val="center"/>
          </w:tcPr>
          <w:p w14:paraId="5AC740C8"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90D227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7EFA842"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4016F04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B0D8B6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61AA72B8"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62FFD76E" w14:textId="77777777" w:rsidR="00D34C6F" w:rsidRPr="00CD1278" w:rsidRDefault="00D34C6F" w:rsidP="008277E3">
            <w:pPr>
              <w:spacing w:after="60"/>
              <w:rPr>
                <w:b/>
                <w:color w:val="auto"/>
                <w:sz w:val="10"/>
                <w:szCs w:val="10"/>
              </w:rPr>
            </w:pPr>
          </w:p>
        </w:tc>
        <w:tc>
          <w:tcPr>
            <w:tcW w:w="567" w:type="dxa"/>
          </w:tcPr>
          <w:p w14:paraId="0BF887F5" w14:textId="77777777" w:rsidR="00D34C6F" w:rsidRPr="00CD1278" w:rsidRDefault="00D34C6F" w:rsidP="008277E3">
            <w:pPr>
              <w:spacing w:after="60"/>
              <w:jc w:val="center"/>
              <w:rPr>
                <w:b/>
                <w:color w:val="auto"/>
                <w:sz w:val="10"/>
                <w:szCs w:val="10"/>
              </w:rPr>
            </w:pPr>
          </w:p>
        </w:tc>
        <w:tc>
          <w:tcPr>
            <w:tcW w:w="567" w:type="dxa"/>
          </w:tcPr>
          <w:p w14:paraId="5884722E" w14:textId="77777777" w:rsidR="00D34C6F" w:rsidRPr="00CD1278" w:rsidRDefault="00D34C6F" w:rsidP="008277E3">
            <w:pPr>
              <w:spacing w:after="60"/>
              <w:jc w:val="center"/>
              <w:rPr>
                <w:b/>
                <w:color w:val="auto"/>
                <w:sz w:val="10"/>
                <w:szCs w:val="10"/>
              </w:rPr>
            </w:pPr>
          </w:p>
        </w:tc>
        <w:tc>
          <w:tcPr>
            <w:tcW w:w="567" w:type="dxa"/>
          </w:tcPr>
          <w:p w14:paraId="6C1D470B" w14:textId="77777777" w:rsidR="00D34C6F" w:rsidRPr="00CD1278" w:rsidRDefault="00D34C6F" w:rsidP="008277E3">
            <w:pPr>
              <w:spacing w:after="60"/>
              <w:jc w:val="center"/>
              <w:rPr>
                <w:b/>
                <w:color w:val="auto"/>
                <w:sz w:val="10"/>
                <w:szCs w:val="10"/>
              </w:rPr>
            </w:pPr>
          </w:p>
        </w:tc>
      </w:tr>
      <w:tr w:rsidR="003C102E" w:rsidRPr="00CD1278" w14:paraId="1EFB8ECE" w14:textId="77777777" w:rsidTr="008277E3">
        <w:trPr>
          <w:trHeight w:val="465"/>
          <w:jc w:val="center"/>
        </w:trPr>
        <w:tc>
          <w:tcPr>
            <w:tcW w:w="662" w:type="dxa"/>
            <w:shd w:val="clear" w:color="auto" w:fill="auto"/>
            <w:vAlign w:val="center"/>
          </w:tcPr>
          <w:p w14:paraId="13CED629" w14:textId="77777777" w:rsidR="00D34C6F" w:rsidRPr="00CD1278" w:rsidRDefault="00D34C6F" w:rsidP="008277E3">
            <w:pPr>
              <w:spacing w:after="60"/>
              <w:rPr>
                <w:color w:val="auto"/>
                <w:sz w:val="12"/>
                <w:szCs w:val="12"/>
              </w:rPr>
            </w:pPr>
            <w:r w:rsidRPr="00CD1278">
              <w:rPr>
                <w:color w:val="auto"/>
                <w:sz w:val="12"/>
                <w:szCs w:val="12"/>
              </w:rPr>
              <w:t>Australia</w:t>
            </w:r>
          </w:p>
        </w:tc>
        <w:tc>
          <w:tcPr>
            <w:tcW w:w="824" w:type="dxa"/>
            <w:shd w:val="clear" w:color="auto" w:fill="auto"/>
            <w:vAlign w:val="center"/>
          </w:tcPr>
          <w:p w14:paraId="00FA90C1" w14:textId="77777777" w:rsidR="00D34C6F" w:rsidRPr="00CD1278" w:rsidRDefault="00D34C6F" w:rsidP="00D1371C">
            <w:pPr>
              <w:spacing w:after="60"/>
              <w:ind w:left="-87"/>
              <w:rPr>
                <w:color w:val="auto"/>
                <w:sz w:val="12"/>
                <w:szCs w:val="12"/>
              </w:rPr>
            </w:pPr>
            <w:r w:rsidRPr="00CD1278">
              <w:rPr>
                <w:color w:val="auto"/>
                <w:sz w:val="12"/>
                <w:szCs w:val="12"/>
              </w:rPr>
              <w:t>Cut flowers – protected</w:t>
            </w:r>
          </w:p>
        </w:tc>
        <w:tc>
          <w:tcPr>
            <w:tcW w:w="770" w:type="dxa"/>
            <w:shd w:val="clear" w:color="auto" w:fill="auto"/>
            <w:vAlign w:val="center"/>
          </w:tcPr>
          <w:p w14:paraId="278FF5E3" w14:textId="77777777" w:rsidR="00D34C6F" w:rsidRPr="00CD1278" w:rsidRDefault="00D34C6F" w:rsidP="008277E3">
            <w:pPr>
              <w:spacing w:after="60"/>
              <w:rPr>
                <w:color w:val="auto"/>
                <w:sz w:val="10"/>
                <w:szCs w:val="10"/>
              </w:rPr>
            </w:pPr>
            <w:r w:rsidRPr="00CD1278">
              <w:rPr>
                <w:color w:val="auto"/>
                <w:sz w:val="10"/>
                <w:szCs w:val="10"/>
              </w:rPr>
              <w:t>20.000</w:t>
            </w:r>
          </w:p>
        </w:tc>
        <w:tc>
          <w:tcPr>
            <w:tcW w:w="647" w:type="dxa"/>
            <w:shd w:val="clear" w:color="auto" w:fill="auto"/>
            <w:vAlign w:val="center"/>
          </w:tcPr>
          <w:p w14:paraId="58D8BAAA"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D7DEFC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3636EC5"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89D432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424E803"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66E57635" w14:textId="77777777" w:rsidR="00D34C6F" w:rsidRPr="00CD1278" w:rsidRDefault="00D34C6F" w:rsidP="008277E3">
            <w:pPr>
              <w:spacing w:after="60"/>
              <w:rPr>
                <w:b/>
                <w:bCs/>
                <w:color w:val="auto"/>
                <w:sz w:val="10"/>
                <w:szCs w:val="10"/>
              </w:rPr>
            </w:pPr>
            <w:r w:rsidRPr="00CD1278">
              <w:rPr>
                <w:b/>
                <w:bCs/>
                <w:color w:val="auto"/>
                <w:sz w:val="10"/>
                <w:szCs w:val="10"/>
              </w:rPr>
              <w:t> </w:t>
            </w:r>
          </w:p>
        </w:tc>
        <w:tc>
          <w:tcPr>
            <w:tcW w:w="567" w:type="dxa"/>
            <w:shd w:val="clear" w:color="auto" w:fill="auto"/>
            <w:vAlign w:val="center"/>
          </w:tcPr>
          <w:p w14:paraId="0BF4B52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5D69A92"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54F4A11D" w14:textId="77777777" w:rsidR="00D34C6F" w:rsidRPr="00CD1278" w:rsidRDefault="00D34C6F" w:rsidP="008277E3">
            <w:pPr>
              <w:spacing w:after="60"/>
              <w:rPr>
                <w:color w:val="auto"/>
                <w:sz w:val="10"/>
                <w:szCs w:val="10"/>
              </w:rPr>
            </w:pPr>
          </w:p>
        </w:tc>
        <w:tc>
          <w:tcPr>
            <w:tcW w:w="567" w:type="dxa"/>
          </w:tcPr>
          <w:p w14:paraId="47D5B9B7" w14:textId="77777777" w:rsidR="00D34C6F" w:rsidRPr="00CD1278" w:rsidRDefault="00D34C6F" w:rsidP="008277E3">
            <w:pPr>
              <w:spacing w:after="60"/>
              <w:jc w:val="center"/>
              <w:rPr>
                <w:color w:val="auto"/>
                <w:sz w:val="10"/>
                <w:szCs w:val="10"/>
              </w:rPr>
            </w:pPr>
          </w:p>
        </w:tc>
        <w:tc>
          <w:tcPr>
            <w:tcW w:w="567" w:type="dxa"/>
          </w:tcPr>
          <w:p w14:paraId="6D4275B3"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9AA3429" w14:textId="77777777" w:rsidR="00D34C6F" w:rsidRPr="00CD1278" w:rsidRDefault="00D34C6F" w:rsidP="008277E3">
            <w:pPr>
              <w:spacing w:after="60"/>
              <w:rPr>
                <w:color w:val="auto"/>
                <w:sz w:val="10"/>
                <w:szCs w:val="10"/>
              </w:rPr>
            </w:pPr>
            <w:r w:rsidRPr="00CD1278">
              <w:rPr>
                <w:color w:val="auto"/>
                <w:sz w:val="10"/>
                <w:szCs w:val="10"/>
              </w:rPr>
              <w:t>10.425</w:t>
            </w:r>
          </w:p>
        </w:tc>
        <w:tc>
          <w:tcPr>
            <w:tcW w:w="709" w:type="dxa"/>
            <w:shd w:val="clear" w:color="auto" w:fill="auto"/>
            <w:vAlign w:val="center"/>
          </w:tcPr>
          <w:p w14:paraId="019FE489"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6E0F14DD"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3A04BD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78B19C1"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3E67CAF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EE34FD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617B7FBD"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59E0672D" w14:textId="77777777" w:rsidR="00D34C6F" w:rsidRPr="00CD1278" w:rsidRDefault="00D34C6F" w:rsidP="008277E3">
            <w:pPr>
              <w:spacing w:after="60"/>
              <w:rPr>
                <w:b/>
                <w:color w:val="auto"/>
                <w:sz w:val="10"/>
                <w:szCs w:val="10"/>
              </w:rPr>
            </w:pPr>
          </w:p>
        </w:tc>
        <w:tc>
          <w:tcPr>
            <w:tcW w:w="567" w:type="dxa"/>
          </w:tcPr>
          <w:p w14:paraId="10E30A4F" w14:textId="77777777" w:rsidR="00D34C6F" w:rsidRPr="00CD1278" w:rsidRDefault="00D34C6F" w:rsidP="008277E3">
            <w:pPr>
              <w:spacing w:after="60"/>
              <w:jc w:val="center"/>
              <w:rPr>
                <w:b/>
                <w:color w:val="auto"/>
                <w:sz w:val="10"/>
                <w:szCs w:val="10"/>
              </w:rPr>
            </w:pPr>
          </w:p>
        </w:tc>
        <w:tc>
          <w:tcPr>
            <w:tcW w:w="567" w:type="dxa"/>
          </w:tcPr>
          <w:p w14:paraId="710F2DD2" w14:textId="77777777" w:rsidR="00D34C6F" w:rsidRPr="00CD1278" w:rsidRDefault="00D34C6F" w:rsidP="008277E3">
            <w:pPr>
              <w:spacing w:after="60"/>
              <w:jc w:val="center"/>
              <w:rPr>
                <w:b/>
                <w:color w:val="auto"/>
                <w:sz w:val="10"/>
                <w:szCs w:val="10"/>
              </w:rPr>
            </w:pPr>
          </w:p>
        </w:tc>
        <w:tc>
          <w:tcPr>
            <w:tcW w:w="567" w:type="dxa"/>
          </w:tcPr>
          <w:p w14:paraId="6E5DC92C" w14:textId="77777777" w:rsidR="00D34C6F" w:rsidRPr="00CD1278" w:rsidRDefault="00D34C6F" w:rsidP="008277E3">
            <w:pPr>
              <w:spacing w:after="60"/>
              <w:jc w:val="center"/>
              <w:rPr>
                <w:b/>
                <w:color w:val="auto"/>
                <w:sz w:val="10"/>
                <w:szCs w:val="10"/>
              </w:rPr>
            </w:pPr>
          </w:p>
        </w:tc>
      </w:tr>
      <w:tr w:rsidR="003C102E" w:rsidRPr="00CD1278" w14:paraId="1881545A" w14:textId="77777777" w:rsidTr="008277E3">
        <w:trPr>
          <w:trHeight w:val="915"/>
          <w:jc w:val="center"/>
        </w:trPr>
        <w:tc>
          <w:tcPr>
            <w:tcW w:w="662" w:type="dxa"/>
            <w:shd w:val="clear" w:color="auto" w:fill="auto"/>
            <w:vAlign w:val="center"/>
          </w:tcPr>
          <w:p w14:paraId="33A22504" w14:textId="77777777" w:rsidR="00D34C6F" w:rsidRPr="00CD1278" w:rsidRDefault="00D34C6F" w:rsidP="008277E3">
            <w:pPr>
              <w:spacing w:after="60"/>
              <w:rPr>
                <w:color w:val="auto"/>
                <w:sz w:val="12"/>
                <w:szCs w:val="12"/>
              </w:rPr>
            </w:pPr>
            <w:r w:rsidRPr="00CD1278">
              <w:rPr>
                <w:color w:val="auto"/>
                <w:sz w:val="12"/>
                <w:szCs w:val="12"/>
              </w:rPr>
              <w:t>Australia</w:t>
            </w:r>
          </w:p>
        </w:tc>
        <w:tc>
          <w:tcPr>
            <w:tcW w:w="824" w:type="dxa"/>
            <w:shd w:val="clear" w:color="auto" w:fill="auto"/>
            <w:vAlign w:val="center"/>
          </w:tcPr>
          <w:p w14:paraId="6E72DC6C" w14:textId="77777777" w:rsidR="00D34C6F" w:rsidRPr="00CD1278" w:rsidRDefault="00D34C6F" w:rsidP="00D1371C">
            <w:pPr>
              <w:spacing w:after="60"/>
              <w:ind w:left="-87"/>
              <w:rPr>
                <w:color w:val="auto"/>
                <w:sz w:val="12"/>
                <w:szCs w:val="12"/>
              </w:rPr>
            </w:pPr>
            <w:r w:rsidRPr="00CD1278">
              <w:rPr>
                <w:color w:val="auto"/>
                <w:sz w:val="12"/>
                <w:szCs w:val="12"/>
              </w:rPr>
              <w:t>Cut flowers, bulbs – protected Vic</w:t>
            </w:r>
          </w:p>
        </w:tc>
        <w:tc>
          <w:tcPr>
            <w:tcW w:w="770" w:type="dxa"/>
            <w:shd w:val="clear" w:color="auto" w:fill="auto"/>
            <w:vAlign w:val="center"/>
          </w:tcPr>
          <w:p w14:paraId="477F107F" w14:textId="77777777" w:rsidR="00D34C6F" w:rsidRPr="00CD1278" w:rsidRDefault="00D34C6F" w:rsidP="008277E3">
            <w:pPr>
              <w:spacing w:after="60"/>
              <w:rPr>
                <w:color w:val="auto"/>
                <w:sz w:val="10"/>
                <w:szCs w:val="10"/>
              </w:rPr>
            </w:pPr>
            <w:r w:rsidRPr="00CD1278">
              <w:rPr>
                <w:color w:val="auto"/>
                <w:sz w:val="10"/>
                <w:szCs w:val="10"/>
              </w:rPr>
              <w:t>7.000</w:t>
            </w:r>
          </w:p>
        </w:tc>
        <w:tc>
          <w:tcPr>
            <w:tcW w:w="647" w:type="dxa"/>
            <w:shd w:val="clear" w:color="auto" w:fill="auto"/>
            <w:vAlign w:val="center"/>
          </w:tcPr>
          <w:p w14:paraId="70A8BC50" w14:textId="77777777" w:rsidR="00D34C6F" w:rsidRPr="00CD1278" w:rsidRDefault="00D34C6F" w:rsidP="008277E3">
            <w:pPr>
              <w:spacing w:after="60"/>
              <w:rPr>
                <w:color w:val="auto"/>
                <w:sz w:val="10"/>
                <w:szCs w:val="10"/>
              </w:rPr>
            </w:pPr>
            <w:r w:rsidRPr="00CD1278">
              <w:rPr>
                <w:color w:val="auto"/>
                <w:sz w:val="10"/>
                <w:szCs w:val="10"/>
              </w:rPr>
              <w:t>7.000</w:t>
            </w:r>
          </w:p>
        </w:tc>
        <w:tc>
          <w:tcPr>
            <w:tcW w:w="709" w:type="dxa"/>
            <w:shd w:val="clear" w:color="auto" w:fill="auto"/>
            <w:vAlign w:val="center"/>
          </w:tcPr>
          <w:p w14:paraId="144D43A6" w14:textId="77777777" w:rsidR="00D34C6F" w:rsidRPr="00CD1278" w:rsidRDefault="00D34C6F" w:rsidP="008277E3">
            <w:pPr>
              <w:spacing w:after="60"/>
              <w:rPr>
                <w:color w:val="auto"/>
                <w:sz w:val="10"/>
                <w:szCs w:val="10"/>
              </w:rPr>
            </w:pPr>
            <w:r w:rsidRPr="00CD1278">
              <w:rPr>
                <w:color w:val="auto"/>
                <w:sz w:val="10"/>
                <w:szCs w:val="10"/>
              </w:rPr>
              <w:t>6.170</w:t>
            </w:r>
          </w:p>
        </w:tc>
        <w:tc>
          <w:tcPr>
            <w:tcW w:w="567" w:type="dxa"/>
            <w:shd w:val="clear" w:color="auto" w:fill="auto"/>
            <w:vAlign w:val="center"/>
          </w:tcPr>
          <w:p w14:paraId="7328F112" w14:textId="77777777" w:rsidR="00D34C6F" w:rsidRPr="00CD1278" w:rsidRDefault="00D34C6F" w:rsidP="008277E3">
            <w:pPr>
              <w:spacing w:after="60"/>
              <w:rPr>
                <w:color w:val="auto"/>
                <w:sz w:val="10"/>
                <w:szCs w:val="10"/>
              </w:rPr>
            </w:pPr>
            <w:r w:rsidRPr="00CD1278">
              <w:rPr>
                <w:color w:val="auto"/>
                <w:sz w:val="10"/>
                <w:szCs w:val="10"/>
              </w:rPr>
              <w:t>6.150</w:t>
            </w:r>
          </w:p>
        </w:tc>
        <w:tc>
          <w:tcPr>
            <w:tcW w:w="709" w:type="dxa"/>
            <w:shd w:val="clear" w:color="auto" w:fill="auto"/>
            <w:vAlign w:val="center"/>
          </w:tcPr>
          <w:p w14:paraId="04B5417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89D4ADF"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54E2249" w14:textId="77777777" w:rsidR="00D34C6F" w:rsidRPr="00CD1278" w:rsidRDefault="00D34C6F" w:rsidP="008277E3">
            <w:pPr>
              <w:spacing w:after="60"/>
              <w:rPr>
                <w:b/>
                <w:bCs/>
                <w:color w:val="auto"/>
                <w:sz w:val="10"/>
                <w:szCs w:val="10"/>
              </w:rPr>
            </w:pPr>
            <w:r w:rsidRPr="00CD1278">
              <w:rPr>
                <w:b/>
                <w:bCs/>
                <w:color w:val="auto"/>
                <w:sz w:val="10"/>
                <w:szCs w:val="10"/>
              </w:rPr>
              <w:t> </w:t>
            </w:r>
          </w:p>
        </w:tc>
        <w:tc>
          <w:tcPr>
            <w:tcW w:w="567" w:type="dxa"/>
            <w:shd w:val="clear" w:color="auto" w:fill="auto"/>
            <w:vAlign w:val="center"/>
          </w:tcPr>
          <w:p w14:paraId="2185F2C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ABEC4B6"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38D317D" w14:textId="77777777" w:rsidR="00D34C6F" w:rsidRPr="00CD1278" w:rsidRDefault="00D34C6F" w:rsidP="008277E3">
            <w:pPr>
              <w:spacing w:after="60"/>
              <w:rPr>
                <w:color w:val="auto"/>
                <w:sz w:val="10"/>
                <w:szCs w:val="10"/>
              </w:rPr>
            </w:pPr>
          </w:p>
        </w:tc>
        <w:tc>
          <w:tcPr>
            <w:tcW w:w="567" w:type="dxa"/>
          </w:tcPr>
          <w:p w14:paraId="0AB06B2B" w14:textId="77777777" w:rsidR="00D34C6F" w:rsidRPr="00CD1278" w:rsidRDefault="00D34C6F" w:rsidP="008277E3">
            <w:pPr>
              <w:spacing w:after="60"/>
              <w:jc w:val="center"/>
              <w:rPr>
                <w:color w:val="auto"/>
                <w:sz w:val="10"/>
                <w:szCs w:val="10"/>
              </w:rPr>
            </w:pPr>
          </w:p>
        </w:tc>
        <w:tc>
          <w:tcPr>
            <w:tcW w:w="567" w:type="dxa"/>
          </w:tcPr>
          <w:p w14:paraId="2D0C13AF"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435BE9DB" w14:textId="77777777" w:rsidR="00D34C6F" w:rsidRPr="00CD1278" w:rsidRDefault="00D34C6F" w:rsidP="008277E3">
            <w:pPr>
              <w:spacing w:after="60"/>
              <w:rPr>
                <w:color w:val="auto"/>
                <w:sz w:val="10"/>
                <w:szCs w:val="10"/>
              </w:rPr>
            </w:pPr>
            <w:r w:rsidRPr="00CD1278">
              <w:rPr>
                <w:color w:val="auto"/>
                <w:sz w:val="10"/>
                <w:szCs w:val="10"/>
              </w:rPr>
              <w:t>7.000</w:t>
            </w:r>
          </w:p>
        </w:tc>
        <w:tc>
          <w:tcPr>
            <w:tcW w:w="709" w:type="dxa"/>
            <w:shd w:val="clear" w:color="auto" w:fill="auto"/>
            <w:vAlign w:val="center"/>
          </w:tcPr>
          <w:p w14:paraId="382742C3" w14:textId="77777777" w:rsidR="00D34C6F" w:rsidRPr="00CD1278" w:rsidRDefault="00D34C6F" w:rsidP="008277E3">
            <w:pPr>
              <w:spacing w:after="60"/>
              <w:rPr>
                <w:color w:val="auto"/>
                <w:sz w:val="10"/>
                <w:szCs w:val="10"/>
              </w:rPr>
            </w:pPr>
            <w:r w:rsidRPr="00CD1278">
              <w:rPr>
                <w:color w:val="auto"/>
                <w:sz w:val="10"/>
                <w:szCs w:val="10"/>
              </w:rPr>
              <w:t>7.000</w:t>
            </w:r>
          </w:p>
        </w:tc>
        <w:tc>
          <w:tcPr>
            <w:tcW w:w="708" w:type="dxa"/>
            <w:shd w:val="clear" w:color="auto" w:fill="auto"/>
            <w:vAlign w:val="center"/>
          </w:tcPr>
          <w:p w14:paraId="55390243" w14:textId="77777777" w:rsidR="00D34C6F" w:rsidRPr="00CD1278" w:rsidRDefault="00D34C6F" w:rsidP="008277E3">
            <w:pPr>
              <w:spacing w:after="60"/>
              <w:rPr>
                <w:color w:val="auto"/>
                <w:sz w:val="10"/>
                <w:szCs w:val="10"/>
              </w:rPr>
            </w:pPr>
            <w:r w:rsidRPr="00CD1278">
              <w:rPr>
                <w:color w:val="auto"/>
                <w:sz w:val="10"/>
                <w:szCs w:val="10"/>
              </w:rPr>
              <w:t>3.598</w:t>
            </w:r>
          </w:p>
        </w:tc>
        <w:tc>
          <w:tcPr>
            <w:tcW w:w="709" w:type="dxa"/>
            <w:shd w:val="clear" w:color="auto" w:fill="auto"/>
            <w:vAlign w:val="center"/>
          </w:tcPr>
          <w:p w14:paraId="0718B2DD" w14:textId="77777777" w:rsidR="00D34C6F" w:rsidRPr="00CD1278" w:rsidRDefault="00D34C6F" w:rsidP="008277E3">
            <w:pPr>
              <w:spacing w:after="60"/>
              <w:rPr>
                <w:color w:val="auto"/>
                <w:sz w:val="10"/>
                <w:szCs w:val="10"/>
              </w:rPr>
            </w:pPr>
            <w:r w:rsidRPr="00CD1278">
              <w:rPr>
                <w:color w:val="auto"/>
                <w:sz w:val="10"/>
                <w:szCs w:val="10"/>
              </w:rPr>
              <w:t>3.500</w:t>
            </w:r>
          </w:p>
        </w:tc>
        <w:tc>
          <w:tcPr>
            <w:tcW w:w="567" w:type="dxa"/>
            <w:shd w:val="clear" w:color="auto" w:fill="auto"/>
            <w:vAlign w:val="center"/>
          </w:tcPr>
          <w:p w14:paraId="599278B0"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632CDED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B6CBA7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253A2619"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42D44FC5" w14:textId="77777777" w:rsidR="00D34C6F" w:rsidRPr="00CD1278" w:rsidRDefault="00D34C6F" w:rsidP="008277E3">
            <w:pPr>
              <w:spacing w:after="60"/>
              <w:rPr>
                <w:b/>
                <w:color w:val="auto"/>
                <w:sz w:val="10"/>
                <w:szCs w:val="10"/>
              </w:rPr>
            </w:pPr>
          </w:p>
        </w:tc>
        <w:tc>
          <w:tcPr>
            <w:tcW w:w="567" w:type="dxa"/>
          </w:tcPr>
          <w:p w14:paraId="6605055E" w14:textId="77777777" w:rsidR="00D34C6F" w:rsidRPr="00CD1278" w:rsidRDefault="00D34C6F" w:rsidP="008277E3">
            <w:pPr>
              <w:spacing w:after="60"/>
              <w:jc w:val="center"/>
              <w:rPr>
                <w:b/>
                <w:color w:val="auto"/>
                <w:sz w:val="10"/>
                <w:szCs w:val="10"/>
              </w:rPr>
            </w:pPr>
          </w:p>
        </w:tc>
        <w:tc>
          <w:tcPr>
            <w:tcW w:w="567" w:type="dxa"/>
          </w:tcPr>
          <w:p w14:paraId="69ABC7F4" w14:textId="77777777" w:rsidR="00D34C6F" w:rsidRPr="00CD1278" w:rsidRDefault="00D34C6F" w:rsidP="008277E3">
            <w:pPr>
              <w:spacing w:after="60"/>
              <w:jc w:val="center"/>
              <w:rPr>
                <w:b/>
                <w:color w:val="auto"/>
                <w:sz w:val="10"/>
                <w:szCs w:val="10"/>
              </w:rPr>
            </w:pPr>
          </w:p>
        </w:tc>
        <w:tc>
          <w:tcPr>
            <w:tcW w:w="567" w:type="dxa"/>
          </w:tcPr>
          <w:p w14:paraId="7E22CF8D" w14:textId="77777777" w:rsidR="00D34C6F" w:rsidRPr="00CD1278" w:rsidRDefault="00D34C6F" w:rsidP="008277E3">
            <w:pPr>
              <w:spacing w:after="60"/>
              <w:jc w:val="center"/>
              <w:rPr>
                <w:b/>
                <w:color w:val="auto"/>
                <w:sz w:val="10"/>
                <w:szCs w:val="10"/>
              </w:rPr>
            </w:pPr>
          </w:p>
        </w:tc>
      </w:tr>
      <w:tr w:rsidR="003C102E" w:rsidRPr="00CD1278" w14:paraId="67304DEE" w14:textId="77777777" w:rsidTr="008277E3">
        <w:trPr>
          <w:trHeight w:val="465"/>
          <w:jc w:val="center"/>
        </w:trPr>
        <w:tc>
          <w:tcPr>
            <w:tcW w:w="662" w:type="dxa"/>
            <w:shd w:val="clear" w:color="auto" w:fill="auto"/>
            <w:vAlign w:val="center"/>
          </w:tcPr>
          <w:p w14:paraId="348DCB8D" w14:textId="77777777" w:rsidR="00D34C6F" w:rsidRPr="00CD1278" w:rsidRDefault="00D34C6F" w:rsidP="008277E3">
            <w:pPr>
              <w:spacing w:after="60"/>
              <w:rPr>
                <w:color w:val="auto"/>
                <w:sz w:val="12"/>
                <w:szCs w:val="12"/>
              </w:rPr>
            </w:pPr>
            <w:r w:rsidRPr="00CD1278">
              <w:rPr>
                <w:color w:val="auto"/>
                <w:sz w:val="12"/>
                <w:szCs w:val="12"/>
              </w:rPr>
              <w:t>Australia</w:t>
            </w:r>
          </w:p>
        </w:tc>
        <w:tc>
          <w:tcPr>
            <w:tcW w:w="824" w:type="dxa"/>
            <w:shd w:val="clear" w:color="auto" w:fill="auto"/>
            <w:vAlign w:val="center"/>
          </w:tcPr>
          <w:p w14:paraId="3EC6A54F" w14:textId="77777777" w:rsidR="00D34C6F" w:rsidRPr="00CD1278" w:rsidRDefault="00D34C6F" w:rsidP="00D1371C">
            <w:pPr>
              <w:spacing w:after="60"/>
              <w:ind w:left="-87"/>
              <w:rPr>
                <w:color w:val="auto"/>
                <w:sz w:val="12"/>
                <w:szCs w:val="12"/>
              </w:rPr>
            </w:pPr>
            <w:r w:rsidRPr="00CD1278">
              <w:rPr>
                <w:color w:val="auto"/>
                <w:sz w:val="12"/>
                <w:szCs w:val="12"/>
              </w:rPr>
              <w:t>Strawberry Fruit</w:t>
            </w:r>
          </w:p>
        </w:tc>
        <w:tc>
          <w:tcPr>
            <w:tcW w:w="770" w:type="dxa"/>
            <w:shd w:val="clear" w:color="auto" w:fill="auto"/>
            <w:vAlign w:val="center"/>
          </w:tcPr>
          <w:p w14:paraId="65C08D4E" w14:textId="77777777" w:rsidR="00D34C6F" w:rsidRPr="00CD1278" w:rsidRDefault="00D34C6F" w:rsidP="008277E3">
            <w:pPr>
              <w:spacing w:after="60"/>
              <w:rPr>
                <w:color w:val="auto"/>
                <w:sz w:val="10"/>
                <w:szCs w:val="10"/>
              </w:rPr>
            </w:pPr>
            <w:r w:rsidRPr="00CD1278">
              <w:rPr>
                <w:color w:val="auto"/>
                <w:sz w:val="10"/>
                <w:szCs w:val="10"/>
              </w:rPr>
              <w:t>90.000</w:t>
            </w:r>
          </w:p>
        </w:tc>
        <w:tc>
          <w:tcPr>
            <w:tcW w:w="647" w:type="dxa"/>
            <w:shd w:val="clear" w:color="auto" w:fill="auto"/>
            <w:vAlign w:val="center"/>
          </w:tcPr>
          <w:p w14:paraId="26F9DFB9"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B0895B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3659C8C"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C3390B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144491A"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33B524E4" w14:textId="77777777" w:rsidR="00D34C6F" w:rsidRPr="00CD1278" w:rsidRDefault="00D34C6F" w:rsidP="008277E3">
            <w:pPr>
              <w:spacing w:after="60"/>
              <w:rPr>
                <w:b/>
                <w:bCs/>
                <w:color w:val="auto"/>
                <w:sz w:val="10"/>
                <w:szCs w:val="10"/>
              </w:rPr>
            </w:pPr>
            <w:r w:rsidRPr="00CD1278">
              <w:rPr>
                <w:b/>
                <w:bCs/>
                <w:color w:val="auto"/>
                <w:sz w:val="10"/>
                <w:szCs w:val="10"/>
              </w:rPr>
              <w:t> </w:t>
            </w:r>
          </w:p>
        </w:tc>
        <w:tc>
          <w:tcPr>
            <w:tcW w:w="567" w:type="dxa"/>
            <w:shd w:val="clear" w:color="auto" w:fill="auto"/>
            <w:vAlign w:val="center"/>
          </w:tcPr>
          <w:p w14:paraId="47550C6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4C8CA81"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460D902E" w14:textId="77777777" w:rsidR="00D34C6F" w:rsidRPr="00CD1278" w:rsidRDefault="00D34C6F" w:rsidP="008277E3">
            <w:pPr>
              <w:spacing w:after="60"/>
              <w:rPr>
                <w:color w:val="auto"/>
                <w:sz w:val="10"/>
                <w:szCs w:val="10"/>
              </w:rPr>
            </w:pPr>
          </w:p>
        </w:tc>
        <w:tc>
          <w:tcPr>
            <w:tcW w:w="567" w:type="dxa"/>
          </w:tcPr>
          <w:p w14:paraId="1160FBF9" w14:textId="77777777" w:rsidR="00D34C6F" w:rsidRPr="00CD1278" w:rsidRDefault="00D34C6F" w:rsidP="008277E3">
            <w:pPr>
              <w:spacing w:after="60"/>
              <w:jc w:val="center"/>
              <w:rPr>
                <w:color w:val="auto"/>
                <w:sz w:val="10"/>
                <w:szCs w:val="10"/>
              </w:rPr>
            </w:pPr>
          </w:p>
        </w:tc>
        <w:tc>
          <w:tcPr>
            <w:tcW w:w="567" w:type="dxa"/>
          </w:tcPr>
          <w:p w14:paraId="50AF28F7"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6AC37DB2" w14:textId="77777777" w:rsidR="00D34C6F" w:rsidRPr="00CD1278" w:rsidRDefault="00D34C6F" w:rsidP="008277E3">
            <w:pPr>
              <w:spacing w:after="60"/>
              <w:rPr>
                <w:color w:val="auto"/>
                <w:sz w:val="10"/>
                <w:szCs w:val="10"/>
              </w:rPr>
            </w:pPr>
            <w:r w:rsidRPr="00CD1278">
              <w:rPr>
                <w:color w:val="auto"/>
                <w:sz w:val="10"/>
                <w:szCs w:val="10"/>
              </w:rPr>
              <w:t>67.000</w:t>
            </w:r>
          </w:p>
        </w:tc>
        <w:tc>
          <w:tcPr>
            <w:tcW w:w="709" w:type="dxa"/>
            <w:shd w:val="clear" w:color="auto" w:fill="auto"/>
            <w:vAlign w:val="center"/>
          </w:tcPr>
          <w:p w14:paraId="68B9FA11"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41BB474D"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48AB28B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946DDB5"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EB45D0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862453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7D07119E"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133BE026" w14:textId="77777777" w:rsidR="00D34C6F" w:rsidRPr="00CD1278" w:rsidRDefault="00D34C6F" w:rsidP="008277E3">
            <w:pPr>
              <w:spacing w:after="60"/>
              <w:rPr>
                <w:b/>
                <w:color w:val="auto"/>
                <w:sz w:val="10"/>
                <w:szCs w:val="10"/>
              </w:rPr>
            </w:pPr>
          </w:p>
        </w:tc>
        <w:tc>
          <w:tcPr>
            <w:tcW w:w="567" w:type="dxa"/>
          </w:tcPr>
          <w:p w14:paraId="7B12CE1E" w14:textId="77777777" w:rsidR="00D34C6F" w:rsidRPr="00CD1278" w:rsidRDefault="00D34C6F" w:rsidP="008277E3">
            <w:pPr>
              <w:spacing w:after="60"/>
              <w:jc w:val="center"/>
              <w:rPr>
                <w:b/>
                <w:color w:val="auto"/>
                <w:sz w:val="10"/>
                <w:szCs w:val="10"/>
              </w:rPr>
            </w:pPr>
          </w:p>
        </w:tc>
        <w:tc>
          <w:tcPr>
            <w:tcW w:w="567" w:type="dxa"/>
          </w:tcPr>
          <w:p w14:paraId="1B7A5D92" w14:textId="77777777" w:rsidR="00D34C6F" w:rsidRPr="00CD1278" w:rsidRDefault="00D34C6F" w:rsidP="008277E3">
            <w:pPr>
              <w:spacing w:after="60"/>
              <w:jc w:val="center"/>
              <w:rPr>
                <w:b/>
                <w:color w:val="auto"/>
                <w:sz w:val="10"/>
                <w:szCs w:val="10"/>
              </w:rPr>
            </w:pPr>
          </w:p>
        </w:tc>
        <w:tc>
          <w:tcPr>
            <w:tcW w:w="567" w:type="dxa"/>
          </w:tcPr>
          <w:p w14:paraId="40646981" w14:textId="77777777" w:rsidR="00D34C6F" w:rsidRPr="00CD1278" w:rsidRDefault="00D34C6F" w:rsidP="008277E3">
            <w:pPr>
              <w:spacing w:after="60"/>
              <w:jc w:val="center"/>
              <w:rPr>
                <w:b/>
                <w:color w:val="auto"/>
                <w:sz w:val="10"/>
                <w:szCs w:val="10"/>
              </w:rPr>
            </w:pPr>
          </w:p>
        </w:tc>
      </w:tr>
      <w:tr w:rsidR="003C102E" w:rsidRPr="00CD1278" w14:paraId="6CDCB502" w14:textId="77777777" w:rsidTr="00B71030">
        <w:trPr>
          <w:trHeight w:val="465"/>
          <w:jc w:val="center"/>
        </w:trPr>
        <w:tc>
          <w:tcPr>
            <w:tcW w:w="662" w:type="dxa"/>
            <w:shd w:val="clear" w:color="auto" w:fill="auto"/>
            <w:vAlign w:val="center"/>
          </w:tcPr>
          <w:p w14:paraId="432A9C05" w14:textId="77777777" w:rsidR="008277E3" w:rsidRPr="00CD1278" w:rsidRDefault="008277E3" w:rsidP="008277E3">
            <w:pPr>
              <w:spacing w:after="60"/>
              <w:rPr>
                <w:color w:val="auto"/>
                <w:sz w:val="12"/>
                <w:szCs w:val="12"/>
              </w:rPr>
            </w:pPr>
            <w:r w:rsidRPr="00CD1278">
              <w:rPr>
                <w:color w:val="auto"/>
                <w:sz w:val="12"/>
                <w:szCs w:val="12"/>
              </w:rPr>
              <w:t>Australia</w:t>
            </w:r>
          </w:p>
        </w:tc>
        <w:tc>
          <w:tcPr>
            <w:tcW w:w="824" w:type="dxa"/>
            <w:shd w:val="clear" w:color="auto" w:fill="auto"/>
            <w:vAlign w:val="center"/>
          </w:tcPr>
          <w:p w14:paraId="54B04F9F" w14:textId="77777777" w:rsidR="008277E3" w:rsidRPr="00CD1278" w:rsidRDefault="008277E3" w:rsidP="00D1371C">
            <w:pPr>
              <w:spacing w:after="60"/>
              <w:ind w:left="-87"/>
              <w:rPr>
                <w:color w:val="auto"/>
                <w:sz w:val="12"/>
                <w:szCs w:val="12"/>
              </w:rPr>
            </w:pPr>
            <w:r w:rsidRPr="00CD1278">
              <w:rPr>
                <w:color w:val="auto"/>
                <w:sz w:val="12"/>
                <w:szCs w:val="12"/>
              </w:rPr>
              <w:t>Strawberry runners</w:t>
            </w:r>
          </w:p>
        </w:tc>
        <w:tc>
          <w:tcPr>
            <w:tcW w:w="7574" w:type="dxa"/>
            <w:gridSpan w:val="12"/>
            <w:shd w:val="clear" w:color="auto" w:fill="auto"/>
            <w:vAlign w:val="center"/>
          </w:tcPr>
          <w:p w14:paraId="2E72724C" w14:textId="7F33589C" w:rsidR="008277E3" w:rsidRPr="00CD1278" w:rsidRDefault="008277E3" w:rsidP="008277E3">
            <w:pPr>
              <w:spacing w:after="60"/>
              <w:jc w:val="center"/>
              <w:rPr>
                <w:b/>
                <w:color w:val="auto"/>
                <w:sz w:val="10"/>
                <w:szCs w:val="10"/>
              </w:rPr>
            </w:pPr>
            <w:r w:rsidRPr="00CD1278">
              <w:rPr>
                <w:color w:val="auto"/>
                <w:sz w:val="10"/>
                <w:szCs w:val="10"/>
              </w:rPr>
              <w:t>See Section 1.2.4</w:t>
            </w:r>
          </w:p>
        </w:tc>
        <w:tc>
          <w:tcPr>
            <w:tcW w:w="7451" w:type="dxa"/>
            <w:gridSpan w:val="12"/>
            <w:shd w:val="clear" w:color="auto" w:fill="auto"/>
            <w:vAlign w:val="center"/>
          </w:tcPr>
          <w:p w14:paraId="545570FE" w14:textId="7650D314" w:rsidR="008277E3" w:rsidRPr="00CD1278" w:rsidRDefault="008277E3" w:rsidP="008277E3">
            <w:pPr>
              <w:spacing w:after="60"/>
              <w:jc w:val="center"/>
              <w:rPr>
                <w:b/>
                <w:color w:val="auto"/>
                <w:sz w:val="10"/>
                <w:szCs w:val="10"/>
              </w:rPr>
            </w:pPr>
          </w:p>
        </w:tc>
      </w:tr>
      <w:tr w:rsidR="003C102E" w:rsidRPr="00CD1278" w14:paraId="5C4A3EF2" w14:textId="77777777" w:rsidTr="008277E3">
        <w:trPr>
          <w:trHeight w:val="270"/>
          <w:jc w:val="center"/>
        </w:trPr>
        <w:tc>
          <w:tcPr>
            <w:tcW w:w="662" w:type="dxa"/>
            <w:shd w:val="clear" w:color="auto" w:fill="auto"/>
            <w:vAlign w:val="center"/>
          </w:tcPr>
          <w:p w14:paraId="6A190DC7"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5E327577" w14:textId="77777777" w:rsidR="00D34C6F" w:rsidRPr="00CD1278" w:rsidRDefault="00D34C6F" w:rsidP="00D1371C">
            <w:pPr>
              <w:spacing w:after="60"/>
              <w:ind w:left="-87"/>
              <w:rPr>
                <w:color w:val="auto"/>
                <w:sz w:val="12"/>
                <w:szCs w:val="12"/>
              </w:rPr>
            </w:pPr>
            <w:r w:rsidRPr="00CD1278">
              <w:rPr>
                <w:color w:val="auto"/>
                <w:sz w:val="12"/>
                <w:szCs w:val="12"/>
              </w:rPr>
              <w:t>Asparagus</w:t>
            </w:r>
          </w:p>
        </w:tc>
        <w:tc>
          <w:tcPr>
            <w:tcW w:w="770" w:type="dxa"/>
            <w:shd w:val="clear" w:color="auto" w:fill="auto"/>
            <w:vAlign w:val="center"/>
          </w:tcPr>
          <w:p w14:paraId="50D13ED4" w14:textId="77777777" w:rsidR="00D34C6F" w:rsidRPr="00CD1278" w:rsidRDefault="00D34C6F" w:rsidP="008277E3">
            <w:pPr>
              <w:spacing w:after="60"/>
              <w:rPr>
                <w:color w:val="auto"/>
                <w:sz w:val="10"/>
                <w:szCs w:val="10"/>
              </w:rPr>
            </w:pPr>
            <w:r w:rsidRPr="00CD1278">
              <w:rPr>
                <w:color w:val="auto"/>
                <w:sz w:val="10"/>
                <w:szCs w:val="10"/>
              </w:rPr>
              <w:t>0.630</w:t>
            </w:r>
          </w:p>
        </w:tc>
        <w:tc>
          <w:tcPr>
            <w:tcW w:w="647" w:type="dxa"/>
            <w:shd w:val="clear" w:color="auto" w:fill="auto"/>
            <w:vAlign w:val="center"/>
          </w:tcPr>
          <w:p w14:paraId="06643ABD" w14:textId="77777777" w:rsidR="00D34C6F" w:rsidRPr="00CD1278" w:rsidRDefault="00D34C6F" w:rsidP="008277E3">
            <w:pPr>
              <w:spacing w:after="60"/>
              <w:rPr>
                <w:color w:val="auto"/>
                <w:sz w:val="10"/>
                <w:szCs w:val="10"/>
              </w:rPr>
            </w:pPr>
            <w:r w:rsidRPr="00CD1278">
              <w:rPr>
                <w:color w:val="auto"/>
                <w:sz w:val="10"/>
                <w:szCs w:val="10"/>
              </w:rPr>
              <w:t>0.225</w:t>
            </w:r>
          </w:p>
        </w:tc>
        <w:tc>
          <w:tcPr>
            <w:tcW w:w="709" w:type="dxa"/>
            <w:shd w:val="clear" w:color="auto" w:fill="auto"/>
            <w:vAlign w:val="center"/>
          </w:tcPr>
          <w:p w14:paraId="4E2E117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860F3E5"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A79871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3402A3D"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FA1386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6FEBEB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5E805EA"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1137D720" w14:textId="77777777" w:rsidR="00D34C6F" w:rsidRPr="00CD1278" w:rsidRDefault="00D34C6F" w:rsidP="008277E3">
            <w:pPr>
              <w:spacing w:after="60"/>
              <w:rPr>
                <w:color w:val="auto"/>
                <w:sz w:val="10"/>
                <w:szCs w:val="10"/>
              </w:rPr>
            </w:pPr>
          </w:p>
        </w:tc>
        <w:tc>
          <w:tcPr>
            <w:tcW w:w="567" w:type="dxa"/>
          </w:tcPr>
          <w:p w14:paraId="2644966E" w14:textId="77777777" w:rsidR="00D34C6F" w:rsidRPr="00CD1278" w:rsidRDefault="00D34C6F" w:rsidP="008277E3">
            <w:pPr>
              <w:spacing w:after="60"/>
              <w:rPr>
                <w:color w:val="auto"/>
                <w:sz w:val="10"/>
                <w:szCs w:val="10"/>
              </w:rPr>
            </w:pPr>
          </w:p>
        </w:tc>
        <w:tc>
          <w:tcPr>
            <w:tcW w:w="567" w:type="dxa"/>
          </w:tcPr>
          <w:p w14:paraId="304BCF75" w14:textId="77777777" w:rsidR="00D34C6F" w:rsidRPr="00CD1278" w:rsidRDefault="00D34C6F" w:rsidP="008277E3">
            <w:pPr>
              <w:spacing w:after="60"/>
              <w:rPr>
                <w:color w:val="auto"/>
                <w:sz w:val="10"/>
                <w:szCs w:val="10"/>
              </w:rPr>
            </w:pPr>
          </w:p>
        </w:tc>
        <w:tc>
          <w:tcPr>
            <w:tcW w:w="709" w:type="dxa"/>
            <w:shd w:val="clear" w:color="auto" w:fill="auto"/>
            <w:vAlign w:val="center"/>
          </w:tcPr>
          <w:p w14:paraId="676278A5" w14:textId="77777777" w:rsidR="00D34C6F" w:rsidRPr="00CD1278" w:rsidRDefault="00D34C6F" w:rsidP="008277E3">
            <w:pPr>
              <w:spacing w:after="60"/>
              <w:rPr>
                <w:color w:val="auto"/>
                <w:sz w:val="10"/>
                <w:szCs w:val="10"/>
              </w:rPr>
            </w:pPr>
            <w:r w:rsidRPr="00CD1278">
              <w:rPr>
                <w:color w:val="auto"/>
                <w:sz w:val="10"/>
                <w:szCs w:val="10"/>
              </w:rPr>
              <w:t>0.630</w:t>
            </w:r>
          </w:p>
        </w:tc>
        <w:tc>
          <w:tcPr>
            <w:tcW w:w="709" w:type="dxa"/>
            <w:shd w:val="clear" w:color="auto" w:fill="auto"/>
            <w:vAlign w:val="center"/>
          </w:tcPr>
          <w:p w14:paraId="47BB342C" w14:textId="77777777" w:rsidR="00D34C6F" w:rsidRPr="00CD1278" w:rsidRDefault="00D34C6F" w:rsidP="008277E3">
            <w:pPr>
              <w:spacing w:after="60"/>
              <w:rPr>
                <w:color w:val="auto"/>
                <w:sz w:val="10"/>
                <w:szCs w:val="10"/>
              </w:rPr>
            </w:pPr>
            <w:r w:rsidRPr="00CD1278">
              <w:rPr>
                <w:color w:val="auto"/>
                <w:sz w:val="10"/>
                <w:szCs w:val="10"/>
              </w:rPr>
              <w:t>0.225</w:t>
            </w:r>
          </w:p>
        </w:tc>
        <w:tc>
          <w:tcPr>
            <w:tcW w:w="708" w:type="dxa"/>
            <w:shd w:val="clear" w:color="auto" w:fill="auto"/>
            <w:vAlign w:val="center"/>
          </w:tcPr>
          <w:p w14:paraId="73CD5AD7"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822E8A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E446D4A"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2219E2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EBE0C9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3BF53048"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484A1292" w14:textId="77777777" w:rsidR="00D34C6F" w:rsidRPr="00CD1278" w:rsidRDefault="00D34C6F" w:rsidP="008277E3">
            <w:pPr>
              <w:spacing w:after="60"/>
              <w:rPr>
                <w:b/>
                <w:color w:val="auto"/>
                <w:sz w:val="10"/>
                <w:szCs w:val="10"/>
              </w:rPr>
            </w:pPr>
          </w:p>
        </w:tc>
        <w:tc>
          <w:tcPr>
            <w:tcW w:w="567" w:type="dxa"/>
          </w:tcPr>
          <w:p w14:paraId="5CB751C4" w14:textId="77777777" w:rsidR="00D34C6F" w:rsidRPr="00CD1278" w:rsidRDefault="00D34C6F" w:rsidP="008277E3">
            <w:pPr>
              <w:spacing w:after="60"/>
              <w:jc w:val="center"/>
              <w:rPr>
                <w:b/>
                <w:color w:val="auto"/>
                <w:sz w:val="10"/>
                <w:szCs w:val="10"/>
              </w:rPr>
            </w:pPr>
          </w:p>
        </w:tc>
        <w:tc>
          <w:tcPr>
            <w:tcW w:w="567" w:type="dxa"/>
          </w:tcPr>
          <w:p w14:paraId="7FC8A72A" w14:textId="77777777" w:rsidR="00D34C6F" w:rsidRPr="00CD1278" w:rsidRDefault="00D34C6F" w:rsidP="008277E3">
            <w:pPr>
              <w:spacing w:after="60"/>
              <w:jc w:val="center"/>
              <w:rPr>
                <w:b/>
                <w:color w:val="auto"/>
                <w:sz w:val="10"/>
                <w:szCs w:val="10"/>
              </w:rPr>
            </w:pPr>
          </w:p>
        </w:tc>
        <w:tc>
          <w:tcPr>
            <w:tcW w:w="567" w:type="dxa"/>
          </w:tcPr>
          <w:p w14:paraId="4FC1E3BA" w14:textId="77777777" w:rsidR="00D34C6F" w:rsidRPr="00CD1278" w:rsidRDefault="00D34C6F" w:rsidP="008277E3">
            <w:pPr>
              <w:spacing w:after="60"/>
              <w:jc w:val="center"/>
              <w:rPr>
                <w:b/>
                <w:color w:val="auto"/>
                <w:sz w:val="10"/>
                <w:szCs w:val="10"/>
              </w:rPr>
            </w:pPr>
          </w:p>
        </w:tc>
      </w:tr>
      <w:tr w:rsidR="003C102E" w:rsidRPr="00CD1278" w14:paraId="4AB55D0C" w14:textId="77777777" w:rsidTr="008277E3">
        <w:trPr>
          <w:trHeight w:val="270"/>
          <w:jc w:val="center"/>
        </w:trPr>
        <w:tc>
          <w:tcPr>
            <w:tcW w:w="662" w:type="dxa"/>
            <w:shd w:val="clear" w:color="auto" w:fill="auto"/>
            <w:vAlign w:val="center"/>
          </w:tcPr>
          <w:p w14:paraId="275DA4BB"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4E85531A" w14:textId="77777777" w:rsidR="00D34C6F" w:rsidRPr="00CD1278" w:rsidRDefault="00D34C6F" w:rsidP="00D1371C">
            <w:pPr>
              <w:spacing w:after="60"/>
              <w:ind w:left="-87"/>
              <w:rPr>
                <w:color w:val="auto"/>
                <w:sz w:val="12"/>
                <w:szCs w:val="12"/>
              </w:rPr>
            </w:pPr>
            <w:r w:rsidRPr="00CD1278">
              <w:rPr>
                <w:color w:val="auto"/>
                <w:sz w:val="12"/>
                <w:szCs w:val="12"/>
              </w:rPr>
              <w:t>Chicory</w:t>
            </w:r>
          </w:p>
        </w:tc>
        <w:tc>
          <w:tcPr>
            <w:tcW w:w="770" w:type="dxa"/>
            <w:shd w:val="clear" w:color="auto" w:fill="auto"/>
            <w:vAlign w:val="center"/>
          </w:tcPr>
          <w:p w14:paraId="6BD1FCFC" w14:textId="77777777" w:rsidR="00D34C6F" w:rsidRPr="00CD1278" w:rsidRDefault="00D34C6F" w:rsidP="008277E3">
            <w:pPr>
              <w:spacing w:after="60"/>
              <w:rPr>
                <w:color w:val="auto"/>
                <w:sz w:val="10"/>
                <w:szCs w:val="10"/>
              </w:rPr>
            </w:pPr>
            <w:r w:rsidRPr="00CD1278">
              <w:rPr>
                <w:color w:val="auto"/>
                <w:sz w:val="10"/>
                <w:szCs w:val="10"/>
              </w:rPr>
              <w:t>0.600</w:t>
            </w:r>
          </w:p>
        </w:tc>
        <w:tc>
          <w:tcPr>
            <w:tcW w:w="647" w:type="dxa"/>
            <w:shd w:val="clear" w:color="auto" w:fill="auto"/>
            <w:vAlign w:val="center"/>
          </w:tcPr>
          <w:p w14:paraId="71E34901" w14:textId="77777777" w:rsidR="00D34C6F" w:rsidRPr="00CD1278" w:rsidRDefault="00D34C6F" w:rsidP="008277E3">
            <w:pPr>
              <w:spacing w:after="60"/>
              <w:rPr>
                <w:color w:val="auto"/>
                <w:sz w:val="10"/>
                <w:szCs w:val="10"/>
              </w:rPr>
            </w:pPr>
            <w:r w:rsidRPr="00CD1278">
              <w:rPr>
                <w:color w:val="auto"/>
                <w:sz w:val="10"/>
                <w:szCs w:val="10"/>
              </w:rPr>
              <w:t>0.180</w:t>
            </w:r>
          </w:p>
        </w:tc>
        <w:tc>
          <w:tcPr>
            <w:tcW w:w="709" w:type="dxa"/>
            <w:shd w:val="clear" w:color="auto" w:fill="auto"/>
            <w:vAlign w:val="center"/>
          </w:tcPr>
          <w:p w14:paraId="3774962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EB0906A"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6A0E1D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505AD56"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45D76BB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44D5E5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72A3023"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08858F73" w14:textId="77777777" w:rsidR="00D34C6F" w:rsidRPr="00CD1278" w:rsidRDefault="00D34C6F" w:rsidP="008277E3">
            <w:pPr>
              <w:spacing w:after="60"/>
              <w:rPr>
                <w:color w:val="auto"/>
                <w:sz w:val="10"/>
                <w:szCs w:val="10"/>
              </w:rPr>
            </w:pPr>
          </w:p>
        </w:tc>
        <w:tc>
          <w:tcPr>
            <w:tcW w:w="567" w:type="dxa"/>
          </w:tcPr>
          <w:p w14:paraId="06DCF55D" w14:textId="77777777" w:rsidR="00D34C6F" w:rsidRPr="00CD1278" w:rsidRDefault="00D34C6F" w:rsidP="008277E3">
            <w:pPr>
              <w:spacing w:after="60"/>
              <w:rPr>
                <w:color w:val="auto"/>
                <w:sz w:val="10"/>
                <w:szCs w:val="10"/>
              </w:rPr>
            </w:pPr>
          </w:p>
        </w:tc>
        <w:tc>
          <w:tcPr>
            <w:tcW w:w="567" w:type="dxa"/>
          </w:tcPr>
          <w:p w14:paraId="65BDA84E" w14:textId="77777777" w:rsidR="00D34C6F" w:rsidRPr="00CD1278" w:rsidRDefault="00D34C6F" w:rsidP="008277E3">
            <w:pPr>
              <w:spacing w:after="60"/>
              <w:rPr>
                <w:color w:val="auto"/>
                <w:sz w:val="10"/>
                <w:szCs w:val="10"/>
              </w:rPr>
            </w:pPr>
          </w:p>
        </w:tc>
        <w:tc>
          <w:tcPr>
            <w:tcW w:w="709" w:type="dxa"/>
            <w:shd w:val="clear" w:color="auto" w:fill="auto"/>
            <w:vAlign w:val="center"/>
          </w:tcPr>
          <w:p w14:paraId="37EEA907" w14:textId="77777777" w:rsidR="00D34C6F" w:rsidRPr="00CD1278" w:rsidRDefault="00D34C6F" w:rsidP="008277E3">
            <w:pPr>
              <w:spacing w:after="60"/>
              <w:rPr>
                <w:color w:val="auto"/>
                <w:sz w:val="10"/>
                <w:szCs w:val="10"/>
              </w:rPr>
            </w:pPr>
            <w:r w:rsidRPr="00CD1278">
              <w:rPr>
                <w:color w:val="auto"/>
                <w:sz w:val="10"/>
                <w:szCs w:val="10"/>
              </w:rPr>
              <w:t>0.180</w:t>
            </w:r>
          </w:p>
        </w:tc>
        <w:tc>
          <w:tcPr>
            <w:tcW w:w="709" w:type="dxa"/>
            <w:shd w:val="clear" w:color="auto" w:fill="auto"/>
            <w:vAlign w:val="center"/>
          </w:tcPr>
          <w:p w14:paraId="59D75293" w14:textId="77777777" w:rsidR="00D34C6F" w:rsidRPr="00CD1278" w:rsidRDefault="00D34C6F" w:rsidP="008277E3">
            <w:pPr>
              <w:spacing w:after="60"/>
              <w:rPr>
                <w:color w:val="auto"/>
                <w:sz w:val="10"/>
                <w:szCs w:val="10"/>
              </w:rPr>
            </w:pPr>
            <w:r w:rsidRPr="00CD1278">
              <w:rPr>
                <w:color w:val="auto"/>
                <w:sz w:val="10"/>
                <w:szCs w:val="10"/>
              </w:rPr>
              <w:t>0.180</w:t>
            </w:r>
          </w:p>
        </w:tc>
        <w:tc>
          <w:tcPr>
            <w:tcW w:w="708" w:type="dxa"/>
            <w:shd w:val="clear" w:color="auto" w:fill="auto"/>
            <w:vAlign w:val="center"/>
          </w:tcPr>
          <w:p w14:paraId="3487B3DC"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50BCC5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0AA57FB"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61FE0B2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9FDCDB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48CB13A5"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31BD7310" w14:textId="77777777" w:rsidR="00D34C6F" w:rsidRPr="00CD1278" w:rsidRDefault="00D34C6F" w:rsidP="008277E3">
            <w:pPr>
              <w:spacing w:after="60"/>
              <w:rPr>
                <w:b/>
                <w:color w:val="auto"/>
                <w:sz w:val="10"/>
                <w:szCs w:val="10"/>
              </w:rPr>
            </w:pPr>
          </w:p>
        </w:tc>
        <w:tc>
          <w:tcPr>
            <w:tcW w:w="567" w:type="dxa"/>
          </w:tcPr>
          <w:p w14:paraId="4BF409A6" w14:textId="77777777" w:rsidR="00D34C6F" w:rsidRPr="00CD1278" w:rsidRDefault="00D34C6F" w:rsidP="008277E3">
            <w:pPr>
              <w:spacing w:after="60"/>
              <w:jc w:val="center"/>
              <w:rPr>
                <w:b/>
                <w:color w:val="auto"/>
                <w:sz w:val="10"/>
                <w:szCs w:val="10"/>
              </w:rPr>
            </w:pPr>
          </w:p>
        </w:tc>
        <w:tc>
          <w:tcPr>
            <w:tcW w:w="567" w:type="dxa"/>
          </w:tcPr>
          <w:p w14:paraId="6C23012A" w14:textId="77777777" w:rsidR="00D34C6F" w:rsidRPr="00CD1278" w:rsidRDefault="00D34C6F" w:rsidP="008277E3">
            <w:pPr>
              <w:spacing w:after="60"/>
              <w:jc w:val="center"/>
              <w:rPr>
                <w:b/>
                <w:color w:val="auto"/>
                <w:sz w:val="10"/>
                <w:szCs w:val="10"/>
              </w:rPr>
            </w:pPr>
          </w:p>
        </w:tc>
        <w:tc>
          <w:tcPr>
            <w:tcW w:w="567" w:type="dxa"/>
          </w:tcPr>
          <w:p w14:paraId="15F09CA0" w14:textId="77777777" w:rsidR="00D34C6F" w:rsidRPr="00CD1278" w:rsidRDefault="00D34C6F" w:rsidP="008277E3">
            <w:pPr>
              <w:spacing w:after="60"/>
              <w:jc w:val="center"/>
              <w:rPr>
                <w:b/>
                <w:color w:val="auto"/>
                <w:sz w:val="10"/>
                <w:szCs w:val="10"/>
              </w:rPr>
            </w:pPr>
          </w:p>
        </w:tc>
      </w:tr>
      <w:tr w:rsidR="003C102E" w:rsidRPr="00CD1278" w14:paraId="79BAC1B7" w14:textId="77777777" w:rsidTr="008277E3">
        <w:trPr>
          <w:trHeight w:val="465"/>
          <w:jc w:val="center"/>
        </w:trPr>
        <w:tc>
          <w:tcPr>
            <w:tcW w:w="662" w:type="dxa"/>
            <w:shd w:val="clear" w:color="auto" w:fill="auto"/>
            <w:vAlign w:val="center"/>
          </w:tcPr>
          <w:p w14:paraId="2ABF74AB"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0DEB9FC3" w14:textId="77777777" w:rsidR="00D34C6F" w:rsidRPr="00CD1278" w:rsidRDefault="00D34C6F" w:rsidP="00D1371C">
            <w:pPr>
              <w:spacing w:after="60"/>
              <w:ind w:left="-87"/>
              <w:rPr>
                <w:color w:val="auto"/>
                <w:sz w:val="12"/>
                <w:szCs w:val="12"/>
              </w:rPr>
            </w:pPr>
            <w:r w:rsidRPr="00CD1278">
              <w:rPr>
                <w:color w:val="auto"/>
                <w:sz w:val="12"/>
                <w:szCs w:val="12"/>
              </w:rPr>
              <w:t>Chrysanthemums</w:t>
            </w:r>
          </w:p>
        </w:tc>
        <w:tc>
          <w:tcPr>
            <w:tcW w:w="770" w:type="dxa"/>
            <w:shd w:val="clear" w:color="auto" w:fill="auto"/>
            <w:vAlign w:val="center"/>
          </w:tcPr>
          <w:p w14:paraId="235CB4F0" w14:textId="77777777" w:rsidR="00D34C6F" w:rsidRPr="00CD1278" w:rsidRDefault="00D34C6F" w:rsidP="008277E3">
            <w:pPr>
              <w:spacing w:after="60"/>
              <w:rPr>
                <w:color w:val="auto"/>
                <w:sz w:val="10"/>
                <w:szCs w:val="10"/>
              </w:rPr>
            </w:pPr>
            <w:r w:rsidRPr="00CD1278">
              <w:rPr>
                <w:color w:val="auto"/>
                <w:sz w:val="10"/>
                <w:szCs w:val="10"/>
              </w:rPr>
              <w:t>1.800</w:t>
            </w:r>
          </w:p>
        </w:tc>
        <w:tc>
          <w:tcPr>
            <w:tcW w:w="647" w:type="dxa"/>
            <w:shd w:val="clear" w:color="auto" w:fill="auto"/>
            <w:vAlign w:val="center"/>
          </w:tcPr>
          <w:p w14:paraId="36961E66" w14:textId="77777777" w:rsidR="00D34C6F" w:rsidRPr="00CD1278" w:rsidRDefault="00D34C6F" w:rsidP="008277E3">
            <w:pPr>
              <w:spacing w:after="60"/>
              <w:rPr>
                <w:color w:val="auto"/>
                <w:sz w:val="10"/>
                <w:szCs w:val="10"/>
              </w:rPr>
            </w:pPr>
            <w:r w:rsidRPr="00CD1278">
              <w:rPr>
                <w:color w:val="auto"/>
                <w:sz w:val="10"/>
                <w:szCs w:val="10"/>
              </w:rPr>
              <w:t>0.720</w:t>
            </w:r>
          </w:p>
        </w:tc>
        <w:tc>
          <w:tcPr>
            <w:tcW w:w="709" w:type="dxa"/>
            <w:shd w:val="clear" w:color="auto" w:fill="auto"/>
            <w:vAlign w:val="center"/>
          </w:tcPr>
          <w:p w14:paraId="3819064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3126F64"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5481F8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AED58FB"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1E7B42B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9BC374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4A1B134"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0A17EF09" w14:textId="77777777" w:rsidR="00D34C6F" w:rsidRPr="00CD1278" w:rsidRDefault="00D34C6F" w:rsidP="008277E3">
            <w:pPr>
              <w:spacing w:after="60"/>
              <w:rPr>
                <w:color w:val="auto"/>
                <w:sz w:val="10"/>
                <w:szCs w:val="10"/>
              </w:rPr>
            </w:pPr>
          </w:p>
        </w:tc>
        <w:tc>
          <w:tcPr>
            <w:tcW w:w="567" w:type="dxa"/>
          </w:tcPr>
          <w:p w14:paraId="5339E943" w14:textId="77777777" w:rsidR="00D34C6F" w:rsidRPr="00CD1278" w:rsidRDefault="00D34C6F" w:rsidP="008277E3">
            <w:pPr>
              <w:spacing w:after="60"/>
              <w:rPr>
                <w:color w:val="auto"/>
                <w:sz w:val="10"/>
                <w:szCs w:val="10"/>
              </w:rPr>
            </w:pPr>
          </w:p>
        </w:tc>
        <w:tc>
          <w:tcPr>
            <w:tcW w:w="567" w:type="dxa"/>
          </w:tcPr>
          <w:p w14:paraId="6FB683A2" w14:textId="77777777" w:rsidR="00D34C6F" w:rsidRPr="00CD1278" w:rsidRDefault="00D34C6F" w:rsidP="008277E3">
            <w:pPr>
              <w:spacing w:after="60"/>
              <w:rPr>
                <w:color w:val="auto"/>
                <w:sz w:val="10"/>
                <w:szCs w:val="10"/>
              </w:rPr>
            </w:pPr>
          </w:p>
        </w:tc>
        <w:tc>
          <w:tcPr>
            <w:tcW w:w="709" w:type="dxa"/>
            <w:shd w:val="clear" w:color="auto" w:fill="auto"/>
            <w:vAlign w:val="center"/>
          </w:tcPr>
          <w:p w14:paraId="47E4C4F4" w14:textId="77777777" w:rsidR="00D34C6F" w:rsidRPr="00CD1278" w:rsidRDefault="00D34C6F" w:rsidP="008277E3">
            <w:pPr>
              <w:spacing w:after="60"/>
              <w:rPr>
                <w:color w:val="auto"/>
                <w:sz w:val="10"/>
                <w:szCs w:val="10"/>
              </w:rPr>
            </w:pPr>
            <w:r w:rsidRPr="00CD1278">
              <w:rPr>
                <w:color w:val="auto"/>
                <w:sz w:val="10"/>
                <w:szCs w:val="10"/>
              </w:rPr>
              <w:t>1.120</w:t>
            </w:r>
          </w:p>
        </w:tc>
        <w:tc>
          <w:tcPr>
            <w:tcW w:w="709" w:type="dxa"/>
            <w:shd w:val="clear" w:color="auto" w:fill="auto"/>
            <w:vAlign w:val="center"/>
          </w:tcPr>
          <w:p w14:paraId="2E649C15"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64C4AA7E"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7CD8DF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3CB6583"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3D02424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AB6A3D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6BB96D50"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43A384F5" w14:textId="77777777" w:rsidR="00D34C6F" w:rsidRPr="00CD1278" w:rsidRDefault="00D34C6F" w:rsidP="008277E3">
            <w:pPr>
              <w:spacing w:after="60"/>
              <w:rPr>
                <w:b/>
                <w:color w:val="auto"/>
                <w:sz w:val="10"/>
                <w:szCs w:val="10"/>
              </w:rPr>
            </w:pPr>
          </w:p>
        </w:tc>
        <w:tc>
          <w:tcPr>
            <w:tcW w:w="567" w:type="dxa"/>
          </w:tcPr>
          <w:p w14:paraId="73307E3F" w14:textId="77777777" w:rsidR="00D34C6F" w:rsidRPr="00CD1278" w:rsidRDefault="00D34C6F" w:rsidP="008277E3">
            <w:pPr>
              <w:spacing w:after="60"/>
              <w:jc w:val="center"/>
              <w:rPr>
                <w:b/>
                <w:color w:val="auto"/>
                <w:sz w:val="10"/>
                <w:szCs w:val="10"/>
              </w:rPr>
            </w:pPr>
          </w:p>
        </w:tc>
        <w:tc>
          <w:tcPr>
            <w:tcW w:w="567" w:type="dxa"/>
          </w:tcPr>
          <w:p w14:paraId="26682F86" w14:textId="77777777" w:rsidR="00D34C6F" w:rsidRPr="00CD1278" w:rsidRDefault="00D34C6F" w:rsidP="008277E3">
            <w:pPr>
              <w:spacing w:after="60"/>
              <w:jc w:val="center"/>
              <w:rPr>
                <w:b/>
                <w:color w:val="auto"/>
                <w:sz w:val="10"/>
                <w:szCs w:val="10"/>
              </w:rPr>
            </w:pPr>
          </w:p>
        </w:tc>
        <w:tc>
          <w:tcPr>
            <w:tcW w:w="567" w:type="dxa"/>
          </w:tcPr>
          <w:p w14:paraId="05F3EC3E" w14:textId="77777777" w:rsidR="00D34C6F" w:rsidRPr="00CD1278" w:rsidRDefault="00D34C6F" w:rsidP="008277E3">
            <w:pPr>
              <w:spacing w:after="60"/>
              <w:jc w:val="center"/>
              <w:rPr>
                <w:b/>
                <w:color w:val="auto"/>
                <w:sz w:val="10"/>
                <w:szCs w:val="10"/>
              </w:rPr>
            </w:pPr>
          </w:p>
        </w:tc>
      </w:tr>
      <w:tr w:rsidR="003C102E" w:rsidRPr="00CD1278" w14:paraId="2D6DA1D7" w14:textId="77777777" w:rsidTr="008277E3">
        <w:trPr>
          <w:trHeight w:val="270"/>
          <w:jc w:val="center"/>
        </w:trPr>
        <w:tc>
          <w:tcPr>
            <w:tcW w:w="662" w:type="dxa"/>
            <w:shd w:val="clear" w:color="auto" w:fill="auto"/>
            <w:vAlign w:val="center"/>
          </w:tcPr>
          <w:p w14:paraId="0CA6765B"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691731AF" w14:textId="77777777" w:rsidR="00D34C6F" w:rsidRPr="00CD1278" w:rsidRDefault="00D34C6F" w:rsidP="00D1371C">
            <w:pPr>
              <w:spacing w:after="60"/>
              <w:ind w:left="-87"/>
              <w:rPr>
                <w:color w:val="auto"/>
                <w:sz w:val="12"/>
                <w:szCs w:val="12"/>
              </w:rPr>
            </w:pPr>
            <w:r w:rsidRPr="00CD1278">
              <w:rPr>
                <w:color w:val="auto"/>
                <w:sz w:val="12"/>
                <w:szCs w:val="12"/>
              </w:rPr>
              <w:t>Cucumber</w:t>
            </w:r>
          </w:p>
        </w:tc>
        <w:tc>
          <w:tcPr>
            <w:tcW w:w="770" w:type="dxa"/>
            <w:shd w:val="clear" w:color="auto" w:fill="auto"/>
            <w:vAlign w:val="center"/>
          </w:tcPr>
          <w:p w14:paraId="39DA025B" w14:textId="77777777" w:rsidR="00D34C6F" w:rsidRPr="00CD1278" w:rsidRDefault="00D34C6F" w:rsidP="008277E3">
            <w:pPr>
              <w:spacing w:after="60"/>
              <w:rPr>
                <w:color w:val="auto"/>
                <w:sz w:val="10"/>
                <w:szCs w:val="10"/>
              </w:rPr>
            </w:pPr>
            <w:r w:rsidRPr="00CD1278">
              <w:rPr>
                <w:color w:val="auto"/>
                <w:sz w:val="10"/>
                <w:szCs w:val="10"/>
              </w:rPr>
              <w:t>0.610</w:t>
            </w:r>
          </w:p>
        </w:tc>
        <w:tc>
          <w:tcPr>
            <w:tcW w:w="647" w:type="dxa"/>
            <w:shd w:val="clear" w:color="auto" w:fill="auto"/>
            <w:vAlign w:val="center"/>
          </w:tcPr>
          <w:p w14:paraId="7B993997" w14:textId="77777777" w:rsidR="00D34C6F" w:rsidRPr="00CD1278" w:rsidRDefault="00D34C6F" w:rsidP="008277E3">
            <w:pPr>
              <w:spacing w:after="60"/>
              <w:rPr>
                <w:color w:val="auto"/>
                <w:sz w:val="10"/>
                <w:szCs w:val="10"/>
              </w:rPr>
            </w:pPr>
            <w:r w:rsidRPr="00CD1278">
              <w:rPr>
                <w:color w:val="auto"/>
                <w:sz w:val="10"/>
                <w:szCs w:val="10"/>
              </w:rPr>
              <w:t>0.545</w:t>
            </w:r>
          </w:p>
        </w:tc>
        <w:tc>
          <w:tcPr>
            <w:tcW w:w="709" w:type="dxa"/>
            <w:shd w:val="clear" w:color="auto" w:fill="auto"/>
            <w:vAlign w:val="center"/>
          </w:tcPr>
          <w:p w14:paraId="4043629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42959AC"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162052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86BC7AF"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39D878C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09EACA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252899E"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53762B0B" w14:textId="77777777" w:rsidR="00D34C6F" w:rsidRPr="00CD1278" w:rsidRDefault="00D34C6F" w:rsidP="008277E3">
            <w:pPr>
              <w:spacing w:after="60"/>
              <w:rPr>
                <w:color w:val="auto"/>
                <w:sz w:val="10"/>
                <w:szCs w:val="10"/>
              </w:rPr>
            </w:pPr>
          </w:p>
        </w:tc>
        <w:tc>
          <w:tcPr>
            <w:tcW w:w="567" w:type="dxa"/>
          </w:tcPr>
          <w:p w14:paraId="775E2B1F" w14:textId="77777777" w:rsidR="00D34C6F" w:rsidRPr="00CD1278" w:rsidRDefault="00D34C6F" w:rsidP="008277E3">
            <w:pPr>
              <w:spacing w:after="60"/>
              <w:rPr>
                <w:color w:val="auto"/>
                <w:sz w:val="10"/>
                <w:szCs w:val="10"/>
              </w:rPr>
            </w:pPr>
          </w:p>
        </w:tc>
        <w:tc>
          <w:tcPr>
            <w:tcW w:w="567" w:type="dxa"/>
          </w:tcPr>
          <w:p w14:paraId="72A93434" w14:textId="77777777" w:rsidR="00D34C6F" w:rsidRPr="00CD1278" w:rsidRDefault="00D34C6F" w:rsidP="008277E3">
            <w:pPr>
              <w:spacing w:after="60"/>
              <w:rPr>
                <w:color w:val="auto"/>
                <w:sz w:val="10"/>
                <w:szCs w:val="10"/>
              </w:rPr>
            </w:pPr>
          </w:p>
        </w:tc>
        <w:tc>
          <w:tcPr>
            <w:tcW w:w="709" w:type="dxa"/>
            <w:shd w:val="clear" w:color="auto" w:fill="auto"/>
            <w:vAlign w:val="center"/>
          </w:tcPr>
          <w:p w14:paraId="6044971D" w14:textId="77777777" w:rsidR="00D34C6F" w:rsidRPr="00CD1278" w:rsidRDefault="00D34C6F" w:rsidP="008277E3">
            <w:pPr>
              <w:spacing w:after="60"/>
              <w:rPr>
                <w:color w:val="auto"/>
                <w:sz w:val="10"/>
                <w:szCs w:val="10"/>
              </w:rPr>
            </w:pPr>
            <w:r w:rsidRPr="00CD1278">
              <w:rPr>
                <w:color w:val="auto"/>
                <w:sz w:val="10"/>
                <w:szCs w:val="10"/>
              </w:rPr>
              <w:t>0.610</w:t>
            </w:r>
          </w:p>
        </w:tc>
        <w:tc>
          <w:tcPr>
            <w:tcW w:w="709" w:type="dxa"/>
            <w:shd w:val="clear" w:color="auto" w:fill="auto"/>
            <w:vAlign w:val="center"/>
          </w:tcPr>
          <w:p w14:paraId="426626DA" w14:textId="77777777" w:rsidR="00D34C6F" w:rsidRPr="00CD1278" w:rsidRDefault="00D34C6F" w:rsidP="008277E3">
            <w:pPr>
              <w:spacing w:after="60"/>
              <w:rPr>
                <w:color w:val="auto"/>
                <w:sz w:val="10"/>
                <w:szCs w:val="10"/>
              </w:rPr>
            </w:pPr>
            <w:r w:rsidRPr="00CD1278">
              <w:rPr>
                <w:color w:val="auto"/>
                <w:sz w:val="10"/>
                <w:szCs w:val="10"/>
              </w:rPr>
              <w:t>0.545</w:t>
            </w:r>
          </w:p>
        </w:tc>
        <w:tc>
          <w:tcPr>
            <w:tcW w:w="708" w:type="dxa"/>
            <w:shd w:val="clear" w:color="auto" w:fill="auto"/>
            <w:vAlign w:val="center"/>
          </w:tcPr>
          <w:p w14:paraId="63ED419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FF9901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419036A"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EA4E38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6B9B31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7D178B22"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0B419024" w14:textId="77777777" w:rsidR="00D34C6F" w:rsidRPr="00CD1278" w:rsidRDefault="00D34C6F" w:rsidP="008277E3">
            <w:pPr>
              <w:spacing w:after="60"/>
              <w:rPr>
                <w:b/>
                <w:color w:val="auto"/>
                <w:sz w:val="10"/>
                <w:szCs w:val="10"/>
              </w:rPr>
            </w:pPr>
          </w:p>
        </w:tc>
        <w:tc>
          <w:tcPr>
            <w:tcW w:w="567" w:type="dxa"/>
          </w:tcPr>
          <w:p w14:paraId="6D43610F" w14:textId="77777777" w:rsidR="00D34C6F" w:rsidRPr="00CD1278" w:rsidRDefault="00D34C6F" w:rsidP="008277E3">
            <w:pPr>
              <w:spacing w:after="60"/>
              <w:jc w:val="center"/>
              <w:rPr>
                <w:b/>
                <w:color w:val="auto"/>
                <w:sz w:val="10"/>
                <w:szCs w:val="10"/>
              </w:rPr>
            </w:pPr>
          </w:p>
        </w:tc>
        <w:tc>
          <w:tcPr>
            <w:tcW w:w="567" w:type="dxa"/>
          </w:tcPr>
          <w:p w14:paraId="4CEF6E31" w14:textId="77777777" w:rsidR="00D34C6F" w:rsidRPr="00CD1278" w:rsidRDefault="00D34C6F" w:rsidP="008277E3">
            <w:pPr>
              <w:spacing w:after="60"/>
              <w:jc w:val="center"/>
              <w:rPr>
                <w:b/>
                <w:color w:val="auto"/>
                <w:sz w:val="10"/>
                <w:szCs w:val="10"/>
              </w:rPr>
            </w:pPr>
          </w:p>
        </w:tc>
        <w:tc>
          <w:tcPr>
            <w:tcW w:w="567" w:type="dxa"/>
          </w:tcPr>
          <w:p w14:paraId="18631D74" w14:textId="77777777" w:rsidR="00D34C6F" w:rsidRPr="00CD1278" w:rsidRDefault="00D34C6F" w:rsidP="008277E3">
            <w:pPr>
              <w:spacing w:after="60"/>
              <w:jc w:val="center"/>
              <w:rPr>
                <w:b/>
                <w:color w:val="auto"/>
                <w:sz w:val="10"/>
                <w:szCs w:val="10"/>
              </w:rPr>
            </w:pPr>
          </w:p>
        </w:tc>
      </w:tr>
      <w:tr w:rsidR="003C102E" w:rsidRPr="00CD1278" w14:paraId="3198F54A" w14:textId="77777777" w:rsidTr="008277E3">
        <w:trPr>
          <w:trHeight w:val="465"/>
          <w:jc w:val="center"/>
        </w:trPr>
        <w:tc>
          <w:tcPr>
            <w:tcW w:w="662" w:type="dxa"/>
            <w:shd w:val="clear" w:color="auto" w:fill="auto"/>
            <w:vAlign w:val="center"/>
          </w:tcPr>
          <w:p w14:paraId="61E67F82"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62B6863A" w14:textId="77777777" w:rsidR="00D34C6F" w:rsidRPr="00CD1278" w:rsidRDefault="00D34C6F" w:rsidP="00D1371C">
            <w:pPr>
              <w:spacing w:after="60"/>
              <w:ind w:left="-87"/>
              <w:rPr>
                <w:color w:val="auto"/>
                <w:sz w:val="12"/>
                <w:szCs w:val="12"/>
              </w:rPr>
            </w:pPr>
            <w:r w:rsidRPr="00CD1278">
              <w:rPr>
                <w:color w:val="auto"/>
                <w:sz w:val="12"/>
                <w:szCs w:val="12"/>
              </w:rPr>
              <w:t>Cut flowers – other</w:t>
            </w:r>
          </w:p>
        </w:tc>
        <w:tc>
          <w:tcPr>
            <w:tcW w:w="770" w:type="dxa"/>
            <w:shd w:val="clear" w:color="auto" w:fill="auto"/>
            <w:vAlign w:val="center"/>
          </w:tcPr>
          <w:p w14:paraId="0F483D69" w14:textId="77777777" w:rsidR="00D34C6F" w:rsidRPr="00CD1278" w:rsidRDefault="00D34C6F" w:rsidP="008277E3">
            <w:pPr>
              <w:spacing w:after="60"/>
              <w:rPr>
                <w:color w:val="auto"/>
                <w:sz w:val="10"/>
                <w:szCs w:val="10"/>
              </w:rPr>
            </w:pPr>
            <w:r w:rsidRPr="00CD1278">
              <w:rPr>
                <w:color w:val="auto"/>
                <w:sz w:val="10"/>
                <w:szCs w:val="10"/>
              </w:rPr>
              <w:t>6.110</w:t>
            </w:r>
          </w:p>
        </w:tc>
        <w:tc>
          <w:tcPr>
            <w:tcW w:w="647" w:type="dxa"/>
            <w:shd w:val="clear" w:color="auto" w:fill="auto"/>
            <w:vAlign w:val="center"/>
          </w:tcPr>
          <w:p w14:paraId="61688C8E" w14:textId="77777777" w:rsidR="00D34C6F" w:rsidRPr="00CD1278" w:rsidRDefault="00D34C6F" w:rsidP="008277E3">
            <w:pPr>
              <w:spacing w:after="60"/>
              <w:rPr>
                <w:color w:val="auto"/>
                <w:sz w:val="10"/>
                <w:szCs w:val="10"/>
              </w:rPr>
            </w:pPr>
            <w:r w:rsidRPr="00CD1278">
              <w:rPr>
                <w:color w:val="auto"/>
                <w:sz w:val="10"/>
                <w:szCs w:val="10"/>
              </w:rPr>
              <w:t>1.956</w:t>
            </w:r>
          </w:p>
        </w:tc>
        <w:tc>
          <w:tcPr>
            <w:tcW w:w="709" w:type="dxa"/>
            <w:shd w:val="clear" w:color="auto" w:fill="auto"/>
            <w:vAlign w:val="center"/>
          </w:tcPr>
          <w:p w14:paraId="02E5124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8FA2C52"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082FE1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C59861A"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717A689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00A435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4C63128"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6258891F" w14:textId="77777777" w:rsidR="00D34C6F" w:rsidRPr="00CD1278" w:rsidRDefault="00D34C6F" w:rsidP="008277E3">
            <w:pPr>
              <w:spacing w:after="60"/>
              <w:rPr>
                <w:color w:val="auto"/>
                <w:sz w:val="10"/>
                <w:szCs w:val="10"/>
              </w:rPr>
            </w:pPr>
          </w:p>
        </w:tc>
        <w:tc>
          <w:tcPr>
            <w:tcW w:w="567" w:type="dxa"/>
          </w:tcPr>
          <w:p w14:paraId="79915D93" w14:textId="77777777" w:rsidR="00D34C6F" w:rsidRPr="00CD1278" w:rsidRDefault="00D34C6F" w:rsidP="008277E3">
            <w:pPr>
              <w:spacing w:after="60"/>
              <w:rPr>
                <w:color w:val="auto"/>
                <w:sz w:val="10"/>
                <w:szCs w:val="10"/>
              </w:rPr>
            </w:pPr>
          </w:p>
        </w:tc>
        <w:tc>
          <w:tcPr>
            <w:tcW w:w="567" w:type="dxa"/>
          </w:tcPr>
          <w:p w14:paraId="58BFBF25" w14:textId="77777777" w:rsidR="00D34C6F" w:rsidRPr="00CD1278" w:rsidRDefault="00D34C6F" w:rsidP="008277E3">
            <w:pPr>
              <w:spacing w:after="60"/>
              <w:rPr>
                <w:color w:val="auto"/>
                <w:sz w:val="10"/>
                <w:szCs w:val="10"/>
              </w:rPr>
            </w:pPr>
          </w:p>
        </w:tc>
        <w:tc>
          <w:tcPr>
            <w:tcW w:w="709" w:type="dxa"/>
            <w:shd w:val="clear" w:color="auto" w:fill="auto"/>
            <w:vAlign w:val="center"/>
          </w:tcPr>
          <w:p w14:paraId="4F14DA43" w14:textId="77777777" w:rsidR="00D34C6F" w:rsidRPr="00CD1278" w:rsidRDefault="00D34C6F" w:rsidP="008277E3">
            <w:pPr>
              <w:spacing w:after="60"/>
              <w:rPr>
                <w:color w:val="auto"/>
                <w:sz w:val="10"/>
                <w:szCs w:val="10"/>
              </w:rPr>
            </w:pPr>
            <w:r w:rsidRPr="00CD1278">
              <w:rPr>
                <w:color w:val="auto"/>
                <w:sz w:val="10"/>
                <w:szCs w:val="10"/>
              </w:rPr>
              <w:t>4.000</w:t>
            </w:r>
          </w:p>
        </w:tc>
        <w:tc>
          <w:tcPr>
            <w:tcW w:w="709" w:type="dxa"/>
            <w:shd w:val="clear" w:color="auto" w:fill="auto"/>
            <w:vAlign w:val="center"/>
          </w:tcPr>
          <w:p w14:paraId="6E0624CA" w14:textId="77777777" w:rsidR="00D34C6F" w:rsidRPr="00CD1278" w:rsidRDefault="00D34C6F" w:rsidP="008277E3">
            <w:pPr>
              <w:spacing w:after="60"/>
              <w:rPr>
                <w:color w:val="auto"/>
                <w:sz w:val="10"/>
                <w:szCs w:val="10"/>
              </w:rPr>
            </w:pPr>
            <w:r w:rsidRPr="00CD1278">
              <w:rPr>
                <w:color w:val="auto"/>
                <w:sz w:val="10"/>
                <w:szCs w:val="10"/>
              </w:rPr>
              <w:t>1.956</w:t>
            </w:r>
          </w:p>
        </w:tc>
        <w:tc>
          <w:tcPr>
            <w:tcW w:w="708" w:type="dxa"/>
            <w:shd w:val="clear" w:color="auto" w:fill="auto"/>
            <w:vAlign w:val="center"/>
          </w:tcPr>
          <w:p w14:paraId="7CBE3B29"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8F095B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0AD91FC"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DC642F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A03F67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5512186D"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32400376" w14:textId="77777777" w:rsidR="00D34C6F" w:rsidRPr="00CD1278" w:rsidRDefault="00D34C6F" w:rsidP="008277E3">
            <w:pPr>
              <w:spacing w:after="60"/>
              <w:rPr>
                <w:b/>
                <w:color w:val="auto"/>
                <w:sz w:val="10"/>
                <w:szCs w:val="10"/>
              </w:rPr>
            </w:pPr>
          </w:p>
        </w:tc>
        <w:tc>
          <w:tcPr>
            <w:tcW w:w="567" w:type="dxa"/>
          </w:tcPr>
          <w:p w14:paraId="5CD194FD" w14:textId="77777777" w:rsidR="00D34C6F" w:rsidRPr="00CD1278" w:rsidRDefault="00D34C6F" w:rsidP="008277E3">
            <w:pPr>
              <w:spacing w:after="60"/>
              <w:jc w:val="center"/>
              <w:rPr>
                <w:b/>
                <w:color w:val="auto"/>
                <w:sz w:val="10"/>
                <w:szCs w:val="10"/>
              </w:rPr>
            </w:pPr>
          </w:p>
        </w:tc>
        <w:tc>
          <w:tcPr>
            <w:tcW w:w="567" w:type="dxa"/>
          </w:tcPr>
          <w:p w14:paraId="6F4DA6EB" w14:textId="77777777" w:rsidR="00D34C6F" w:rsidRPr="00CD1278" w:rsidRDefault="00D34C6F" w:rsidP="008277E3">
            <w:pPr>
              <w:spacing w:after="60"/>
              <w:jc w:val="center"/>
              <w:rPr>
                <w:b/>
                <w:color w:val="auto"/>
                <w:sz w:val="10"/>
                <w:szCs w:val="10"/>
              </w:rPr>
            </w:pPr>
          </w:p>
        </w:tc>
        <w:tc>
          <w:tcPr>
            <w:tcW w:w="567" w:type="dxa"/>
          </w:tcPr>
          <w:p w14:paraId="11096CA0" w14:textId="77777777" w:rsidR="00D34C6F" w:rsidRPr="00CD1278" w:rsidRDefault="00D34C6F" w:rsidP="008277E3">
            <w:pPr>
              <w:spacing w:after="60"/>
              <w:jc w:val="center"/>
              <w:rPr>
                <w:b/>
                <w:color w:val="auto"/>
                <w:sz w:val="10"/>
                <w:szCs w:val="10"/>
              </w:rPr>
            </w:pPr>
          </w:p>
        </w:tc>
      </w:tr>
      <w:tr w:rsidR="003C102E" w:rsidRPr="00CD1278" w14:paraId="43AFC531" w14:textId="77777777" w:rsidTr="008277E3">
        <w:trPr>
          <w:trHeight w:val="465"/>
          <w:jc w:val="center"/>
        </w:trPr>
        <w:tc>
          <w:tcPr>
            <w:tcW w:w="662" w:type="dxa"/>
            <w:shd w:val="clear" w:color="auto" w:fill="auto"/>
            <w:vAlign w:val="center"/>
          </w:tcPr>
          <w:p w14:paraId="5406F671"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2A292FBC" w14:textId="77777777" w:rsidR="00D34C6F" w:rsidRPr="00CD1278" w:rsidRDefault="00D34C6F" w:rsidP="00D1371C">
            <w:pPr>
              <w:spacing w:after="60"/>
              <w:ind w:left="-87"/>
              <w:rPr>
                <w:color w:val="auto"/>
                <w:sz w:val="12"/>
                <w:szCs w:val="12"/>
              </w:rPr>
            </w:pPr>
            <w:r w:rsidRPr="00CD1278">
              <w:rPr>
                <w:color w:val="auto"/>
                <w:sz w:val="12"/>
                <w:szCs w:val="12"/>
              </w:rPr>
              <w:t>Cut flowers – roses</w:t>
            </w:r>
          </w:p>
        </w:tc>
        <w:tc>
          <w:tcPr>
            <w:tcW w:w="770" w:type="dxa"/>
            <w:shd w:val="clear" w:color="auto" w:fill="auto"/>
            <w:vAlign w:val="center"/>
          </w:tcPr>
          <w:p w14:paraId="0918FB3E" w14:textId="77777777" w:rsidR="00D34C6F" w:rsidRPr="00CD1278" w:rsidRDefault="00D34C6F" w:rsidP="008277E3">
            <w:pPr>
              <w:spacing w:after="60"/>
              <w:rPr>
                <w:color w:val="auto"/>
                <w:sz w:val="10"/>
                <w:szCs w:val="10"/>
              </w:rPr>
            </w:pPr>
            <w:r w:rsidRPr="00CD1278">
              <w:rPr>
                <w:color w:val="auto"/>
                <w:sz w:val="10"/>
                <w:szCs w:val="10"/>
              </w:rPr>
              <w:t>1.640</w:t>
            </w:r>
          </w:p>
        </w:tc>
        <w:tc>
          <w:tcPr>
            <w:tcW w:w="647" w:type="dxa"/>
            <w:shd w:val="clear" w:color="auto" w:fill="auto"/>
            <w:vAlign w:val="center"/>
          </w:tcPr>
          <w:p w14:paraId="1E6B38FD"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27615F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7361061"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01F3D0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975A6BC"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118A6F0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6D285F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569F21A"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5C79B113" w14:textId="77777777" w:rsidR="00D34C6F" w:rsidRPr="00CD1278" w:rsidRDefault="00D34C6F" w:rsidP="008277E3">
            <w:pPr>
              <w:spacing w:after="60"/>
              <w:rPr>
                <w:color w:val="auto"/>
                <w:sz w:val="10"/>
                <w:szCs w:val="10"/>
              </w:rPr>
            </w:pPr>
          </w:p>
        </w:tc>
        <w:tc>
          <w:tcPr>
            <w:tcW w:w="567" w:type="dxa"/>
          </w:tcPr>
          <w:p w14:paraId="438B19BE" w14:textId="77777777" w:rsidR="00D34C6F" w:rsidRPr="00CD1278" w:rsidRDefault="00D34C6F" w:rsidP="008277E3">
            <w:pPr>
              <w:spacing w:after="60"/>
              <w:rPr>
                <w:color w:val="auto"/>
                <w:sz w:val="10"/>
                <w:szCs w:val="10"/>
              </w:rPr>
            </w:pPr>
          </w:p>
        </w:tc>
        <w:tc>
          <w:tcPr>
            <w:tcW w:w="567" w:type="dxa"/>
          </w:tcPr>
          <w:p w14:paraId="4A6760D2" w14:textId="77777777" w:rsidR="00D34C6F" w:rsidRPr="00CD1278" w:rsidRDefault="00D34C6F" w:rsidP="008277E3">
            <w:pPr>
              <w:spacing w:after="60"/>
              <w:rPr>
                <w:color w:val="auto"/>
                <w:sz w:val="10"/>
                <w:szCs w:val="10"/>
              </w:rPr>
            </w:pPr>
          </w:p>
        </w:tc>
        <w:tc>
          <w:tcPr>
            <w:tcW w:w="709" w:type="dxa"/>
            <w:shd w:val="clear" w:color="auto" w:fill="auto"/>
            <w:vAlign w:val="center"/>
          </w:tcPr>
          <w:p w14:paraId="7AFA271C"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9BB60AB"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547877EE"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C9DD04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D4D414A"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7CE7E8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7D83E2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2DD47053"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49E5EF0D" w14:textId="77777777" w:rsidR="00D34C6F" w:rsidRPr="00CD1278" w:rsidRDefault="00D34C6F" w:rsidP="008277E3">
            <w:pPr>
              <w:spacing w:after="60"/>
              <w:rPr>
                <w:b/>
                <w:color w:val="auto"/>
                <w:sz w:val="10"/>
                <w:szCs w:val="10"/>
              </w:rPr>
            </w:pPr>
          </w:p>
        </w:tc>
        <w:tc>
          <w:tcPr>
            <w:tcW w:w="567" w:type="dxa"/>
          </w:tcPr>
          <w:p w14:paraId="1510A9D4" w14:textId="77777777" w:rsidR="00D34C6F" w:rsidRPr="00CD1278" w:rsidRDefault="00D34C6F" w:rsidP="008277E3">
            <w:pPr>
              <w:spacing w:after="60"/>
              <w:jc w:val="center"/>
              <w:rPr>
                <w:b/>
                <w:color w:val="auto"/>
                <w:sz w:val="10"/>
                <w:szCs w:val="10"/>
              </w:rPr>
            </w:pPr>
          </w:p>
        </w:tc>
        <w:tc>
          <w:tcPr>
            <w:tcW w:w="567" w:type="dxa"/>
          </w:tcPr>
          <w:p w14:paraId="3B4FF744" w14:textId="77777777" w:rsidR="00D34C6F" w:rsidRPr="00CD1278" w:rsidRDefault="00D34C6F" w:rsidP="008277E3">
            <w:pPr>
              <w:spacing w:after="60"/>
              <w:jc w:val="center"/>
              <w:rPr>
                <w:b/>
                <w:color w:val="auto"/>
                <w:sz w:val="10"/>
                <w:szCs w:val="10"/>
              </w:rPr>
            </w:pPr>
          </w:p>
        </w:tc>
        <w:tc>
          <w:tcPr>
            <w:tcW w:w="567" w:type="dxa"/>
          </w:tcPr>
          <w:p w14:paraId="05CDCFF6" w14:textId="77777777" w:rsidR="00D34C6F" w:rsidRPr="00CD1278" w:rsidRDefault="00D34C6F" w:rsidP="008277E3">
            <w:pPr>
              <w:spacing w:after="60"/>
              <w:jc w:val="center"/>
              <w:rPr>
                <w:b/>
                <w:color w:val="auto"/>
                <w:sz w:val="10"/>
                <w:szCs w:val="10"/>
              </w:rPr>
            </w:pPr>
          </w:p>
        </w:tc>
      </w:tr>
      <w:tr w:rsidR="003C102E" w:rsidRPr="00CD1278" w14:paraId="332BB49A" w14:textId="77777777" w:rsidTr="008277E3">
        <w:trPr>
          <w:trHeight w:val="690"/>
          <w:jc w:val="center"/>
        </w:trPr>
        <w:tc>
          <w:tcPr>
            <w:tcW w:w="662" w:type="dxa"/>
            <w:shd w:val="clear" w:color="auto" w:fill="auto"/>
            <w:vAlign w:val="center"/>
          </w:tcPr>
          <w:p w14:paraId="492CC4D0"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55873B80" w14:textId="77777777" w:rsidR="00D34C6F" w:rsidRPr="00CD1278" w:rsidRDefault="00D34C6F" w:rsidP="00D1371C">
            <w:pPr>
              <w:spacing w:after="60"/>
              <w:ind w:left="-87"/>
              <w:rPr>
                <w:color w:val="auto"/>
                <w:sz w:val="12"/>
                <w:szCs w:val="12"/>
              </w:rPr>
            </w:pPr>
            <w:r w:rsidRPr="00CD1278">
              <w:rPr>
                <w:color w:val="auto"/>
                <w:sz w:val="12"/>
                <w:szCs w:val="12"/>
              </w:rPr>
              <w:t>Endive (sep from lettuce)</w:t>
            </w:r>
          </w:p>
        </w:tc>
        <w:tc>
          <w:tcPr>
            <w:tcW w:w="770" w:type="dxa"/>
            <w:shd w:val="clear" w:color="auto" w:fill="auto"/>
            <w:vAlign w:val="center"/>
          </w:tcPr>
          <w:p w14:paraId="40027278"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38EE3EAF" w14:textId="77777777" w:rsidR="00D34C6F" w:rsidRPr="00CD1278" w:rsidRDefault="00D34C6F" w:rsidP="008277E3">
            <w:pPr>
              <w:spacing w:after="60"/>
              <w:rPr>
                <w:color w:val="auto"/>
                <w:sz w:val="10"/>
                <w:szCs w:val="10"/>
              </w:rPr>
            </w:pPr>
            <w:r w:rsidRPr="00CD1278">
              <w:rPr>
                <w:color w:val="auto"/>
                <w:sz w:val="10"/>
                <w:szCs w:val="10"/>
              </w:rPr>
              <w:t>1.650</w:t>
            </w:r>
          </w:p>
        </w:tc>
        <w:tc>
          <w:tcPr>
            <w:tcW w:w="709" w:type="dxa"/>
            <w:shd w:val="clear" w:color="auto" w:fill="auto"/>
            <w:vAlign w:val="center"/>
          </w:tcPr>
          <w:p w14:paraId="26E7984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DCA2B1F"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FE50EB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17357A1"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0F595C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87FC86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9384B2D"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4FA8B2EC" w14:textId="77777777" w:rsidR="00D34C6F" w:rsidRPr="00CD1278" w:rsidRDefault="00D34C6F" w:rsidP="008277E3">
            <w:pPr>
              <w:spacing w:after="60"/>
              <w:rPr>
                <w:color w:val="auto"/>
                <w:sz w:val="10"/>
                <w:szCs w:val="10"/>
              </w:rPr>
            </w:pPr>
          </w:p>
        </w:tc>
        <w:tc>
          <w:tcPr>
            <w:tcW w:w="567" w:type="dxa"/>
          </w:tcPr>
          <w:p w14:paraId="15E4DCB5" w14:textId="77777777" w:rsidR="00D34C6F" w:rsidRPr="00CD1278" w:rsidRDefault="00D34C6F" w:rsidP="008277E3">
            <w:pPr>
              <w:spacing w:after="60"/>
              <w:rPr>
                <w:color w:val="auto"/>
                <w:sz w:val="10"/>
                <w:szCs w:val="10"/>
              </w:rPr>
            </w:pPr>
          </w:p>
        </w:tc>
        <w:tc>
          <w:tcPr>
            <w:tcW w:w="567" w:type="dxa"/>
          </w:tcPr>
          <w:p w14:paraId="07F3BE7C" w14:textId="77777777" w:rsidR="00D34C6F" w:rsidRPr="00CD1278" w:rsidRDefault="00D34C6F" w:rsidP="008277E3">
            <w:pPr>
              <w:spacing w:after="60"/>
              <w:rPr>
                <w:color w:val="auto"/>
                <w:sz w:val="10"/>
                <w:szCs w:val="10"/>
              </w:rPr>
            </w:pPr>
          </w:p>
        </w:tc>
        <w:tc>
          <w:tcPr>
            <w:tcW w:w="709" w:type="dxa"/>
            <w:shd w:val="clear" w:color="auto" w:fill="auto"/>
            <w:vAlign w:val="center"/>
          </w:tcPr>
          <w:p w14:paraId="2CDF4D66"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DA91E4B" w14:textId="77777777" w:rsidR="00D34C6F" w:rsidRPr="00CD1278" w:rsidRDefault="00D34C6F" w:rsidP="008277E3">
            <w:pPr>
              <w:spacing w:after="60"/>
              <w:rPr>
                <w:color w:val="auto"/>
                <w:sz w:val="10"/>
                <w:szCs w:val="10"/>
              </w:rPr>
            </w:pPr>
            <w:r w:rsidRPr="00CD1278">
              <w:rPr>
                <w:color w:val="auto"/>
                <w:sz w:val="10"/>
                <w:szCs w:val="10"/>
              </w:rPr>
              <w:t>1.650</w:t>
            </w:r>
          </w:p>
        </w:tc>
        <w:tc>
          <w:tcPr>
            <w:tcW w:w="708" w:type="dxa"/>
            <w:shd w:val="clear" w:color="auto" w:fill="auto"/>
            <w:vAlign w:val="center"/>
          </w:tcPr>
          <w:p w14:paraId="2BFBEDBA"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ADBC12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B8EB58F"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CD8237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AD5510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4491D68D"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29E0BFBB" w14:textId="77777777" w:rsidR="00D34C6F" w:rsidRPr="00CD1278" w:rsidRDefault="00D34C6F" w:rsidP="008277E3">
            <w:pPr>
              <w:spacing w:after="60"/>
              <w:rPr>
                <w:b/>
                <w:color w:val="auto"/>
                <w:sz w:val="10"/>
                <w:szCs w:val="10"/>
              </w:rPr>
            </w:pPr>
          </w:p>
        </w:tc>
        <w:tc>
          <w:tcPr>
            <w:tcW w:w="567" w:type="dxa"/>
          </w:tcPr>
          <w:p w14:paraId="2E2840FA" w14:textId="77777777" w:rsidR="00D34C6F" w:rsidRPr="00CD1278" w:rsidRDefault="00D34C6F" w:rsidP="008277E3">
            <w:pPr>
              <w:spacing w:after="60"/>
              <w:jc w:val="center"/>
              <w:rPr>
                <w:b/>
                <w:color w:val="auto"/>
                <w:sz w:val="10"/>
                <w:szCs w:val="10"/>
              </w:rPr>
            </w:pPr>
          </w:p>
        </w:tc>
        <w:tc>
          <w:tcPr>
            <w:tcW w:w="567" w:type="dxa"/>
          </w:tcPr>
          <w:p w14:paraId="59517AB4" w14:textId="77777777" w:rsidR="00D34C6F" w:rsidRPr="00CD1278" w:rsidRDefault="00D34C6F" w:rsidP="008277E3">
            <w:pPr>
              <w:spacing w:after="60"/>
              <w:jc w:val="center"/>
              <w:rPr>
                <w:b/>
                <w:color w:val="auto"/>
                <w:sz w:val="10"/>
                <w:szCs w:val="10"/>
              </w:rPr>
            </w:pPr>
          </w:p>
        </w:tc>
        <w:tc>
          <w:tcPr>
            <w:tcW w:w="567" w:type="dxa"/>
          </w:tcPr>
          <w:p w14:paraId="25DD3AF6" w14:textId="77777777" w:rsidR="00D34C6F" w:rsidRPr="00CD1278" w:rsidRDefault="00D34C6F" w:rsidP="008277E3">
            <w:pPr>
              <w:spacing w:after="60"/>
              <w:jc w:val="center"/>
              <w:rPr>
                <w:b/>
                <w:color w:val="auto"/>
                <w:sz w:val="10"/>
                <w:szCs w:val="10"/>
              </w:rPr>
            </w:pPr>
          </w:p>
        </w:tc>
      </w:tr>
      <w:tr w:rsidR="003C102E" w:rsidRPr="00CD1278" w14:paraId="68833D2E" w14:textId="77777777" w:rsidTr="008277E3">
        <w:trPr>
          <w:trHeight w:val="465"/>
          <w:jc w:val="center"/>
        </w:trPr>
        <w:tc>
          <w:tcPr>
            <w:tcW w:w="662" w:type="dxa"/>
            <w:shd w:val="clear" w:color="auto" w:fill="auto"/>
            <w:vAlign w:val="center"/>
          </w:tcPr>
          <w:p w14:paraId="2EBC4B7E"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08A8E88F" w14:textId="77777777" w:rsidR="00D34C6F" w:rsidRPr="00CD1278" w:rsidRDefault="00D34C6F" w:rsidP="00D1371C">
            <w:pPr>
              <w:spacing w:after="60"/>
              <w:ind w:left="-87"/>
              <w:rPr>
                <w:color w:val="auto"/>
                <w:sz w:val="12"/>
                <w:szCs w:val="12"/>
              </w:rPr>
            </w:pPr>
            <w:r w:rsidRPr="00CD1278">
              <w:rPr>
                <w:color w:val="auto"/>
                <w:sz w:val="12"/>
                <w:szCs w:val="12"/>
              </w:rPr>
              <w:t>Leek &amp; onion seeds</w:t>
            </w:r>
          </w:p>
        </w:tc>
        <w:tc>
          <w:tcPr>
            <w:tcW w:w="770" w:type="dxa"/>
            <w:shd w:val="clear" w:color="auto" w:fill="auto"/>
            <w:vAlign w:val="center"/>
          </w:tcPr>
          <w:p w14:paraId="52EE69E0" w14:textId="77777777" w:rsidR="00D34C6F" w:rsidRPr="00CD1278" w:rsidRDefault="00D34C6F" w:rsidP="008277E3">
            <w:pPr>
              <w:spacing w:after="60"/>
              <w:rPr>
                <w:color w:val="auto"/>
                <w:sz w:val="10"/>
                <w:szCs w:val="10"/>
              </w:rPr>
            </w:pPr>
            <w:r w:rsidRPr="00CD1278">
              <w:rPr>
                <w:color w:val="auto"/>
                <w:sz w:val="10"/>
                <w:szCs w:val="10"/>
              </w:rPr>
              <w:t>1.220</w:t>
            </w:r>
          </w:p>
        </w:tc>
        <w:tc>
          <w:tcPr>
            <w:tcW w:w="647" w:type="dxa"/>
            <w:shd w:val="clear" w:color="auto" w:fill="auto"/>
            <w:vAlign w:val="center"/>
          </w:tcPr>
          <w:p w14:paraId="1F608B7F" w14:textId="77777777" w:rsidR="00D34C6F" w:rsidRPr="00CD1278" w:rsidRDefault="00D34C6F" w:rsidP="008277E3">
            <w:pPr>
              <w:spacing w:after="60"/>
              <w:rPr>
                <w:color w:val="auto"/>
                <w:sz w:val="10"/>
                <w:szCs w:val="10"/>
              </w:rPr>
            </w:pPr>
            <w:r w:rsidRPr="00CD1278">
              <w:rPr>
                <w:color w:val="auto"/>
                <w:sz w:val="10"/>
                <w:szCs w:val="10"/>
              </w:rPr>
              <w:t>0.155</w:t>
            </w:r>
          </w:p>
        </w:tc>
        <w:tc>
          <w:tcPr>
            <w:tcW w:w="709" w:type="dxa"/>
            <w:shd w:val="clear" w:color="auto" w:fill="auto"/>
            <w:vAlign w:val="center"/>
          </w:tcPr>
          <w:p w14:paraId="55D447C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BD353F2"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54847E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0FB2C5B"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7EE164D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7E583E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B016CEA"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0BC117D" w14:textId="77777777" w:rsidR="00D34C6F" w:rsidRPr="00CD1278" w:rsidRDefault="00D34C6F" w:rsidP="008277E3">
            <w:pPr>
              <w:spacing w:after="60"/>
              <w:rPr>
                <w:color w:val="auto"/>
                <w:sz w:val="10"/>
                <w:szCs w:val="10"/>
              </w:rPr>
            </w:pPr>
          </w:p>
        </w:tc>
        <w:tc>
          <w:tcPr>
            <w:tcW w:w="567" w:type="dxa"/>
          </w:tcPr>
          <w:p w14:paraId="79F7E95C" w14:textId="77777777" w:rsidR="00D34C6F" w:rsidRPr="00CD1278" w:rsidRDefault="00D34C6F" w:rsidP="008277E3">
            <w:pPr>
              <w:spacing w:after="60"/>
              <w:rPr>
                <w:color w:val="auto"/>
                <w:sz w:val="10"/>
                <w:szCs w:val="10"/>
              </w:rPr>
            </w:pPr>
          </w:p>
        </w:tc>
        <w:tc>
          <w:tcPr>
            <w:tcW w:w="567" w:type="dxa"/>
          </w:tcPr>
          <w:p w14:paraId="36C05F7D" w14:textId="77777777" w:rsidR="00D34C6F" w:rsidRPr="00CD1278" w:rsidRDefault="00D34C6F" w:rsidP="008277E3">
            <w:pPr>
              <w:spacing w:after="60"/>
              <w:rPr>
                <w:color w:val="auto"/>
                <w:sz w:val="10"/>
                <w:szCs w:val="10"/>
              </w:rPr>
            </w:pPr>
          </w:p>
        </w:tc>
        <w:tc>
          <w:tcPr>
            <w:tcW w:w="709" w:type="dxa"/>
            <w:shd w:val="clear" w:color="auto" w:fill="auto"/>
            <w:vAlign w:val="center"/>
          </w:tcPr>
          <w:p w14:paraId="0D1C1C00" w14:textId="77777777" w:rsidR="00D34C6F" w:rsidRPr="00CD1278" w:rsidRDefault="00D34C6F" w:rsidP="008277E3">
            <w:pPr>
              <w:spacing w:after="60"/>
              <w:rPr>
                <w:color w:val="auto"/>
                <w:sz w:val="10"/>
                <w:szCs w:val="10"/>
              </w:rPr>
            </w:pPr>
            <w:r w:rsidRPr="00CD1278">
              <w:rPr>
                <w:color w:val="auto"/>
                <w:sz w:val="10"/>
                <w:szCs w:val="10"/>
              </w:rPr>
              <w:t>0.660</w:t>
            </w:r>
          </w:p>
        </w:tc>
        <w:tc>
          <w:tcPr>
            <w:tcW w:w="709" w:type="dxa"/>
            <w:shd w:val="clear" w:color="auto" w:fill="auto"/>
            <w:vAlign w:val="center"/>
          </w:tcPr>
          <w:p w14:paraId="0A6ADA76"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404B85A8"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C535EF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56FEB67"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1A6799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A92EE3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21C9B0D0"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5190F207" w14:textId="77777777" w:rsidR="00D34C6F" w:rsidRPr="00CD1278" w:rsidRDefault="00D34C6F" w:rsidP="008277E3">
            <w:pPr>
              <w:spacing w:after="60"/>
              <w:rPr>
                <w:b/>
                <w:color w:val="auto"/>
                <w:sz w:val="10"/>
                <w:szCs w:val="10"/>
              </w:rPr>
            </w:pPr>
          </w:p>
        </w:tc>
        <w:tc>
          <w:tcPr>
            <w:tcW w:w="567" w:type="dxa"/>
          </w:tcPr>
          <w:p w14:paraId="40A1E7E9" w14:textId="77777777" w:rsidR="00D34C6F" w:rsidRPr="00CD1278" w:rsidRDefault="00D34C6F" w:rsidP="008277E3">
            <w:pPr>
              <w:spacing w:after="60"/>
              <w:jc w:val="center"/>
              <w:rPr>
                <w:b/>
                <w:color w:val="auto"/>
                <w:sz w:val="10"/>
                <w:szCs w:val="10"/>
              </w:rPr>
            </w:pPr>
          </w:p>
        </w:tc>
        <w:tc>
          <w:tcPr>
            <w:tcW w:w="567" w:type="dxa"/>
          </w:tcPr>
          <w:p w14:paraId="1E4AA8AB" w14:textId="77777777" w:rsidR="00D34C6F" w:rsidRPr="00CD1278" w:rsidRDefault="00D34C6F" w:rsidP="008277E3">
            <w:pPr>
              <w:spacing w:after="60"/>
              <w:jc w:val="center"/>
              <w:rPr>
                <w:b/>
                <w:color w:val="auto"/>
                <w:sz w:val="10"/>
                <w:szCs w:val="10"/>
              </w:rPr>
            </w:pPr>
          </w:p>
        </w:tc>
        <w:tc>
          <w:tcPr>
            <w:tcW w:w="567" w:type="dxa"/>
          </w:tcPr>
          <w:p w14:paraId="3135657D" w14:textId="77777777" w:rsidR="00D34C6F" w:rsidRPr="00CD1278" w:rsidRDefault="00D34C6F" w:rsidP="008277E3">
            <w:pPr>
              <w:spacing w:after="60"/>
              <w:jc w:val="center"/>
              <w:rPr>
                <w:b/>
                <w:color w:val="auto"/>
                <w:sz w:val="10"/>
                <w:szCs w:val="10"/>
              </w:rPr>
            </w:pPr>
          </w:p>
        </w:tc>
      </w:tr>
      <w:tr w:rsidR="003C102E" w:rsidRPr="00CD1278" w14:paraId="65994250" w14:textId="77777777" w:rsidTr="008277E3">
        <w:trPr>
          <w:trHeight w:val="465"/>
          <w:jc w:val="center"/>
        </w:trPr>
        <w:tc>
          <w:tcPr>
            <w:tcW w:w="662" w:type="dxa"/>
            <w:shd w:val="clear" w:color="auto" w:fill="auto"/>
            <w:vAlign w:val="center"/>
          </w:tcPr>
          <w:p w14:paraId="0DCF0693"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5A3BE85A" w14:textId="77777777" w:rsidR="00D34C6F" w:rsidRPr="00CD1278" w:rsidRDefault="00D34C6F" w:rsidP="00D1371C">
            <w:pPr>
              <w:spacing w:after="60"/>
              <w:ind w:left="-87"/>
              <w:rPr>
                <w:color w:val="auto"/>
                <w:sz w:val="12"/>
                <w:szCs w:val="12"/>
              </w:rPr>
            </w:pPr>
            <w:r w:rsidRPr="00CD1278">
              <w:rPr>
                <w:color w:val="auto"/>
                <w:sz w:val="12"/>
                <w:szCs w:val="12"/>
              </w:rPr>
              <w:t>Lettuce(&amp; endive)</w:t>
            </w:r>
          </w:p>
        </w:tc>
        <w:tc>
          <w:tcPr>
            <w:tcW w:w="770" w:type="dxa"/>
            <w:shd w:val="clear" w:color="auto" w:fill="auto"/>
            <w:vAlign w:val="center"/>
          </w:tcPr>
          <w:p w14:paraId="474DB251" w14:textId="77777777" w:rsidR="00D34C6F" w:rsidRPr="00CD1278" w:rsidRDefault="00D34C6F" w:rsidP="008277E3">
            <w:pPr>
              <w:spacing w:after="60"/>
              <w:rPr>
                <w:color w:val="auto"/>
                <w:sz w:val="10"/>
                <w:szCs w:val="10"/>
              </w:rPr>
            </w:pPr>
            <w:r w:rsidRPr="00CD1278">
              <w:rPr>
                <w:color w:val="auto"/>
                <w:sz w:val="10"/>
                <w:szCs w:val="10"/>
              </w:rPr>
              <w:t>42.250</w:t>
            </w:r>
          </w:p>
        </w:tc>
        <w:tc>
          <w:tcPr>
            <w:tcW w:w="647" w:type="dxa"/>
            <w:shd w:val="clear" w:color="auto" w:fill="auto"/>
            <w:vAlign w:val="center"/>
          </w:tcPr>
          <w:p w14:paraId="0ABE9D4E" w14:textId="77777777" w:rsidR="00D34C6F" w:rsidRPr="00CD1278" w:rsidRDefault="00D34C6F" w:rsidP="008277E3">
            <w:pPr>
              <w:spacing w:after="60"/>
              <w:rPr>
                <w:color w:val="auto"/>
                <w:sz w:val="10"/>
                <w:szCs w:val="10"/>
              </w:rPr>
            </w:pPr>
            <w:r w:rsidRPr="00CD1278">
              <w:rPr>
                <w:color w:val="auto"/>
                <w:sz w:val="10"/>
                <w:szCs w:val="10"/>
              </w:rPr>
              <w:t>22.425</w:t>
            </w:r>
          </w:p>
        </w:tc>
        <w:tc>
          <w:tcPr>
            <w:tcW w:w="709" w:type="dxa"/>
            <w:shd w:val="clear" w:color="auto" w:fill="auto"/>
            <w:vAlign w:val="center"/>
          </w:tcPr>
          <w:p w14:paraId="4DA55E9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C2A11CE"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4F9F4F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4375524"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29C9FC6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4E4C95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80D0B37"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4773F314" w14:textId="77777777" w:rsidR="00D34C6F" w:rsidRPr="00CD1278" w:rsidRDefault="00D34C6F" w:rsidP="008277E3">
            <w:pPr>
              <w:spacing w:after="60"/>
              <w:rPr>
                <w:color w:val="auto"/>
                <w:sz w:val="10"/>
                <w:szCs w:val="10"/>
              </w:rPr>
            </w:pPr>
          </w:p>
        </w:tc>
        <w:tc>
          <w:tcPr>
            <w:tcW w:w="567" w:type="dxa"/>
          </w:tcPr>
          <w:p w14:paraId="464125A6" w14:textId="77777777" w:rsidR="00D34C6F" w:rsidRPr="00CD1278" w:rsidRDefault="00D34C6F" w:rsidP="008277E3">
            <w:pPr>
              <w:spacing w:after="60"/>
              <w:jc w:val="center"/>
              <w:rPr>
                <w:b/>
                <w:color w:val="auto"/>
                <w:sz w:val="10"/>
                <w:szCs w:val="10"/>
              </w:rPr>
            </w:pPr>
          </w:p>
        </w:tc>
        <w:tc>
          <w:tcPr>
            <w:tcW w:w="567" w:type="dxa"/>
          </w:tcPr>
          <w:p w14:paraId="4C4E33E9"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6F2A4CFB" w14:textId="77777777" w:rsidR="00D34C6F" w:rsidRPr="00CD1278" w:rsidRDefault="00D34C6F" w:rsidP="008277E3">
            <w:pPr>
              <w:spacing w:after="60"/>
              <w:rPr>
                <w:color w:val="auto"/>
                <w:sz w:val="10"/>
                <w:szCs w:val="10"/>
              </w:rPr>
            </w:pPr>
            <w:r w:rsidRPr="00CD1278">
              <w:rPr>
                <w:color w:val="auto"/>
                <w:sz w:val="10"/>
                <w:szCs w:val="10"/>
              </w:rPr>
              <w:t>25.190</w:t>
            </w:r>
          </w:p>
        </w:tc>
        <w:tc>
          <w:tcPr>
            <w:tcW w:w="709" w:type="dxa"/>
            <w:shd w:val="clear" w:color="auto" w:fill="auto"/>
            <w:vAlign w:val="center"/>
          </w:tcPr>
          <w:p w14:paraId="44D82322"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32C8A33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62998D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4D87A19"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4FD0C15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695D92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0DB9AADB"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26DC51AD" w14:textId="77777777" w:rsidR="00D34C6F" w:rsidRPr="00CD1278" w:rsidRDefault="00D34C6F" w:rsidP="008277E3">
            <w:pPr>
              <w:spacing w:after="60"/>
              <w:rPr>
                <w:b/>
                <w:color w:val="auto"/>
                <w:sz w:val="10"/>
                <w:szCs w:val="10"/>
              </w:rPr>
            </w:pPr>
          </w:p>
        </w:tc>
        <w:tc>
          <w:tcPr>
            <w:tcW w:w="567" w:type="dxa"/>
          </w:tcPr>
          <w:p w14:paraId="6D362393" w14:textId="77777777" w:rsidR="00D34C6F" w:rsidRPr="00CD1278" w:rsidRDefault="00D34C6F" w:rsidP="008277E3">
            <w:pPr>
              <w:spacing w:after="60"/>
              <w:jc w:val="center"/>
              <w:rPr>
                <w:b/>
                <w:color w:val="auto"/>
                <w:sz w:val="10"/>
                <w:szCs w:val="10"/>
              </w:rPr>
            </w:pPr>
          </w:p>
        </w:tc>
        <w:tc>
          <w:tcPr>
            <w:tcW w:w="567" w:type="dxa"/>
          </w:tcPr>
          <w:p w14:paraId="50FFB46A" w14:textId="77777777" w:rsidR="00D34C6F" w:rsidRPr="00CD1278" w:rsidRDefault="00D34C6F" w:rsidP="008277E3">
            <w:pPr>
              <w:spacing w:after="60"/>
              <w:jc w:val="center"/>
              <w:rPr>
                <w:b/>
                <w:color w:val="auto"/>
                <w:sz w:val="10"/>
                <w:szCs w:val="10"/>
              </w:rPr>
            </w:pPr>
          </w:p>
        </w:tc>
        <w:tc>
          <w:tcPr>
            <w:tcW w:w="567" w:type="dxa"/>
          </w:tcPr>
          <w:p w14:paraId="7CB923A4" w14:textId="77777777" w:rsidR="00D34C6F" w:rsidRPr="00CD1278" w:rsidRDefault="00D34C6F" w:rsidP="008277E3">
            <w:pPr>
              <w:spacing w:after="60"/>
              <w:jc w:val="center"/>
              <w:rPr>
                <w:b/>
                <w:color w:val="auto"/>
                <w:sz w:val="10"/>
                <w:szCs w:val="10"/>
              </w:rPr>
            </w:pPr>
          </w:p>
        </w:tc>
      </w:tr>
      <w:tr w:rsidR="003C102E" w:rsidRPr="00CD1278" w14:paraId="2D3B82A1" w14:textId="77777777" w:rsidTr="008277E3">
        <w:trPr>
          <w:trHeight w:val="465"/>
          <w:jc w:val="center"/>
        </w:trPr>
        <w:tc>
          <w:tcPr>
            <w:tcW w:w="662" w:type="dxa"/>
            <w:shd w:val="clear" w:color="auto" w:fill="auto"/>
            <w:vAlign w:val="center"/>
          </w:tcPr>
          <w:p w14:paraId="4391DB18"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4D8EEE00" w14:textId="77777777" w:rsidR="00D34C6F" w:rsidRPr="00CD1278" w:rsidRDefault="00D34C6F" w:rsidP="00D1371C">
            <w:pPr>
              <w:spacing w:after="60"/>
              <w:ind w:left="-87"/>
              <w:rPr>
                <w:color w:val="auto"/>
                <w:sz w:val="12"/>
                <w:szCs w:val="12"/>
              </w:rPr>
            </w:pPr>
            <w:r w:rsidRPr="00CD1278">
              <w:rPr>
                <w:color w:val="auto"/>
                <w:sz w:val="12"/>
                <w:szCs w:val="12"/>
              </w:rPr>
              <w:t>Nursery</w:t>
            </w:r>
          </w:p>
        </w:tc>
        <w:tc>
          <w:tcPr>
            <w:tcW w:w="770" w:type="dxa"/>
            <w:shd w:val="clear" w:color="auto" w:fill="auto"/>
            <w:vAlign w:val="center"/>
          </w:tcPr>
          <w:p w14:paraId="7F4D5E5F" w14:textId="77777777" w:rsidR="00D34C6F" w:rsidRPr="00CD1278" w:rsidRDefault="00D34C6F" w:rsidP="008277E3">
            <w:pPr>
              <w:spacing w:after="60"/>
              <w:rPr>
                <w:color w:val="auto"/>
                <w:sz w:val="10"/>
                <w:szCs w:val="10"/>
              </w:rPr>
            </w:pPr>
            <w:r w:rsidRPr="00CD1278">
              <w:rPr>
                <w:color w:val="auto"/>
                <w:sz w:val="10"/>
                <w:szCs w:val="10"/>
              </w:rPr>
              <w:t>Not Predictable</w:t>
            </w:r>
          </w:p>
        </w:tc>
        <w:tc>
          <w:tcPr>
            <w:tcW w:w="647" w:type="dxa"/>
            <w:shd w:val="clear" w:color="auto" w:fill="auto"/>
            <w:vAlign w:val="center"/>
          </w:tcPr>
          <w:p w14:paraId="562A63B0" w14:textId="77777777" w:rsidR="00D34C6F" w:rsidRPr="00CD1278" w:rsidRDefault="00D34C6F" w:rsidP="008277E3">
            <w:pPr>
              <w:spacing w:after="60"/>
              <w:rPr>
                <w:color w:val="auto"/>
                <w:sz w:val="10"/>
                <w:szCs w:val="10"/>
              </w:rPr>
            </w:pPr>
            <w:r w:rsidRPr="00CD1278">
              <w:rPr>
                <w:color w:val="auto"/>
                <w:sz w:val="10"/>
                <w:szCs w:val="10"/>
              </w:rPr>
              <w:t>0.384</w:t>
            </w:r>
          </w:p>
        </w:tc>
        <w:tc>
          <w:tcPr>
            <w:tcW w:w="709" w:type="dxa"/>
            <w:shd w:val="clear" w:color="auto" w:fill="auto"/>
            <w:vAlign w:val="center"/>
          </w:tcPr>
          <w:p w14:paraId="333F367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B198A2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DD533D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73176E6"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7FAB223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34C1E1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A2C8791"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1959ACA1" w14:textId="77777777" w:rsidR="00D34C6F" w:rsidRPr="00CD1278" w:rsidRDefault="00D34C6F" w:rsidP="008277E3">
            <w:pPr>
              <w:spacing w:after="60"/>
              <w:rPr>
                <w:color w:val="auto"/>
                <w:sz w:val="10"/>
                <w:szCs w:val="10"/>
              </w:rPr>
            </w:pPr>
          </w:p>
        </w:tc>
        <w:tc>
          <w:tcPr>
            <w:tcW w:w="567" w:type="dxa"/>
          </w:tcPr>
          <w:p w14:paraId="20406625" w14:textId="77777777" w:rsidR="00D34C6F" w:rsidRPr="00CD1278" w:rsidRDefault="00D34C6F" w:rsidP="008277E3">
            <w:pPr>
              <w:spacing w:after="60"/>
              <w:jc w:val="center"/>
              <w:rPr>
                <w:color w:val="auto"/>
                <w:sz w:val="10"/>
                <w:szCs w:val="10"/>
              </w:rPr>
            </w:pPr>
          </w:p>
        </w:tc>
        <w:tc>
          <w:tcPr>
            <w:tcW w:w="567" w:type="dxa"/>
          </w:tcPr>
          <w:p w14:paraId="619B621F"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1102072" w14:textId="77777777" w:rsidR="00D34C6F" w:rsidRPr="00CD1278" w:rsidRDefault="00D34C6F" w:rsidP="008277E3">
            <w:pPr>
              <w:spacing w:after="60"/>
              <w:rPr>
                <w:color w:val="auto"/>
                <w:sz w:val="10"/>
                <w:szCs w:val="10"/>
              </w:rPr>
            </w:pPr>
            <w:r w:rsidRPr="00CD1278">
              <w:rPr>
                <w:color w:val="auto"/>
                <w:sz w:val="10"/>
                <w:szCs w:val="10"/>
              </w:rPr>
              <w:t>0.900</w:t>
            </w:r>
          </w:p>
        </w:tc>
        <w:tc>
          <w:tcPr>
            <w:tcW w:w="709" w:type="dxa"/>
            <w:shd w:val="clear" w:color="auto" w:fill="auto"/>
            <w:vAlign w:val="center"/>
          </w:tcPr>
          <w:p w14:paraId="02B97F73" w14:textId="77777777" w:rsidR="00D34C6F" w:rsidRPr="00CD1278" w:rsidRDefault="00D34C6F" w:rsidP="008277E3">
            <w:pPr>
              <w:spacing w:after="60"/>
              <w:rPr>
                <w:color w:val="auto"/>
                <w:sz w:val="10"/>
                <w:szCs w:val="10"/>
              </w:rPr>
            </w:pPr>
            <w:r w:rsidRPr="00CD1278">
              <w:rPr>
                <w:color w:val="auto"/>
                <w:sz w:val="10"/>
                <w:szCs w:val="10"/>
              </w:rPr>
              <w:t>0.384</w:t>
            </w:r>
          </w:p>
        </w:tc>
        <w:tc>
          <w:tcPr>
            <w:tcW w:w="708" w:type="dxa"/>
            <w:shd w:val="clear" w:color="auto" w:fill="auto"/>
            <w:vAlign w:val="center"/>
          </w:tcPr>
          <w:p w14:paraId="215AFD9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ABEBCF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264CC17"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2FF65F3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9AF275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6F85A340"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74D4BC3E" w14:textId="77777777" w:rsidR="00D34C6F" w:rsidRPr="00CD1278" w:rsidRDefault="00D34C6F" w:rsidP="008277E3">
            <w:pPr>
              <w:spacing w:after="60"/>
              <w:rPr>
                <w:b/>
                <w:color w:val="auto"/>
                <w:sz w:val="10"/>
                <w:szCs w:val="10"/>
              </w:rPr>
            </w:pPr>
          </w:p>
        </w:tc>
        <w:tc>
          <w:tcPr>
            <w:tcW w:w="567" w:type="dxa"/>
          </w:tcPr>
          <w:p w14:paraId="2046893E" w14:textId="77777777" w:rsidR="00D34C6F" w:rsidRPr="00CD1278" w:rsidRDefault="00D34C6F" w:rsidP="008277E3">
            <w:pPr>
              <w:spacing w:after="60"/>
              <w:jc w:val="center"/>
              <w:rPr>
                <w:b/>
                <w:color w:val="auto"/>
                <w:sz w:val="10"/>
                <w:szCs w:val="10"/>
              </w:rPr>
            </w:pPr>
          </w:p>
        </w:tc>
        <w:tc>
          <w:tcPr>
            <w:tcW w:w="567" w:type="dxa"/>
          </w:tcPr>
          <w:p w14:paraId="4D0BC698" w14:textId="77777777" w:rsidR="00D34C6F" w:rsidRPr="00CD1278" w:rsidRDefault="00D34C6F" w:rsidP="008277E3">
            <w:pPr>
              <w:spacing w:after="60"/>
              <w:jc w:val="center"/>
              <w:rPr>
                <w:b/>
                <w:color w:val="auto"/>
                <w:sz w:val="10"/>
                <w:szCs w:val="10"/>
              </w:rPr>
            </w:pPr>
          </w:p>
        </w:tc>
        <w:tc>
          <w:tcPr>
            <w:tcW w:w="567" w:type="dxa"/>
          </w:tcPr>
          <w:p w14:paraId="57CEA277" w14:textId="77777777" w:rsidR="00D34C6F" w:rsidRPr="00CD1278" w:rsidRDefault="00D34C6F" w:rsidP="008277E3">
            <w:pPr>
              <w:spacing w:after="60"/>
              <w:jc w:val="center"/>
              <w:rPr>
                <w:b/>
                <w:color w:val="auto"/>
                <w:sz w:val="10"/>
                <w:szCs w:val="10"/>
              </w:rPr>
            </w:pPr>
          </w:p>
        </w:tc>
      </w:tr>
      <w:tr w:rsidR="003C102E" w:rsidRPr="00CD1278" w14:paraId="1B5544FA" w14:textId="77777777" w:rsidTr="008277E3">
        <w:trPr>
          <w:trHeight w:val="690"/>
          <w:jc w:val="center"/>
        </w:trPr>
        <w:tc>
          <w:tcPr>
            <w:tcW w:w="662" w:type="dxa"/>
            <w:shd w:val="clear" w:color="auto" w:fill="auto"/>
            <w:vAlign w:val="center"/>
          </w:tcPr>
          <w:p w14:paraId="5F0F1455"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608BE368" w14:textId="77777777" w:rsidR="00D34C6F" w:rsidRPr="00CD1278" w:rsidRDefault="00D34C6F" w:rsidP="00D1371C">
            <w:pPr>
              <w:spacing w:after="60"/>
              <w:ind w:left="-87"/>
              <w:rPr>
                <w:color w:val="auto"/>
                <w:sz w:val="12"/>
                <w:szCs w:val="12"/>
              </w:rPr>
            </w:pPr>
            <w:r w:rsidRPr="00CD1278">
              <w:rPr>
                <w:color w:val="auto"/>
                <w:sz w:val="12"/>
                <w:szCs w:val="12"/>
              </w:rPr>
              <w:t>Orchard pome &amp; berry</w:t>
            </w:r>
          </w:p>
        </w:tc>
        <w:tc>
          <w:tcPr>
            <w:tcW w:w="770" w:type="dxa"/>
            <w:shd w:val="clear" w:color="auto" w:fill="auto"/>
            <w:vAlign w:val="center"/>
          </w:tcPr>
          <w:p w14:paraId="71A00783" w14:textId="77777777" w:rsidR="00D34C6F" w:rsidRPr="00CD1278" w:rsidRDefault="00D34C6F" w:rsidP="008277E3">
            <w:pPr>
              <w:spacing w:after="60"/>
              <w:rPr>
                <w:color w:val="auto"/>
                <w:sz w:val="10"/>
                <w:szCs w:val="10"/>
              </w:rPr>
            </w:pPr>
            <w:r w:rsidRPr="00CD1278">
              <w:rPr>
                <w:color w:val="auto"/>
                <w:sz w:val="10"/>
                <w:szCs w:val="10"/>
              </w:rPr>
              <w:t>1.350</w:t>
            </w:r>
          </w:p>
        </w:tc>
        <w:tc>
          <w:tcPr>
            <w:tcW w:w="647" w:type="dxa"/>
            <w:shd w:val="clear" w:color="auto" w:fill="auto"/>
            <w:vAlign w:val="center"/>
          </w:tcPr>
          <w:p w14:paraId="234D1AA9" w14:textId="77777777" w:rsidR="00D34C6F" w:rsidRPr="00CD1278" w:rsidRDefault="00D34C6F" w:rsidP="008277E3">
            <w:pPr>
              <w:spacing w:after="60"/>
              <w:rPr>
                <w:color w:val="auto"/>
                <w:sz w:val="10"/>
                <w:szCs w:val="10"/>
              </w:rPr>
            </w:pPr>
            <w:r w:rsidRPr="00CD1278">
              <w:rPr>
                <w:color w:val="auto"/>
                <w:sz w:val="10"/>
                <w:szCs w:val="10"/>
              </w:rPr>
              <w:t>0.621</w:t>
            </w:r>
          </w:p>
        </w:tc>
        <w:tc>
          <w:tcPr>
            <w:tcW w:w="709" w:type="dxa"/>
            <w:shd w:val="clear" w:color="auto" w:fill="auto"/>
            <w:vAlign w:val="center"/>
          </w:tcPr>
          <w:p w14:paraId="600498C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B665D98"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1214C6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57C4656"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4BA318F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B00F59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EDAC7D1"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A30A9F1" w14:textId="77777777" w:rsidR="00D34C6F" w:rsidRPr="00CD1278" w:rsidRDefault="00D34C6F" w:rsidP="008277E3">
            <w:pPr>
              <w:spacing w:after="60"/>
              <w:rPr>
                <w:color w:val="auto"/>
                <w:sz w:val="10"/>
                <w:szCs w:val="10"/>
              </w:rPr>
            </w:pPr>
          </w:p>
        </w:tc>
        <w:tc>
          <w:tcPr>
            <w:tcW w:w="567" w:type="dxa"/>
          </w:tcPr>
          <w:p w14:paraId="27F456B2" w14:textId="77777777" w:rsidR="00D34C6F" w:rsidRPr="00CD1278" w:rsidRDefault="00D34C6F" w:rsidP="008277E3">
            <w:pPr>
              <w:spacing w:after="60"/>
              <w:jc w:val="center"/>
              <w:rPr>
                <w:color w:val="auto"/>
                <w:sz w:val="10"/>
                <w:szCs w:val="10"/>
              </w:rPr>
            </w:pPr>
          </w:p>
        </w:tc>
        <w:tc>
          <w:tcPr>
            <w:tcW w:w="567" w:type="dxa"/>
          </w:tcPr>
          <w:p w14:paraId="63AEC3D4"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429B7BB3" w14:textId="77777777" w:rsidR="00D34C6F" w:rsidRPr="00CD1278" w:rsidRDefault="00D34C6F" w:rsidP="008277E3">
            <w:pPr>
              <w:spacing w:after="60"/>
              <w:rPr>
                <w:color w:val="auto"/>
                <w:sz w:val="10"/>
                <w:szCs w:val="10"/>
              </w:rPr>
            </w:pPr>
            <w:r w:rsidRPr="00CD1278">
              <w:rPr>
                <w:color w:val="auto"/>
                <w:sz w:val="10"/>
                <w:szCs w:val="10"/>
              </w:rPr>
              <w:t>1.350</w:t>
            </w:r>
          </w:p>
        </w:tc>
        <w:tc>
          <w:tcPr>
            <w:tcW w:w="709" w:type="dxa"/>
            <w:shd w:val="clear" w:color="auto" w:fill="auto"/>
            <w:vAlign w:val="center"/>
          </w:tcPr>
          <w:p w14:paraId="61E55A24" w14:textId="77777777" w:rsidR="00D34C6F" w:rsidRPr="00CD1278" w:rsidRDefault="00D34C6F" w:rsidP="008277E3">
            <w:pPr>
              <w:spacing w:after="60"/>
              <w:rPr>
                <w:color w:val="auto"/>
                <w:sz w:val="10"/>
                <w:szCs w:val="10"/>
              </w:rPr>
            </w:pPr>
            <w:r w:rsidRPr="00CD1278">
              <w:rPr>
                <w:color w:val="auto"/>
                <w:sz w:val="10"/>
                <w:szCs w:val="10"/>
              </w:rPr>
              <w:t>0.621</w:t>
            </w:r>
          </w:p>
        </w:tc>
        <w:tc>
          <w:tcPr>
            <w:tcW w:w="708" w:type="dxa"/>
            <w:shd w:val="clear" w:color="auto" w:fill="auto"/>
            <w:vAlign w:val="center"/>
          </w:tcPr>
          <w:p w14:paraId="36C0084C"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00B10B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38C4246"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76D7477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BDD145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2B6145E9"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4DC3D75B" w14:textId="77777777" w:rsidR="00D34C6F" w:rsidRPr="00CD1278" w:rsidRDefault="00D34C6F" w:rsidP="008277E3">
            <w:pPr>
              <w:spacing w:after="60"/>
              <w:rPr>
                <w:b/>
                <w:color w:val="auto"/>
                <w:sz w:val="10"/>
                <w:szCs w:val="10"/>
              </w:rPr>
            </w:pPr>
          </w:p>
        </w:tc>
        <w:tc>
          <w:tcPr>
            <w:tcW w:w="567" w:type="dxa"/>
          </w:tcPr>
          <w:p w14:paraId="6D29A47C" w14:textId="77777777" w:rsidR="00D34C6F" w:rsidRPr="00CD1278" w:rsidRDefault="00D34C6F" w:rsidP="008277E3">
            <w:pPr>
              <w:spacing w:after="60"/>
              <w:jc w:val="center"/>
              <w:rPr>
                <w:b/>
                <w:color w:val="auto"/>
                <w:sz w:val="10"/>
                <w:szCs w:val="10"/>
              </w:rPr>
            </w:pPr>
          </w:p>
        </w:tc>
        <w:tc>
          <w:tcPr>
            <w:tcW w:w="567" w:type="dxa"/>
          </w:tcPr>
          <w:p w14:paraId="71980E7F" w14:textId="77777777" w:rsidR="00D34C6F" w:rsidRPr="00CD1278" w:rsidRDefault="00D34C6F" w:rsidP="008277E3">
            <w:pPr>
              <w:spacing w:after="60"/>
              <w:jc w:val="center"/>
              <w:rPr>
                <w:b/>
                <w:color w:val="auto"/>
                <w:sz w:val="10"/>
                <w:szCs w:val="10"/>
              </w:rPr>
            </w:pPr>
          </w:p>
        </w:tc>
        <w:tc>
          <w:tcPr>
            <w:tcW w:w="567" w:type="dxa"/>
          </w:tcPr>
          <w:p w14:paraId="71711C3D" w14:textId="77777777" w:rsidR="00D34C6F" w:rsidRPr="00CD1278" w:rsidRDefault="00D34C6F" w:rsidP="008277E3">
            <w:pPr>
              <w:spacing w:after="60"/>
              <w:jc w:val="center"/>
              <w:rPr>
                <w:b/>
                <w:color w:val="auto"/>
                <w:sz w:val="10"/>
                <w:szCs w:val="10"/>
              </w:rPr>
            </w:pPr>
          </w:p>
        </w:tc>
      </w:tr>
      <w:tr w:rsidR="003C102E" w:rsidRPr="00CD1278" w14:paraId="68A39E9A" w14:textId="77777777" w:rsidTr="008277E3">
        <w:trPr>
          <w:trHeight w:val="465"/>
          <w:jc w:val="center"/>
        </w:trPr>
        <w:tc>
          <w:tcPr>
            <w:tcW w:w="662" w:type="dxa"/>
            <w:shd w:val="clear" w:color="auto" w:fill="auto"/>
            <w:vAlign w:val="center"/>
          </w:tcPr>
          <w:p w14:paraId="3143E531"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14BC4F63" w14:textId="77777777" w:rsidR="00D34C6F" w:rsidRPr="00CD1278" w:rsidRDefault="00D34C6F" w:rsidP="00D1371C">
            <w:pPr>
              <w:spacing w:after="60"/>
              <w:ind w:left="-87"/>
              <w:rPr>
                <w:color w:val="auto"/>
                <w:sz w:val="12"/>
                <w:szCs w:val="12"/>
              </w:rPr>
            </w:pPr>
            <w:r w:rsidRPr="00CD1278">
              <w:rPr>
                <w:color w:val="auto"/>
                <w:sz w:val="12"/>
                <w:szCs w:val="12"/>
              </w:rPr>
              <w:t>Ornamental plants</w:t>
            </w:r>
          </w:p>
        </w:tc>
        <w:tc>
          <w:tcPr>
            <w:tcW w:w="770" w:type="dxa"/>
            <w:shd w:val="clear" w:color="auto" w:fill="auto"/>
            <w:vAlign w:val="center"/>
          </w:tcPr>
          <w:p w14:paraId="173E407D" w14:textId="77777777" w:rsidR="00D34C6F" w:rsidRPr="00CD1278" w:rsidRDefault="00D34C6F" w:rsidP="008277E3">
            <w:pPr>
              <w:spacing w:after="60"/>
              <w:rPr>
                <w:color w:val="auto"/>
                <w:sz w:val="10"/>
                <w:szCs w:val="10"/>
              </w:rPr>
            </w:pPr>
            <w:r w:rsidRPr="00CD1278">
              <w:rPr>
                <w:color w:val="auto"/>
                <w:sz w:val="10"/>
                <w:szCs w:val="10"/>
              </w:rPr>
              <w:t>5.660</w:t>
            </w:r>
          </w:p>
        </w:tc>
        <w:tc>
          <w:tcPr>
            <w:tcW w:w="647" w:type="dxa"/>
            <w:shd w:val="clear" w:color="auto" w:fill="auto"/>
            <w:vAlign w:val="center"/>
          </w:tcPr>
          <w:p w14:paraId="4A3CC5BD"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87AC4B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8D89CC2"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9028BE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1BD0291"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6B18479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D807B8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50F98B9"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262D144" w14:textId="77777777" w:rsidR="00D34C6F" w:rsidRPr="00CD1278" w:rsidRDefault="00D34C6F" w:rsidP="008277E3">
            <w:pPr>
              <w:spacing w:after="60"/>
              <w:rPr>
                <w:color w:val="auto"/>
                <w:sz w:val="10"/>
                <w:szCs w:val="10"/>
              </w:rPr>
            </w:pPr>
          </w:p>
        </w:tc>
        <w:tc>
          <w:tcPr>
            <w:tcW w:w="567" w:type="dxa"/>
          </w:tcPr>
          <w:p w14:paraId="4402F24C" w14:textId="77777777" w:rsidR="00D34C6F" w:rsidRPr="00CD1278" w:rsidRDefault="00D34C6F" w:rsidP="008277E3">
            <w:pPr>
              <w:spacing w:after="60"/>
              <w:jc w:val="center"/>
              <w:rPr>
                <w:color w:val="auto"/>
                <w:sz w:val="10"/>
                <w:szCs w:val="10"/>
              </w:rPr>
            </w:pPr>
          </w:p>
        </w:tc>
        <w:tc>
          <w:tcPr>
            <w:tcW w:w="567" w:type="dxa"/>
          </w:tcPr>
          <w:p w14:paraId="40162A39"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D5E93AA" w14:textId="77777777" w:rsidR="00D34C6F" w:rsidRPr="00CD1278" w:rsidRDefault="00D34C6F" w:rsidP="008277E3">
            <w:pPr>
              <w:spacing w:after="60"/>
              <w:rPr>
                <w:color w:val="auto"/>
                <w:sz w:val="10"/>
                <w:szCs w:val="10"/>
              </w:rPr>
            </w:pPr>
            <w:r w:rsidRPr="00CD1278">
              <w:rPr>
                <w:color w:val="auto"/>
                <w:sz w:val="10"/>
                <w:szCs w:val="10"/>
              </w:rPr>
              <w:t>0.000</w:t>
            </w:r>
          </w:p>
        </w:tc>
        <w:tc>
          <w:tcPr>
            <w:tcW w:w="709" w:type="dxa"/>
            <w:shd w:val="clear" w:color="auto" w:fill="auto"/>
            <w:vAlign w:val="center"/>
          </w:tcPr>
          <w:p w14:paraId="2053BB20"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473E7059"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4168E93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0C89A01"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AC9183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FB1E52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6B09203"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0EDE415A" w14:textId="77777777" w:rsidR="00D34C6F" w:rsidRPr="00CD1278" w:rsidRDefault="00D34C6F" w:rsidP="008277E3">
            <w:pPr>
              <w:spacing w:after="60"/>
              <w:rPr>
                <w:b/>
                <w:color w:val="auto"/>
                <w:sz w:val="10"/>
                <w:szCs w:val="10"/>
              </w:rPr>
            </w:pPr>
          </w:p>
        </w:tc>
        <w:tc>
          <w:tcPr>
            <w:tcW w:w="567" w:type="dxa"/>
          </w:tcPr>
          <w:p w14:paraId="7F7DDF60" w14:textId="77777777" w:rsidR="00D34C6F" w:rsidRPr="00CD1278" w:rsidRDefault="00D34C6F" w:rsidP="008277E3">
            <w:pPr>
              <w:spacing w:after="60"/>
              <w:jc w:val="center"/>
              <w:rPr>
                <w:b/>
                <w:color w:val="auto"/>
                <w:sz w:val="10"/>
                <w:szCs w:val="10"/>
              </w:rPr>
            </w:pPr>
          </w:p>
        </w:tc>
        <w:tc>
          <w:tcPr>
            <w:tcW w:w="567" w:type="dxa"/>
          </w:tcPr>
          <w:p w14:paraId="1AEF633C" w14:textId="77777777" w:rsidR="00D34C6F" w:rsidRPr="00CD1278" w:rsidRDefault="00D34C6F" w:rsidP="008277E3">
            <w:pPr>
              <w:spacing w:after="60"/>
              <w:jc w:val="center"/>
              <w:rPr>
                <w:b/>
                <w:color w:val="auto"/>
                <w:sz w:val="10"/>
                <w:szCs w:val="10"/>
              </w:rPr>
            </w:pPr>
          </w:p>
        </w:tc>
        <w:tc>
          <w:tcPr>
            <w:tcW w:w="567" w:type="dxa"/>
          </w:tcPr>
          <w:p w14:paraId="6CBEA3ED" w14:textId="77777777" w:rsidR="00D34C6F" w:rsidRPr="00CD1278" w:rsidRDefault="00D34C6F" w:rsidP="008277E3">
            <w:pPr>
              <w:spacing w:after="60"/>
              <w:jc w:val="center"/>
              <w:rPr>
                <w:b/>
                <w:color w:val="auto"/>
                <w:sz w:val="10"/>
                <w:szCs w:val="10"/>
              </w:rPr>
            </w:pPr>
          </w:p>
        </w:tc>
      </w:tr>
      <w:tr w:rsidR="003C102E" w:rsidRPr="00CD1278" w14:paraId="171EFFDE" w14:textId="77777777" w:rsidTr="008277E3">
        <w:trPr>
          <w:trHeight w:val="465"/>
          <w:jc w:val="center"/>
        </w:trPr>
        <w:tc>
          <w:tcPr>
            <w:tcW w:w="662" w:type="dxa"/>
            <w:shd w:val="clear" w:color="auto" w:fill="auto"/>
            <w:vAlign w:val="center"/>
          </w:tcPr>
          <w:p w14:paraId="68085C2D"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23C50935" w14:textId="77777777" w:rsidR="00D34C6F" w:rsidRPr="00CD1278" w:rsidRDefault="00D34C6F" w:rsidP="00D1371C">
            <w:pPr>
              <w:spacing w:after="60"/>
              <w:ind w:left="-87"/>
              <w:rPr>
                <w:color w:val="auto"/>
                <w:sz w:val="12"/>
                <w:szCs w:val="12"/>
              </w:rPr>
            </w:pPr>
            <w:r w:rsidRPr="00CD1278">
              <w:rPr>
                <w:color w:val="auto"/>
                <w:sz w:val="12"/>
                <w:szCs w:val="12"/>
              </w:rPr>
              <w:t>Pepper &amp; egg plant</w:t>
            </w:r>
          </w:p>
        </w:tc>
        <w:tc>
          <w:tcPr>
            <w:tcW w:w="770" w:type="dxa"/>
            <w:shd w:val="clear" w:color="auto" w:fill="auto"/>
            <w:vAlign w:val="center"/>
          </w:tcPr>
          <w:p w14:paraId="58FF0E71" w14:textId="77777777" w:rsidR="00D34C6F" w:rsidRPr="00CD1278" w:rsidRDefault="00D34C6F" w:rsidP="008277E3">
            <w:pPr>
              <w:spacing w:after="60"/>
              <w:rPr>
                <w:color w:val="auto"/>
                <w:sz w:val="10"/>
                <w:szCs w:val="10"/>
              </w:rPr>
            </w:pPr>
            <w:r w:rsidRPr="00CD1278">
              <w:rPr>
                <w:color w:val="auto"/>
                <w:sz w:val="10"/>
                <w:szCs w:val="10"/>
              </w:rPr>
              <w:t>5.270</w:t>
            </w:r>
          </w:p>
        </w:tc>
        <w:tc>
          <w:tcPr>
            <w:tcW w:w="647" w:type="dxa"/>
            <w:shd w:val="clear" w:color="auto" w:fill="auto"/>
            <w:vAlign w:val="center"/>
          </w:tcPr>
          <w:p w14:paraId="4BD9FD3C" w14:textId="77777777" w:rsidR="00D34C6F" w:rsidRPr="00CD1278" w:rsidRDefault="00D34C6F" w:rsidP="008277E3">
            <w:pPr>
              <w:spacing w:after="60"/>
              <w:rPr>
                <w:color w:val="auto"/>
                <w:sz w:val="10"/>
                <w:szCs w:val="10"/>
              </w:rPr>
            </w:pPr>
            <w:r w:rsidRPr="00CD1278">
              <w:rPr>
                <w:color w:val="auto"/>
                <w:sz w:val="10"/>
                <w:szCs w:val="10"/>
              </w:rPr>
              <w:t>1.350</w:t>
            </w:r>
          </w:p>
        </w:tc>
        <w:tc>
          <w:tcPr>
            <w:tcW w:w="709" w:type="dxa"/>
            <w:shd w:val="clear" w:color="auto" w:fill="auto"/>
            <w:vAlign w:val="center"/>
          </w:tcPr>
          <w:p w14:paraId="04D4CE2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2F4679B"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537982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0D5BB5B"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281771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BC174F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7B0B42D"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0FCCC4F" w14:textId="77777777" w:rsidR="00D34C6F" w:rsidRPr="00CD1278" w:rsidRDefault="00D34C6F" w:rsidP="008277E3">
            <w:pPr>
              <w:spacing w:after="60"/>
              <w:rPr>
                <w:color w:val="auto"/>
                <w:sz w:val="10"/>
                <w:szCs w:val="10"/>
              </w:rPr>
            </w:pPr>
          </w:p>
        </w:tc>
        <w:tc>
          <w:tcPr>
            <w:tcW w:w="567" w:type="dxa"/>
          </w:tcPr>
          <w:p w14:paraId="1D36C1C0" w14:textId="77777777" w:rsidR="00D34C6F" w:rsidRPr="00CD1278" w:rsidRDefault="00D34C6F" w:rsidP="008277E3">
            <w:pPr>
              <w:spacing w:after="60"/>
              <w:jc w:val="center"/>
              <w:rPr>
                <w:color w:val="auto"/>
                <w:sz w:val="10"/>
                <w:szCs w:val="10"/>
              </w:rPr>
            </w:pPr>
          </w:p>
        </w:tc>
        <w:tc>
          <w:tcPr>
            <w:tcW w:w="567" w:type="dxa"/>
          </w:tcPr>
          <w:p w14:paraId="58B3AE6D"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03776F9" w14:textId="77777777" w:rsidR="00D34C6F" w:rsidRPr="00CD1278" w:rsidRDefault="00D34C6F" w:rsidP="008277E3">
            <w:pPr>
              <w:spacing w:after="60"/>
              <w:rPr>
                <w:color w:val="auto"/>
                <w:sz w:val="10"/>
                <w:szCs w:val="10"/>
              </w:rPr>
            </w:pPr>
            <w:r w:rsidRPr="00CD1278">
              <w:rPr>
                <w:color w:val="auto"/>
                <w:sz w:val="10"/>
                <w:szCs w:val="10"/>
              </w:rPr>
              <w:t>3.000</w:t>
            </w:r>
          </w:p>
        </w:tc>
        <w:tc>
          <w:tcPr>
            <w:tcW w:w="709" w:type="dxa"/>
            <w:shd w:val="clear" w:color="auto" w:fill="auto"/>
            <w:vAlign w:val="center"/>
          </w:tcPr>
          <w:p w14:paraId="6ADBED18" w14:textId="77777777" w:rsidR="00D34C6F" w:rsidRPr="00CD1278" w:rsidRDefault="00D34C6F" w:rsidP="008277E3">
            <w:pPr>
              <w:spacing w:after="60"/>
              <w:rPr>
                <w:color w:val="auto"/>
                <w:sz w:val="10"/>
                <w:szCs w:val="10"/>
              </w:rPr>
            </w:pPr>
            <w:r w:rsidRPr="00CD1278">
              <w:rPr>
                <w:color w:val="auto"/>
                <w:sz w:val="10"/>
                <w:szCs w:val="10"/>
              </w:rPr>
              <w:t>1.350</w:t>
            </w:r>
          </w:p>
        </w:tc>
        <w:tc>
          <w:tcPr>
            <w:tcW w:w="708" w:type="dxa"/>
            <w:shd w:val="clear" w:color="auto" w:fill="auto"/>
            <w:vAlign w:val="center"/>
          </w:tcPr>
          <w:p w14:paraId="1223AC3B"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D9314B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E8DD286"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71D21AD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45CCB3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6EC51C0"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0308EDA6" w14:textId="77777777" w:rsidR="00D34C6F" w:rsidRPr="00CD1278" w:rsidRDefault="00D34C6F" w:rsidP="008277E3">
            <w:pPr>
              <w:spacing w:after="60"/>
              <w:rPr>
                <w:b/>
                <w:color w:val="auto"/>
                <w:sz w:val="10"/>
                <w:szCs w:val="10"/>
              </w:rPr>
            </w:pPr>
          </w:p>
        </w:tc>
        <w:tc>
          <w:tcPr>
            <w:tcW w:w="567" w:type="dxa"/>
          </w:tcPr>
          <w:p w14:paraId="0891A3F1" w14:textId="77777777" w:rsidR="00D34C6F" w:rsidRPr="00CD1278" w:rsidRDefault="00D34C6F" w:rsidP="008277E3">
            <w:pPr>
              <w:spacing w:after="60"/>
              <w:jc w:val="center"/>
              <w:rPr>
                <w:b/>
                <w:color w:val="auto"/>
                <w:sz w:val="10"/>
                <w:szCs w:val="10"/>
              </w:rPr>
            </w:pPr>
          </w:p>
        </w:tc>
        <w:tc>
          <w:tcPr>
            <w:tcW w:w="567" w:type="dxa"/>
          </w:tcPr>
          <w:p w14:paraId="564B1597" w14:textId="77777777" w:rsidR="00D34C6F" w:rsidRPr="00CD1278" w:rsidRDefault="00D34C6F" w:rsidP="008277E3">
            <w:pPr>
              <w:spacing w:after="60"/>
              <w:jc w:val="center"/>
              <w:rPr>
                <w:b/>
                <w:color w:val="auto"/>
                <w:sz w:val="10"/>
                <w:szCs w:val="10"/>
              </w:rPr>
            </w:pPr>
          </w:p>
        </w:tc>
        <w:tc>
          <w:tcPr>
            <w:tcW w:w="567" w:type="dxa"/>
          </w:tcPr>
          <w:p w14:paraId="198825CE" w14:textId="77777777" w:rsidR="00D34C6F" w:rsidRPr="00CD1278" w:rsidRDefault="00D34C6F" w:rsidP="008277E3">
            <w:pPr>
              <w:spacing w:after="60"/>
              <w:jc w:val="center"/>
              <w:rPr>
                <w:b/>
                <w:color w:val="auto"/>
                <w:sz w:val="10"/>
                <w:szCs w:val="10"/>
              </w:rPr>
            </w:pPr>
          </w:p>
        </w:tc>
      </w:tr>
      <w:tr w:rsidR="003C102E" w:rsidRPr="00CD1278" w14:paraId="32B66D8A" w14:textId="77777777" w:rsidTr="008277E3">
        <w:trPr>
          <w:trHeight w:val="465"/>
          <w:jc w:val="center"/>
        </w:trPr>
        <w:tc>
          <w:tcPr>
            <w:tcW w:w="662" w:type="dxa"/>
            <w:shd w:val="clear" w:color="auto" w:fill="auto"/>
            <w:vAlign w:val="center"/>
          </w:tcPr>
          <w:p w14:paraId="1B4AABB0"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1AA92FB8" w14:textId="77777777" w:rsidR="00D34C6F" w:rsidRPr="00CD1278" w:rsidRDefault="00D34C6F" w:rsidP="00D1371C">
            <w:pPr>
              <w:spacing w:after="60"/>
              <w:ind w:left="-87"/>
              <w:rPr>
                <w:color w:val="auto"/>
                <w:sz w:val="12"/>
                <w:szCs w:val="12"/>
              </w:rPr>
            </w:pPr>
            <w:r w:rsidRPr="00CD1278">
              <w:rPr>
                <w:color w:val="auto"/>
                <w:sz w:val="12"/>
                <w:szCs w:val="12"/>
              </w:rPr>
              <w:t>Strawberry runners</w:t>
            </w:r>
          </w:p>
        </w:tc>
        <w:tc>
          <w:tcPr>
            <w:tcW w:w="770" w:type="dxa"/>
            <w:shd w:val="clear" w:color="auto" w:fill="auto"/>
            <w:vAlign w:val="center"/>
          </w:tcPr>
          <w:p w14:paraId="679862D5" w14:textId="77777777" w:rsidR="00D34C6F" w:rsidRPr="00CD1278" w:rsidRDefault="00D34C6F" w:rsidP="008277E3">
            <w:pPr>
              <w:spacing w:after="60"/>
              <w:rPr>
                <w:color w:val="auto"/>
                <w:sz w:val="10"/>
                <w:szCs w:val="10"/>
              </w:rPr>
            </w:pPr>
            <w:r w:rsidRPr="00CD1278">
              <w:rPr>
                <w:color w:val="auto"/>
                <w:sz w:val="10"/>
                <w:szCs w:val="10"/>
              </w:rPr>
              <w:t>3.400</w:t>
            </w:r>
          </w:p>
        </w:tc>
        <w:tc>
          <w:tcPr>
            <w:tcW w:w="647" w:type="dxa"/>
            <w:shd w:val="clear" w:color="auto" w:fill="auto"/>
            <w:vAlign w:val="center"/>
          </w:tcPr>
          <w:p w14:paraId="5C148009" w14:textId="77777777" w:rsidR="00D34C6F" w:rsidRPr="00CD1278" w:rsidRDefault="00D34C6F" w:rsidP="008277E3">
            <w:pPr>
              <w:spacing w:after="60"/>
              <w:rPr>
                <w:color w:val="auto"/>
                <w:sz w:val="10"/>
                <w:szCs w:val="10"/>
              </w:rPr>
            </w:pPr>
            <w:r w:rsidRPr="00CD1278">
              <w:rPr>
                <w:color w:val="auto"/>
                <w:sz w:val="10"/>
                <w:szCs w:val="10"/>
              </w:rPr>
              <w:t>0.900</w:t>
            </w:r>
          </w:p>
        </w:tc>
        <w:tc>
          <w:tcPr>
            <w:tcW w:w="709" w:type="dxa"/>
            <w:shd w:val="clear" w:color="auto" w:fill="auto"/>
            <w:vAlign w:val="center"/>
          </w:tcPr>
          <w:p w14:paraId="1980C06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B60D3F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4CB0108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9760F30"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6131749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1536C2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868C1BA"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5DCC0D5" w14:textId="77777777" w:rsidR="00D34C6F" w:rsidRPr="00CD1278" w:rsidRDefault="00D34C6F" w:rsidP="008277E3">
            <w:pPr>
              <w:spacing w:after="60"/>
              <w:rPr>
                <w:color w:val="auto"/>
                <w:sz w:val="10"/>
                <w:szCs w:val="10"/>
              </w:rPr>
            </w:pPr>
          </w:p>
        </w:tc>
        <w:tc>
          <w:tcPr>
            <w:tcW w:w="567" w:type="dxa"/>
          </w:tcPr>
          <w:p w14:paraId="20DE7110" w14:textId="77777777" w:rsidR="00D34C6F" w:rsidRPr="00CD1278" w:rsidRDefault="00D34C6F" w:rsidP="008277E3">
            <w:pPr>
              <w:spacing w:after="60"/>
              <w:jc w:val="center"/>
              <w:rPr>
                <w:color w:val="auto"/>
                <w:sz w:val="10"/>
                <w:szCs w:val="10"/>
              </w:rPr>
            </w:pPr>
          </w:p>
        </w:tc>
        <w:tc>
          <w:tcPr>
            <w:tcW w:w="567" w:type="dxa"/>
          </w:tcPr>
          <w:p w14:paraId="10A449CF"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9B03942" w14:textId="77777777" w:rsidR="00D34C6F" w:rsidRPr="00CD1278" w:rsidRDefault="00D34C6F" w:rsidP="008277E3">
            <w:pPr>
              <w:spacing w:after="60"/>
              <w:rPr>
                <w:color w:val="auto"/>
                <w:sz w:val="10"/>
                <w:szCs w:val="10"/>
              </w:rPr>
            </w:pPr>
            <w:r w:rsidRPr="00CD1278">
              <w:rPr>
                <w:color w:val="auto"/>
                <w:sz w:val="10"/>
                <w:szCs w:val="10"/>
              </w:rPr>
              <w:t>3.400</w:t>
            </w:r>
          </w:p>
        </w:tc>
        <w:tc>
          <w:tcPr>
            <w:tcW w:w="709" w:type="dxa"/>
            <w:shd w:val="clear" w:color="auto" w:fill="auto"/>
            <w:vAlign w:val="center"/>
          </w:tcPr>
          <w:p w14:paraId="48914F26" w14:textId="77777777" w:rsidR="00D34C6F" w:rsidRPr="00CD1278" w:rsidRDefault="00D34C6F" w:rsidP="008277E3">
            <w:pPr>
              <w:spacing w:after="60"/>
              <w:rPr>
                <w:color w:val="auto"/>
                <w:sz w:val="10"/>
                <w:szCs w:val="10"/>
              </w:rPr>
            </w:pPr>
            <w:r w:rsidRPr="00CD1278">
              <w:rPr>
                <w:color w:val="auto"/>
                <w:sz w:val="10"/>
                <w:szCs w:val="10"/>
              </w:rPr>
              <w:t>0.900</w:t>
            </w:r>
          </w:p>
        </w:tc>
        <w:tc>
          <w:tcPr>
            <w:tcW w:w="708" w:type="dxa"/>
            <w:shd w:val="clear" w:color="auto" w:fill="auto"/>
            <w:vAlign w:val="center"/>
          </w:tcPr>
          <w:p w14:paraId="09964B29"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5CE1C0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F15A12B"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6BD4AEA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93E550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4750C549"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00AD4FE6" w14:textId="77777777" w:rsidR="00D34C6F" w:rsidRPr="00CD1278" w:rsidRDefault="00D34C6F" w:rsidP="008277E3">
            <w:pPr>
              <w:spacing w:after="60"/>
              <w:rPr>
                <w:b/>
                <w:color w:val="auto"/>
                <w:sz w:val="10"/>
                <w:szCs w:val="10"/>
              </w:rPr>
            </w:pPr>
          </w:p>
        </w:tc>
        <w:tc>
          <w:tcPr>
            <w:tcW w:w="567" w:type="dxa"/>
          </w:tcPr>
          <w:p w14:paraId="13DEDDE2" w14:textId="77777777" w:rsidR="00D34C6F" w:rsidRPr="00CD1278" w:rsidRDefault="00D34C6F" w:rsidP="008277E3">
            <w:pPr>
              <w:spacing w:after="60"/>
              <w:jc w:val="center"/>
              <w:rPr>
                <w:b/>
                <w:color w:val="auto"/>
                <w:sz w:val="10"/>
                <w:szCs w:val="10"/>
              </w:rPr>
            </w:pPr>
          </w:p>
        </w:tc>
        <w:tc>
          <w:tcPr>
            <w:tcW w:w="567" w:type="dxa"/>
          </w:tcPr>
          <w:p w14:paraId="67F2EAD6" w14:textId="77777777" w:rsidR="00D34C6F" w:rsidRPr="00CD1278" w:rsidRDefault="00D34C6F" w:rsidP="008277E3">
            <w:pPr>
              <w:spacing w:after="60"/>
              <w:jc w:val="center"/>
              <w:rPr>
                <w:b/>
                <w:color w:val="auto"/>
                <w:sz w:val="10"/>
                <w:szCs w:val="10"/>
              </w:rPr>
            </w:pPr>
          </w:p>
        </w:tc>
        <w:tc>
          <w:tcPr>
            <w:tcW w:w="567" w:type="dxa"/>
          </w:tcPr>
          <w:p w14:paraId="6D2800DF" w14:textId="77777777" w:rsidR="00D34C6F" w:rsidRPr="00CD1278" w:rsidRDefault="00D34C6F" w:rsidP="008277E3">
            <w:pPr>
              <w:spacing w:after="60"/>
              <w:jc w:val="center"/>
              <w:rPr>
                <w:b/>
                <w:color w:val="auto"/>
                <w:sz w:val="10"/>
                <w:szCs w:val="10"/>
              </w:rPr>
            </w:pPr>
          </w:p>
        </w:tc>
      </w:tr>
      <w:tr w:rsidR="003C102E" w:rsidRPr="00CD1278" w14:paraId="6432A092" w14:textId="77777777" w:rsidTr="008277E3">
        <w:trPr>
          <w:trHeight w:val="465"/>
          <w:jc w:val="center"/>
        </w:trPr>
        <w:tc>
          <w:tcPr>
            <w:tcW w:w="662" w:type="dxa"/>
            <w:shd w:val="clear" w:color="auto" w:fill="auto"/>
            <w:vAlign w:val="center"/>
          </w:tcPr>
          <w:p w14:paraId="1B950ACC"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3FCBE869" w14:textId="77777777" w:rsidR="00D34C6F" w:rsidRPr="00CD1278" w:rsidRDefault="00D34C6F" w:rsidP="00D1371C">
            <w:pPr>
              <w:spacing w:after="60"/>
              <w:ind w:left="-87"/>
              <w:rPr>
                <w:color w:val="auto"/>
                <w:sz w:val="12"/>
                <w:szCs w:val="12"/>
              </w:rPr>
            </w:pPr>
            <w:r w:rsidRPr="00CD1278">
              <w:rPr>
                <w:color w:val="auto"/>
                <w:sz w:val="12"/>
                <w:szCs w:val="12"/>
              </w:rPr>
              <w:t>Tomato (protected)</w:t>
            </w:r>
          </w:p>
        </w:tc>
        <w:tc>
          <w:tcPr>
            <w:tcW w:w="770" w:type="dxa"/>
            <w:shd w:val="clear" w:color="auto" w:fill="auto"/>
            <w:vAlign w:val="center"/>
          </w:tcPr>
          <w:p w14:paraId="0C9FD5BF" w14:textId="77777777" w:rsidR="00D34C6F" w:rsidRPr="00CD1278" w:rsidRDefault="00D34C6F" w:rsidP="008277E3">
            <w:pPr>
              <w:spacing w:after="60"/>
              <w:rPr>
                <w:color w:val="auto"/>
                <w:sz w:val="10"/>
                <w:szCs w:val="10"/>
              </w:rPr>
            </w:pPr>
            <w:r w:rsidRPr="00CD1278">
              <w:rPr>
                <w:color w:val="auto"/>
                <w:sz w:val="10"/>
                <w:szCs w:val="10"/>
              </w:rPr>
              <w:t>17.170</w:t>
            </w:r>
          </w:p>
        </w:tc>
        <w:tc>
          <w:tcPr>
            <w:tcW w:w="647" w:type="dxa"/>
            <w:shd w:val="clear" w:color="auto" w:fill="auto"/>
            <w:vAlign w:val="center"/>
          </w:tcPr>
          <w:p w14:paraId="6AD7AC71" w14:textId="77777777" w:rsidR="00D34C6F" w:rsidRPr="00CD1278" w:rsidRDefault="00D34C6F" w:rsidP="008277E3">
            <w:pPr>
              <w:spacing w:after="60"/>
              <w:rPr>
                <w:color w:val="auto"/>
                <w:sz w:val="10"/>
                <w:szCs w:val="10"/>
              </w:rPr>
            </w:pPr>
            <w:r w:rsidRPr="00CD1278">
              <w:rPr>
                <w:color w:val="auto"/>
                <w:sz w:val="10"/>
                <w:szCs w:val="10"/>
              </w:rPr>
              <w:t>4.500</w:t>
            </w:r>
          </w:p>
        </w:tc>
        <w:tc>
          <w:tcPr>
            <w:tcW w:w="709" w:type="dxa"/>
            <w:shd w:val="clear" w:color="auto" w:fill="auto"/>
            <w:vAlign w:val="center"/>
          </w:tcPr>
          <w:p w14:paraId="6EFF63C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6A2FB4B"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458F42C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402115B"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7E609EF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BBF011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99A5C6C"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41D87F7D" w14:textId="77777777" w:rsidR="00D34C6F" w:rsidRPr="00CD1278" w:rsidRDefault="00D34C6F" w:rsidP="008277E3">
            <w:pPr>
              <w:spacing w:after="60"/>
              <w:rPr>
                <w:color w:val="auto"/>
                <w:sz w:val="10"/>
                <w:szCs w:val="10"/>
              </w:rPr>
            </w:pPr>
          </w:p>
        </w:tc>
        <w:tc>
          <w:tcPr>
            <w:tcW w:w="567" w:type="dxa"/>
          </w:tcPr>
          <w:p w14:paraId="299FB999" w14:textId="77777777" w:rsidR="00D34C6F" w:rsidRPr="00CD1278" w:rsidRDefault="00D34C6F" w:rsidP="008277E3">
            <w:pPr>
              <w:spacing w:after="60"/>
              <w:jc w:val="center"/>
              <w:rPr>
                <w:color w:val="auto"/>
                <w:sz w:val="10"/>
                <w:szCs w:val="10"/>
              </w:rPr>
            </w:pPr>
          </w:p>
        </w:tc>
        <w:tc>
          <w:tcPr>
            <w:tcW w:w="567" w:type="dxa"/>
          </w:tcPr>
          <w:p w14:paraId="6F9FFE97"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67F6E927" w14:textId="77777777" w:rsidR="00D34C6F" w:rsidRPr="00CD1278" w:rsidRDefault="00D34C6F" w:rsidP="008277E3">
            <w:pPr>
              <w:spacing w:after="60"/>
              <w:rPr>
                <w:color w:val="auto"/>
                <w:sz w:val="10"/>
                <w:szCs w:val="10"/>
              </w:rPr>
            </w:pPr>
            <w:r w:rsidRPr="00CD1278">
              <w:rPr>
                <w:color w:val="auto"/>
                <w:sz w:val="10"/>
                <w:szCs w:val="10"/>
              </w:rPr>
              <w:t>5.700</w:t>
            </w:r>
          </w:p>
        </w:tc>
        <w:tc>
          <w:tcPr>
            <w:tcW w:w="709" w:type="dxa"/>
            <w:shd w:val="clear" w:color="auto" w:fill="auto"/>
            <w:vAlign w:val="center"/>
          </w:tcPr>
          <w:p w14:paraId="065B7894" w14:textId="77777777" w:rsidR="00D34C6F" w:rsidRPr="00CD1278" w:rsidRDefault="00D34C6F" w:rsidP="008277E3">
            <w:pPr>
              <w:spacing w:after="60"/>
              <w:rPr>
                <w:color w:val="auto"/>
                <w:sz w:val="10"/>
                <w:szCs w:val="10"/>
              </w:rPr>
            </w:pPr>
            <w:r w:rsidRPr="00CD1278">
              <w:rPr>
                <w:color w:val="auto"/>
                <w:sz w:val="10"/>
                <w:szCs w:val="10"/>
              </w:rPr>
              <w:t>4.500</w:t>
            </w:r>
          </w:p>
        </w:tc>
        <w:tc>
          <w:tcPr>
            <w:tcW w:w="708" w:type="dxa"/>
            <w:shd w:val="clear" w:color="auto" w:fill="auto"/>
            <w:vAlign w:val="center"/>
          </w:tcPr>
          <w:p w14:paraId="7E2D7F75"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27FA67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621D98D"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3BA3EA8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A6879D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3516BCD7"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4457637D" w14:textId="77777777" w:rsidR="00D34C6F" w:rsidRPr="00CD1278" w:rsidRDefault="00D34C6F" w:rsidP="008277E3">
            <w:pPr>
              <w:spacing w:after="60"/>
              <w:rPr>
                <w:b/>
                <w:color w:val="auto"/>
                <w:sz w:val="10"/>
                <w:szCs w:val="10"/>
              </w:rPr>
            </w:pPr>
          </w:p>
        </w:tc>
        <w:tc>
          <w:tcPr>
            <w:tcW w:w="567" w:type="dxa"/>
          </w:tcPr>
          <w:p w14:paraId="67909504" w14:textId="77777777" w:rsidR="00D34C6F" w:rsidRPr="00CD1278" w:rsidRDefault="00D34C6F" w:rsidP="008277E3">
            <w:pPr>
              <w:spacing w:after="60"/>
              <w:jc w:val="center"/>
              <w:rPr>
                <w:b/>
                <w:color w:val="auto"/>
                <w:sz w:val="10"/>
                <w:szCs w:val="10"/>
              </w:rPr>
            </w:pPr>
          </w:p>
        </w:tc>
        <w:tc>
          <w:tcPr>
            <w:tcW w:w="567" w:type="dxa"/>
          </w:tcPr>
          <w:p w14:paraId="30B195CB" w14:textId="77777777" w:rsidR="00D34C6F" w:rsidRPr="00CD1278" w:rsidRDefault="00D34C6F" w:rsidP="008277E3">
            <w:pPr>
              <w:spacing w:after="60"/>
              <w:jc w:val="center"/>
              <w:rPr>
                <w:b/>
                <w:color w:val="auto"/>
                <w:sz w:val="10"/>
                <w:szCs w:val="10"/>
              </w:rPr>
            </w:pPr>
          </w:p>
        </w:tc>
        <w:tc>
          <w:tcPr>
            <w:tcW w:w="567" w:type="dxa"/>
          </w:tcPr>
          <w:p w14:paraId="27CC5055" w14:textId="77777777" w:rsidR="00D34C6F" w:rsidRPr="00CD1278" w:rsidRDefault="00D34C6F" w:rsidP="008277E3">
            <w:pPr>
              <w:spacing w:after="60"/>
              <w:jc w:val="center"/>
              <w:rPr>
                <w:b/>
                <w:color w:val="auto"/>
                <w:sz w:val="10"/>
                <w:szCs w:val="10"/>
              </w:rPr>
            </w:pPr>
          </w:p>
        </w:tc>
      </w:tr>
      <w:tr w:rsidR="003C102E" w:rsidRPr="00CD1278" w14:paraId="04FB60EE" w14:textId="77777777" w:rsidTr="008277E3">
        <w:trPr>
          <w:trHeight w:val="465"/>
          <w:jc w:val="center"/>
        </w:trPr>
        <w:tc>
          <w:tcPr>
            <w:tcW w:w="662" w:type="dxa"/>
            <w:shd w:val="clear" w:color="auto" w:fill="auto"/>
            <w:vAlign w:val="center"/>
          </w:tcPr>
          <w:p w14:paraId="0546FD20" w14:textId="77777777" w:rsidR="00D34C6F" w:rsidRPr="00CD1278" w:rsidRDefault="00D34C6F" w:rsidP="008277E3">
            <w:pPr>
              <w:spacing w:after="60"/>
              <w:rPr>
                <w:color w:val="auto"/>
                <w:sz w:val="12"/>
                <w:szCs w:val="12"/>
              </w:rPr>
            </w:pPr>
            <w:r w:rsidRPr="00CD1278">
              <w:rPr>
                <w:color w:val="auto"/>
                <w:sz w:val="12"/>
                <w:szCs w:val="12"/>
              </w:rPr>
              <w:t>Belgium</w:t>
            </w:r>
          </w:p>
        </w:tc>
        <w:tc>
          <w:tcPr>
            <w:tcW w:w="824" w:type="dxa"/>
            <w:shd w:val="clear" w:color="auto" w:fill="auto"/>
            <w:vAlign w:val="center"/>
          </w:tcPr>
          <w:p w14:paraId="0F696050" w14:textId="77777777" w:rsidR="00D34C6F" w:rsidRPr="00CD1278" w:rsidRDefault="00D34C6F" w:rsidP="00D1371C">
            <w:pPr>
              <w:spacing w:after="60"/>
              <w:ind w:left="-87"/>
              <w:rPr>
                <w:color w:val="auto"/>
                <w:sz w:val="12"/>
                <w:szCs w:val="12"/>
              </w:rPr>
            </w:pPr>
            <w:r w:rsidRPr="00CD1278">
              <w:rPr>
                <w:color w:val="auto"/>
                <w:sz w:val="12"/>
                <w:szCs w:val="12"/>
              </w:rPr>
              <w:t>Tree nursery</w:t>
            </w:r>
          </w:p>
        </w:tc>
        <w:tc>
          <w:tcPr>
            <w:tcW w:w="770" w:type="dxa"/>
            <w:shd w:val="clear" w:color="auto" w:fill="auto"/>
            <w:vAlign w:val="center"/>
          </w:tcPr>
          <w:p w14:paraId="58A08C91" w14:textId="77777777" w:rsidR="00D34C6F" w:rsidRPr="00CD1278" w:rsidRDefault="00D34C6F" w:rsidP="008277E3">
            <w:pPr>
              <w:spacing w:after="60"/>
              <w:rPr>
                <w:color w:val="auto"/>
                <w:sz w:val="10"/>
                <w:szCs w:val="10"/>
              </w:rPr>
            </w:pPr>
            <w:r w:rsidRPr="00CD1278">
              <w:rPr>
                <w:color w:val="auto"/>
                <w:sz w:val="10"/>
                <w:szCs w:val="10"/>
              </w:rPr>
              <w:t>0.230</w:t>
            </w:r>
          </w:p>
        </w:tc>
        <w:tc>
          <w:tcPr>
            <w:tcW w:w="647" w:type="dxa"/>
            <w:shd w:val="clear" w:color="auto" w:fill="auto"/>
            <w:vAlign w:val="center"/>
          </w:tcPr>
          <w:p w14:paraId="223D76A9" w14:textId="77777777" w:rsidR="00D34C6F" w:rsidRPr="00CD1278" w:rsidRDefault="00D34C6F" w:rsidP="008277E3">
            <w:pPr>
              <w:spacing w:after="60"/>
              <w:rPr>
                <w:color w:val="auto"/>
                <w:sz w:val="10"/>
                <w:szCs w:val="10"/>
              </w:rPr>
            </w:pPr>
            <w:r w:rsidRPr="00CD1278">
              <w:rPr>
                <w:color w:val="auto"/>
                <w:sz w:val="10"/>
                <w:szCs w:val="10"/>
              </w:rPr>
              <w:t>0.155</w:t>
            </w:r>
          </w:p>
        </w:tc>
        <w:tc>
          <w:tcPr>
            <w:tcW w:w="709" w:type="dxa"/>
            <w:shd w:val="clear" w:color="auto" w:fill="auto"/>
            <w:vAlign w:val="center"/>
          </w:tcPr>
          <w:p w14:paraId="2AFDFF0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D2D438C"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C853EC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EC742E0"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5D5D3D5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D07857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497923B"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45D181CD" w14:textId="77777777" w:rsidR="00D34C6F" w:rsidRPr="00CD1278" w:rsidRDefault="00D34C6F" w:rsidP="008277E3">
            <w:pPr>
              <w:spacing w:after="60"/>
              <w:rPr>
                <w:color w:val="auto"/>
                <w:sz w:val="10"/>
                <w:szCs w:val="10"/>
              </w:rPr>
            </w:pPr>
          </w:p>
        </w:tc>
        <w:tc>
          <w:tcPr>
            <w:tcW w:w="567" w:type="dxa"/>
          </w:tcPr>
          <w:p w14:paraId="116D814C" w14:textId="77777777" w:rsidR="00D34C6F" w:rsidRPr="00CD1278" w:rsidRDefault="00D34C6F" w:rsidP="008277E3">
            <w:pPr>
              <w:spacing w:after="60"/>
              <w:jc w:val="center"/>
              <w:rPr>
                <w:color w:val="auto"/>
                <w:sz w:val="10"/>
                <w:szCs w:val="10"/>
              </w:rPr>
            </w:pPr>
          </w:p>
        </w:tc>
        <w:tc>
          <w:tcPr>
            <w:tcW w:w="567" w:type="dxa"/>
          </w:tcPr>
          <w:p w14:paraId="310602B3"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4EA24872" w14:textId="77777777" w:rsidR="00D34C6F" w:rsidRPr="00CD1278" w:rsidRDefault="00D34C6F" w:rsidP="008277E3">
            <w:pPr>
              <w:spacing w:after="60"/>
              <w:rPr>
                <w:color w:val="auto"/>
                <w:sz w:val="10"/>
                <w:szCs w:val="10"/>
              </w:rPr>
            </w:pPr>
            <w:r w:rsidRPr="00CD1278">
              <w:rPr>
                <w:color w:val="auto"/>
                <w:sz w:val="10"/>
                <w:szCs w:val="10"/>
              </w:rPr>
              <w:t>0.230</w:t>
            </w:r>
          </w:p>
        </w:tc>
        <w:tc>
          <w:tcPr>
            <w:tcW w:w="709" w:type="dxa"/>
            <w:shd w:val="clear" w:color="auto" w:fill="auto"/>
            <w:vAlign w:val="center"/>
          </w:tcPr>
          <w:p w14:paraId="42C218D4" w14:textId="77777777" w:rsidR="00D34C6F" w:rsidRPr="00CD1278" w:rsidRDefault="00D34C6F" w:rsidP="008277E3">
            <w:pPr>
              <w:spacing w:after="60"/>
              <w:rPr>
                <w:color w:val="auto"/>
                <w:sz w:val="10"/>
                <w:szCs w:val="10"/>
              </w:rPr>
            </w:pPr>
            <w:r w:rsidRPr="00CD1278">
              <w:rPr>
                <w:color w:val="auto"/>
                <w:sz w:val="10"/>
                <w:szCs w:val="10"/>
              </w:rPr>
              <w:t>0.155</w:t>
            </w:r>
          </w:p>
        </w:tc>
        <w:tc>
          <w:tcPr>
            <w:tcW w:w="708" w:type="dxa"/>
            <w:shd w:val="clear" w:color="auto" w:fill="auto"/>
            <w:vAlign w:val="center"/>
          </w:tcPr>
          <w:p w14:paraId="2B3F4792"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5A97B9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1F80C21"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63F61C8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3B0B53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5D24E0D6"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6AD25445" w14:textId="77777777" w:rsidR="00D34C6F" w:rsidRPr="00CD1278" w:rsidRDefault="00D34C6F" w:rsidP="008277E3">
            <w:pPr>
              <w:spacing w:after="60"/>
              <w:rPr>
                <w:b/>
                <w:color w:val="auto"/>
                <w:sz w:val="10"/>
                <w:szCs w:val="10"/>
              </w:rPr>
            </w:pPr>
          </w:p>
        </w:tc>
        <w:tc>
          <w:tcPr>
            <w:tcW w:w="567" w:type="dxa"/>
          </w:tcPr>
          <w:p w14:paraId="21F7D5CD" w14:textId="77777777" w:rsidR="00D34C6F" w:rsidRPr="00CD1278" w:rsidRDefault="00D34C6F" w:rsidP="008277E3">
            <w:pPr>
              <w:spacing w:after="60"/>
              <w:jc w:val="center"/>
              <w:rPr>
                <w:b/>
                <w:color w:val="auto"/>
                <w:sz w:val="10"/>
                <w:szCs w:val="10"/>
              </w:rPr>
            </w:pPr>
          </w:p>
        </w:tc>
        <w:tc>
          <w:tcPr>
            <w:tcW w:w="567" w:type="dxa"/>
          </w:tcPr>
          <w:p w14:paraId="3BD1E154" w14:textId="77777777" w:rsidR="00D34C6F" w:rsidRPr="00CD1278" w:rsidRDefault="00D34C6F" w:rsidP="008277E3">
            <w:pPr>
              <w:spacing w:after="60"/>
              <w:jc w:val="center"/>
              <w:rPr>
                <w:b/>
                <w:color w:val="auto"/>
                <w:sz w:val="10"/>
                <w:szCs w:val="10"/>
              </w:rPr>
            </w:pPr>
          </w:p>
        </w:tc>
        <w:tc>
          <w:tcPr>
            <w:tcW w:w="567" w:type="dxa"/>
          </w:tcPr>
          <w:p w14:paraId="7DBE34C5" w14:textId="77777777" w:rsidR="00D34C6F" w:rsidRPr="00CD1278" w:rsidRDefault="00D34C6F" w:rsidP="008277E3">
            <w:pPr>
              <w:spacing w:after="60"/>
              <w:jc w:val="center"/>
              <w:rPr>
                <w:b/>
                <w:color w:val="auto"/>
                <w:sz w:val="10"/>
                <w:szCs w:val="10"/>
              </w:rPr>
            </w:pPr>
          </w:p>
        </w:tc>
      </w:tr>
      <w:tr w:rsidR="003C102E" w:rsidRPr="00CD1278" w14:paraId="4C454D15" w14:textId="77777777" w:rsidTr="008277E3">
        <w:trPr>
          <w:trHeight w:val="530"/>
          <w:jc w:val="center"/>
        </w:trPr>
        <w:tc>
          <w:tcPr>
            <w:tcW w:w="662" w:type="dxa"/>
            <w:shd w:val="clear" w:color="auto" w:fill="auto"/>
            <w:vAlign w:val="center"/>
          </w:tcPr>
          <w:p w14:paraId="3AC24B93" w14:textId="77777777" w:rsidR="008277E3" w:rsidRPr="00CD1278" w:rsidRDefault="008277E3" w:rsidP="008277E3">
            <w:pPr>
              <w:spacing w:after="60"/>
              <w:rPr>
                <w:color w:val="auto"/>
                <w:sz w:val="12"/>
                <w:szCs w:val="12"/>
              </w:rPr>
            </w:pPr>
            <w:r w:rsidRPr="00CD1278">
              <w:rPr>
                <w:color w:val="auto"/>
                <w:sz w:val="12"/>
                <w:szCs w:val="12"/>
              </w:rPr>
              <w:t>Canada</w:t>
            </w:r>
          </w:p>
        </w:tc>
        <w:tc>
          <w:tcPr>
            <w:tcW w:w="824" w:type="dxa"/>
            <w:shd w:val="clear" w:color="auto" w:fill="auto"/>
            <w:vAlign w:val="center"/>
          </w:tcPr>
          <w:p w14:paraId="4ADA1A52" w14:textId="77777777" w:rsidR="008277E3" w:rsidRPr="00CD1278" w:rsidRDefault="008277E3" w:rsidP="00D1371C">
            <w:pPr>
              <w:spacing w:after="60"/>
              <w:ind w:left="-87"/>
              <w:rPr>
                <w:color w:val="auto"/>
                <w:sz w:val="12"/>
                <w:szCs w:val="12"/>
              </w:rPr>
            </w:pPr>
            <w:r w:rsidRPr="00CD1278">
              <w:rPr>
                <w:color w:val="auto"/>
                <w:sz w:val="12"/>
                <w:szCs w:val="12"/>
              </w:rPr>
              <w:t>Strawberry runners (PEI)</w:t>
            </w:r>
          </w:p>
        </w:tc>
        <w:tc>
          <w:tcPr>
            <w:tcW w:w="7574" w:type="dxa"/>
            <w:gridSpan w:val="12"/>
            <w:shd w:val="clear" w:color="auto" w:fill="auto"/>
            <w:vAlign w:val="center"/>
          </w:tcPr>
          <w:p w14:paraId="66127DC3" w14:textId="1A8FE641" w:rsidR="008277E3" w:rsidRPr="00CD1278" w:rsidRDefault="000B6922" w:rsidP="008277E3">
            <w:pPr>
              <w:spacing w:after="60"/>
              <w:jc w:val="center"/>
              <w:rPr>
                <w:b/>
                <w:color w:val="auto"/>
                <w:sz w:val="10"/>
                <w:szCs w:val="10"/>
              </w:rPr>
            </w:pPr>
            <w:r w:rsidRPr="00CD1278">
              <w:rPr>
                <w:color w:val="auto"/>
                <w:sz w:val="10"/>
                <w:szCs w:val="10"/>
              </w:rPr>
              <w:t>See Section 1.2.4</w:t>
            </w:r>
          </w:p>
        </w:tc>
        <w:tc>
          <w:tcPr>
            <w:tcW w:w="7451" w:type="dxa"/>
            <w:gridSpan w:val="12"/>
            <w:shd w:val="clear" w:color="auto" w:fill="auto"/>
            <w:vAlign w:val="center"/>
          </w:tcPr>
          <w:p w14:paraId="24D9A2BF" w14:textId="0C998BEB" w:rsidR="008277E3" w:rsidRPr="00CD1278" w:rsidRDefault="008277E3" w:rsidP="008277E3">
            <w:pPr>
              <w:spacing w:after="60"/>
              <w:jc w:val="center"/>
              <w:rPr>
                <w:b/>
                <w:color w:val="auto"/>
                <w:sz w:val="10"/>
                <w:szCs w:val="10"/>
              </w:rPr>
            </w:pPr>
          </w:p>
        </w:tc>
      </w:tr>
      <w:tr w:rsidR="003C102E" w:rsidRPr="00CD1278" w14:paraId="6A575026" w14:textId="77777777" w:rsidTr="008277E3">
        <w:trPr>
          <w:trHeight w:val="450"/>
          <w:jc w:val="center"/>
        </w:trPr>
        <w:tc>
          <w:tcPr>
            <w:tcW w:w="662" w:type="dxa"/>
            <w:shd w:val="clear" w:color="auto" w:fill="auto"/>
            <w:vAlign w:val="center"/>
          </w:tcPr>
          <w:p w14:paraId="19AAF459" w14:textId="77777777" w:rsidR="00D34C6F" w:rsidRPr="00CD1278" w:rsidRDefault="00D34C6F" w:rsidP="008277E3">
            <w:pPr>
              <w:spacing w:after="60"/>
              <w:rPr>
                <w:color w:val="auto"/>
                <w:sz w:val="12"/>
                <w:szCs w:val="12"/>
              </w:rPr>
            </w:pPr>
            <w:r w:rsidRPr="00CD1278">
              <w:rPr>
                <w:color w:val="auto"/>
                <w:sz w:val="12"/>
                <w:szCs w:val="12"/>
              </w:rPr>
              <w:t>Canada</w:t>
            </w:r>
          </w:p>
        </w:tc>
        <w:tc>
          <w:tcPr>
            <w:tcW w:w="1594" w:type="dxa"/>
            <w:gridSpan w:val="2"/>
            <w:shd w:val="clear" w:color="auto" w:fill="auto"/>
            <w:vAlign w:val="center"/>
          </w:tcPr>
          <w:p w14:paraId="4E6CCC61" w14:textId="77777777" w:rsidR="00D34C6F" w:rsidRPr="00CD1278" w:rsidRDefault="00D34C6F" w:rsidP="00D1371C">
            <w:pPr>
              <w:spacing w:after="60"/>
              <w:ind w:left="-87"/>
              <w:rPr>
                <w:color w:val="auto"/>
                <w:sz w:val="10"/>
                <w:szCs w:val="10"/>
              </w:rPr>
            </w:pPr>
            <w:r w:rsidRPr="00CD1278">
              <w:rPr>
                <w:color w:val="auto"/>
                <w:sz w:val="10"/>
                <w:szCs w:val="10"/>
              </w:rPr>
              <w:t>Strawberry runners (Quebec)</w:t>
            </w:r>
          </w:p>
        </w:tc>
        <w:tc>
          <w:tcPr>
            <w:tcW w:w="647" w:type="dxa"/>
            <w:shd w:val="clear" w:color="auto" w:fill="auto"/>
            <w:vAlign w:val="center"/>
          </w:tcPr>
          <w:p w14:paraId="3EE97B1B" w14:textId="77777777" w:rsidR="00D34C6F" w:rsidRPr="00CD1278" w:rsidRDefault="00D34C6F" w:rsidP="008277E3">
            <w:pPr>
              <w:spacing w:after="60"/>
              <w:rPr>
                <w:color w:val="auto"/>
                <w:sz w:val="10"/>
                <w:szCs w:val="10"/>
              </w:rPr>
            </w:pPr>
            <w:r w:rsidRPr="00CD1278">
              <w:rPr>
                <w:color w:val="auto"/>
                <w:sz w:val="10"/>
                <w:szCs w:val="10"/>
              </w:rPr>
              <w:t>1.826</w:t>
            </w:r>
          </w:p>
        </w:tc>
        <w:tc>
          <w:tcPr>
            <w:tcW w:w="709" w:type="dxa"/>
            <w:shd w:val="clear" w:color="auto" w:fill="auto"/>
            <w:vAlign w:val="center"/>
          </w:tcPr>
          <w:p w14:paraId="1E249ACB" w14:textId="77777777" w:rsidR="00D34C6F" w:rsidRPr="00CD1278" w:rsidRDefault="00D34C6F" w:rsidP="008277E3">
            <w:pPr>
              <w:spacing w:after="60"/>
              <w:rPr>
                <w:color w:val="auto"/>
                <w:sz w:val="10"/>
                <w:szCs w:val="10"/>
              </w:rPr>
            </w:pPr>
            <w:r w:rsidRPr="00CD1278">
              <w:rPr>
                <w:color w:val="auto"/>
                <w:sz w:val="10"/>
                <w:szCs w:val="10"/>
              </w:rPr>
              <w:t>1.826</w:t>
            </w:r>
          </w:p>
        </w:tc>
        <w:tc>
          <w:tcPr>
            <w:tcW w:w="567" w:type="dxa"/>
            <w:shd w:val="clear" w:color="auto" w:fill="auto"/>
            <w:vAlign w:val="center"/>
          </w:tcPr>
          <w:p w14:paraId="7D532B5E"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AB3BC3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C49838B"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B48506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04232C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6A2B337"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1AC2245E" w14:textId="77777777" w:rsidR="00D34C6F" w:rsidRPr="00CD1278" w:rsidRDefault="00D34C6F" w:rsidP="008277E3">
            <w:pPr>
              <w:spacing w:after="60"/>
              <w:rPr>
                <w:color w:val="auto"/>
                <w:sz w:val="10"/>
                <w:szCs w:val="10"/>
              </w:rPr>
            </w:pPr>
          </w:p>
        </w:tc>
        <w:tc>
          <w:tcPr>
            <w:tcW w:w="567" w:type="dxa"/>
          </w:tcPr>
          <w:p w14:paraId="24F9E665" w14:textId="77777777" w:rsidR="00D34C6F" w:rsidRPr="00CD1278" w:rsidRDefault="00D34C6F" w:rsidP="008277E3">
            <w:pPr>
              <w:spacing w:after="60"/>
              <w:jc w:val="center"/>
              <w:rPr>
                <w:color w:val="auto"/>
                <w:sz w:val="10"/>
                <w:szCs w:val="10"/>
              </w:rPr>
            </w:pPr>
          </w:p>
        </w:tc>
        <w:tc>
          <w:tcPr>
            <w:tcW w:w="567" w:type="dxa"/>
          </w:tcPr>
          <w:p w14:paraId="220865AB"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373114B5" w14:textId="77777777" w:rsidR="00D34C6F" w:rsidRPr="00CD1278" w:rsidRDefault="00D34C6F" w:rsidP="008277E3">
            <w:pPr>
              <w:spacing w:after="60"/>
              <w:rPr>
                <w:color w:val="auto"/>
                <w:sz w:val="10"/>
                <w:szCs w:val="10"/>
              </w:rPr>
            </w:pPr>
            <w:r w:rsidRPr="00CD1278">
              <w:rPr>
                <w:color w:val="auto"/>
                <w:sz w:val="10"/>
                <w:szCs w:val="10"/>
              </w:rPr>
              <w:t>(a)</w:t>
            </w:r>
          </w:p>
        </w:tc>
        <w:tc>
          <w:tcPr>
            <w:tcW w:w="709" w:type="dxa"/>
            <w:shd w:val="clear" w:color="auto" w:fill="auto"/>
            <w:vAlign w:val="center"/>
          </w:tcPr>
          <w:p w14:paraId="70F43772" w14:textId="77777777" w:rsidR="00D34C6F" w:rsidRPr="00CD1278" w:rsidRDefault="00D34C6F" w:rsidP="008277E3">
            <w:pPr>
              <w:spacing w:after="60"/>
              <w:rPr>
                <w:color w:val="auto"/>
                <w:sz w:val="10"/>
                <w:szCs w:val="10"/>
              </w:rPr>
            </w:pPr>
            <w:r w:rsidRPr="00CD1278">
              <w:rPr>
                <w:color w:val="auto"/>
                <w:sz w:val="10"/>
                <w:szCs w:val="10"/>
              </w:rPr>
              <w:t>1.826</w:t>
            </w:r>
          </w:p>
        </w:tc>
        <w:tc>
          <w:tcPr>
            <w:tcW w:w="708" w:type="dxa"/>
            <w:shd w:val="clear" w:color="auto" w:fill="auto"/>
            <w:vAlign w:val="center"/>
          </w:tcPr>
          <w:p w14:paraId="64000C7E" w14:textId="77777777" w:rsidR="00D34C6F" w:rsidRPr="00CD1278" w:rsidRDefault="00D34C6F" w:rsidP="008277E3">
            <w:pPr>
              <w:spacing w:after="60"/>
              <w:rPr>
                <w:color w:val="auto"/>
                <w:sz w:val="10"/>
                <w:szCs w:val="10"/>
              </w:rPr>
            </w:pPr>
            <w:r w:rsidRPr="00CD1278">
              <w:rPr>
                <w:color w:val="auto"/>
                <w:sz w:val="10"/>
                <w:szCs w:val="10"/>
              </w:rPr>
              <w:t>1.826</w:t>
            </w:r>
          </w:p>
        </w:tc>
        <w:tc>
          <w:tcPr>
            <w:tcW w:w="709" w:type="dxa"/>
            <w:shd w:val="clear" w:color="auto" w:fill="auto"/>
            <w:vAlign w:val="center"/>
          </w:tcPr>
          <w:p w14:paraId="70EC362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0E77EF1"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3BFDC3A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148EC2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3597D335"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1C8E5F97" w14:textId="77777777" w:rsidR="00D34C6F" w:rsidRPr="00CD1278" w:rsidRDefault="00D34C6F" w:rsidP="008277E3">
            <w:pPr>
              <w:spacing w:after="60"/>
              <w:rPr>
                <w:b/>
                <w:color w:val="auto"/>
                <w:sz w:val="10"/>
                <w:szCs w:val="10"/>
              </w:rPr>
            </w:pPr>
          </w:p>
        </w:tc>
        <w:tc>
          <w:tcPr>
            <w:tcW w:w="567" w:type="dxa"/>
          </w:tcPr>
          <w:p w14:paraId="1CF5D456" w14:textId="77777777" w:rsidR="00D34C6F" w:rsidRPr="00CD1278" w:rsidRDefault="00D34C6F" w:rsidP="008277E3">
            <w:pPr>
              <w:spacing w:after="60"/>
              <w:jc w:val="center"/>
              <w:rPr>
                <w:b/>
                <w:color w:val="auto"/>
                <w:sz w:val="10"/>
                <w:szCs w:val="10"/>
              </w:rPr>
            </w:pPr>
          </w:p>
        </w:tc>
        <w:tc>
          <w:tcPr>
            <w:tcW w:w="567" w:type="dxa"/>
          </w:tcPr>
          <w:p w14:paraId="1DDFAEBA" w14:textId="77777777" w:rsidR="00D34C6F" w:rsidRPr="00CD1278" w:rsidRDefault="00D34C6F" w:rsidP="008277E3">
            <w:pPr>
              <w:spacing w:after="60"/>
              <w:jc w:val="center"/>
              <w:rPr>
                <w:b/>
                <w:color w:val="auto"/>
                <w:sz w:val="10"/>
                <w:szCs w:val="10"/>
              </w:rPr>
            </w:pPr>
          </w:p>
        </w:tc>
        <w:tc>
          <w:tcPr>
            <w:tcW w:w="567" w:type="dxa"/>
          </w:tcPr>
          <w:p w14:paraId="293ED3FD" w14:textId="77777777" w:rsidR="00D34C6F" w:rsidRPr="00CD1278" w:rsidRDefault="00D34C6F" w:rsidP="008277E3">
            <w:pPr>
              <w:spacing w:after="60"/>
              <w:jc w:val="center"/>
              <w:rPr>
                <w:b/>
                <w:color w:val="auto"/>
                <w:sz w:val="10"/>
                <w:szCs w:val="10"/>
              </w:rPr>
            </w:pPr>
          </w:p>
        </w:tc>
      </w:tr>
      <w:tr w:rsidR="003C102E" w:rsidRPr="00CD1278" w14:paraId="7B43055C" w14:textId="77777777" w:rsidTr="00355929">
        <w:trPr>
          <w:trHeight w:val="270"/>
          <w:jc w:val="center"/>
        </w:trPr>
        <w:tc>
          <w:tcPr>
            <w:tcW w:w="662" w:type="dxa"/>
            <w:shd w:val="clear" w:color="auto" w:fill="auto"/>
            <w:vAlign w:val="center"/>
          </w:tcPr>
          <w:p w14:paraId="32AAA755" w14:textId="77777777" w:rsidR="00D34C6F" w:rsidRPr="00CD1278" w:rsidRDefault="00D34C6F" w:rsidP="008277E3">
            <w:pPr>
              <w:spacing w:after="60"/>
              <w:rPr>
                <w:color w:val="auto"/>
                <w:sz w:val="12"/>
                <w:szCs w:val="12"/>
              </w:rPr>
            </w:pPr>
            <w:r w:rsidRPr="00CD1278">
              <w:rPr>
                <w:color w:val="auto"/>
                <w:sz w:val="12"/>
                <w:szCs w:val="12"/>
              </w:rPr>
              <w:t>Canada</w:t>
            </w:r>
          </w:p>
        </w:tc>
        <w:tc>
          <w:tcPr>
            <w:tcW w:w="2241" w:type="dxa"/>
            <w:gridSpan w:val="3"/>
            <w:shd w:val="clear" w:color="auto" w:fill="auto"/>
            <w:vAlign w:val="center"/>
          </w:tcPr>
          <w:p w14:paraId="57E24670" w14:textId="77777777" w:rsidR="00D34C6F" w:rsidRPr="00CD1278" w:rsidRDefault="00D34C6F" w:rsidP="00D1371C">
            <w:pPr>
              <w:spacing w:after="60"/>
              <w:ind w:left="-87"/>
              <w:rPr>
                <w:color w:val="auto"/>
                <w:sz w:val="10"/>
                <w:szCs w:val="10"/>
              </w:rPr>
            </w:pPr>
            <w:r w:rsidRPr="00CD1278">
              <w:rPr>
                <w:color w:val="auto"/>
                <w:sz w:val="10"/>
                <w:szCs w:val="10"/>
              </w:rPr>
              <w:t>Strawberry runners (Ontario)</w:t>
            </w:r>
          </w:p>
        </w:tc>
        <w:tc>
          <w:tcPr>
            <w:tcW w:w="709" w:type="dxa"/>
            <w:shd w:val="clear" w:color="auto" w:fill="auto"/>
            <w:vAlign w:val="center"/>
          </w:tcPr>
          <w:p w14:paraId="1EB5195F" w14:textId="77777777" w:rsidR="00D34C6F" w:rsidRPr="00CD1278" w:rsidRDefault="00D34C6F" w:rsidP="008277E3">
            <w:pPr>
              <w:spacing w:after="60"/>
              <w:rPr>
                <w:color w:val="auto"/>
                <w:sz w:val="10"/>
                <w:szCs w:val="10"/>
              </w:rPr>
            </w:pPr>
            <w:r w:rsidRPr="00CD1278">
              <w:rPr>
                <w:color w:val="auto"/>
                <w:sz w:val="10"/>
                <w:szCs w:val="10"/>
              </w:rPr>
              <w:t>6.129</w:t>
            </w:r>
          </w:p>
        </w:tc>
        <w:tc>
          <w:tcPr>
            <w:tcW w:w="567" w:type="dxa"/>
            <w:shd w:val="clear" w:color="auto" w:fill="auto"/>
            <w:vAlign w:val="center"/>
          </w:tcPr>
          <w:p w14:paraId="249B0D75"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B6000F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D11FE29"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1650639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509FCB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B2FBB71"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413686D0" w14:textId="77777777" w:rsidR="00D34C6F" w:rsidRPr="00CD1278" w:rsidRDefault="00D34C6F" w:rsidP="008277E3">
            <w:pPr>
              <w:spacing w:after="60"/>
              <w:rPr>
                <w:color w:val="auto"/>
                <w:sz w:val="10"/>
                <w:szCs w:val="10"/>
              </w:rPr>
            </w:pPr>
          </w:p>
        </w:tc>
        <w:tc>
          <w:tcPr>
            <w:tcW w:w="567" w:type="dxa"/>
          </w:tcPr>
          <w:p w14:paraId="63DEAC35" w14:textId="77777777" w:rsidR="00D34C6F" w:rsidRPr="00CD1278" w:rsidRDefault="00D34C6F" w:rsidP="008277E3">
            <w:pPr>
              <w:spacing w:after="60"/>
              <w:jc w:val="center"/>
              <w:rPr>
                <w:color w:val="auto"/>
                <w:sz w:val="10"/>
                <w:szCs w:val="10"/>
              </w:rPr>
            </w:pPr>
          </w:p>
        </w:tc>
        <w:tc>
          <w:tcPr>
            <w:tcW w:w="567" w:type="dxa"/>
          </w:tcPr>
          <w:p w14:paraId="70815481"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C93BE3E"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AF62139"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F65533D" w14:textId="77777777" w:rsidR="00D34C6F" w:rsidRPr="00CD1278" w:rsidRDefault="00D34C6F" w:rsidP="008277E3">
            <w:pPr>
              <w:spacing w:after="60"/>
              <w:rPr>
                <w:color w:val="auto"/>
                <w:sz w:val="10"/>
                <w:szCs w:val="10"/>
              </w:rPr>
            </w:pPr>
            <w:r w:rsidRPr="00CD1278">
              <w:rPr>
                <w:color w:val="auto"/>
                <w:sz w:val="10"/>
                <w:szCs w:val="10"/>
              </w:rPr>
              <w:t>6.129</w:t>
            </w:r>
          </w:p>
        </w:tc>
        <w:tc>
          <w:tcPr>
            <w:tcW w:w="709" w:type="dxa"/>
            <w:shd w:val="clear" w:color="auto" w:fill="auto"/>
            <w:vAlign w:val="center"/>
          </w:tcPr>
          <w:p w14:paraId="3D37023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25D7EAF"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7D1AC9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1D7968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66B63F7C"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78AE69B6" w14:textId="77777777" w:rsidR="00D34C6F" w:rsidRPr="00CD1278" w:rsidRDefault="00D34C6F" w:rsidP="008277E3">
            <w:pPr>
              <w:spacing w:after="60"/>
              <w:rPr>
                <w:b/>
                <w:color w:val="auto"/>
                <w:sz w:val="10"/>
                <w:szCs w:val="10"/>
              </w:rPr>
            </w:pPr>
          </w:p>
        </w:tc>
        <w:tc>
          <w:tcPr>
            <w:tcW w:w="567" w:type="dxa"/>
          </w:tcPr>
          <w:p w14:paraId="561A5A03" w14:textId="77777777" w:rsidR="00D34C6F" w:rsidRPr="00CD1278" w:rsidRDefault="00D34C6F" w:rsidP="008277E3">
            <w:pPr>
              <w:spacing w:after="60"/>
              <w:jc w:val="center"/>
              <w:rPr>
                <w:b/>
                <w:color w:val="auto"/>
                <w:sz w:val="10"/>
                <w:szCs w:val="10"/>
              </w:rPr>
            </w:pPr>
          </w:p>
        </w:tc>
        <w:tc>
          <w:tcPr>
            <w:tcW w:w="567" w:type="dxa"/>
          </w:tcPr>
          <w:p w14:paraId="4BFBF856" w14:textId="77777777" w:rsidR="00D34C6F" w:rsidRPr="00CD1278" w:rsidRDefault="00D34C6F" w:rsidP="008277E3">
            <w:pPr>
              <w:spacing w:after="60"/>
              <w:jc w:val="center"/>
              <w:rPr>
                <w:b/>
                <w:color w:val="auto"/>
                <w:sz w:val="10"/>
                <w:szCs w:val="10"/>
              </w:rPr>
            </w:pPr>
          </w:p>
        </w:tc>
        <w:tc>
          <w:tcPr>
            <w:tcW w:w="567" w:type="dxa"/>
          </w:tcPr>
          <w:p w14:paraId="1C72CD84" w14:textId="77777777" w:rsidR="00D34C6F" w:rsidRPr="00CD1278" w:rsidRDefault="00D34C6F" w:rsidP="008277E3">
            <w:pPr>
              <w:spacing w:after="60"/>
              <w:jc w:val="center"/>
              <w:rPr>
                <w:b/>
                <w:color w:val="auto"/>
                <w:sz w:val="10"/>
                <w:szCs w:val="10"/>
              </w:rPr>
            </w:pPr>
          </w:p>
        </w:tc>
      </w:tr>
      <w:tr w:rsidR="003C102E" w:rsidRPr="00CD1278" w14:paraId="087841AE" w14:textId="77777777" w:rsidTr="008277E3">
        <w:trPr>
          <w:trHeight w:val="270"/>
          <w:jc w:val="center"/>
        </w:trPr>
        <w:tc>
          <w:tcPr>
            <w:tcW w:w="662" w:type="dxa"/>
            <w:shd w:val="clear" w:color="auto" w:fill="auto"/>
            <w:vAlign w:val="center"/>
          </w:tcPr>
          <w:p w14:paraId="55319467" w14:textId="77777777" w:rsidR="00D34C6F" w:rsidRPr="00CD1278" w:rsidRDefault="00D34C6F" w:rsidP="008277E3">
            <w:pPr>
              <w:spacing w:after="60"/>
              <w:rPr>
                <w:color w:val="auto"/>
                <w:sz w:val="12"/>
                <w:szCs w:val="12"/>
              </w:rPr>
            </w:pPr>
            <w:r w:rsidRPr="00CD1278">
              <w:rPr>
                <w:color w:val="auto"/>
                <w:sz w:val="12"/>
                <w:szCs w:val="12"/>
              </w:rPr>
              <w:t>France</w:t>
            </w:r>
          </w:p>
        </w:tc>
        <w:tc>
          <w:tcPr>
            <w:tcW w:w="824" w:type="dxa"/>
            <w:shd w:val="clear" w:color="auto" w:fill="auto"/>
            <w:vAlign w:val="center"/>
          </w:tcPr>
          <w:p w14:paraId="6A172887" w14:textId="77777777" w:rsidR="00D34C6F" w:rsidRPr="00CD1278" w:rsidRDefault="00D34C6F" w:rsidP="00D1371C">
            <w:pPr>
              <w:spacing w:after="60"/>
              <w:ind w:left="-87"/>
              <w:rPr>
                <w:color w:val="auto"/>
                <w:sz w:val="12"/>
                <w:szCs w:val="12"/>
              </w:rPr>
            </w:pPr>
            <w:r w:rsidRPr="00CD1278">
              <w:rPr>
                <w:color w:val="auto"/>
                <w:sz w:val="12"/>
                <w:szCs w:val="12"/>
              </w:rPr>
              <w:t>Carrots</w:t>
            </w:r>
          </w:p>
        </w:tc>
        <w:tc>
          <w:tcPr>
            <w:tcW w:w="770" w:type="dxa"/>
            <w:shd w:val="clear" w:color="auto" w:fill="auto"/>
            <w:vAlign w:val="center"/>
          </w:tcPr>
          <w:p w14:paraId="157ABF94" w14:textId="77777777" w:rsidR="00D34C6F" w:rsidRPr="00CD1278" w:rsidRDefault="00D34C6F" w:rsidP="008277E3">
            <w:pPr>
              <w:spacing w:after="60"/>
              <w:rPr>
                <w:color w:val="auto"/>
                <w:sz w:val="10"/>
                <w:szCs w:val="10"/>
              </w:rPr>
            </w:pPr>
            <w:r w:rsidRPr="00CD1278">
              <w:rPr>
                <w:color w:val="auto"/>
                <w:sz w:val="10"/>
                <w:szCs w:val="10"/>
              </w:rPr>
              <w:t>10.000</w:t>
            </w:r>
          </w:p>
        </w:tc>
        <w:tc>
          <w:tcPr>
            <w:tcW w:w="647" w:type="dxa"/>
            <w:shd w:val="clear" w:color="auto" w:fill="auto"/>
            <w:vAlign w:val="center"/>
          </w:tcPr>
          <w:p w14:paraId="21143FE6" w14:textId="77777777" w:rsidR="00D34C6F" w:rsidRPr="00CD1278" w:rsidRDefault="00D34C6F" w:rsidP="008277E3">
            <w:pPr>
              <w:spacing w:after="60"/>
              <w:rPr>
                <w:color w:val="auto"/>
                <w:sz w:val="10"/>
                <w:szCs w:val="10"/>
              </w:rPr>
            </w:pPr>
            <w:r w:rsidRPr="00CD1278">
              <w:rPr>
                <w:color w:val="auto"/>
                <w:sz w:val="10"/>
                <w:szCs w:val="10"/>
              </w:rPr>
              <w:t>8.000</w:t>
            </w:r>
          </w:p>
        </w:tc>
        <w:tc>
          <w:tcPr>
            <w:tcW w:w="709" w:type="dxa"/>
            <w:shd w:val="clear" w:color="auto" w:fill="auto"/>
            <w:vAlign w:val="center"/>
          </w:tcPr>
          <w:p w14:paraId="20E417B3" w14:textId="77777777" w:rsidR="00D34C6F" w:rsidRPr="00CD1278" w:rsidRDefault="00D34C6F" w:rsidP="008277E3">
            <w:pPr>
              <w:spacing w:after="60"/>
              <w:rPr>
                <w:color w:val="auto"/>
                <w:sz w:val="10"/>
                <w:szCs w:val="10"/>
              </w:rPr>
            </w:pPr>
            <w:r w:rsidRPr="00CD1278">
              <w:rPr>
                <w:color w:val="auto"/>
                <w:sz w:val="10"/>
                <w:szCs w:val="10"/>
              </w:rPr>
              <w:t>5.000</w:t>
            </w:r>
          </w:p>
        </w:tc>
        <w:tc>
          <w:tcPr>
            <w:tcW w:w="567" w:type="dxa"/>
            <w:shd w:val="clear" w:color="auto" w:fill="auto"/>
            <w:vAlign w:val="center"/>
          </w:tcPr>
          <w:p w14:paraId="696DE9E5"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8B2D50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FA42BEA"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183581D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7C2895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D1BBAF3"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0BDFEF25" w14:textId="77777777" w:rsidR="00D34C6F" w:rsidRPr="00CD1278" w:rsidRDefault="00D34C6F" w:rsidP="008277E3">
            <w:pPr>
              <w:spacing w:after="60"/>
              <w:rPr>
                <w:color w:val="auto"/>
                <w:sz w:val="10"/>
                <w:szCs w:val="10"/>
              </w:rPr>
            </w:pPr>
          </w:p>
        </w:tc>
        <w:tc>
          <w:tcPr>
            <w:tcW w:w="567" w:type="dxa"/>
          </w:tcPr>
          <w:p w14:paraId="28E62361" w14:textId="77777777" w:rsidR="00D34C6F" w:rsidRPr="00CD1278" w:rsidRDefault="00D34C6F" w:rsidP="008277E3">
            <w:pPr>
              <w:spacing w:after="60"/>
              <w:jc w:val="center"/>
              <w:rPr>
                <w:color w:val="auto"/>
                <w:sz w:val="10"/>
                <w:szCs w:val="10"/>
              </w:rPr>
            </w:pPr>
          </w:p>
        </w:tc>
        <w:tc>
          <w:tcPr>
            <w:tcW w:w="567" w:type="dxa"/>
          </w:tcPr>
          <w:p w14:paraId="1FE7F7EA"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11E7DEA" w14:textId="77777777" w:rsidR="00D34C6F" w:rsidRPr="00CD1278" w:rsidRDefault="00D34C6F" w:rsidP="008277E3">
            <w:pPr>
              <w:spacing w:after="60"/>
              <w:rPr>
                <w:color w:val="auto"/>
                <w:sz w:val="10"/>
                <w:szCs w:val="10"/>
              </w:rPr>
            </w:pPr>
            <w:r w:rsidRPr="00CD1278">
              <w:rPr>
                <w:color w:val="auto"/>
                <w:sz w:val="10"/>
                <w:szCs w:val="10"/>
              </w:rPr>
              <w:t>8.000</w:t>
            </w:r>
          </w:p>
        </w:tc>
        <w:tc>
          <w:tcPr>
            <w:tcW w:w="709" w:type="dxa"/>
            <w:shd w:val="clear" w:color="auto" w:fill="auto"/>
            <w:vAlign w:val="center"/>
          </w:tcPr>
          <w:p w14:paraId="29D12C70" w14:textId="77777777" w:rsidR="00D34C6F" w:rsidRPr="00CD1278" w:rsidRDefault="00D34C6F" w:rsidP="008277E3">
            <w:pPr>
              <w:spacing w:after="60"/>
              <w:rPr>
                <w:color w:val="auto"/>
                <w:sz w:val="10"/>
                <w:szCs w:val="10"/>
              </w:rPr>
            </w:pPr>
            <w:r w:rsidRPr="00CD1278">
              <w:rPr>
                <w:color w:val="auto"/>
                <w:sz w:val="10"/>
                <w:szCs w:val="10"/>
              </w:rPr>
              <w:t>8.000</w:t>
            </w:r>
          </w:p>
        </w:tc>
        <w:tc>
          <w:tcPr>
            <w:tcW w:w="708" w:type="dxa"/>
            <w:shd w:val="clear" w:color="auto" w:fill="auto"/>
            <w:vAlign w:val="center"/>
          </w:tcPr>
          <w:p w14:paraId="58A28187" w14:textId="77777777" w:rsidR="00D34C6F" w:rsidRPr="00CD1278" w:rsidRDefault="00D34C6F" w:rsidP="008277E3">
            <w:pPr>
              <w:spacing w:after="60"/>
              <w:rPr>
                <w:color w:val="auto"/>
                <w:sz w:val="10"/>
                <w:szCs w:val="10"/>
              </w:rPr>
            </w:pPr>
            <w:r w:rsidRPr="00CD1278">
              <w:rPr>
                <w:color w:val="auto"/>
                <w:sz w:val="10"/>
                <w:szCs w:val="10"/>
              </w:rPr>
              <w:t>1.400</w:t>
            </w:r>
          </w:p>
        </w:tc>
        <w:tc>
          <w:tcPr>
            <w:tcW w:w="709" w:type="dxa"/>
            <w:shd w:val="clear" w:color="auto" w:fill="auto"/>
            <w:vAlign w:val="center"/>
          </w:tcPr>
          <w:p w14:paraId="6D5004C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1D39C2F"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1E1B8DE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22037D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490B8AF9"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5ADF580F" w14:textId="77777777" w:rsidR="00D34C6F" w:rsidRPr="00CD1278" w:rsidRDefault="00D34C6F" w:rsidP="008277E3">
            <w:pPr>
              <w:spacing w:after="60"/>
              <w:rPr>
                <w:b/>
                <w:color w:val="auto"/>
                <w:sz w:val="10"/>
                <w:szCs w:val="10"/>
              </w:rPr>
            </w:pPr>
          </w:p>
        </w:tc>
        <w:tc>
          <w:tcPr>
            <w:tcW w:w="567" w:type="dxa"/>
          </w:tcPr>
          <w:p w14:paraId="45421CFA" w14:textId="77777777" w:rsidR="00D34C6F" w:rsidRPr="00CD1278" w:rsidRDefault="00D34C6F" w:rsidP="008277E3">
            <w:pPr>
              <w:spacing w:after="60"/>
              <w:jc w:val="center"/>
              <w:rPr>
                <w:b/>
                <w:color w:val="auto"/>
                <w:sz w:val="10"/>
                <w:szCs w:val="10"/>
              </w:rPr>
            </w:pPr>
          </w:p>
        </w:tc>
        <w:tc>
          <w:tcPr>
            <w:tcW w:w="567" w:type="dxa"/>
          </w:tcPr>
          <w:p w14:paraId="145E8162" w14:textId="77777777" w:rsidR="00D34C6F" w:rsidRPr="00CD1278" w:rsidRDefault="00D34C6F" w:rsidP="008277E3">
            <w:pPr>
              <w:spacing w:after="60"/>
              <w:jc w:val="center"/>
              <w:rPr>
                <w:b/>
                <w:color w:val="auto"/>
                <w:sz w:val="10"/>
                <w:szCs w:val="10"/>
              </w:rPr>
            </w:pPr>
          </w:p>
        </w:tc>
        <w:tc>
          <w:tcPr>
            <w:tcW w:w="567" w:type="dxa"/>
          </w:tcPr>
          <w:p w14:paraId="089648EC" w14:textId="77777777" w:rsidR="00D34C6F" w:rsidRPr="00CD1278" w:rsidRDefault="00D34C6F" w:rsidP="008277E3">
            <w:pPr>
              <w:spacing w:after="60"/>
              <w:jc w:val="center"/>
              <w:rPr>
                <w:b/>
                <w:color w:val="auto"/>
                <w:sz w:val="10"/>
                <w:szCs w:val="10"/>
              </w:rPr>
            </w:pPr>
          </w:p>
        </w:tc>
      </w:tr>
      <w:tr w:rsidR="003C102E" w:rsidRPr="00CD1278" w14:paraId="760D3B63" w14:textId="77777777" w:rsidTr="008277E3">
        <w:trPr>
          <w:trHeight w:val="465"/>
          <w:jc w:val="center"/>
        </w:trPr>
        <w:tc>
          <w:tcPr>
            <w:tcW w:w="662" w:type="dxa"/>
            <w:shd w:val="clear" w:color="auto" w:fill="auto"/>
            <w:vAlign w:val="center"/>
          </w:tcPr>
          <w:p w14:paraId="087C6FAE" w14:textId="77777777" w:rsidR="00D34C6F" w:rsidRPr="00CD1278" w:rsidRDefault="00D34C6F" w:rsidP="008277E3">
            <w:pPr>
              <w:spacing w:after="60"/>
              <w:rPr>
                <w:color w:val="auto"/>
                <w:sz w:val="12"/>
                <w:szCs w:val="12"/>
              </w:rPr>
            </w:pPr>
            <w:r w:rsidRPr="00CD1278">
              <w:rPr>
                <w:color w:val="auto"/>
                <w:sz w:val="12"/>
                <w:szCs w:val="12"/>
              </w:rPr>
              <w:t>France</w:t>
            </w:r>
          </w:p>
        </w:tc>
        <w:tc>
          <w:tcPr>
            <w:tcW w:w="824" w:type="dxa"/>
            <w:shd w:val="clear" w:color="auto" w:fill="auto"/>
            <w:vAlign w:val="center"/>
          </w:tcPr>
          <w:p w14:paraId="28D513EB" w14:textId="77777777" w:rsidR="00D34C6F" w:rsidRPr="00CD1278" w:rsidRDefault="00D34C6F" w:rsidP="00D1371C">
            <w:pPr>
              <w:spacing w:after="60"/>
              <w:ind w:left="-87"/>
              <w:rPr>
                <w:color w:val="auto"/>
                <w:sz w:val="12"/>
                <w:szCs w:val="12"/>
              </w:rPr>
            </w:pPr>
            <w:r w:rsidRPr="00CD1278">
              <w:rPr>
                <w:color w:val="auto"/>
                <w:sz w:val="12"/>
                <w:szCs w:val="12"/>
              </w:rPr>
              <w:t>Cucumber</w:t>
            </w:r>
          </w:p>
        </w:tc>
        <w:tc>
          <w:tcPr>
            <w:tcW w:w="770" w:type="dxa"/>
            <w:shd w:val="clear" w:color="auto" w:fill="auto"/>
            <w:vAlign w:val="center"/>
          </w:tcPr>
          <w:p w14:paraId="1169F092" w14:textId="77777777" w:rsidR="00D34C6F" w:rsidRPr="00CD1278" w:rsidRDefault="00D34C6F" w:rsidP="008277E3">
            <w:pPr>
              <w:spacing w:after="60"/>
              <w:rPr>
                <w:color w:val="auto"/>
                <w:sz w:val="10"/>
                <w:szCs w:val="10"/>
              </w:rPr>
            </w:pPr>
            <w:r w:rsidRPr="00CD1278">
              <w:rPr>
                <w:color w:val="auto"/>
                <w:sz w:val="10"/>
                <w:szCs w:val="10"/>
              </w:rPr>
              <w:t>85 revised to 60</w:t>
            </w:r>
          </w:p>
        </w:tc>
        <w:tc>
          <w:tcPr>
            <w:tcW w:w="647" w:type="dxa"/>
            <w:shd w:val="clear" w:color="auto" w:fill="auto"/>
            <w:vAlign w:val="center"/>
          </w:tcPr>
          <w:p w14:paraId="283ECE7B" w14:textId="77777777" w:rsidR="00D34C6F" w:rsidRPr="00CD1278" w:rsidRDefault="00D34C6F" w:rsidP="008277E3">
            <w:pPr>
              <w:spacing w:after="60"/>
              <w:rPr>
                <w:color w:val="auto"/>
                <w:sz w:val="10"/>
                <w:szCs w:val="10"/>
              </w:rPr>
            </w:pPr>
            <w:r w:rsidRPr="00CD1278">
              <w:rPr>
                <w:color w:val="auto"/>
                <w:sz w:val="10"/>
                <w:szCs w:val="10"/>
              </w:rPr>
              <w:t>60.000</w:t>
            </w:r>
          </w:p>
        </w:tc>
        <w:tc>
          <w:tcPr>
            <w:tcW w:w="709" w:type="dxa"/>
            <w:shd w:val="clear" w:color="auto" w:fill="auto"/>
            <w:vAlign w:val="center"/>
          </w:tcPr>
          <w:p w14:paraId="0C841C6E" w14:textId="77777777" w:rsidR="00D34C6F" w:rsidRPr="00CD1278" w:rsidRDefault="00D34C6F" w:rsidP="008277E3">
            <w:pPr>
              <w:spacing w:after="60"/>
              <w:rPr>
                <w:color w:val="auto"/>
                <w:sz w:val="10"/>
                <w:szCs w:val="10"/>
              </w:rPr>
            </w:pPr>
            <w:r w:rsidRPr="00CD1278">
              <w:rPr>
                <w:color w:val="auto"/>
                <w:sz w:val="10"/>
                <w:szCs w:val="10"/>
              </w:rPr>
              <w:t>15.000</w:t>
            </w:r>
          </w:p>
        </w:tc>
        <w:tc>
          <w:tcPr>
            <w:tcW w:w="567" w:type="dxa"/>
            <w:shd w:val="clear" w:color="auto" w:fill="auto"/>
            <w:vAlign w:val="center"/>
          </w:tcPr>
          <w:p w14:paraId="43434FF9"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85FDD2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0B3BE8A"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6AA195C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3FB4DA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ADFDF01"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97B1E8E" w14:textId="77777777" w:rsidR="00D34C6F" w:rsidRPr="00CD1278" w:rsidRDefault="00D34C6F" w:rsidP="008277E3">
            <w:pPr>
              <w:spacing w:after="60"/>
              <w:rPr>
                <w:color w:val="auto"/>
                <w:sz w:val="10"/>
                <w:szCs w:val="10"/>
              </w:rPr>
            </w:pPr>
          </w:p>
        </w:tc>
        <w:tc>
          <w:tcPr>
            <w:tcW w:w="567" w:type="dxa"/>
          </w:tcPr>
          <w:p w14:paraId="734FE45B" w14:textId="77777777" w:rsidR="00D34C6F" w:rsidRPr="00CD1278" w:rsidRDefault="00D34C6F" w:rsidP="008277E3">
            <w:pPr>
              <w:spacing w:after="60"/>
              <w:jc w:val="center"/>
              <w:rPr>
                <w:color w:val="auto"/>
                <w:sz w:val="10"/>
                <w:szCs w:val="10"/>
              </w:rPr>
            </w:pPr>
          </w:p>
        </w:tc>
        <w:tc>
          <w:tcPr>
            <w:tcW w:w="567" w:type="dxa"/>
          </w:tcPr>
          <w:p w14:paraId="5AF86ECB"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7BF45C7" w14:textId="77777777" w:rsidR="00D34C6F" w:rsidRPr="00CD1278" w:rsidRDefault="00D34C6F" w:rsidP="008277E3">
            <w:pPr>
              <w:spacing w:after="60"/>
              <w:rPr>
                <w:color w:val="auto"/>
                <w:sz w:val="10"/>
                <w:szCs w:val="10"/>
              </w:rPr>
            </w:pPr>
            <w:r w:rsidRPr="00CD1278">
              <w:rPr>
                <w:color w:val="auto"/>
                <w:sz w:val="10"/>
                <w:szCs w:val="10"/>
              </w:rPr>
              <w:t>60.000</w:t>
            </w:r>
          </w:p>
        </w:tc>
        <w:tc>
          <w:tcPr>
            <w:tcW w:w="709" w:type="dxa"/>
            <w:shd w:val="clear" w:color="auto" w:fill="auto"/>
            <w:vAlign w:val="center"/>
          </w:tcPr>
          <w:p w14:paraId="4FE4A993" w14:textId="77777777" w:rsidR="00D34C6F" w:rsidRPr="00CD1278" w:rsidRDefault="00D34C6F" w:rsidP="008277E3">
            <w:pPr>
              <w:spacing w:after="60"/>
              <w:rPr>
                <w:color w:val="auto"/>
                <w:sz w:val="10"/>
                <w:szCs w:val="10"/>
              </w:rPr>
            </w:pPr>
            <w:r w:rsidRPr="00CD1278">
              <w:rPr>
                <w:color w:val="auto"/>
                <w:sz w:val="10"/>
                <w:szCs w:val="10"/>
              </w:rPr>
              <w:t>60.000</w:t>
            </w:r>
          </w:p>
        </w:tc>
        <w:tc>
          <w:tcPr>
            <w:tcW w:w="708" w:type="dxa"/>
            <w:shd w:val="clear" w:color="auto" w:fill="auto"/>
            <w:vAlign w:val="center"/>
          </w:tcPr>
          <w:p w14:paraId="124A54C8" w14:textId="77777777" w:rsidR="00D34C6F" w:rsidRPr="00CD1278" w:rsidRDefault="00D34C6F" w:rsidP="008277E3">
            <w:pPr>
              <w:spacing w:after="60"/>
              <w:rPr>
                <w:color w:val="auto"/>
                <w:sz w:val="10"/>
                <w:szCs w:val="10"/>
              </w:rPr>
            </w:pPr>
            <w:r w:rsidRPr="00CD1278">
              <w:rPr>
                <w:color w:val="auto"/>
                <w:sz w:val="10"/>
                <w:szCs w:val="10"/>
              </w:rPr>
              <w:t>12.500</w:t>
            </w:r>
          </w:p>
        </w:tc>
        <w:tc>
          <w:tcPr>
            <w:tcW w:w="709" w:type="dxa"/>
            <w:shd w:val="clear" w:color="auto" w:fill="auto"/>
            <w:vAlign w:val="center"/>
          </w:tcPr>
          <w:p w14:paraId="48A3311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79FB858"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56FD22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DDDCEE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31573841"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7A15E243" w14:textId="77777777" w:rsidR="00D34C6F" w:rsidRPr="00CD1278" w:rsidRDefault="00D34C6F" w:rsidP="008277E3">
            <w:pPr>
              <w:spacing w:after="60"/>
              <w:rPr>
                <w:b/>
                <w:color w:val="auto"/>
                <w:sz w:val="10"/>
                <w:szCs w:val="10"/>
              </w:rPr>
            </w:pPr>
          </w:p>
        </w:tc>
        <w:tc>
          <w:tcPr>
            <w:tcW w:w="567" w:type="dxa"/>
          </w:tcPr>
          <w:p w14:paraId="34961D93" w14:textId="77777777" w:rsidR="00D34C6F" w:rsidRPr="00CD1278" w:rsidRDefault="00D34C6F" w:rsidP="008277E3">
            <w:pPr>
              <w:spacing w:after="60"/>
              <w:jc w:val="center"/>
              <w:rPr>
                <w:b/>
                <w:color w:val="auto"/>
                <w:sz w:val="10"/>
                <w:szCs w:val="10"/>
              </w:rPr>
            </w:pPr>
          </w:p>
        </w:tc>
        <w:tc>
          <w:tcPr>
            <w:tcW w:w="567" w:type="dxa"/>
          </w:tcPr>
          <w:p w14:paraId="7DF96657" w14:textId="77777777" w:rsidR="00D34C6F" w:rsidRPr="00CD1278" w:rsidRDefault="00D34C6F" w:rsidP="008277E3">
            <w:pPr>
              <w:spacing w:after="60"/>
              <w:jc w:val="center"/>
              <w:rPr>
                <w:b/>
                <w:color w:val="auto"/>
                <w:sz w:val="10"/>
                <w:szCs w:val="10"/>
              </w:rPr>
            </w:pPr>
          </w:p>
        </w:tc>
        <w:tc>
          <w:tcPr>
            <w:tcW w:w="567" w:type="dxa"/>
          </w:tcPr>
          <w:p w14:paraId="63D824EB" w14:textId="77777777" w:rsidR="00D34C6F" w:rsidRPr="00CD1278" w:rsidRDefault="00D34C6F" w:rsidP="008277E3">
            <w:pPr>
              <w:spacing w:after="60"/>
              <w:jc w:val="center"/>
              <w:rPr>
                <w:b/>
                <w:color w:val="auto"/>
                <w:sz w:val="10"/>
                <w:szCs w:val="10"/>
              </w:rPr>
            </w:pPr>
          </w:p>
        </w:tc>
      </w:tr>
      <w:tr w:rsidR="003C102E" w:rsidRPr="00CD1278" w14:paraId="1D2B5AA2" w14:textId="77777777" w:rsidTr="008277E3">
        <w:trPr>
          <w:trHeight w:val="270"/>
          <w:jc w:val="center"/>
        </w:trPr>
        <w:tc>
          <w:tcPr>
            <w:tcW w:w="662" w:type="dxa"/>
            <w:shd w:val="clear" w:color="auto" w:fill="auto"/>
            <w:vAlign w:val="center"/>
          </w:tcPr>
          <w:p w14:paraId="74AC3401" w14:textId="77777777" w:rsidR="00D34C6F" w:rsidRPr="00CD1278" w:rsidRDefault="00D34C6F" w:rsidP="008277E3">
            <w:pPr>
              <w:spacing w:after="60"/>
              <w:rPr>
                <w:color w:val="auto"/>
                <w:sz w:val="12"/>
                <w:szCs w:val="12"/>
              </w:rPr>
            </w:pPr>
            <w:r w:rsidRPr="00CD1278">
              <w:rPr>
                <w:color w:val="auto"/>
                <w:sz w:val="12"/>
                <w:szCs w:val="12"/>
              </w:rPr>
              <w:t>France</w:t>
            </w:r>
          </w:p>
        </w:tc>
        <w:tc>
          <w:tcPr>
            <w:tcW w:w="824" w:type="dxa"/>
            <w:shd w:val="clear" w:color="auto" w:fill="auto"/>
            <w:vAlign w:val="center"/>
          </w:tcPr>
          <w:p w14:paraId="0D541210" w14:textId="77777777" w:rsidR="00D34C6F" w:rsidRPr="00CD1278" w:rsidRDefault="00D34C6F" w:rsidP="00D1371C">
            <w:pPr>
              <w:spacing w:after="60"/>
              <w:ind w:left="-87"/>
              <w:rPr>
                <w:color w:val="auto"/>
                <w:sz w:val="12"/>
                <w:szCs w:val="12"/>
              </w:rPr>
            </w:pPr>
            <w:r w:rsidRPr="00CD1278">
              <w:rPr>
                <w:color w:val="auto"/>
                <w:sz w:val="12"/>
                <w:szCs w:val="12"/>
              </w:rPr>
              <w:t>Cut-flowers</w:t>
            </w:r>
          </w:p>
        </w:tc>
        <w:tc>
          <w:tcPr>
            <w:tcW w:w="770" w:type="dxa"/>
            <w:shd w:val="clear" w:color="auto" w:fill="auto"/>
            <w:vAlign w:val="center"/>
          </w:tcPr>
          <w:p w14:paraId="6D45A17D" w14:textId="77777777" w:rsidR="00D34C6F" w:rsidRPr="00CD1278" w:rsidRDefault="00D34C6F" w:rsidP="008277E3">
            <w:pPr>
              <w:spacing w:after="60"/>
              <w:rPr>
                <w:color w:val="auto"/>
                <w:sz w:val="10"/>
                <w:szCs w:val="10"/>
              </w:rPr>
            </w:pPr>
            <w:r w:rsidRPr="00CD1278">
              <w:rPr>
                <w:color w:val="auto"/>
                <w:sz w:val="10"/>
                <w:szCs w:val="10"/>
              </w:rPr>
              <w:t>75.000</w:t>
            </w:r>
          </w:p>
        </w:tc>
        <w:tc>
          <w:tcPr>
            <w:tcW w:w="647" w:type="dxa"/>
            <w:shd w:val="clear" w:color="auto" w:fill="auto"/>
            <w:vAlign w:val="center"/>
          </w:tcPr>
          <w:p w14:paraId="235122A9" w14:textId="77777777" w:rsidR="00D34C6F" w:rsidRPr="00CD1278" w:rsidRDefault="00D34C6F" w:rsidP="008277E3">
            <w:pPr>
              <w:spacing w:after="60"/>
              <w:rPr>
                <w:color w:val="auto"/>
                <w:sz w:val="10"/>
                <w:szCs w:val="10"/>
              </w:rPr>
            </w:pPr>
            <w:r w:rsidRPr="00CD1278">
              <w:rPr>
                <w:color w:val="auto"/>
                <w:sz w:val="10"/>
                <w:szCs w:val="10"/>
              </w:rPr>
              <w:t>60.250</w:t>
            </w:r>
          </w:p>
        </w:tc>
        <w:tc>
          <w:tcPr>
            <w:tcW w:w="709" w:type="dxa"/>
            <w:shd w:val="clear" w:color="auto" w:fill="auto"/>
            <w:vAlign w:val="center"/>
          </w:tcPr>
          <w:p w14:paraId="7AAB76BF" w14:textId="77777777" w:rsidR="00D34C6F" w:rsidRPr="00CD1278" w:rsidRDefault="00D34C6F" w:rsidP="008277E3">
            <w:pPr>
              <w:spacing w:after="60"/>
              <w:rPr>
                <w:color w:val="auto"/>
                <w:sz w:val="10"/>
                <w:szCs w:val="10"/>
              </w:rPr>
            </w:pPr>
            <w:r w:rsidRPr="00CD1278">
              <w:rPr>
                <w:color w:val="auto"/>
                <w:sz w:val="10"/>
                <w:szCs w:val="10"/>
              </w:rPr>
              <w:t>12.000</w:t>
            </w:r>
          </w:p>
        </w:tc>
        <w:tc>
          <w:tcPr>
            <w:tcW w:w="567" w:type="dxa"/>
            <w:shd w:val="clear" w:color="auto" w:fill="auto"/>
            <w:vAlign w:val="center"/>
          </w:tcPr>
          <w:p w14:paraId="1EF776EC"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69A073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E1292E8"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199A994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AF7588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E0C89DC"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211B40F" w14:textId="77777777" w:rsidR="00D34C6F" w:rsidRPr="00CD1278" w:rsidRDefault="00D34C6F" w:rsidP="008277E3">
            <w:pPr>
              <w:spacing w:after="60"/>
              <w:rPr>
                <w:color w:val="auto"/>
                <w:sz w:val="10"/>
                <w:szCs w:val="10"/>
              </w:rPr>
            </w:pPr>
          </w:p>
        </w:tc>
        <w:tc>
          <w:tcPr>
            <w:tcW w:w="567" w:type="dxa"/>
          </w:tcPr>
          <w:p w14:paraId="1C3575F3" w14:textId="77777777" w:rsidR="00D34C6F" w:rsidRPr="00CD1278" w:rsidRDefault="00D34C6F" w:rsidP="008277E3">
            <w:pPr>
              <w:spacing w:after="60"/>
              <w:jc w:val="center"/>
              <w:rPr>
                <w:color w:val="auto"/>
                <w:sz w:val="10"/>
                <w:szCs w:val="10"/>
              </w:rPr>
            </w:pPr>
          </w:p>
        </w:tc>
        <w:tc>
          <w:tcPr>
            <w:tcW w:w="567" w:type="dxa"/>
          </w:tcPr>
          <w:p w14:paraId="49FA9E3A"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E9504B1" w14:textId="77777777" w:rsidR="00D34C6F" w:rsidRPr="00CD1278" w:rsidRDefault="00D34C6F" w:rsidP="008277E3">
            <w:pPr>
              <w:spacing w:after="60"/>
              <w:rPr>
                <w:color w:val="auto"/>
                <w:sz w:val="10"/>
                <w:szCs w:val="10"/>
              </w:rPr>
            </w:pPr>
            <w:r w:rsidRPr="00CD1278">
              <w:rPr>
                <w:color w:val="auto"/>
                <w:sz w:val="10"/>
                <w:szCs w:val="10"/>
              </w:rPr>
              <w:t>60.000</w:t>
            </w:r>
          </w:p>
        </w:tc>
        <w:tc>
          <w:tcPr>
            <w:tcW w:w="709" w:type="dxa"/>
            <w:shd w:val="clear" w:color="auto" w:fill="auto"/>
            <w:vAlign w:val="center"/>
          </w:tcPr>
          <w:p w14:paraId="25E1CA2D" w14:textId="77777777" w:rsidR="00D34C6F" w:rsidRPr="00CD1278" w:rsidRDefault="00D34C6F" w:rsidP="008277E3">
            <w:pPr>
              <w:spacing w:after="60"/>
              <w:rPr>
                <w:color w:val="auto"/>
                <w:sz w:val="10"/>
                <w:szCs w:val="10"/>
              </w:rPr>
            </w:pPr>
            <w:r w:rsidRPr="00CD1278">
              <w:rPr>
                <w:color w:val="auto"/>
                <w:sz w:val="10"/>
                <w:szCs w:val="10"/>
              </w:rPr>
              <w:t>52.000</w:t>
            </w:r>
          </w:p>
        </w:tc>
        <w:tc>
          <w:tcPr>
            <w:tcW w:w="708" w:type="dxa"/>
            <w:shd w:val="clear" w:color="auto" w:fill="auto"/>
            <w:vAlign w:val="center"/>
          </w:tcPr>
          <w:p w14:paraId="6215EBF3" w14:textId="77777777" w:rsidR="00D34C6F" w:rsidRPr="00CD1278" w:rsidRDefault="00D34C6F" w:rsidP="008277E3">
            <w:pPr>
              <w:spacing w:after="60"/>
              <w:rPr>
                <w:color w:val="auto"/>
                <w:sz w:val="10"/>
                <w:szCs w:val="10"/>
              </w:rPr>
            </w:pPr>
            <w:r w:rsidRPr="00CD1278">
              <w:rPr>
                <w:color w:val="auto"/>
                <w:sz w:val="10"/>
                <w:szCs w:val="10"/>
              </w:rPr>
              <w:t>9.600</w:t>
            </w:r>
          </w:p>
        </w:tc>
        <w:tc>
          <w:tcPr>
            <w:tcW w:w="709" w:type="dxa"/>
            <w:shd w:val="clear" w:color="auto" w:fill="auto"/>
            <w:vAlign w:val="center"/>
          </w:tcPr>
          <w:p w14:paraId="7E09ADA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458D556"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6EFD181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E91E7A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3E709542"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001AE99C" w14:textId="77777777" w:rsidR="00D34C6F" w:rsidRPr="00CD1278" w:rsidRDefault="00D34C6F" w:rsidP="008277E3">
            <w:pPr>
              <w:spacing w:after="60"/>
              <w:rPr>
                <w:b/>
                <w:color w:val="auto"/>
                <w:sz w:val="10"/>
                <w:szCs w:val="10"/>
              </w:rPr>
            </w:pPr>
          </w:p>
        </w:tc>
        <w:tc>
          <w:tcPr>
            <w:tcW w:w="567" w:type="dxa"/>
          </w:tcPr>
          <w:p w14:paraId="2380B6FA" w14:textId="77777777" w:rsidR="00D34C6F" w:rsidRPr="00CD1278" w:rsidRDefault="00D34C6F" w:rsidP="008277E3">
            <w:pPr>
              <w:spacing w:after="60"/>
              <w:jc w:val="center"/>
              <w:rPr>
                <w:b/>
                <w:color w:val="auto"/>
                <w:sz w:val="10"/>
                <w:szCs w:val="10"/>
              </w:rPr>
            </w:pPr>
          </w:p>
        </w:tc>
        <w:tc>
          <w:tcPr>
            <w:tcW w:w="567" w:type="dxa"/>
          </w:tcPr>
          <w:p w14:paraId="1BF85C3B" w14:textId="77777777" w:rsidR="00D34C6F" w:rsidRPr="00CD1278" w:rsidRDefault="00D34C6F" w:rsidP="008277E3">
            <w:pPr>
              <w:spacing w:after="60"/>
              <w:jc w:val="center"/>
              <w:rPr>
                <w:b/>
                <w:color w:val="auto"/>
                <w:sz w:val="10"/>
                <w:szCs w:val="10"/>
              </w:rPr>
            </w:pPr>
          </w:p>
        </w:tc>
        <w:tc>
          <w:tcPr>
            <w:tcW w:w="567" w:type="dxa"/>
          </w:tcPr>
          <w:p w14:paraId="21F70945" w14:textId="77777777" w:rsidR="00D34C6F" w:rsidRPr="00CD1278" w:rsidRDefault="00D34C6F" w:rsidP="008277E3">
            <w:pPr>
              <w:spacing w:after="60"/>
              <w:jc w:val="center"/>
              <w:rPr>
                <w:b/>
                <w:color w:val="auto"/>
                <w:sz w:val="10"/>
                <w:szCs w:val="10"/>
              </w:rPr>
            </w:pPr>
          </w:p>
        </w:tc>
      </w:tr>
      <w:tr w:rsidR="003C102E" w:rsidRPr="00CD1278" w14:paraId="7F2FF8BC" w14:textId="77777777" w:rsidTr="008277E3">
        <w:trPr>
          <w:trHeight w:val="465"/>
          <w:jc w:val="center"/>
        </w:trPr>
        <w:tc>
          <w:tcPr>
            <w:tcW w:w="662" w:type="dxa"/>
            <w:shd w:val="clear" w:color="auto" w:fill="auto"/>
            <w:vAlign w:val="center"/>
          </w:tcPr>
          <w:p w14:paraId="2340C608" w14:textId="77777777" w:rsidR="00D34C6F" w:rsidRPr="00CD1278" w:rsidRDefault="00D34C6F" w:rsidP="008277E3">
            <w:pPr>
              <w:spacing w:after="60"/>
              <w:rPr>
                <w:color w:val="auto"/>
                <w:sz w:val="12"/>
                <w:szCs w:val="12"/>
              </w:rPr>
            </w:pPr>
            <w:r w:rsidRPr="00CD1278">
              <w:rPr>
                <w:color w:val="auto"/>
                <w:sz w:val="12"/>
                <w:szCs w:val="12"/>
              </w:rPr>
              <w:t>France</w:t>
            </w:r>
          </w:p>
        </w:tc>
        <w:tc>
          <w:tcPr>
            <w:tcW w:w="824" w:type="dxa"/>
            <w:shd w:val="clear" w:color="auto" w:fill="auto"/>
            <w:vAlign w:val="center"/>
          </w:tcPr>
          <w:p w14:paraId="06F9D7D5" w14:textId="77777777" w:rsidR="00D34C6F" w:rsidRPr="00CD1278" w:rsidRDefault="00D34C6F" w:rsidP="00D1371C">
            <w:pPr>
              <w:spacing w:after="60"/>
              <w:ind w:left="-87"/>
              <w:rPr>
                <w:color w:val="auto"/>
                <w:sz w:val="12"/>
                <w:szCs w:val="12"/>
              </w:rPr>
            </w:pPr>
            <w:r w:rsidRPr="00CD1278">
              <w:rPr>
                <w:color w:val="auto"/>
                <w:sz w:val="12"/>
                <w:szCs w:val="12"/>
              </w:rPr>
              <w:t>Forest tree nursery</w:t>
            </w:r>
          </w:p>
        </w:tc>
        <w:tc>
          <w:tcPr>
            <w:tcW w:w="770" w:type="dxa"/>
            <w:shd w:val="clear" w:color="auto" w:fill="auto"/>
            <w:vAlign w:val="center"/>
          </w:tcPr>
          <w:p w14:paraId="39D9BF53" w14:textId="77777777" w:rsidR="00D34C6F" w:rsidRPr="00CD1278" w:rsidRDefault="00D34C6F" w:rsidP="008277E3">
            <w:pPr>
              <w:spacing w:after="60"/>
              <w:rPr>
                <w:color w:val="auto"/>
                <w:sz w:val="10"/>
                <w:szCs w:val="10"/>
              </w:rPr>
            </w:pPr>
            <w:r w:rsidRPr="00CD1278">
              <w:rPr>
                <w:color w:val="auto"/>
                <w:sz w:val="10"/>
                <w:szCs w:val="10"/>
              </w:rPr>
              <w:t>10.000</w:t>
            </w:r>
          </w:p>
        </w:tc>
        <w:tc>
          <w:tcPr>
            <w:tcW w:w="647" w:type="dxa"/>
            <w:shd w:val="clear" w:color="auto" w:fill="auto"/>
            <w:vAlign w:val="center"/>
          </w:tcPr>
          <w:p w14:paraId="718DAEC9" w14:textId="77777777" w:rsidR="00D34C6F" w:rsidRPr="00CD1278" w:rsidRDefault="00D34C6F" w:rsidP="008277E3">
            <w:pPr>
              <w:spacing w:after="60"/>
              <w:rPr>
                <w:color w:val="auto"/>
                <w:sz w:val="10"/>
                <w:szCs w:val="10"/>
              </w:rPr>
            </w:pPr>
            <w:r w:rsidRPr="00CD1278">
              <w:rPr>
                <w:color w:val="auto"/>
                <w:sz w:val="10"/>
                <w:szCs w:val="10"/>
              </w:rPr>
              <w:t>10.000</w:t>
            </w:r>
          </w:p>
        </w:tc>
        <w:tc>
          <w:tcPr>
            <w:tcW w:w="709" w:type="dxa"/>
            <w:shd w:val="clear" w:color="auto" w:fill="auto"/>
            <w:vAlign w:val="center"/>
          </w:tcPr>
          <w:p w14:paraId="63775AD7" w14:textId="77777777" w:rsidR="00D34C6F" w:rsidRPr="00CD1278" w:rsidRDefault="00D34C6F" w:rsidP="008277E3">
            <w:pPr>
              <w:spacing w:after="60"/>
              <w:rPr>
                <w:color w:val="auto"/>
                <w:sz w:val="10"/>
                <w:szCs w:val="10"/>
              </w:rPr>
            </w:pPr>
            <w:r w:rsidRPr="00CD1278">
              <w:rPr>
                <w:color w:val="auto"/>
                <w:sz w:val="10"/>
                <w:szCs w:val="10"/>
              </w:rPr>
              <w:t>1.500</w:t>
            </w:r>
          </w:p>
        </w:tc>
        <w:tc>
          <w:tcPr>
            <w:tcW w:w="567" w:type="dxa"/>
            <w:shd w:val="clear" w:color="auto" w:fill="auto"/>
            <w:vAlign w:val="center"/>
          </w:tcPr>
          <w:p w14:paraId="74E4D3D4"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99F512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FF9C0DA"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6B684A0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AEDD34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0CF1CB1"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148C7A3C" w14:textId="77777777" w:rsidR="00D34C6F" w:rsidRPr="00CD1278" w:rsidRDefault="00D34C6F" w:rsidP="008277E3">
            <w:pPr>
              <w:spacing w:after="60"/>
              <w:rPr>
                <w:color w:val="auto"/>
                <w:sz w:val="10"/>
                <w:szCs w:val="10"/>
              </w:rPr>
            </w:pPr>
          </w:p>
        </w:tc>
        <w:tc>
          <w:tcPr>
            <w:tcW w:w="567" w:type="dxa"/>
          </w:tcPr>
          <w:p w14:paraId="6C3A11A8" w14:textId="77777777" w:rsidR="00D34C6F" w:rsidRPr="00CD1278" w:rsidRDefault="00D34C6F" w:rsidP="008277E3">
            <w:pPr>
              <w:spacing w:after="60"/>
              <w:jc w:val="center"/>
              <w:rPr>
                <w:color w:val="auto"/>
                <w:sz w:val="10"/>
                <w:szCs w:val="10"/>
              </w:rPr>
            </w:pPr>
          </w:p>
        </w:tc>
        <w:tc>
          <w:tcPr>
            <w:tcW w:w="567" w:type="dxa"/>
          </w:tcPr>
          <w:p w14:paraId="0AC44D46"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7D537FE" w14:textId="77777777" w:rsidR="00D34C6F" w:rsidRPr="00CD1278" w:rsidRDefault="00D34C6F" w:rsidP="008277E3">
            <w:pPr>
              <w:spacing w:after="60"/>
              <w:rPr>
                <w:color w:val="auto"/>
                <w:sz w:val="10"/>
                <w:szCs w:val="10"/>
              </w:rPr>
            </w:pPr>
            <w:r w:rsidRPr="00CD1278">
              <w:rPr>
                <w:color w:val="auto"/>
                <w:sz w:val="10"/>
                <w:szCs w:val="10"/>
              </w:rPr>
              <w:t>10.000</w:t>
            </w:r>
          </w:p>
        </w:tc>
        <w:tc>
          <w:tcPr>
            <w:tcW w:w="709" w:type="dxa"/>
            <w:shd w:val="clear" w:color="auto" w:fill="auto"/>
            <w:vAlign w:val="center"/>
          </w:tcPr>
          <w:p w14:paraId="39D1E2A4" w14:textId="77777777" w:rsidR="00D34C6F" w:rsidRPr="00CD1278" w:rsidRDefault="00D34C6F" w:rsidP="008277E3">
            <w:pPr>
              <w:spacing w:after="60"/>
              <w:rPr>
                <w:color w:val="auto"/>
                <w:sz w:val="10"/>
                <w:szCs w:val="10"/>
              </w:rPr>
            </w:pPr>
            <w:r w:rsidRPr="00CD1278">
              <w:rPr>
                <w:color w:val="auto"/>
                <w:sz w:val="10"/>
                <w:szCs w:val="10"/>
              </w:rPr>
              <w:t>10.000</w:t>
            </w:r>
          </w:p>
        </w:tc>
        <w:tc>
          <w:tcPr>
            <w:tcW w:w="708" w:type="dxa"/>
            <w:shd w:val="clear" w:color="auto" w:fill="auto"/>
            <w:vAlign w:val="center"/>
          </w:tcPr>
          <w:p w14:paraId="43F07F7A" w14:textId="77777777" w:rsidR="00D34C6F" w:rsidRPr="00CD1278" w:rsidRDefault="00D34C6F" w:rsidP="008277E3">
            <w:pPr>
              <w:spacing w:after="60"/>
              <w:rPr>
                <w:color w:val="auto"/>
                <w:sz w:val="10"/>
                <w:szCs w:val="10"/>
              </w:rPr>
            </w:pPr>
            <w:r w:rsidRPr="00CD1278">
              <w:rPr>
                <w:color w:val="auto"/>
                <w:sz w:val="10"/>
                <w:szCs w:val="10"/>
              </w:rPr>
              <w:t>1.500</w:t>
            </w:r>
          </w:p>
        </w:tc>
        <w:tc>
          <w:tcPr>
            <w:tcW w:w="709" w:type="dxa"/>
            <w:shd w:val="clear" w:color="auto" w:fill="auto"/>
            <w:vAlign w:val="center"/>
          </w:tcPr>
          <w:p w14:paraId="7C57334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856067A"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743434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A789CC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0249CE0"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67A2F186" w14:textId="77777777" w:rsidR="00D34C6F" w:rsidRPr="00CD1278" w:rsidRDefault="00D34C6F" w:rsidP="008277E3">
            <w:pPr>
              <w:spacing w:after="60"/>
              <w:rPr>
                <w:b/>
                <w:color w:val="auto"/>
                <w:sz w:val="10"/>
                <w:szCs w:val="10"/>
              </w:rPr>
            </w:pPr>
          </w:p>
        </w:tc>
        <w:tc>
          <w:tcPr>
            <w:tcW w:w="567" w:type="dxa"/>
          </w:tcPr>
          <w:p w14:paraId="71188BB3" w14:textId="77777777" w:rsidR="00D34C6F" w:rsidRPr="00CD1278" w:rsidRDefault="00D34C6F" w:rsidP="008277E3">
            <w:pPr>
              <w:spacing w:after="60"/>
              <w:jc w:val="center"/>
              <w:rPr>
                <w:b/>
                <w:color w:val="auto"/>
                <w:sz w:val="10"/>
                <w:szCs w:val="10"/>
              </w:rPr>
            </w:pPr>
          </w:p>
        </w:tc>
        <w:tc>
          <w:tcPr>
            <w:tcW w:w="567" w:type="dxa"/>
          </w:tcPr>
          <w:p w14:paraId="55B4530E" w14:textId="77777777" w:rsidR="00D34C6F" w:rsidRPr="00CD1278" w:rsidRDefault="00D34C6F" w:rsidP="008277E3">
            <w:pPr>
              <w:spacing w:after="60"/>
              <w:jc w:val="center"/>
              <w:rPr>
                <w:b/>
                <w:color w:val="auto"/>
                <w:sz w:val="10"/>
                <w:szCs w:val="10"/>
              </w:rPr>
            </w:pPr>
          </w:p>
        </w:tc>
        <w:tc>
          <w:tcPr>
            <w:tcW w:w="567" w:type="dxa"/>
          </w:tcPr>
          <w:p w14:paraId="01E311D6" w14:textId="77777777" w:rsidR="00D34C6F" w:rsidRPr="00CD1278" w:rsidRDefault="00D34C6F" w:rsidP="008277E3">
            <w:pPr>
              <w:spacing w:after="60"/>
              <w:jc w:val="center"/>
              <w:rPr>
                <w:b/>
                <w:color w:val="auto"/>
                <w:sz w:val="10"/>
                <w:szCs w:val="10"/>
              </w:rPr>
            </w:pPr>
          </w:p>
        </w:tc>
      </w:tr>
      <w:tr w:rsidR="003C102E" w:rsidRPr="00CD1278" w14:paraId="2A8EF63A" w14:textId="77777777" w:rsidTr="008277E3">
        <w:trPr>
          <w:trHeight w:val="270"/>
          <w:jc w:val="center"/>
        </w:trPr>
        <w:tc>
          <w:tcPr>
            <w:tcW w:w="662" w:type="dxa"/>
            <w:shd w:val="clear" w:color="auto" w:fill="auto"/>
            <w:vAlign w:val="center"/>
          </w:tcPr>
          <w:p w14:paraId="6E6634C4" w14:textId="77777777" w:rsidR="00D34C6F" w:rsidRPr="00CD1278" w:rsidRDefault="00D34C6F" w:rsidP="008277E3">
            <w:pPr>
              <w:spacing w:after="60"/>
              <w:rPr>
                <w:color w:val="auto"/>
                <w:sz w:val="12"/>
                <w:szCs w:val="12"/>
              </w:rPr>
            </w:pPr>
            <w:r w:rsidRPr="00CD1278">
              <w:rPr>
                <w:color w:val="auto"/>
                <w:sz w:val="12"/>
                <w:szCs w:val="12"/>
              </w:rPr>
              <w:t>France</w:t>
            </w:r>
          </w:p>
        </w:tc>
        <w:tc>
          <w:tcPr>
            <w:tcW w:w="824" w:type="dxa"/>
            <w:shd w:val="clear" w:color="auto" w:fill="auto"/>
            <w:vAlign w:val="center"/>
          </w:tcPr>
          <w:p w14:paraId="62032655" w14:textId="77777777" w:rsidR="00D34C6F" w:rsidRPr="00CD1278" w:rsidRDefault="00D34C6F" w:rsidP="00D1371C">
            <w:pPr>
              <w:spacing w:after="60"/>
              <w:ind w:left="-87"/>
              <w:rPr>
                <w:color w:val="auto"/>
                <w:sz w:val="12"/>
                <w:szCs w:val="12"/>
              </w:rPr>
            </w:pPr>
            <w:r w:rsidRPr="00CD1278">
              <w:rPr>
                <w:color w:val="auto"/>
                <w:sz w:val="12"/>
                <w:szCs w:val="12"/>
              </w:rPr>
              <w:t>Melon</w:t>
            </w:r>
          </w:p>
        </w:tc>
        <w:tc>
          <w:tcPr>
            <w:tcW w:w="770" w:type="dxa"/>
            <w:shd w:val="clear" w:color="auto" w:fill="auto"/>
            <w:vAlign w:val="center"/>
          </w:tcPr>
          <w:p w14:paraId="2DE270B5" w14:textId="77777777" w:rsidR="00D34C6F" w:rsidRPr="00CD1278" w:rsidRDefault="00D34C6F" w:rsidP="008277E3">
            <w:pPr>
              <w:spacing w:after="60"/>
              <w:rPr>
                <w:color w:val="auto"/>
                <w:sz w:val="10"/>
                <w:szCs w:val="10"/>
              </w:rPr>
            </w:pPr>
            <w:r w:rsidRPr="00CD1278">
              <w:rPr>
                <w:color w:val="auto"/>
                <w:sz w:val="10"/>
                <w:szCs w:val="10"/>
              </w:rPr>
              <w:t>10.000</w:t>
            </w:r>
          </w:p>
        </w:tc>
        <w:tc>
          <w:tcPr>
            <w:tcW w:w="647" w:type="dxa"/>
            <w:shd w:val="clear" w:color="auto" w:fill="auto"/>
            <w:vAlign w:val="center"/>
          </w:tcPr>
          <w:p w14:paraId="630AA3D2" w14:textId="77777777" w:rsidR="00D34C6F" w:rsidRPr="00CD1278" w:rsidRDefault="00D34C6F" w:rsidP="008277E3">
            <w:pPr>
              <w:spacing w:after="60"/>
              <w:rPr>
                <w:color w:val="auto"/>
                <w:sz w:val="10"/>
                <w:szCs w:val="10"/>
              </w:rPr>
            </w:pPr>
            <w:r w:rsidRPr="00CD1278">
              <w:rPr>
                <w:color w:val="auto"/>
                <w:sz w:val="10"/>
                <w:szCs w:val="10"/>
              </w:rPr>
              <w:t>10.000</w:t>
            </w:r>
          </w:p>
        </w:tc>
        <w:tc>
          <w:tcPr>
            <w:tcW w:w="709" w:type="dxa"/>
            <w:shd w:val="clear" w:color="auto" w:fill="auto"/>
            <w:vAlign w:val="center"/>
          </w:tcPr>
          <w:p w14:paraId="2A3BA7D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DA313A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4352BF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6E42462"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795476E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8634C3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46EFBCB"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40BE8E96" w14:textId="77777777" w:rsidR="00D34C6F" w:rsidRPr="00CD1278" w:rsidRDefault="00D34C6F" w:rsidP="008277E3">
            <w:pPr>
              <w:spacing w:after="60"/>
              <w:rPr>
                <w:color w:val="auto"/>
                <w:sz w:val="10"/>
                <w:szCs w:val="10"/>
              </w:rPr>
            </w:pPr>
          </w:p>
        </w:tc>
        <w:tc>
          <w:tcPr>
            <w:tcW w:w="567" w:type="dxa"/>
          </w:tcPr>
          <w:p w14:paraId="6970E349" w14:textId="77777777" w:rsidR="00D34C6F" w:rsidRPr="00CD1278" w:rsidRDefault="00D34C6F" w:rsidP="008277E3">
            <w:pPr>
              <w:spacing w:after="60"/>
              <w:jc w:val="center"/>
              <w:rPr>
                <w:color w:val="auto"/>
                <w:sz w:val="10"/>
                <w:szCs w:val="10"/>
              </w:rPr>
            </w:pPr>
          </w:p>
        </w:tc>
        <w:tc>
          <w:tcPr>
            <w:tcW w:w="567" w:type="dxa"/>
          </w:tcPr>
          <w:p w14:paraId="2ACC5CB6"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7D0D68E3" w14:textId="77777777" w:rsidR="00D34C6F" w:rsidRPr="00CD1278" w:rsidRDefault="00D34C6F" w:rsidP="008277E3">
            <w:pPr>
              <w:spacing w:after="60"/>
              <w:rPr>
                <w:color w:val="auto"/>
                <w:sz w:val="10"/>
                <w:szCs w:val="10"/>
              </w:rPr>
            </w:pPr>
            <w:r w:rsidRPr="00CD1278">
              <w:rPr>
                <w:color w:val="auto"/>
                <w:sz w:val="10"/>
                <w:szCs w:val="10"/>
              </w:rPr>
              <w:t>7.500</w:t>
            </w:r>
          </w:p>
        </w:tc>
        <w:tc>
          <w:tcPr>
            <w:tcW w:w="709" w:type="dxa"/>
            <w:shd w:val="clear" w:color="auto" w:fill="auto"/>
            <w:vAlign w:val="center"/>
          </w:tcPr>
          <w:p w14:paraId="067DC434" w14:textId="77777777" w:rsidR="00D34C6F" w:rsidRPr="00CD1278" w:rsidRDefault="00D34C6F" w:rsidP="008277E3">
            <w:pPr>
              <w:spacing w:after="60"/>
              <w:rPr>
                <w:color w:val="auto"/>
                <w:sz w:val="10"/>
                <w:szCs w:val="10"/>
              </w:rPr>
            </w:pPr>
            <w:r w:rsidRPr="00CD1278">
              <w:rPr>
                <w:color w:val="auto"/>
                <w:sz w:val="10"/>
                <w:szCs w:val="10"/>
              </w:rPr>
              <w:t>6.000</w:t>
            </w:r>
          </w:p>
        </w:tc>
        <w:tc>
          <w:tcPr>
            <w:tcW w:w="708" w:type="dxa"/>
            <w:shd w:val="clear" w:color="auto" w:fill="auto"/>
            <w:vAlign w:val="center"/>
          </w:tcPr>
          <w:p w14:paraId="21DCBC8F"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C3A803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B563FCF"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16DAC30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178299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59E1A94E"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4128E86F" w14:textId="77777777" w:rsidR="00D34C6F" w:rsidRPr="00CD1278" w:rsidRDefault="00D34C6F" w:rsidP="008277E3">
            <w:pPr>
              <w:spacing w:after="60"/>
              <w:rPr>
                <w:b/>
                <w:color w:val="auto"/>
                <w:sz w:val="10"/>
                <w:szCs w:val="10"/>
              </w:rPr>
            </w:pPr>
          </w:p>
        </w:tc>
        <w:tc>
          <w:tcPr>
            <w:tcW w:w="567" w:type="dxa"/>
          </w:tcPr>
          <w:p w14:paraId="5969AEA8" w14:textId="77777777" w:rsidR="00D34C6F" w:rsidRPr="00CD1278" w:rsidRDefault="00D34C6F" w:rsidP="008277E3">
            <w:pPr>
              <w:spacing w:after="60"/>
              <w:jc w:val="center"/>
              <w:rPr>
                <w:b/>
                <w:color w:val="auto"/>
                <w:sz w:val="10"/>
                <w:szCs w:val="10"/>
              </w:rPr>
            </w:pPr>
          </w:p>
        </w:tc>
        <w:tc>
          <w:tcPr>
            <w:tcW w:w="567" w:type="dxa"/>
          </w:tcPr>
          <w:p w14:paraId="465E560C" w14:textId="77777777" w:rsidR="00D34C6F" w:rsidRPr="00CD1278" w:rsidRDefault="00D34C6F" w:rsidP="008277E3">
            <w:pPr>
              <w:spacing w:after="60"/>
              <w:jc w:val="center"/>
              <w:rPr>
                <w:b/>
                <w:color w:val="auto"/>
                <w:sz w:val="10"/>
                <w:szCs w:val="10"/>
              </w:rPr>
            </w:pPr>
          </w:p>
        </w:tc>
        <w:tc>
          <w:tcPr>
            <w:tcW w:w="567" w:type="dxa"/>
          </w:tcPr>
          <w:p w14:paraId="2C17DD3B" w14:textId="77777777" w:rsidR="00D34C6F" w:rsidRPr="00CD1278" w:rsidRDefault="00D34C6F" w:rsidP="008277E3">
            <w:pPr>
              <w:spacing w:after="60"/>
              <w:jc w:val="center"/>
              <w:rPr>
                <w:b/>
                <w:color w:val="auto"/>
                <w:sz w:val="10"/>
                <w:szCs w:val="10"/>
              </w:rPr>
            </w:pPr>
          </w:p>
        </w:tc>
      </w:tr>
      <w:tr w:rsidR="003C102E" w:rsidRPr="00CD1278" w14:paraId="2BF832A4" w14:textId="77777777" w:rsidTr="008277E3">
        <w:trPr>
          <w:trHeight w:val="690"/>
          <w:jc w:val="center"/>
        </w:trPr>
        <w:tc>
          <w:tcPr>
            <w:tcW w:w="662" w:type="dxa"/>
            <w:shd w:val="clear" w:color="auto" w:fill="auto"/>
            <w:vAlign w:val="center"/>
          </w:tcPr>
          <w:p w14:paraId="4988E816" w14:textId="77777777" w:rsidR="00D34C6F" w:rsidRPr="00CD1278" w:rsidRDefault="00D34C6F" w:rsidP="008277E3">
            <w:pPr>
              <w:spacing w:after="60"/>
              <w:rPr>
                <w:color w:val="auto"/>
                <w:sz w:val="12"/>
                <w:szCs w:val="12"/>
              </w:rPr>
            </w:pPr>
            <w:r w:rsidRPr="00CD1278">
              <w:rPr>
                <w:color w:val="auto"/>
                <w:sz w:val="12"/>
                <w:szCs w:val="12"/>
              </w:rPr>
              <w:t>France</w:t>
            </w:r>
          </w:p>
        </w:tc>
        <w:tc>
          <w:tcPr>
            <w:tcW w:w="824" w:type="dxa"/>
            <w:shd w:val="clear" w:color="auto" w:fill="auto"/>
            <w:vAlign w:val="center"/>
          </w:tcPr>
          <w:p w14:paraId="243C65BE" w14:textId="77777777" w:rsidR="00D34C6F" w:rsidRPr="00CD1278" w:rsidRDefault="00D34C6F" w:rsidP="00D1371C">
            <w:pPr>
              <w:spacing w:after="60"/>
              <w:ind w:left="-87"/>
              <w:rPr>
                <w:color w:val="auto"/>
                <w:sz w:val="12"/>
                <w:szCs w:val="12"/>
              </w:rPr>
            </w:pPr>
            <w:r w:rsidRPr="00CD1278">
              <w:rPr>
                <w:color w:val="auto"/>
                <w:sz w:val="12"/>
                <w:szCs w:val="12"/>
              </w:rPr>
              <w:t>Nursery: orchard, raspberry</w:t>
            </w:r>
          </w:p>
        </w:tc>
        <w:tc>
          <w:tcPr>
            <w:tcW w:w="770" w:type="dxa"/>
            <w:shd w:val="clear" w:color="auto" w:fill="auto"/>
            <w:vAlign w:val="center"/>
          </w:tcPr>
          <w:p w14:paraId="3C17E405" w14:textId="77777777" w:rsidR="00D34C6F" w:rsidRPr="00CD1278" w:rsidRDefault="00D34C6F" w:rsidP="008277E3">
            <w:pPr>
              <w:spacing w:after="60"/>
              <w:rPr>
                <w:color w:val="auto"/>
                <w:sz w:val="10"/>
                <w:szCs w:val="10"/>
              </w:rPr>
            </w:pPr>
            <w:r w:rsidRPr="00CD1278">
              <w:rPr>
                <w:color w:val="auto"/>
                <w:sz w:val="10"/>
                <w:szCs w:val="10"/>
              </w:rPr>
              <w:t>5.000</w:t>
            </w:r>
          </w:p>
        </w:tc>
        <w:tc>
          <w:tcPr>
            <w:tcW w:w="647" w:type="dxa"/>
            <w:shd w:val="clear" w:color="auto" w:fill="auto"/>
            <w:vAlign w:val="center"/>
          </w:tcPr>
          <w:p w14:paraId="7B935DEB" w14:textId="77777777" w:rsidR="00D34C6F" w:rsidRPr="00CD1278" w:rsidRDefault="00D34C6F" w:rsidP="008277E3">
            <w:pPr>
              <w:spacing w:after="60"/>
              <w:rPr>
                <w:color w:val="auto"/>
                <w:sz w:val="10"/>
                <w:szCs w:val="10"/>
              </w:rPr>
            </w:pPr>
            <w:r w:rsidRPr="00CD1278">
              <w:rPr>
                <w:color w:val="auto"/>
                <w:sz w:val="10"/>
                <w:szCs w:val="10"/>
              </w:rPr>
              <w:t>5.000</w:t>
            </w:r>
          </w:p>
        </w:tc>
        <w:tc>
          <w:tcPr>
            <w:tcW w:w="709" w:type="dxa"/>
            <w:shd w:val="clear" w:color="auto" w:fill="auto"/>
            <w:vAlign w:val="center"/>
          </w:tcPr>
          <w:p w14:paraId="5F86F2DC" w14:textId="77777777" w:rsidR="00D34C6F" w:rsidRPr="00CD1278" w:rsidRDefault="00D34C6F" w:rsidP="008277E3">
            <w:pPr>
              <w:spacing w:after="60"/>
              <w:rPr>
                <w:color w:val="auto"/>
                <w:sz w:val="10"/>
                <w:szCs w:val="10"/>
              </w:rPr>
            </w:pPr>
            <w:r w:rsidRPr="00CD1278">
              <w:rPr>
                <w:color w:val="auto"/>
                <w:sz w:val="10"/>
                <w:szCs w:val="10"/>
              </w:rPr>
              <w:t>2.000</w:t>
            </w:r>
          </w:p>
        </w:tc>
        <w:tc>
          <w:tcPr>
            <w:tcW w:w="567" w:type="dxa"/>
            <w:shd w:val="clear" w:color="auto" w:fill="auto"/>
            <w:vAlign w:val="center"/>
          </w:tcPr>
          <w:p w14:paraId="571FD0BD"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A97D54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DDEC15E"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55ACF74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7967D1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349943B"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08C849BE" w14:textId="77777777" w:rsidR="00D34C6F" w:rsidRPr="00CD1278" w:rsidRDefault="00D34C6F" w:rsidP="008277E3">
            <w:pPr>
              <w:spacing w:after="60"/>
              <w:rPr>
                <w:color w:val="auto"/>
                <w:sz w:val="10"/>
                <w:szCs w:val="10"/>
              </w:rPr>
            </w:pPr>
          </w:p>
        </w:tc>
        <w:tc>
          <w:tcPr>
            <w:tcW w:w="567" w:type="dxa"/>
          </w:tcPr>
          <w:p w14:paraId="06C1BB3E" w14:textId="77777777" w:rsidR="00D34C6F" w:rsidRPr="00CD1278" w:rsidRDefault="00D34C6F" w:rsidP="008277E3">
            <w:pPr>
              <w:spacing w:after="60"/>
              <w:jc w:val="center"/>
              <w:rPr>
                <w:color w:val="auto"/>
                <w:sz w:val="10"/>
                <w:szCs w:val="10"/>
              </w:rPr>
            </w:pPr>
          </w:p>
        </w:tc>
        <w:tc>
          <w:tcPr>
            <w:tcW w:w="567" w:type="dxa"/>
          </w:tcPr>
          <w:p w14:paraId="5138FC5C"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1236302A" w14:textId="77777777" w:rsidR="00D34C6F" w:rsidRPr="00CD1278" w:rsidRDefault="00D34C6F" w:rsidP="008277E3">
            <w:pPr>
              <w:spacing w:after="60"/>
              <w:rPr>
                <w:color w:val="auto"/>
                <w:sz w:val="10"/>
                <w:szCs w:val="10"/>
              </w:rPr>
            </w:pPr>
            <w:r w:rsidRPr="00CD1278">
              <w:rPr>
                <w:color w:val="auto"/>
                <w:sz w:val="10"/>
                <w:szCs w:val="10"/>
              </w:rPr>
              <w:t>5.000</w:t>
            </w:r>
          </w:p>
        </w:tc>
        <w:tc>
          <w:tcPr>
            <w:tcW w:w="709" w:type="dxa"/>
            <w:shd w:val="clear" w:color="auto" w:fill="auto"/>
            <w:vAlign w:val="center"/>
          </w:tcPr>
          <w:p w14:paraId="43E26D76" w14:textId="77777777" w:rsidR="00D34C6F" w:rsidRPr="00CD1278" w:rsidRDefault="00D34C6F" w:rsidP="008277E3">
            <w:pPr>
              <w:spacing w:after="60"/>
              <w:rPr>
                <w:color w:val="auto"/>
                <w:sz w:val="10"/>
                <w:szCs w:val="10"/>
              </w:rPr>
            </w:pPr>
            <w:r w:rsidRPr="00CD1278">
              <w:rPr>
                <w:color w:val="auto"/>
                <w:sz w:val="10"/>
                <w:szCs w:val="10"/>
              </w:rPr>
              <w:t>5.000</w:t>
            </w:r>
          </w:p>
        </w:tc>
        <w:tc>
          <w:tcPr>
            <w:tcW w:w="708" w:type="dxa"/>
            <w:shd w:val="clear" w:color="auto" w:fill="auto"/>
            <w:vAlign w:val="center"/>
          </w:tcPr>
          <w:p w14:paraId="608E162A" w14:textId="77777777" w:rsidR="00D34C6F" w:rsidRPr="00CD1278" w:rsidRDefault="00D34C6F" w:rsidP="008277E3">
            <w:pPr>
              <w:spacing w:after="60"/>
              <w:rPr>
                <w:color w:val="auto"/>
                <w:sz w:val="10"/>
                <w:szCs w:val="10"/>
              </w:rPr>
            </w:pPr>
            <w:r w:rsidRPr="00CD1278">
              <w:rPr>
                <w:color w:val="auto"/>
                <w:sz w:val="10"/>
                <w:szCs w:val="10"/>
              </w:rPr>
              <w:t>2.000</w:t>
            </w:r>
          </w:p>
        </w:tc>
        <w:tc>
          <w:tcPr>
            <w:tcW w:w="709" w:type="dxa"/>
            <w:shd w:val="clear" w:color="auto" w:fill="auto"/>
            <w:vAlign w:val="center"/>
          </w:tcPr>
          <w:p w14:paraId="45F5425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CFEF1D3"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B900CE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04C17C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723995B8"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26319EEB" w14:textId="77777777" w:rsidR="00D34C6F" w:rsidRPr="00CD1278" w:rsidRDefault="00D34C6F" w:rsidP="008277E3">
            <w:pPr>
              <w:spacing w:after="60"/>
              <w:rPr>
                <w:b/>
                <w:color w:val="auto"/>
                <w:sz w:val="10"/>
                <w:szCs w:val="10"/>
              </w:rPr>
            </w:pPr>
          </w:p>
        </w:tc>
        <w:tc>
          <w:tcPr>
            <w:tcW w:w="567" w:type="dxa"/>
          </w:tcPr>
          <w:p w14:paraId="58AA6693" w14:textId="77777777" w:rsidR="00D34C6F" w:rsidRPr="00CD1278" w:rsidRDefault="00D34C6F" w:rsidP="008277E3">
            <w:pPr>
              <w:spacing w:after="60"/>
              <w:jc w:val="center"/>
              <w:rPr>
                <w:b/>
                <w:color w:val="auto"/>
                <w:sz w:val="10"/>
                <w:szCs w:val="10"/>
              </w:rPr>
            </w:pPr>
          </w:p>
        </w:tc>
        <w:tc>
          <w:tcPr>
            <w:tcW w:w="567" w:type="dxa"/>
          </w:tcPr>
          <w:p w14:paraId="1C2E0100" w14:textId="77777777" w:rsidR="00D34C6F" w:rsidRPr="00CD1278" w:rsidRDefault="00D34C6F" w:rsidP="008277E3">
            <w:pPr>
              <w:spacing w:after="60"/>
              <w:jc w:val="center"/>
              <w:rPr>
                <w:b/>
                <w:color w:val="auto"/>
                <w:sz w:val="10"/>
                <w:szCs w:val="10"/>
              </w:rPr>
            </w:pPr>
          </w:p>
        </w:tc>
        <w:tc>
          <w:tcPr>
            <w:tcW w:w="567" w:type="dxa"/>
          </w:tcPr>
          <w:p w14:paraId="2BE9308C" w14:textId="77777777" w:rsidR="00D34C6F" w:rsidRPr="00CD1278" w:rsidRDefault="00D34C6F" w:rsidP="008277E3">
            <w:pPr>
              <w:spacing w:after="60"/>
              <w:jc w:val="center"/>
              <w:rPr>
                <w:b/>
                <w:color w:val="auto"/>
                <w:sz w:val="10"/>
                <w:szCs w:val="10"/>
              </w:rPr>
            </w:pPr>
          </w:p>
        </w:tc>
      </w:tr>
      <w:tr w:rsidR="003C102E" w:rsidRPr="00CD1278" w14:paraId="508A13F0" w14:textId="77777777" w:rsidTr="008277E3">
        <w:trPr>
          <w:trHeight w:val="465"/>
          <w:jc w:val="center"/>
        </w:trPr>
        <w:tc>
          <w:tcPr>
            <w:tcW w:w="662" w:type="dxa"/>
            <w:shd w:val="clear" w:color="auto" w:fill="auto"/>
            <w:vAlign w:val="center"/>
          </w:tcPr>
          <w:p w14:paraId="6BBB97DD" w14:textId="77777777" w:rsidR="00D34C6F" w:rsidRPr="00CD1278" w:rsidRDefault="00D34C6F" w:rsidP="008277E3">
            <w:pPr>
              <w:spacing w:after="60"/>
              <w:rPr>
                <w:color w:val="auto"/>
                <w:sz w:val="12"/>
                <w:szCs w:val="12"/>
              </w:rPr>
            </w:pPr>
            <w:r w:rsidRPr="00CD1278">
              <w:rPr>
                <w:color w:val="auto"/>
                <w:sz w:val="12"/>
                <w:szCs w:val="12"/>
              </w:rPr>
              <w:t>France</w:t>
            </w:r>
          </w:p>
        </w:tc>
        <w:tc>
          <w:tcPr>
            <w:tcW w:w="824" w:type="dxa"/>
            <w:shd w:val="clear" w:color="auto" w:fill="auto"/>
            <w:vAlign w:val="center"/>
          </w:tcPr>
          <w:p w14:paraId="16BDF4C5" w14:textId="77777777" w:rsidR="00D34C6F" w:rsidRPr="00CD1278" w:rsidRDefault="00D34C6F" w:rsidP="00D1371C">
            <w:pPr>
              <w:spacing w:after="60"/>
              <w:ind w:left="-87"/>
              <w:rPr>
                <w:color w:val="auto"/>
                <w:sz w:val="12"/>
                <w:szCs w:val="12"/>
              </w:rPr>
            </w:pPr>
            <w:r w:rsidRPr="00CD1278">
              <w:rPr>
                <w:color w:val="auto"/>
                <w:sz w:val="12"/>
                <w:szCs w:val="12"/>
              </w:rPr>
              <w:t>Orchard replant</w:t>
            </w:r>
          </w:p>
        </w:tc>
        <w:tc>
          <w:tcPr>
            <w:tcW w:w="770" w:type="dxa"/>
            <w:shd w:val="clear" w:color="auto" w:fill="auto"/>
            <w:vAlign w:val="center"/>
          </w:tcPr>
          <w:p w14:paraId="1063EA3C" w14:textId="77777777" w:rsidR="00D34C6F" w:rsidRPr="00CD1278" w:rsidRDefault="00D34C6F" w:rsidP="008277E3">
            <w:pPr>
              <w:spacing w:after="60"/>
              <w:rPr>
                <w:color w:val="auto"/>
                <w:sz w:val="10"/>
                <w:szCs w:val="10"/>
              </w:rPr>
            </w:pPr>
            <w:r w:rsidRPr="00CD1278">
              <w:rPr>
                <w:color w:val="auto"/>
                <w:sz w:val="10"/>
                <w:szCs w:val="10"/>
              </w:rPr>
              <w:t>25.000</w:t>
            </w:r>
          </w:p>
        </w:tc>
        <w:tc>
          <w:tcPr>
            <w:tcW w:w="647" w:type="dxa"/>
            <w:shd w:val="clear" w:color="auto" w:fill="auto"/>
            <w:vAlign w:val="center"/>
          </w:tcPr>
          <w:p w14:paraId="641DA9E8" w14:textId="77777777" w:rsidR="00D34C6F" w:rsidRPr="00CD1278" w:rsidRDefault="00D34C6F" w:rsidP="008277E3">
            <w:pPr>
              <w:spacing w:after="60"/>
              <w:rPr>
                <w:color w:val="auto"/>
                <w:sz w:val="10"/>
                <w:szCs w:val="10"/>
              </w:rPr>
            </w:pPr>
            <w:r w:rsidRPr="00CD1278">
              <w:rPr>
                <w:color w:val="auto"/>
                <w:sz w:val="10"/>
                <w:szCs w:val="10"/>
              </w:rPr>
              <w:t>25.000</w:t>
            </w:r>
          </w:p>
        </w:tc>
        <w:tc>
          <w:tcPr>
            <w:tcW w:w="709" w:type="dxa"/>
            <w:shd w:val="clear" w:color="auto" w:fill="auto"/>
            <w:vAlign w:val="center"/>
          </w:tcPr>
          <w:p w14:paraId="610C0644" w14:textId="77777777" w:rsidR="00D34C6F" w:rsidRPr="00CD1278" w:rsidRDefault="00D34C6F" w:rsidP="008277E3">
            <w:pPr>
              <w:spacing w:after="60"/>
              <w:rPr>
                <w:color w:val="auto"/>
                <w:sz w:val="10"/>
                <w:szCs w:val="10"/>
              </w:rPr>
            </w:pPr>
            <w:r w:rsidRPr="00CD1278">
              <w:rPr>
                <w:color w:val="auto"/>
                <w:sz w:val="10"/>
                <w:szCs w:val="10"/>
              </w:rPr>
              <w:t>7.500</w:t>
            </w:r>
          </w:p>
        </w:tc>
        <w:tc>
          <w:tcPr>
            <w:tcW w:w="567" w:type="dxa"/>
            <w:shd w:val="clear" w:color="auto" w:fill="auto"/>
            <w:vAlign w:val="center"/>
          </w:tcPr>
          <w:p w14:paraId="25594881"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D3F429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EEBABB9"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2227A9A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6A4568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997E08B"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628DFF1F" w14:textId="77777777" w:rsidR="00D34C6F" w:rsidRPr="00CD1278" w:rsidRDefault="00D34C6F" w:rsidP="008277E3">
            <w:pPr>
              <w:spacing w:after="60"/>
              <w:rPr>
                <w:color w:val="auto"/>
                <w:sz w:val="10"/>
                <w:szCs w:val="10"/>
              </w:rPr>
            </w:pPr>
          </w:p>
        </w:tc>
        <w:tc>
          <w:tcPr>
            <w:tcW w:w="567" w:type="dxa"/>
          </w:tcPr>
          <w:p w14:paraId="7C81452A" w14:textId="77777777" w:rsidR="00D34C6F" w:rsidRPr="00CD1278" w:rsidRDefault="00D34C6F" w:rsidP="008277E3">
            <w:pPr>
              <w:spacing w:after="60"/>
              <w:jc w:val="center"/>
              <w:rPr>
                <w:color w:val="auto"/>
                <w:sz w:val="10"/>
                <w:szCs w:val="10"/>
              </w:rPr>
            </w:pPr>
          </w:p>
        </w:tc>
        <w:tc>
          <w:tcPr>
            <w:tcW w:w="567" w:type="dxa"/>
          </w:tcPr>
          <w:p w14:paraId="06475499"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79851A44" w14:textId="77777777" w:rsidR="00D34C6F" w:rsidRPr="00CD1278" w:rsidRDefault="00D34C6F" w:rsidP="008277E3">
            <w:pPr>
              <w:spacing w:after="60"/>
              <w:rPr>
                <w:color w:val="auto"/>
                <w:sz w:val="10"/>
                <w:szCs w:val="10"/>
              </w:rPr>
            </w:pPr>
            <w:r w:rsidRPr="00CD1278">
              <w:rPr>
                <w:color w:val="auto"/>
                <w:sz w:val="10"/>
                <w:szCs w:val="10"/>
              </w:rPr>
              <w:t>25.000</w:t>
            </w:r>
          </w:p>
        </w:tc>
        <w:tc>
          <w:tcPr>
            <w:tcW w:w="709" w:type="dxa"/>
            <w:shd w:val="clear" w:color="auto" w:fill="auto"/>
            <w:vAlign w:val="center"/>
          </w:tcPr>
          <w:p w14:paraId="024D94C0" w14:textId="77777777" w:rsidR="00D34C6F" w:rsidRPr="00CD1278" w:rsidRDefault="00D34C6F" w:rsidP="008277E3">
            <w:pPr>
              <w:spacing w:after="60"/>
              <w:rPr>
                <w:color w:val="auto"/>
                <w:sz w:val="10"/>
                <w:szCs w:val="10"/>
              </w:rPr>
            </w:pPr>
            <w:r w:rsidRPr="00CD1278">
              <w:rPr>
                <w:color w:val="auto"/>
                <w:sz w:val="10"/>
                <w:szCs w:val="10"/>
              </w:rPr>
              <w:t>25.000</w:t>
            </w:r>
          </w:p>
        </w:tc>
        <w:tc>
          <w:tcPr>
            <w:tcW w:w="708" w:type="dxa"/>
            <w:shd w:val="clear" w:color="auto" w:fill="auto"/>
            <w:vAlign w:val="center"/>
          </w:tcPr>
          <w:p w14:paraId="7550288B" w14:textId="77777777" w:rsidR="00D34C6F" w:rsidRPr="00CD1278" w:rsidRDefault="00D34C6F" w:rsidP="008277E3">
            <w:pPr>
              <w:spacing w:after="60"/>
              <w:rPr>
                <w:color w:val="auto"/>
                <w:sz w:val="10"/>
                <w:szCs w:val="10"/>
              </w:rPr>
            </w:pPr>
            <w:r w:rsidRPr="00CD1278">
              <w:rPr>
                <w:color w:val="auto"/>
                <w:sz w:val="10"/>
                <w:szCs w:val="10"/>
              </w:rPr>
              <w:t>7.000</w:t>
            </w:r>
          </w:p>
        </w:tc>
        <w:tc>
          <w:tcPr>
            <w:tcW w:w="709" w:type="dxa"/>
            <w:shd w:val="clear" w:color="auto" w:fill="auto"/>
            <w:vAlign w:val="center"/>
          </w:tcPr>
          <w:p w14:paraId="1F304F7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B645EAC"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74909DE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B07D58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2697980D"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20B0F5E1" w14:textId="77777777" w:rsidR="00D34C6F" w:rsidRPr="00CD1278" w:rsidRDefault="00D34C6F" w:rsidP="008277E3">
            <w:pPr>
              <w:spacing w:after="60"/>
              <w:rPr>
                <w:b/>
                <w:color w:val="auto"/>
                <w:sz w:val="10"/>
                <w:szCs w:val="10"/>
              </w:rPr>
            </w:pPr>
          </w:p>
        </w:tc>
        <w:tc>
          <w:tcPr>
            <w:tcW w:w="567" w:type="dxa"/>
          </w:tcPr>
          <w:p w14:paraId="3FD57355" w14:textId="77777777" w:rsidR="00D34C6F" w:rsidRPr="00CD1278" w:rsidRDefault="00D34C6F" w:rsidP="008277E3">
            <w:pPr>
              <w:spacing w:after="60"/>
              <w:jc w:val="center"/>
              <w:rPr>
                <w:b/>
                <w:color w:val="auto"/>
                <w:sz w:val="10"/>
                <w:szCs w:val="10"/>
              </w:rPr>
            </w:pPr>
          </w:p>
        </w:tc>
        <w:tc>
          <w:tcPr>
            <w:tcW w:w="567" w:type="dxa"/>
          </w:tcPr>
          <w:p w14:paraId="7AB65F5D" w14:textId="77777777" w:rsidR="00D34C6F" w:rsidRPr="00CD1278" w:rsidRDefault="00D34C6F" w:rsidP="008277E3">
            <w:pPr>
              <w:spacing w:after="60"/>
              <w:jc w:val="center"/>
              <w:rPr>
                <w:b/>
                <w:color w:val="auto"/>
                <w:sz w:val="10"/>
                <w:szCs w:val="10"/>
              </w:rPr>
            </w:pPr>
          </w:p>
        </w:tc>
        <w:tc>
          <w:tcPr>
            <w:tcW w:w="567" w:type="dxa"/>
          </w:tcPr>
          <w:p w14:paraId="41756AAC" w14:textId="77777777" w:rsidR="00D34C6F" w:rsidRPr="00CD1278" w:rsidRDefault="00D34C6F" w:rsidP="008277E3">
            <w:pPr>
              <w:spacing w:after="60"/>
              <w:jc w:val="center"/>
              <w:rPr>
                <w:b/>
                <w:color w:val="auto"/>
                <w:sz w:val="10"/>
                <w:szCs w:val="10"/>
              </w:rPr>
            </w:pPr>
          </w:p>
        </w:tc>
      </w:tr>
      <w:tr w:rsidR="003C102E" w:rsidRPr="00CD1278" w14:paraId="70868F41" w14:textId="77777777" w:rsidTr="008277E3">
        <w:trPr>
          <w:trHeight w:val="690"/>
          <w:jc w:val="center"/>
        </w:trPr>
        <w:tc>
          <w:tcPr>
            <w:tcW w:w="662" w:type="dxa"/>
            <w:shd w:val="clear" w:color="auto" w:fill="auto"/>
            <w:vAlign w:val="center"/>
          </w:tcPr>
          <w:p w14:paraId="5C2BB4A7" w14:textId="77777777" w:rsidR="00D34C6F" w:rsidRPr="00CD1278" w:rsidRDefault="00D34C6F" w:rsidP="008277E3">
            <w:pPr>
              <w:spacing w:after="60"/>
              <w:rPr>
                <w:color w:val="auto"/>
                <w:sz w:val="12"/>
                <w:szCs w:val="12"/>
              </w:rPr>
            </w:pPr>
            <w:r w:rsidRPr="00CD1278">
              <w:rPr>
                <w:color w:val="auto"/>
                <w:sz w:val="12"/>
                <w:szCs w:val="12"/>
              </w:rPr>
              <w:t>France</w:t>
            </w:r>
          </w:p>
        </w:tc>
        <w:tc>
          <w:tcPr>
            <w:tcW w:w="824" w:type="dxa"/>
            <w:shd w:val="clear" w:color="auto" w:fill="auto"/>
            <w:vAlign w:val="center"/>
          </w:tcPr>
          <w:p w14:paraId="13BE5C0A" w14:textId="77777777" w:rsidR="00D34C6F" w:rsidRPr="00CD1278" w:rsidRDefault="00D34C6F" w:rsidP="00D1371C">
            <w:pPr>
              <w:spacing w:after="60"/>
              <w:ind w:left="-87"/>
              <w:rPr>
                <w:color w:val="auto"/>
                <w:sz w:val="12"/>
                <w:szCs w:val="12"/>
              </w:rPr>
            </w:pPr>
            <w:r w:rsidRPr="00CD1278">
              <w:rPr>
                <w:color w:val="auto"/>
                <w:sz w:val="12"/>
                <w:szCs w:val="12"/>
              </w:rPr>
              <w:t>Pepper</w:t>
            </w:r>
          </w:p>
        </w:tc>
        <w:tc>
          <w:tcPr>
            <w:tcW w:w="770" w:type="dxa"/>
            <w:shd w:val="clear" w:color="auto" w:fill="auto"/>
            <w:vAlign w:val="center"/>
          </w:tcPr>
          <w:p w14:paraId="08DD984B" w14:textId="46EF4008" w:rsidR="00D34C6F" w:rsidRPr="00CD1278" w:rsidRDefault="00D34C6F" w:rsidP="008277E3">
            <w:pPr>
              <w:spacing w:after="60"/>
              <w:rPr>
                <w:color w:val="auto"/>
                <w:sz w:val="10"/>
                <w:szCs w:val="10"/>
              </w:rPr>
            </w:pPr>
            <w:r w:rsidRPr="00CD1278">
              <w:rPr>
                <w:color w:val="auto"/>
                <w:sz w:val="10"/>
                <w:szCs w:val="10"/>
              </w:rPr>
              <w:t>Inclin.tomatocun</w:t>
            </w:r>
          </w:p>
        </w:tc>
        <w:tc>
          <w:tcPr>
            <w:tcW w:w="647" w:type="dxa"/>
            <w:shd w:val="clear" w:color="auto" w:fill="auto"/>
            <w:vAlign w:val="center"/>
          </w:tcPr>
          <w:p w14:paraId="3828329D" w14:textId="77777777" w:rsidR="00D34C6F" w:rsidRPr="00CD1278" w:rsidRDefault="00D34C6F" w:rsidP="008277E3">
            <w:pPr>
              <w:spacing w:after="60"/>
              <w:rPr>
                <w:color w:val="auto"/>
                <w:sz w:val="10"/>
                <w:szCs w:val="10"/>
              </w:rPr>
            </w:pPr>
            <w:r w:rsidRPr="00CD1278">
              <w:rPr>
                <w:color w:val="auto"/>
                <w:sz w:val="10"/>
                <w:szCs w:val="10"/>
              </w:rPr>
              <w:t>27.500</w:t>
            </w:r>
          </w:p>
        </w:tc>
        <w:tc>
          <w:tcPr>
            <w:tcW w:w="709" w:type="dxa"/>
            <w:shd w:val="clear" w:color="auto" w:fill="auto"/>
            <w:vAlign w:val="center"/>
          </w:tcPr>
          <w:p w14:paraId="792A81CE" w14:textId="77777777" w:rsidR="00D34C6F" w:rsidRPr="00CD1278" w:rsidRDefault="00D34C6F" w:rsidP="008277E3">
            <w:pPr>
              <w:spacing w:after="60"/>
              <w:rPr>
                <w:color w:val="auto"/>
                <w:sz w:val="10"/>
                <w:szCs w:val="10"/>
              </w:rPr>
            </w:pPr>
            <w:r w:rsidRPr="00CD1278">
              <w:rPr>
                <w:color w:val="auto"/>
                <w:sz w:val="10"/>
                <w:szCs w:val="10"/>
              </w:rPr>
              <w:t>6.000</w:t>
            </w:r>
          </w:p>
        </w:tc>
        <w:tc>
          <w:tcPr>
            <w:tcW w:w="567" w:type="dxa"/>
            <w:shd w:val="clear" w:color="auto" w:fill="auto"/>
            <w:vAlign w:val="center"/>
          </w:tcPr>
          <w:p w14:paraId="6EC2B4B1"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E9AEA0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811E963"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42334DB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53820C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54EED02"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0FE7105D" w14:textId="77777777" w:rsidR="00D34C6F" w:rsidRPr="00CD1278" w:rsidRDefault="00D34C6F" w:rsidP="008277E3">
            <w:pPr>
              <w:spacing w:after="60"/>
              <w:rPr>
                <w:color w:val="auto"/>
                <w:sz w:val="10"/>
                <w:szCs w:val="10"/>
              </w:rPr>
            </w:pPr>
          </w:p>
        </w:tc>
        <w:tc>
          <w:tcPr>
            <w:tcW w:w="567" w:type="dxa"/>
          </w:tcPr>
          <w:p w14:paraId="2E6B80D3" w14:textId="77777777" w:rsidR="00D34C6F" w:rsidRPr="00CD1278" w:rsidRDefault="00D34C6F" w:rsidP="008277E3">
            <w:pPr>
              <w:spacing w:after="60"/>
              <w:jc w:val="center"/>
              <w:rPr>
                <w:color w:val="auto"/>
                <w:sz w:val="10"/>
                <w:szCs w:val="10"/>
              </w:rPr>
            </w:pPr>
          </w:p>
        </w:tc>
        <w:tc>
          <w:tcPr>
            <w:tcW w:w="567" w:type="dxa"/>
          </w:tcPr>
          <w:p w14:paraId="6D39EB9A"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621061B0"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98088C3" w14:textId="77777777" w:rsidR="00D34C6F" w:rsidRPr="00CD1278" w:rsidRDefault="00D34C6F" w:rsidP="008277E3">
            <w:pPr>
              <w:spacing w:after="60"/>
              <w:rPr>
                <w:color w:val="auto"/>
                <w:sz w:val="10"/>
                <w:szCs w:val="10"/>
              </w:rPr>
            </w:pPr>
            <w:r w:rsidRPr="00CD1278">
              <w:rPr>
                <w:color w:val="auto"/>
                <w:sz w:val="10"/>
                <w:szCs w:val="10"/>
              </w:rPr>
              <w:t>27.500</w:t>
            </w:r>
          </w:p>
        </w:tc>
        <w:tc>
          <w:tcPr>
            <w:tcW w:w="708" w:type="dxa"/>
            <w:shd w:val="clear" w:color="auto" w:fill="auto"/>
            <w:vAlign w:val="center"/>
          </w:tcPr>
          <w:p w14:paraId="430B62ED" w14:textId="77777777" w:rsidR="00D34C6F" w:rsidRPr="00CD1278" w:rsidRDefault="00D34C6F" w:rsidP="008277E3">
            <w:pPr>
              <w:spacing w:after="60"/>
              <w:rPr>
                <w:color w:val="auto"/>
                <w:sz w:val="10"/>
                <w:szCs w:val="10"/>
              </w:rPr>
            </w:pPr>
            <w:r w:rsidRPr="00CD1278">
              <w:rPr>
                <w:color w:val="auto"/>
                <w:sz w:val="10"/>
                <w:szCs w:val="10"/>
              </w:rPr>
              <w:t>6.000</w:t>
            </w:r>
          </w:p>
        </w:tc>
        <w:tc>
          <w:tcPr>
            <w:tcW w:w="709" w:type="dxa"/>
            <w:shd w:val="clear" w:color="auto" w:fill="auto"/>
            <w:vAlign w:val="center"/>
          </w:tcPr>
          <w:p w14:paraId="26DEFFE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40B3626"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4D2940B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2A4C8C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46B776C0"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07537247" w14:textId="77777777" w:rsidR="00D34C6F" w:rsidRPr="00CD1278" w:rsidRDefault="00D34C6F" w:rsidP="008277E3">
            <w:pPr>
              <w:spacing w:after="60"/>
              <w:rPr>
                <w:b/>
                <w:color w:val="auto"/>
                <w:sz w:val="10"/>
                <w:szCs w:val="10"/>
              </w:rPr>
            </w:pPr>
          </w:p>
        </w:tc>
        <w:tc>
          <w:tcPr>
            <w:tcW w:w="567" w:type="dxa"/>
          </w:tcPr>
          <w:p w14:paraId="2753CF0F" w14:textId="77777777" w:rsidR="00D34C6F" w:rsidRPr="00CD1278" w:rsidRDefault="00D34C6F" w:rsidP="008277E3">
            <w:pPr>
              <w:spacing w:after="60"/>
              <w:jc w:val="center"/>
              <w:rPr>
                <w:b/>
                <w:color w:val="auto"/>
                <w:sz w:val="10"/>
                <w:szCs w:val="10"/>
              </w:rPr>
            </w:pPr>
          </w:p>
        </w:tc>
        <w:tc>
          <w:tcPr>
            <w:tcW w:w="567" w:type="dxa"/>
          </w:tcPr>
          <w:p w14:paraId="553B2DF1" w14:textId="77777777" w:rsidR="00D34C6F" w:rsidRPr="00CD1278" w:rsidRDefault="00D34C6F" w:rsidP="008277E3">
            <w:pPr>
              <w:spacing w:after="60"/>
              <w:jc w:val="center"/>
              <w:rPr>
                <w:b/>
                <w:color w:val="auto"/>
                <w:sz w:val="10"/>
                <w:szCs w:val="10"/>
              </w:rPr>
            </w:pPr>
          </w:p>
        </w:tc>
        <w:tc>
          <w:tcPr>
            <w:tcW w:w="567" w:type="dxa"/>
          </w:tcPr>
          <w:p w14:paraId="5A5E58EE" w14:textId="77777777" w:rsidR="00D34C6F" w:rsidRPr="00CD1278" w:rsidRDefault="00D34C6F" w:rsidP="008277E3">
            <w:pPr>
              <w:spacing w:after="60"/>
              <w:jc w:val="center"/>
              <w:rPr>
                <w:b/>
                <w:color w:val="auto"/>
                <w:sz w:val="10"/>
                <w:szCs w:val="10"/>
              </w:rPr>
            </w:pPr>
          </w:p>
        </w:tc>
      </w:tr>
      <w:tr w:rsidR="003C102E" w:rsidRPr="00CD1278" w14:paraId="17A56177" w14:textId="77777777" w:rsidTr="008277E3">
        <w:trPr>
          <w:trHeight w:val="465"/>
          <w:jc w:val="center"/>
        </w:trPr>
        <w:tc>
          <w:tcPr>
            <w:tcW w:w="662" w:type="dxa"/>
            <w:shd w:val="clear" w:color="auto" w:fill="auto"/>
            <w:vAlign w:val="center"/>
          </w:tcPr>
          <w:p w14:paraId="7532A6EC" w14:textId="77777777" w:rsidR="00D34C6F" w:rsidRPr="00CD1278" w:rsidRDefault="00D34C6F" w:rsidP="008277E3">
            <w:pPr>
              <w:spacing w:after="60"/>
              <w:rPr>
                <w:color w:val="auto"/>
                <w:sz w:val="12"/>
                <w:szCs w:val="12"/>
              </w:rPr>
            </w:pPr>
            <w:r w:rsidRPr="00CD1278">
              <w:rPr>
                <w:color w:val="auto"/>
                <w:sz w:val="12"/>
                <w:szCs w:val="12"/>
              </w:rPr>
              <w:t>France</w:t>
            </w:r>
          </w:p>
        </w:tc>
        <w:tc>
          <w:tcPr>
            <w:tcW w:w="824" w:type="dxa"/>
            <w:shd w:val="clear" w:color="auto" w:fill="auto"/>
            <w:vAlign w:val="center"/>
          </w:tcPr>
          <w:p w14:paraId="333AA4BF" w14:textId="77777777" w:rsidR="00D34C6F" w:rsidRPr="00CD1278" w:rsidRDefault="00D34C6F" w:rsidP="00D1371C">
            <w:pPr>
              <w:spacing w:after="60"/>
              <w:ind w:left="-87"/>
              <w:rPr>
                <w:color w:val="auto"/>
                <w:sz w:val="12"/>
                <w:szCs w:val="12"/>
              </w:rPr>
            </w:pPr>
            <w:r w:rsidRPr="00CD1278">
              <w:rPr>
                <w:color w:val="auto"/>
                <w:sz w:val="12"/>
                <w:szCs w:val="12"/>
              </w:rPr>
              <w:t>Strawberry fruit</w:t>
            </w:r>
          </w:p>
        </w:tc>
        <w:tc>
          <w:tcPr>
            <w:tcW w:w="770" w:type="dxa"/>
            <w:shd w:val="clear" w:color="auto" w:fill="auto"/>
            <w:vAlign w:val="center"/>
          </w:tcPr>
          <w:p w14:paraId="6BCEF459" w14:textId="77777777" w:rsidR="00D34C6F" w:rsidRPr="00CD1278" w:rsidRDefault="00D34C6F" w:rsidP="008277E3">
            <w:pPr>
              <w:spacing w:after="60"/>
              <w:rPr>
                <w:color w:val="auto"/>
                <w:sz w:val="10"/>
                <w:szCs w:val="10"/>
              </w:rPr>
            </w:pPr>
            <w:r w:rsidRPr="00CD1278">
              <w:rPr>
                <w:color w:val="auto"/>
                <w:sz w:val="10"/>
                <w:szCs w:val="10"/>
              </w:rPr>
              <w:t>90.000</w:t>
            </w:r>
          </w:p>
        </w:tc>
        <w:tc>
          <w:tcPr>
            <w:tcW w:w="647" w:type="dxa"/>
            <w:shd w:val="clear" w:color="auto" w:fill="auto"/>
            <w:vAlign w:val="center"/>
          </w:tcPr>
          <w:p w14:paraId="7D80E6AD" w14:textId="77777777" w:rsidR="00D34C6F" w:rsidRPr="00CD1278" w:rsidRDefault="00D34C6F" w:rsidP="008277E3">
            <w:pPr>
              <w:spacing w:after="60"/>
              <w:rPr>
                <w:color w:val="auto"/>
                <w:sz w:val="10"/>
                <w:szCs w:val="10"/>
              </w:rPr>
            </w:pPr>
            <w:r w:rsidRPr="00CD1278">
              <w:rPr>
                <w:color w:val="auto"/>
                <w:sz w:val="10"/>
                <w:szCs w:val="10"/>
              </w:rPr>
              <w:t>86.000</w:t>
            </w:r>
          </w:p>
        </w:tc>
        <w:tc>
          <w:tcPr>
            <w:tcW w:w="709" w:type="dxa"/>
            <w:shd w:val="clear" w:color="auto" w:fill="auto"/>
            <w:vAlign w:val="center"/>
          </w:tcPr>
          <w:p w14:paraId="551E6DDD" w14:textId="77777777" w:rsidR="00D34C6F" w:rsidRPr="00CD1278" w:rsidRDefault="00D34C6F" w:rsidP="008277E3">
            <w:pPr>
              <w:spacing w:after="60"/>
              <w:rPr>
                <w:color w:val="auto"/>
                <w:sz w:val="10"/>
                <w:szCs w:val="10"/>
              </w:rPr>
            </w:pPr>
            <w:r w:rsidRPr="00CD1278">
              <w:rPr>
                <w:color w:val="auto"/>
                <w:sz w:val="10"/>
                <w:szCs w:val="10"/>
              </w:rPr>
              <w:t>34.000</w:t>
            </w:r>
          </w:p>
        </w:tc>
        <w:tc>
          <w:tcPr>
            <w:tcW w:w="567" w:type="dxa"/>
            <w:shd w:val="clear" w:color="auto" w:fill="auto"/>
            <w:vAlign w:val="center"/>
          </w:tcPr>
          <w:p w14:paraId="0B698A3C"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AE8D63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16E1110"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76913EA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D1D23B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1F139AB"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3E3E2273" w14:textId="77777777" w:rsidR="00D34C6F" w:rsidRPr="00CD1278" w:rsidRDefault="00D34C6F" w:rsidP="008277E3">
            <w:pPr>
              <w:spacing w:after="60"/>
              <w:rPr>
                <w:color w:val="auto"/>
                <w:sz w:val="10"/>
                <w:szCs w:val="10"/>
              </w:rPr>
            </w:pPr>
          </w:p>
        </w:tc>
        <w:tc>
          <w:tcPr>
            <w:tcW w:w="567" w:type="dxa"/>
          </w:tcPr>
          <w:p w14:paraId="70BC5AA2" w14:textId="77777777" w:rsidR="00D34C6F" w:rsidRPr="00CD1278" w:rsidRDefault="00D34C6F" w:rsidP="008277E3">
            <w:pPr>
              <w:spacing w:after="60"/>
              <w:jc w:val="center"/>
              <w:rPr>
                <w:color w:val="auto"/>
                <w:sz w:val="10"/>
                <w:szCs w:val="10"/>
              </w:rPr>
            </w:pPr>
          </w:p>
        </w:tc>
        <w:tc>
          <w:tcPr>
            <w:tcW w:w="567" w:type="dxa"/>
          </w:tcPr>
          <w:p w14:paraId="04EDF649"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380E04B2" w14:textId="77777777" w:rsidR="00D34C6F" w:rsidRPr="00CD1278" w:rsidRDefault="00D34C6F" w:rsidP="008277E3">
            <w:pPr>
              <w:spacing w:after="60"/>
              <w:rPr>
                <w:color w:val="auto"/>
                <w:sz w:val="10"/>
                <w:szCs w:val="10"/>
              </w:rPr>
            </w:pPr>
            <w:r w:rsidRPr="00CD1278">
              <w:rPr>
                <w:color w:val="auto"/>
                <w:sz w:val="10"/>
                <w:szCs w:val="10"/>
              </w:rPr>
              <w:t>90.000</w:t>
            </w:r>
          </w:p>
        </w:tc>
        <w:tc>
          <w:tcPr>
            <w:tcW w:w="709" w:type="dxa"/>
            <w:shd w:val="clear" w:color="auto" w:fill="auto"/>
            <w:vAlign w:val="center"/>
          </w:tcPr>
          <w:p w14:paraId="0CD6E0A8" w14:textId="77777777" w:rsidR="00D34C6F" w:rsidRPr="00CD1278" w:rsidRDefault="00D34C6F" w:rsidP="008277E3">
            <w:pPr>
              <w:spacing w:after="60"/>
              <w:rPr>
                <w:color w:val="auto"/>
                <w:sz w:val="10"/>
                <w:szCs w:val="10"/>
              </w:rPr>
            </w:pPr>
            <w:r w:rsidRPr="00CD1278">
              <w:rPr>
                <w:color w:val="auto"/>
                <w:sz w:val="10"/>
                <w:szCs w:val="10"/>
              </w:rPr>
              <w:t>86.000</w:t>
            </w:r>
          </w:p>
        </w:tc>
        <w:tc>
          <w:tcPr>
            <w:tcW w:w="708" w:type="dxa"/>
            <w:shd w:val="clear" w:color="auto" w:fill="auto"/>
            <w:vAlign w:val="center"/>
          </w:tcPr>
          <w:p w14:paraId="2A754527"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FEAC4E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C8FD22B"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47E7AC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3394F9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8AEC373"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038CCEB9" w14:textId="77777777" w:rsidR="00D34C6F" w:rsidRPr="00CD1278" w:rsidRDefault="00D34C6F" w:rsidP="008277E3">
            <w:pPr>
              <w:spacing w:after="60"/>
              <w:rPr>
                <w:b/>
                <w:color w:val="auto"/>
                <w:sz w:val="10"/>
                <w:szCs w:val="10"/>
              </w:rPr>
            </w:pPr>
          </w:p>
        </w:tc>
        <w:tc>
          <w:tcPr>
            <w:tcW w:w="567" w:type="dxa"/>
          </w:tcPr>
          <w:p w14:paraId="4BE34EAC" w14:textId="77777777" w:rsidR="00D34C6F" w:rsidRPr="00CD1278" w:rsidRDefault="00D34C6F" w:rsidP="008277E3">
            <w:pPr>
              <w:spacing w:after="60"/>
              <w:jc w:val="center"/>
              <w:rPr>
                <w:b/>
                <w:color w:val="auto"/>
                <w:sz w:val="10"/>
                <w:szCs w:val="10"/>
              </w:rPr>
            </w:pPr>
          </w:p>
        </w:tc>
        <w:tc>
          <w:tcPr>
            <w:tcW w:w="567" w:type="dxa"/>
          </w:tcPr>
          <w:p w14:paraId="6A4DF08D" w14:textId="77777777" w:rsidR="00D34C6F" w:rsidRPr="00CD1278" w:rsidRDefault="00D34C6F" w:rsidP="008277E3">
            <w:pPr>
              <w:spacing w:after="60"/>
              <w:jc w:val="center"/>
              <w:rPr>
                <w:b/>
                <w:color w:val="auto"/>
                <w:sz w:val="10"/>
                <w:szCs w:val="10"/>
              </w:rPr>
            </w:pPr>
          </w:p>
        </w:tc>
        <w:tc>
          <w:tcPr>
            <w:tcW w:w="567" w:type="dxa"/>
          </w:tcPr>
          <w:p w14:paraId="4B1249C8" w14:textId="77777777" w:rsidR="00D34C6F" w:rsidRPr="00CD1278" w:rsidRDefault="00D34C6F" w:rsidP="008277E3">
            <w:pPr>
              <w:spacing w:after="60"/>
              <w:jc w:val="center"/>
              <w:rPr>
                <w:b/>
                <w:color w:val="auto"/>
                <w:sz w:val="10"/>
                <w:szCs w:val="10"/>
              </w:rPr>
            </w:pPr>
          </w:p>
        </w:tc>
      </w:tr>
      <w:tr w:rsidR="003C102E" w:rsidRPr="00CD1278" w14:paraId="1B8F1114" w14:textId="77777777" w:rsidTr="008277E3">
        <w:trPr>
          <w:trHeight w:val="465"/>
          <w:jc w:val="center"/>
        </w:trPr>
        <w:tc>
          <w:tcPr>
            <w:tcW w:w="662" w:type="dxa"/>
            <w:shd w:val="clear" w:color="auto" w:fill="auto"/>
            <w:vAlign w:val="center"/>
          </w:tcPr>
          <w:p w14:paraId="3E98C39C" w14:textId="77777777" w:rsidR="00D34C6F" w:rsidRPr="00CD1278" w:rsidRDefault="00D34C6F" w:rsidP="008277E3">
            <w:pPr>
              <w:spacing w:after="60"/>
              <w:rPr>
                <w:color w:val="auto"/>
                <w:sz w:val="12"/>
                <w:szCs w:val="12"/>
              </w:rPr>
            </w:pPr>
            <w:r w:rsidRPr="00CD1278">
              <w:rPr>
                <w:color w:val="auto"/>
                <w:sz w:val="12"/>
                <w:szCs w:val="12"/>
              </w:rPr>
              <w:t>France</w:t>
            </w:r>
          </w:p>
        </w:tc>
        <w:tc>
          <w:tcPr>
            <w:tcW w:w="824" w:type="dxa"/>
            <w:shd w:val="clear" w:color="auto" w:fill="auto"/>
            <w:vAlign w:val="center"/>
          </w:tcPr>
          <w:p w14:paraId="0595060D" w14:textId="77777777" w:rsidR="00D34C6F" w:rsidRPr="00CD1278" w:rsidRDefault="00D34C6F" w:rsidP="00D1371C">
            <w:pPr>
              <w:spacing w:after="60"/>
              <w:ind w:left="-87"/>
              <w:rPr>
                <w:color w:val="auto"/>
                <w:sz w:val="12"/>
                <w:szCs w:val="12"/>
              </w:rPr>
            </w:pPr>
            <w:r w:rsidRPr="00CD1278">
              <w:rPr>
                <w:color w:val="auto"/>
                <w:sz w:val="12"/>
                <w:szCs w:val="12"/>
              </w:rPr>
              <w:t>Strawberry runners</w:t>
            </w:r>
          </w:p>
        </w:tc>
        <w:tc>
          <w:tcPr>
            <w:tcW w:w="770" w:type="dxa"/>
            <w:shd w:val="clear" w:color="auto" w:fill="auto"/>
            <w:vAlign w:val="center"/>
          </w:tcPr>
          <w:p w14:paraId="4115D40C" w14:textId="77777777" w:rsidR="00D34C6F" w:rsidRPr="00CD1278" w:rsidRDefault="00D34C6F" w:rsidP="008277E3">
            <w:pPr>
              <w:spacing w:after="60"/>
              <w:rPr>
                <w:color w:val="auto"/>
                <w:sz w:val="10"/>
                <w:szCs w:val="10"/>
              </w:rPr>
            </w:pPr>
            <w:r w:rsidRPr="00CD1278">
              <w:rPr>
                <w:color w:val="auto"/>
                <w:sz w:val="10"/>
                <w:szCs w:val="10"/>
              </w:rPr>
              <w:t>40.000</w:t>
            </w:r>
          </w:p>
        </w:tc>
        <w:tc>
          <w:tcPr>
            <w:tcW w:w="647" w:type="dxa"/>
            <w:shd w:val="clear" w:color="auto" w:fill="auto"/>
            <w:vAlign w:val="center"/>
          </w:tcPr>
          <w:p w14:paraId="7D74BA74" w14:textId="77777777" w:rsidR="00D34C6F" w:rsidRPr="00CD1278" w:rsidRDefault="00D34C6F" w:rsidP="008277E3">
            <w:pPr>
              <w:spacing w:after="60"/>
              <w:rPr>
                <w:color w:val="auto"/>
                <w:sz w:val="10"/>
                <w:szCs w:val="10"/>
              </w:rPr>
            </w:pPr>
            <w:r w:rsidRPr="00CD1278">
              <w:rPr>
                <w:color w:val="auto"/>
                <w:sz w:val="10"/>
                <w:szCs w:val="10"/>
              </w:rPr>
              <w:t>4.000</w:t>
            </w:r>
          </w:p>
        </w:tc>
        <w:tc>
          <w:tcPr>
            <w:tcW w:w="709" w:type="dxa"/>
            <w:shd w:val="clear" w:color="auto" w:fill="auto"/>
            <w:vAlign w:val="center"/>
          </w:tcPr>
          <w:p w14:paraId="0221FC24" w14:textId="77777777" w:rsidR="00D34C6F" w:rsidRPr="00CD1278" w:rsidRDefault="00D34C6F" w:rsidP="008277E3">
            <w:pPr>
              <w:spacing w:after="60"/>
              <w:rPr>
                <w:color w:val="auto"/>
                <w:sz w:val="10"/>
                <w:szCs w:val="10"/>
              </w:rPr>
            </w:pPr>
            <w:r w:rsidRPr="00CD1278">
              <w:rPr>
                <w:color w:val="auto"/>
                <w:sz w:val="10"/>
                <w:szCs w:val="10"/>
              </w:rPr>
              <w:t>35.000</w:t>
            </w:r>
          </w:p>
        </w:tc>
        <w:tc>
          <w:tcPr>
            <w:tcW w:w="567" w:type="dxa"/>
            <w:shd w:val="clear" w:color="auto" w:fill="auto"/>
            <w:vAlign w:val="center"/>
          </w:tcPr>
          <w:p w14:paraId="6CD2984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628427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18AD760"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3675594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EEF367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A083643"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38167E6F" w14:textId="77777777" w:rsidR="00D34C6F" w:rsidRPr="00CD1278" w:rsidRDefault="00D34C6F" w:rsidP="008277E3">
            <w:pPr>
              <w:spacing w:after="60"/>
              <w:rPr>
                <w:color w:val="auto"/>
                <w:sz w:val="10"/>
                <w:szCs w:val="10"/>
              </w:rPr>
            </w:pPr>
          </w:p>
        </w:tc>
        <w:tc>
          <w:tcPr>
            <w:tcW w:w="567" w:type="dxa"/>
          </w:tcPr>
          <w:p w14:paraId="51FD36D9" w14:textId="77777777" w:rsidR="00D34C6F" w:rsidRPr="00CD1278" w:rsidRDefault="00D34C6F" w:rsidP="008277E3">
            <w:pPr>
              <w:spacing w:after="60"/>
              <w:jc w:val="center"/>
              <w:rPr>
                <w:color w:val="auto"/>
                <w:sz w:val="10"/>
                <w:szCs w:val="10"/>
              </w:rPr>
            </w:pPr>
          </w:p>
        </w:tc>
        <w:tc>
          <w:tcPr>
            <w:tcW w:w="567" w:type="dxa"/>
          </w:tcPr>
          <w:p w14:paraId="7A2E0A74"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53540C5C" w14:textId="77777777" w:rsidR="00D34C6F" w:rsidRPr="00CD1278" w:rsidRDefault="00D34C6F" w:rsidP="008277E3">
            <w:pPr>
              <w:spacing w:after="60"/>
              <w:rPr>
                <w:color w:val="auto"/>
                <w:sz w:val="10"/>
                <w:szCs w:val="10"/>
              </w:rPr>
            </w:pPr>
            <w:r w:rsidRPr="00CD1278">
              <w:rPr>
                <w:color w:val="auto"/>
                <w:sz w:val="10"/>
                <w:szCs w:val="10"/>
              </w:rPr>
              <w:t>40.000</w:t>
            </w:r>
          </w:p>
        </w:tc>
        <w:tc>
          <w:tcPr>
            <w:tcW w:w="709" w:type="dxa"/>
            <w:shd w:val="clear" w:color="auto" w:fill="auto"/>
            <w:vAlign w:val="center"/>
          </w:tcPr>
          <w:p w14:paraId="5A6B07F4" w14:textId="77777777" w:rsidR="00D34C6F" w:rsidRPr="00CD1278" w:rsidRDefault="00D34C6F" w:rsidP="008277E3">
            <w:pPr>
              <w:spacing w:after="60"/>
              <w:rPr>
                <w:color w:val="auto"/>
                <w:sz w:val="10"/>
                <w:szCs w:val="10"/>
              </w:rPr>
            </w:pPr>
            <w:r w:rsidRPr="00CD1278">
              <w:rPr>
                <w:color w:val="auto"/>
                <w:sz w:val="10"/>
                <w:szCs w:val="10"/>
              </w:rPr>
              <w:t>40.000</w:t>
            </w:r>
          </w:p>
        </w:tc>
        <w:tc>
          <w:tcPr>
            <w:tcW w:w="708" w:type="dxa"/>
            <w:shd w:val="clear" w:color="auto" w:fill="auto"/>
            <w:vAlign w:val="center"/>
          </w:tcPr>
          <w:p w14:paraId="571CF002" w14:textId="77777777" w:rsidR="00D34C6F" w:rsidRPr="00CD1278" w:rsidRDefault="00D34C6F" w:rsidP="008277E3">
            <w:pPr>
              <w:spacing w:after="60"/>
              <w:rPr>
                <w:color w:val="auto"/>
                <w:sz w:val="10"/>
                <w:szCs w:val="10"/>
              </w:rPr>
            </w:pPr>
            <w:r w:rsidRPr="00CD1278">
              <w:rPr>
                <w:color w:val="auto"/>
                <w:sz w:val="10"/>
                <w:szCs w:val="10"/>
              </w:rPr>
              <w:t>28.000</w:t>
            </w:r>
          </w:p>
        </w:tc>
        <w:tc>
          <w:tcPr>
            <w:tcW w:w="709" w:type="dxa"/>
            <w:shd w:val="clear" w:color="auto" w:fill="auto"/>
            <w:vAlign w:val="center"/>
          </w:tcPr>
          <w:p w14:paraId="0C306AC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87DE76E"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124403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6BFCB2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36E277B5"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2917260F" w14:textId="77777777" w:rsidR="00D34C6F" w:rsidRPr="00CD1278" w:rsidRDefault="00D34C6F" w:rsidP="008277E3">
            <w:pPr>
              <w:spacing w:after="60"/>
              <w:rPr>
                <w:b/>
                <w:color w:val="auto"/>
                <w:sz w:val="10"/>
                <w:szCs w:val="10"/>
              </w:rPr>
            </w:pPr>
          </w:p>
        </w:tc>
        <w:tc>
          <w:tcPr>
            <w:tcW w:w="567" w:type="dxa"/>
          </w:tcPr>
          <w:p w14:paraId="781BD5FA" w14:textId="77777777" w:rsidR="00D34C6F" w:rsidRPr="00CD1278" w:rsidRDefault="00D34C6F" w:rsidP="008277E3">
            <w:pPr>
              <w:spacing w:after="60"/>
              <w:jc w:val="center"/>
              <w:rPr>
                <w:b/>
                <w:color w:val="auto"/>
                <w:sz w:val="10"/>
                <w:szCs w:val="10"/>
              </w:rPr>
            </w:pPr>
          </w:p>
        </w:tc>
        <w:tc>
          <w:tcPr>
            <w:tcW w:w="567" w:type="dxa"/>
          </w:tcPr>
          <w:p w14:paraId="5EECD16D" w14:textId="77777777" w:rsidR="00D34C6F" w:rsidRPr="00CD1278" w:rsidRDefault="00D34C6F" w:rsidP="008277E3">
            <w:pPr>
              <w:spacing w:after="60"/>
              <w:jc w:val="center"/>
              <w:rPr>
                <w:b/>
                <w:color w:val="auto"/>
                <w:sz w:val="10"/>
                <w:szCs w:val="10"/>
              </w:rPr>
            </w:pPr>
          </w:p>
        </w:tc>
        <w:tc>
          <w:tcPr>
            <w:tcW w:w="567" w:type="dxa"/>
          </w:tcPr>
          <w:p w14:paraId="3E2B3B4F" w14:textId="77777777" w:rsidR="00D34C6F" w:rsidRPr="00CD1278" w:rsidRDefault="00D34C6F" w:rsidP="008277E3">
            <w:pPr>
              <w:spacing w:after="60"/>
              <w:jc w:val="center"/>
              <w:rPr>
                <w:b/>
                <w:color w:val="auto"/>
                <w:sz w:val="10"/>
                <w:szCs w:val="10"/>
              </w:rPr>
            </w:pPr>
          </w:p>
        </w:tc>
      </w:tr>
      <w:tr w:rsidR="003C102E" w:rsidRPr="00CD1278" w14:paraId="7C8FD487" w14:textId="77777777" w:rsidTr="008277E3">
        <w:trPr>
          <w:trHeight w:val="658"/>
          <w:jc w:val="center"/>
        </w:trPr>
        <w:tc>
          <w:tcPr>
            <w:tcW w:w="662" w:type="dxa"/>
            <w:shd w:val="clear" w:color="auto" w:fill="auto"/>
            <w:vAlign w:val="center"/>
          </w:tcPr>
          <w:p w14:paraId="5A8EFBC3" w14:textId="77777777" w:rsidR="00D34C6F" w:rsidRPr="00CD1278" w:rsidRDefault="00D34C6F" w:rsidP="008277E3">
            <w:pPr>
              <w:spacing w:after="60"/>
              <w:rPr>
                <w:color w:val="auto"/>
                <w:sz w:val="12"/>
                <w:szCs w:val="12"/>
              </w:rPr>
            </w:pPr>
            <w:r w:rsidRPr="00CD1278">
              <w:rPr>
                <w:color w:val="auto"/>
                <w:sz w:val="12"/>
                <w:szCs w:val="12"/>
              </w:rPr>
              <w:t>France</w:t>
            </w:r>
          </w:p>
        </w:tc>
        <w:tc>
          <w:tcPr>
            <w:tcW w:w="824" w:type="dxa"/>
            <w:shd w:val="clear" w:color="auto" w:fill="auto"/>
            <w:vAlign w:val="center"/>
          </w:tcPr>
          <w:p w14:paraId="3A5D5D54" w14:textId="77777777" w:rsidR="00D34C6F" w:rsidRPr="00CD1278" w:rsidRDefault="00D34C6F" w:rsidP="00D1371C">
            <w:pPr>
              <w:spacing w:after="60"/>
              <w:ind w:left="-87"/>
              <w:rPr>
                <w:color w:val="auto"/>
                <w:sz w:val="12"/>
                <w:szCs w:val="12"/>
              </w:rPr>
            </w:pPr>
            <w:r w:rsidRPr="00CD1278">
              <w:rPr>
                <w:color w:val="auto"/>
                <w:sz w:val="12"/>
                <w:szCs w:val="12"/>
              </w:rPr>
              <w:t>Tomato (and eggplant for 2005 only)</w:t>
            </w:r>
          </w:p>
        </w:tc>
        <w:tc>
          <w:tcPr>
            <w:tcW w:w="770" w:type="dxa"/>
            <w:shd w:val="clear" w:color="auto" w:fill="auto"/>
            <w:vAlign w:val="center"/>
          </w:tcPr>
          <w:p w14:paraId="2AD2322A" w14:textId="77777777" w:rsidR="00D34C6F" w:rsidRPr="00CD1278" w:rsidRDefault="00D34C6F" w:rsidP="008277E3">
            <w:pPr>
              <w:spacing w:after="60"/>
              <w:rPr>
                <w:color w:val="auto"/>
                <w:sz w:val="10"/>
                <w:szCs w:val="10"/>
              </w:rPr>
            </w:pPr>
            <w:r w:rsidRPr="00CD1278">
              <w:rPr>
                <w:color w:val="auto"/>
                <w:sz w:val="10"/>
                <w:szCs w:val="10"/>
              </w:rPr>
              <w:t>150(all solanaceous)</w:t>
            </w:r>
          </w:p>
        </w:tc>
        <w:tc>
          <w:tcPr>
            <w:tcW w:w="647" w:type="dxa"/>
            <w:shd w:val="clear" w:color="auto" w:fill="auto"/>
            <w:vAlign w:val="center"/>
          </w:tcPr>
          <w:p w14:paraId="5CDB3625" w14:textId="77777777" w:rsidR="00D34C6F" w:rsidRPr="00CD1278" w:rsidRDefault="00D34C6F" w:rsidP="008277E3">
            <w:pPr>
              <w:spacing w:after="60"/>
              <w:rPr>
                <w:color w:val="auto"/>
                <w:sz w:val="10"/>
                <w:szCs w:val="10"/>
              </w:rPr>
            </w:pPr>
            <w:r w:rsidRPr="00CD1278">
              <w:rPr>
                <w:color w:val="auto"/>
                <w:sz w:val="10"/>
                <w:szCs w:val="10"/>
              </w:rPr>
              <w:t>60.500</w:t>
            </w:r>
          </w:p>
        </w:tc>
        <w:tc>
          <w:tcPr>
            <w:tcW w:w="709" w:type="dxa"/>
            <w:shd w:val="clear" w:color="auto" w:fill="auto"/>
            <w:vAlign w:val="center"/>
          </w:tcPr>
          <w:p w14:paraId="60B90ED1" w14:textId="77777777" w:rsidR="00D34C6F" w:rsidRPr="00CD1278" w:rsidRDefault="00D34C6F" w:rsidP="008277E3">
            <w:pPr>
              <w:spacing w:after="60"/>
              <w:rPr>
                <w:color w:val="auto"/>
                <w:sz w:val="10"/>
                <w:szCs w:val="10"/>
              </w:rPr>
            </w:pPr>
            <w:r w:rsidRPr="00CD1278">
              <w:rPr>
                <w:color w:val="auto"/>
                <w:sz w:val="10"/>
                <w:szCs w:val="10"/>
              </w:rPr>
              <w:t>33.250</w:t>
            </w:r>
          </w:p>
        </w:tc>
        <w:tc>
          <w:tcPr>
            <w:tcW w:w="567" w:type="dxa"/>
            <w:shd w:val="clear" w:color="auto" w:fill="auto"/>
            <w:vAlign w:val="center"/>
          </w:tcPr>
          <w:p w14:paraId="367A5EEA"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F97FB9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49ACB3B"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5173834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7811E4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F727211"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348EB079" w14:textId="77777777" w:rsidR="00D34C6F" w:rsidRPr="00CD1278" w:rsidRDefault="00D34C6F" w:rsidP="008277E3">
            <w:pPr>
              <w:spacing w:after="60"/>
              <w:rPr>
                <w:color w:val="auto"/>
                <w:sz w:val="10"/>
                <w:szCs w:val="10"/>
              </w:rPr>
            </w:pPr>
          </w:p>
        </w:tc>
        <w:tc>
          <w:tcPr>
            <w:tcW w:w="567" w:type="dxa"/>
          </w:tcPr>
          <w:p w14:paraId="6114D192" w14:textId="77777777" w:rsidR="00D34C6F" w:rsidRPr="00CD1278" w:rsidRDefault="00D34C6F" w:rsidP="008277E3">
            <w:pPr>
              <w:spacing w:after="60"/>
              <w:jc w:val="center"/>
              <w:rPr>
                <w:color w:val="auto"/>
                <w:sz w:val="10"/>
                <w:szCs w:val="10"/>
              </w:rPr>
            </w:pPr>
          </w:p>
        </w:tc>
        <w:tc>
          <w:tcPr>
            <w:tcW w:w="567" w:type="dxa"/>
          </w:tcPr>
          <w:p w14:paraId="76B8B00B"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6468651" w14:textId="77777777" w:rsidR="00D34C6F" w:rsidRPr="00CD1278" w:rsidRDefault="00D34C6F" w:rsidP="008277E3">
            <w:pPr>
              <w:spacing w:after="60"/>
              <w:rPr>
                <w:color w:val="auto"/>
                <w:sz w:val="10"/>
                <w:szCs w:val="10"/>
              </w:rPr>
            </w:pPr>
            <w:r w:rsidRPr="00CD1278">
              <w:rPr>
                <w:color w:val="auto"/>
                <w:sz w:val="10"/>
                <w:szCs w:val="10"/>
              </w:rPr>
              <w:t>125.000</w:t>
            </w:r>
          </w:p>
        </w:tc>
        <w:tc>
          <w:tcPr>
            <w:tcW w:w="709" w:type="dxa"/>
            <w:shd w:val="clear" w:color="auto" w:fill="auto"/>
            <w:vAlign w:val="center"/>
          </w:tcPr>
          <w:p w14:paraId="7A9B8FB0" w14:textId="77777777" w:rsidR="00D34C6F" w:rsidRPr="00CD1278" w:rsidRDefault="00D34C6F" w:rsidP="008277E3">
            <w:pPr>
              <w:spacing w:after="60"/>
              <w:rPr>
                <w:color w:val="auto"/>
                <w:sz w:val="10"/>
                <w:szCs w:val="10"/>
              </w:rPr>
            </w:pPr>
            <w:r w:rsidRPr="00CD1278">
              <w:rPr>
                <w:color w:val="auto"/>
                <w:sz w:val="10"/>
                <w:szCs w:val="10"/>
              </w:rPr>
              <w:t>48.400</w:t>
            </w:r>
          </w:p>
        </w:tc>
        <w:tc>
          <w:tcPr>
            <w:tcW w:w="708" w:type="dxa"/>
            <w:shd w:val="clear" w:color="auto" w:fill="auto"/>
            <w:vAlign w:val="center"/>
          </w:tcPr>
          <w:p w14:paraId="3CE450F8"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E0301A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463290C"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1B2AB93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10FE5D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69F257A7"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111991FD" w14:textId="77777777" w:rsidR="00D34C6F" w:rsidRPr="00CD1278" w:rsidRDefault="00D34C6F" w:rsidP="008277E3">
            <w:pPr>
              <w:spacing w:after="60"/>
              <w:rPr>
                <w:b/>
                <w:color w:val="auto"/>
                <w:sz w:val="10"/>
                <w:szCs w:val="10"/>
              </w:rPr>
            </w:pPr>
          </w:p>
        </w:tc>
        <w:tc>
          <w:tcPr>
            <w:tcW w:w="567" w:type="dxa"/>
          </w:tcPr>
          <w:p w14:paraId="1D02551A" w14:textId="77777777" w:rsidR="00D34C6F" w:rsidRPr="00CD1278" w:rsidRDefault="00D34C6F" w:rsidP="008277E3">
            <w:pPr>
              <w:spacing w:after="60"/>
              <w:jc w:val="center"/>
              <w:rPr>
                <w:b/>
                <w:color w:val="auto"/>
                <w:sz w:val="10"/>
                <w:szCs w:val="10"/>
              </w:rPr>
            </w:pPr>
          </w:p>
        </w:tc>
        <w:tc>
          <w:tcPr>
            <w:tcW w:w="567" w:type="dxa"/>
          </w:tcPr>
          <w:p w14:paraId="7D879724" w14:textId="77777777" w:rsidR="00D34C6F" w:rsidRPr="00CD1278" w:rsidRDefault="00D34C6F" w:rsidP="008277E3">
            <w:pPr>
              <w:spacing w:after="60"/>
              <w:jc w:val="center"/>
              <w:rPr>
                <w:b/>
                <w:color w:val="auto"/>
                <w:sz w:val="10"/>
                <w:szCs w:val="10"/>
              </w:rPr>
            </w:pPr>
          </w:p>
        </w:tc>
        <w:tc>
          <w:tcPr>
            <w:tcW w:w="567" w:type="dxa"/>
          </w:tcPr>
          <w:p w14:paraId="55BE31F8" w14:textId="77777777" w:rsidR="00D34C6F" w:rsidRPr="00CD1278" w:rsidRDefault="00D34C6F" w:rsidP="008277E3">
            <w:pPr>
              <w:spacing w:after="60"/>
              <w:jc w:val="center"/>
              <w:rPr>
                <w:b/>
                <w:color w:val="auto"/>
                <w:sz w:val="10"/>
                <w:szCs w:val="10"/>
              </w:rPr>
            </w:pPr>
          </w:p>
        </w:tc>
      </w:tr>
      <w:tr w:rsidR="003C102E" w:rsidRPr="00CD1278" w14:paraId="63D1B5F0" w14:textId="77777777" w:rsidTr="008277E3">
        <w:trPr>
          <w:trHeight w:val="270"/>
          <w:jc w:val="center"/>
        </w:trPr>
        <w:tc>
          <w:tcPr>
            <w:tcW w:w="662" w:type="dxa"/>
            <w:shd w:val="clear" w:color="auto" w:fill="auto"/>
            <w:vAlign w:val="center"/>
          </w:tcPr>
          <w:p w14:paraId="34D92C4A" w14:textId="77777777" w:rsidR="00D34C6F" w:rsidRPr="00CD1278" w:rsidRDefault="00D34C6F" w:rsidP="008277E3">
            <w:pPr>
              <w:spacing w:after="60"/>
              <w:rPr>
                <w:color w:val="auto"/>
                <w:sz w:val="12"/>
                <w:szCs w:val="12"/>
              </w:rPr>
            </w:pPr>
            <w:r w:rsidRPr="00CD1278">
              <w:rPr>
                <w:color w:val="auto"/>
                <w:sz w:val="12"/>
                <w:szCs w:val="12"/>
              </w:rPr>
              <w:t>France</w:t>
            </w:r>
          </w:p>
        </w:tc>
        <w:tc>
          <w:tcPr>
            <w:tcW w:w="824" w:type="dxa"/>
            <w:shd w:val="clear" w:color="auto" w:fill="auto"/>
            <w:vAlign w:val="center"/>
          </w:tcPr>
          <w:p w14:paraId="0A84E66E" w14:textId="77777777" w:rsidR="00D34C6F" w:rsidRPr="00CD1278" w:rsidRDefault="00D34C6F" w:rsidP="00D1371C">
            <w:pPr>
              <w:spacing w:after="60"/>
              <w:ind w:left="-87"/>
              <w:rPr>
                <w:color w:val="auto"/>
                <w:sz w:val="12"/>
                <w:szCs w:val="12"/>
              </w:rPr>
            </w:pPr>
            <w:r w:rsidRPr="00CD1278">
              <w:rPr>
                <w:color w:val="auto"/>
                <w:sz w:val="12"/>
                <w:szCs w:val="12"/>
              </w:rPr>
              <w:t>Eggplant</w:t>
            </w:r>
          </w:p>
        </w:tc>
        <w:tc>
          <w:tcPr>
            <w:tcW w:w="770" w:type="dxa"/>
            <w:shd w:val="clear" w:color="auto" w:fill="auto"/>
            <w:vAlign w:val="center"/>
          </w:tcPr>
          <w:p w14:paraId="2788D1BE"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46E34050" w14:textId="77777777" w:rsidR="00D34C6F" w:rsidRPr="00CD1278" w:rsidRDefault="00D34C6F" w:rsidP="008277E3">
            <w:pPr>
              <w:spacing w:after="60"/>
              <w:rPr>
                <w:color w:val="auto"/>
                <w:sz w:val="10"/>
                <w:szCs w:val="10"/>
              </w:rPr>
            </w:pPr>
            <w:r w:rsidRPr="00CD1278">
              <w:rPr>
                <w:color w:val="auto"/>
                <w:sz w:val="10"/>
                <w:szCs w:val="10"/>
              </w:rPr>
              <w:t>27.500</w:t>
            </w:r>
          </w:p>
        </w:tc>
        <w:tc>
          <w:tcPr>
            <w:tcW w:w="709" w:type="dxa"/>
            <w:shd w:val="clear" w:color="auto" w:fill="auto"/>
            <w:vAlign w:val="center"/>
          </w:tcPr>
          <w:p w14:paraId="1727122F" w14:textId="77777777" w:rsidR="00D34C6F" w:rsidRPr="00CD1278" w:rsidRDefault="00D34C6F" w:rsidP="008277E3">
            <w:pPr>
              <w:spacing w:after="60"/>
              <w:rPr>
                <w:color w:val="auto"/>
                <w:sz w:val="10"/>
                <w:szCs w:val="10"/>
              </w:rPr>
            </w:pPr>
            <w:r w:rsidRPr="00CD1278">
              <w:rPr>
                <w:color w:val="auto"/>
                <w:sz w:val="10"/>
                <w:szCs w:val="10"/>
              </w:rPr>
              <w:t>33.250</w:t>
            </w:r>
          </w:p>
        </w:tc>
        <w:tc>
          <w:tcPr>
            <w:tcW w:w="567" w:type="dxa"/>
            <w:shd w:val="clear" w:color="auto" w:fill="auto"/>
            <w:vAlign w:val="center"/>
          </w:tcPr>
          <w:p w14:paraId="50F155BD"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573042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8726957"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183FF20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83555C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127AB12"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49DAC933" w14:textId="77777777" w:rsidR="00D34C6F" w:rsidRPr="00CD1278" w:rsidRDefault="00D34C6F" w:rsidP="008277E3">
            <w:pPr>
              <w:spacing w:after="60"/>
              <w:rPr>
                <w:color w:val="auto"/>
                <w:sz w:val="10"/>
                <w:szCs w:val="10"/>
              </w:rPr>
            </w:pPr>
          </w:p>
        </w:tc>
        <w:tc>
          <w:tcPr>
            <w:tcW w:w="567" w:type="dxa"/>
          </w:tcPr>
          <w:p w14:paraId="69658670" w14:textId="77777777" w:rsidR="00D34C6F" w:rsidRPr="00CD1278" w:rsidRDefault="00D34C6F" w:rsidP="008277E3">
            <w:pPr>
              <w:spacing w:after="60"/>
              <w:jc w:val="center"/>
              <w:rPr>
                <w:color w:val="auto"/>
                <w:sz w:val="10"/>
                <w:szCs w:val="10"/>
              </w:rPr>
            </w:pPr>
          </w:p>
        </w:tc>
        <w:tc>
          <w:tcPr>
            <w:tcW w:w="567" w:type="dxa"/>
          </w:tcPr>
          <w:p w14:paraId="76E35984"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AEE0D3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97D14E6" w14:textId="77777777" w:rsidR="00D34C6F" w:rsidRPr="00CD1278" w:rsidRDefault="00D34C6F" w:rsidP="008277E3">
            <w:pPr>
              <w:spacing w:after="60"/>
              <w:rPr>
                <w:color w:val="auto"/>
                <w:sz w:val="10"/>
                <w:szCs w:val="10"/>
              </w:rPr>
            </w:pPr>
            <w:r w:rsidRPr="00CD1278">
              <w:rPr>
                <w:color w:val="auto"/>
                <w:sz w:val="10"/>
                <w:szCs w:val="10"/>
              </w:rPr>
              <w:t>48.400</w:t>
            </w:r>
          </w:p>
        </w:tc>
        <w:tc>
          <w:tcPr>
            <w:tcW w:w="708" w:type="dxa"/>
            <w:shd w:val="clear" w:color="auto" w:fill="auto"/>
            <w:vAlign w:val="center"/>
          </w:tcPr>
          <w:p w14:paraId="7E979E4F"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9A125F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63AA33D"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2295369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15B6FF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3BE2D994"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08C1D8DD" w14:textId="77777777" w:rsidR="00D34C6F" w:rsidRPr="00CD1278" w:rsidRDefault="00D34C6F" w:rsidP="008277E3">
            <w:pPr>
              <w:spacing w:after="60"/>
              <w:rPr>
                <w:b/>
                <w:color w:val="auto"/>
                <w:sz w:val="10"/>
                <w:szCs w:val="10"/>
              </w:rPr>
            </w:pPr>
          </w:p>
        </w:tc>
        <w:tc>
          <w:tcPr>
            <w:tcW w:w="567" w:type="dxa"/>
          </w:tcPr>
          <w:p w14:paraId="0FA93E73" w14:textId="77777777" w:rsidR="00D34C6F" w:rsidRPr="00CD1278" w:rsidRDefault="00D34C6F" w:rsidP="008277E3">
            <w:pPr>
              <w:spacing w:after="60"/>
              <w:jc w:val="center"/>
              <w:rPr>
                <w:b/>
                <w:color w:val="auto"/>
                <w:sz w:val="10"/>
                <w:szCs w:val="10"/>
              </w:rPr>
            </w:pPr>
          </w:p>
        </w:tc>
        <w:tc>
          <w:tcPr>
            <w:tcW w:w="567" w:type="dxa"/>
          </w:tcPr>
          <w:p w14:paraId="6ACD830A" w14:textId="77777777" w:rsidR="00D34C6F" w:rsidRPr="00CD1278" w:rsidRDefault="00D34C6F" w:rsidP="008277E3">
            <w:pPr>
              <w:spacing w:after="60"/>
              <w:jc w:val="center"/>
              <w:rPr>
                <w:b/>
                <w:color w:val="auto"/>
                <w:sz w:val="10"/>
                <w:szCs w:val="10"/>
              </w:rPr>
            </w:pPr>
          </w:p>
        </w:tc>
        <w:tc>
          <w:tcPr>
            <w:tcW w:w="567" w:type="dxa"/>
          </w:tcPr>
          <w:p w14:paraId="6928F87D" w14:textId="77777777" w:rsidR="00D34C6F" w:rsidRPr="00CD1278" w:rsidRDefault="00D34C6F" w:rsidP="008277E3">
            <w:pPr>
              <w:spacing w:after="60"/>
              <w:jc w:val="center"/>
              <w:rPr>
                <w:b/>
                <w:color w:val="auto"/>
                <w:sz w:val="10"/>
                <w:szCs w:val="10"/>
              </w:rPr>
            </w:pPr>
          </w:p>
        </w:tc>
      </w:tr>
      <w:tr w:rsidR="003C102E" w:rsidRPr="00CD1278" w14:paraId="40F413F7" w14:textId="77777777" w:rsidTr="008277E3">
        <w:trPr>
          <w:trHeight w:val="270"/>
          <w:jc w:val="center"/>
        </w:trPr>
        <w:tc>
          <w:tcPr>
            <w:tcW w:w="662" w:type="dxa"/>
            <w:shd w:val="clear" w:color="auto" w:fill="auto"/>
            <w:vAlign w:val="center"/>
          </w:tcPr>
          <w:p w14:paraId="7F3DB2EB" w14:textId="77777777" w:rsidR="00D34C6F" w:rsidRPr="00CD1278" w:rsidRDefault="00D34C6F" w:rsidP="008277E3">
            <w:pPr>
              <w:spacing w:after="60"/>
              <w:rPr>
                <w:color w:val="auto"/>
                <w:sz w:val="12"/>
                <w:szCs w:val="12"/>
              </w:rPr>
            </w:pPr>
            <w:r w:rsidRPr="00CD1278">
              <w:rPr>
                <w:color w:val="auto"/>
                <w:sz w:val="12"/>
                <w:szCs w:val="12"/>
              </w:rPr>
              <w:t>Greece</w:t>
            </w:r>
          </w:p>
        </w:tc>
        <w:tc>
          <w:tcPr>
            <w:tcW w:w="824" w:type="dxa"/>
            <w:shd w:val="clear" w:color="auto" w:fill="auto"/>
            <w:vAlign w:val="center"/>
          </w:tcPr>
          <w:p w14:paraId="7D05CF70" w14:textId="77777777" w:rsidR="00D34C6F" w:rsidRPr="00CD1278" w:rsidRDefault="00D34C6F" w:rsidP="00D1371C">
            <w:pPr>
              <w:spacing w:after="60"/>
              <w:ind w:left="-87"/>
              <w:rPr>
                <w:color w:val="auto"/>
                <w:sz w:val="12"/>
                <w:szCs w:val="12"/>
              </w:rPr>
            </w:pPr>
            <w:r w:rsidRPr="00CD1278">
              <w:rPr>
                <w:color w:val="auto"/>
                <w:sz w:val="12"/>
                <w:szCs w:val="12"/>
              </w:rPr>
              <w:t>Cucurbits</w:t>
            </w:r>
          </w:p>
        </w:tc>
        <w:tc>
          <w:tcPr>
            <w:tcW w:w="770" w:type="dxa"/>
            <w:shd w:val="clear" w:color="auto" w:fill="auto"/>
            <w:vAlign w:val="center"/>
          </w:tcPr>
          <w:p w14:paraId="62F3F572" w14:textId="77777777" w:rsidR="00D34C6F" w:rsidRPr="00CD1278" w:rsidRDefault="00D34C6F" w:rsidP="008277E3">
            <w:pPr>
              <w:spacing w:after="60"/>
              <w:rPr>
                <w:color w:val="auto"/>
                <w:sz w:val="10"/>
                <w:szCs w:val="10"/>
              </w:rPr>
            </w:pPr>
            <w:r w:rsidRPr="00CD1278">
              <w:rPr>
                <w:color w:val="auto"/>
                <w:sz w:val="10"/>
                <w:szCs w:val="10"/>
              </w:rPr>
              <w:t>30.000</w:t>
            </w:r>
          </w:p>
        </w:tc>
        <w:tc>
          <w:tcPr>
            <w:tcW w:w="647" w:type="dxa"/>
            <w:shd w:val="clear" w:color="auto" w:fill="auto"/>
            <w:vAlign w:val="center"/>
          </w:tcPr>
          <w:p w14:paraId="441BF6B2" w14:textId="77777777" w:rsidR="00D34C6F" w:rsidRPr="00CD1278" w:rsidRDefault="00D34C6F" w:rsidP="008277E3">
            <w:pPr>
              <w:spacing w:after="60"/>
              <w:rPr>
                <w:color w:val="auto"/>
                <w:sz w:val="10"/>
                <w:szCs w:val="10"/>
              </w:rPr>
            </w:pPr>
            <w:r w:rsidRPr="00CD1278">
              <w:rPr>
                <w:color w:val="auto"/>
                <w:sz w:val="10"/>
                <w:szCs w:val="10"/>
              </w:rPr>
              <w:t>19.200</w:t>
            </w:r>
          </w:p>
        </w:tc>
        <w:tc>
          <w:tcPr>
            <w:tcW w:w="709" w:type="dxa"/>
            <w:shd w:val="clear" w:color="auto" w:fill="auto"/>
            <w:vAlign w:val="center"/>
          </w:tcPr>
          <w:p w14:paraId="7FD3F42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14ABF8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BA1A66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378D45E"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7D780C8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185685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600AE97"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1336C0A9" w14:textId="77777777" w:rsidR="00D34C6F" w:rsidRPr="00CD1278" w:rsidRDefault="00D34C6F" w:rsidP="008277E3">
            <w:pPr>
              <w:spacing w:after="60"/>
              <w:rPr>
                <w:color w:val="auto"/>
                <w:sz w:val="10"/>
                <w:szCs w:val="10"/>
              </w:rPr>
            </w:pPr>
          </w:p>
        </w:tc>
        <w:tc>
          <w:tcPr>
            <w:tcW w:w="567" w:type="dxa"/>
          </w:tcPr>
          <w:p w14:paraId="3689BE54" w14:textId="77777777" w:rsidR="00D34C6F" w:rsidRPr="00CD1278" w:rsidRDefault="00D34C6F" w:rsidP="008277E3">
            <w:pPr>
              <w:spacing w:after="60"/>
              <w:jc w:val="center"/>
              <w:rPr>
                <w:color w:val="auto"/>
                <w:sz w:val="10"/>
                <w:szCs w:val="10"/>
              </w:rPr>
            </w:pPr>
          </w:p>
        </w:tc>
        <w:tc>
          <w:tcPr>
            <w:tcW w:w="567" w:type="dxa"/>
          </w:tcPr>
          <w:p w14:paraId="5D57796D"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7FDA2D6D" w14:textId="77777777" w:rsidR="00D34C6F" w:rsidRPr="00CD1278" w:rsidRDefault="00D34C6F" w:rsidP="008277E3">
            <w:pPr>
              <w:spacing w:after="60"/>
              <w:rPr>
                <w:color w:val="auto"/>
                <w:sz w:val="10"/>
                <w:szCs w:val="10"/>
              </w:rPr>
            </w:pPr>
            <w:r w:rsidRPr="00CD1278">
              <w:rPr>
                <w:color w:val="auto"/>
                <w:sz w:val="10"/>
                <w:szCs w:val="10"/>
              </w:rPr>
              <w:t>30.000</w:t>
            </w:r>
          </w:p>
        </w:tc>
        <w:tc>
          <w:tcPr>
            <w:tcW w:w="709" w:type="dxa"/>
            <w:shd w:val="clear" w:color="auto" w:fill="auto"/>
            <w:vAlign w:val="center"/>
          </w:tcPr>
          <w:p w14:paraId="700D9ED6" w14:textId="77777777" w:rsidR="00D34C6F" w:rsidRPr="00CD1278" w:rsidRDefault="00D34C6F" w:rsidP="008277E3">
            <w:pPr>
              <w:spacing w:after="60"/>
              <w:rPr>
                <w:color w:val="auto"/>
                <w:sz w:val="10"/>
                <w:szCs w:val="10"/>
              </w:rPr>
            </w:pPr>
            <w:r w:rsidRPr="00CD1278">
              <w:rPr>
                <w:color w:val="auto"/>
                <w:sz w:val="10"/>
                <w:szCs w:val="10"/>
              </w:rPr>
              <w:t>19.200</w:t>
            </w:r>
          </w:p>
        </w:tc>
        <w:tc>
          <w:tcPr>
            <w:tcW w:w="708" w:type="dxa"/>
            <w:shd w:val="clear" w:color="auto" w:fill="auto"/>
            <w:vAlign w:val="center"/>
          </w:tcPr>
          <w:p w14:paraId="55937BD7"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602C9F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409C612"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60057C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633A8A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6DA268D"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4A05A9D1" w14:textId="77777777" w:rsidR="00D34C6F" w:rsidRPr="00CD1278" w:rsidRDefault="00D34C6F" w:rsidP="008277E3">
            <w:pPr>
              <w:spacing w:after="60"/>
              <w:rPr>
                <w:b/>
                <w:color w:val="auto"/>
                <w:sz w:val="10"/>
                <w:szCs w:val="10"/>
              </w:rPr>
            </w:pPr>
          </w:p>
        </w:tc>
        <w:tc>
          <w:tcPr>
            <w:tcW w:w="567" w:type="dxa"/>
          </w:tcPr>
          <w:p w14:paraId="5650926A" w14:textId="77777777" w:rsidR="00D34C6F" w:rsidRPr="00CD1278" w:rsidRDefault="00D34C6F" w:rsidP="008277E3">
            <w:pPr>
              <w:spacing w:after="60"/>
              <w:jc w:val="center"/>
              <w:rPr>
                <w:b/>
                <w:color w:val="auto"/>
                <w:sz w:val="10"/>
                <w:szCs w:val="10"/>
              </w:rPr>
            </w:pPr>
          </w:p>
        </w:tc>
        <w:tc>
          <w:tcPr>
            <w:tcW w:w="567" w:type="dxa"/>
          </w:tcPr>
          <w:p w14:paraId="6C0DBE07" w14:textId="77777777" w:rsidR="00D34C6F" w:rsidRPr="00CD1278" w:rsidRDefault="00D34C6F" w:rsidP="008277E3">
            <w:pPr>
              <w:spacing w:after="60"/>
              <w:jc w:val="center"/>
              <w:rPr>
                <w:b/>
                <w:color w:val="auto"/>
                <w:sz w:val="10"/>
                <w:szCs w:val="10"/>
              </w:rPr>
            </w:pPr>
          </w:p>
        </w:tc>
        <w:tc>
          <w:tcPr>
            <w:tcW w:w="567" w:type="dxa"/>
          </w:tcPr>
          <w:p w14:paraId="6640045B" w14:textId="77777777" w:rsidR="00D34C6F" w:rsidRPr="00CD1278" w:rsidRDefault="00D34C6F" w:rsidP="008277E3">
            <w:pPr>
              <w:spacing w:after="60"/>
              <w:jc w:val="center"/>
              <w:rPr>
                <w:b/>
                <w:color w:val="auto"/>
                <w:sz w:val="10"/>
                <w:szCs w:val="10"/>
              </w:rPr>
            </w:pPr>
          </w:p>
        </w:tc>
      </w:tr>
      <w:tr w:rsidR="003C102E" w:rsidRPr="00CD1278" w14:paraId="6B337FE1" w14:textId="77777777" w:rsidTr="008277E3">
        <w:trPr>
          <w:trHeight w:val="270"/>
          <w:jc w:val="center"/>
        </w:trPr>
        <w:tc>
          <w:tcPr>
            <w:tcW w:w="662" w:type="dxa"/>
            <w:shd w:val="clear" w:color="auto" w:fill="auto"/>
            <w:vAlign w:val="center"/>
          </w:tcPr>
          <w:p w14:paraId="6EAEBCB3" w14:textId="77777777" w:rsidR="00D34C6F" w:rsidRPr="00CD1278" w:rsidRDefault="00D34C6F" w:rsidP="008277E3">
            <w:pPr>
              <w:spacing w:after="60"/>
              <w:rPr>
                <w:color w:val="auto"/>
                <w:sz w:val="12"/>
                <w:szCs w:val="12"/>
              </w:rPr>
            </w:pPr>
            <w:r w:rsidRPr="00CD1278">
              <w:rPr>
                <w:color w:val="auto"/>
                <w:sz w:val="12"/>
                <w:szCs w:val="12"/>
              </w:rPr>
              <w:t>Greece</w:t>
            </w:r>
          </w:p>
        </w:tc>
        <w:tc>
          <w:tcPr>
            <w:tcW w:w="824" w:type="dxa"/>
            <w:shd w:val="clear" w:color="auto" w:fill="auto"/>
            <w:vAlign w:val="center"/>
          </w:tcPr>
          <w:p w14:paraId="408A144A" w14:textId="77777777" w:rsidR="00D34C6F" w:rsidRPr="00CD1278" w:rsidRDefault="00D34C6F" w:rsidP="00D1371C">
            <w:pPr>
              <w:spacing w:after="60"/>
              <w:ind w:left="-87"/>
              <w:rPr>
                <w:color w:val="auto"/>
                <w:sz w:val="12"/>
                <w:szCs w:val="12"/>
              </w:rPr>
            </w:pPr>
            <w:r w:rsidRPr="00CD1278">
              <w:rPr>
                <w:color w:val="auto"/>
                <w:sz w:val="12"/>
                <w:szCs w:val="12"/>
              </w:rPr>
              <w:t>Cut flowers</w:t>
            </w:r>
          </w:p>
        </w:tc>
        <w:tc>
          <w:tcPr>
            <w:tcW w:w="770" w:type="dxa"/>
            <w:shd w:val="clear" w:color="auto" w:fill="auto"/>
            <w:vAlign w:val="center"/>
          </w:tcPr>
          <w:p w14:paraId="0C393F11" w14:textId="77777777" w:rsidR="00D34C6F" w:rsidRPr="00CD1278" w:rsidRDefault="00D34C6F" w:rsidP="008277E3">
            <w:pPr>
              <w:spacing w:after="60"/>
              <w:rPr>
                <w:color w:val="auto"/>
                <w:sz w:val="10"/>
                <w:szCs w:val="10"/>
              </w:rPr>
            </w:pPr>
            <w:r w:rsidRPr="00CD1278">
              <w:rPr>
                <w:color w:val="auto"/>
                <w:sz w:val="10"/>
                <w:szCs w:val="10"/>
              </w:rPr>
              <w:t>14.000</w:t>
            </w:r>
          </w:p>
        </w:tc>
        <w:tc>
          <w:tcPr>
            <w:tcW w:w="647" w:type="dxa"/>
            <w:shd w:val="clear" w:color="auto" w:fill="auto"/>
            <w:vAlign w:val="center"/>
          </w:tcPr>
          <w:p w14:paraId="0B351D09" w14:textId="77777777" w:rsidR="00D34C6F" w:rsidRPr="00CD1278" w:rsidRDefault="00D34C6F" w:rsidP="008277E3">
            <w:pPr>
              <w:spacing w:after="60"/>
              <w:rPr>
                <w:color w:val="auto"/>
                <w:sz w:val="10"/>
                <w:szCs w:val="10"/>
              </w:rPr>
            </w:pPr>
            <w:r w:rsidRPr="00CD1278">
              <w:rPr>
                <w:color w:val="auto"/>
                <w:sz w:val="10"/>
                <w:szCs w:val="10"/>
              </w:rPr>
              <w:t>6.000</w:t>
            </w:r>
          </w:p>
        </w:tc>
        <w:tc>
          <w:tcPr>
            <w:tcW w:w="709" w:type="dxa"/>
            <w:shd w:val="clear" w:color="auto" w:fill="auto"/>
            <w:vAlign w:val="center"/>
          </w:tcPr>
          <w:p w14:paraId="0FA79C0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C1A0732"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D92E1A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6E7B15E"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18C13A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5D9CEF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FE5E4E0"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18A303A" w14:textId="77777777" w:rsidR="00D34C6F" w:rsidRPr="00CD1278" w:rsidRDefault="00D34C6F" w:rsidP="008277E3">
            <w:pPr>
              <w:spacing w:after="60"/>
              <w:rPr>
                <w:color w:val="auto"/>
                <w:sz w:val="10"/>
                <w:szCs w:val="10"/>
              </w:rPr>
            </w:pPr>
          </w:p>
        </w:tc>
        <w:tc>
          <w:tcPr>
            <w:tcW w:w="567" w:type="dxa"/>
          </w:tcPr>
          <w:p w14:paraId="5D690C84" w14:textId="77777777" w:rsidR="00D34C6F" w:rsidRPr="00CD1278" w:rsidRDefault="00D34C6F" w:rsidP="008277E3">
            <w:pPr>
              <w:spacing w:after="60"/>
              <w:jc w:val="center"/>
              <w:rPr>
                <w:color w:val="auto"/>
                <w:sz w:val="10"/>
                <w:szCs w:val="10"/>
              </w:rPr>
            </w:pPr>
          </w:p>
        </w:tc>
        <w:tc>
          <w:tcPr>
            <w:tcW w:w="567" w:type="dxa"/>
          </w:tcPr>
          <w:p w14:paraId="22121014"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9FF86DD" w14:textId="77777777" w:rsidR="00D34C6F" w:rsidRPr="00CD1278" w:rsidRDefault="00D34C6F" w:rsidP="008277E3">
            <w:pPr>
              <w:spacing w:after="60"/>
              <w:rPr>
                <w:color w:val="auto"/>
                <w:sz w:val="10"/>
                <w:szCs w:val="10"/>
              </w:rPr>
            </w:pPr>
            <w:r w:rsidRPr="00CD1278">
              <w:rPr>
                <w:color w:val="auto"/>
                <w:sz w:val="10"/>
                <w:szCs w:val="10"/>
              </w:rPr>
              <w:t>14.000</w:t>
            </w:r>
          </w:p>
        </w:tc>
        <w:tc>
          <w:tcPr>
            <w:tcW w:w="709" w:type="dxa"/>
            <w:shd w:val="clear" w:color="auto" w:fill="auto"/>
            <w:vAlign w:val="center"/>
          </w:tcPr>
          <w:p w14:paraId="4AE59D95" w14:textId="77777777" w:rsidR="00D34C6F" w:rsidRPr="00CD1278" w:rsidRDefault="00D34C6F" w:rsidP="008277E3">
            <w:pPr>
              <w:spacing w:after="60"/>
              <w:rPr>
                <w:color w:val="auto"/>
                <w:sz w:val="10"/>
                <w:szCs w:val="10"/>
              </w:rPr>
            </w:pPr>
            <w:r w:rsidRPr="00CD1278">
              <w:rPr>
                <w:color w:val="auto"/>
                <w:sz w:val="10"/>
                <w:szCs w:val="10"/>
              </w:rPr>
              <w:t>6.000</w:t>
            </w:r>
          </w:p>
        </w:tc>
        <w:tc>
          <w:tcPr>
            <w:tcW w:w="708" w:type="dxa"/>
            <w:shd w:val="clear" w:color="auto" w:fill="auto"/>
            <w:vAlign w:val="center"/>
          </w:tcPr>
          <w:p w14:paraId="65DB3A0A"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64E747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AD6C31D"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C07E6C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62C754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29CAFC4"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200FACCD" w14:textId="77777777" w:rsidR="00D34C6F" w:rsidRPr="00CD1278" w:rsidRDefault="00D34C6F" w:rsidP="008277E3">
            <w:pPr>
              <w:spacing w:after="60"/>
              <w:rPr>
                <w:b/>
                <w:color w:val="auto"/>
                <w:sz w:val="10"/>
                <w:szCs w:val="10"/>
              </w:rPr>
            </w:pPr>
          </w:p>
        </w:tc>
        <w:tc>
          <w:tcPr>
            <w:tcW w:w="567" w:type="dxa"/>
          </w:tcPr>
          <w:p w14:paraId="1464E99A" w14:textId="77777777" w:rsidR="00D34C6F" w:rsidRPr="00CD1278" w:rsidRDefault="00D34C6F" w:rsidP="008277E3">
            <w:pPr>
              <w:spacing w:after="60"/>
              <w:jc w:val="center"/>
              <w:rPr>
                <w:b/>
                <w:color w:val="auto"/>
                <w:sz w:val="10"/>
                <w:szCs w:val="10"/>
              </w:rPr>
            </w:pPr>
          </w:p>
        </w:tc>
        <w:tc>
          <w:tcPr>
            <w:tcW w:w="567" w:type="dxa"/>
          </w:tcPr>
          <w:p w14:paraId="7E62641A" w14:textId="77777777" w:rsidR="00D34C6F" w:rsidRPr="00CD1278" w:rsidRDefault="00D34C6F" w:rsidP="008277E3">
            <w:pPr>
              <w:spacing w:after="60"/>
              <w:jc w:val="center"/>
              <w:rPr>
                <w:b/>
                <w:color w:val="auto"/>
                <w:sz w:val="10"/>
                <w:szCs w:val="10"/>
              </w:rPr>
            </w:pPr>
          </w:p>
        </w:tc>
        <w:tc>
          <w:tcPr>
            <w:tcW w:w="567" w:type="dxa"/>
          </w:tcPr>
          <w:p w14:paraId="1FA72B44" w14:textId="77777777" w:rsidR="00D34C6F" w:rsidRPr="00CD1278" w:rsidRDefault="00D34C6F" w:rsidP="008277E3">
            <w:pPr>
              <w:spacing w:after="60"/>
              <w:jc w:val="center"/>
              <w:rPr>
                <w:b/>
                <w:color w:val="auto"/>
                <w:sz w:val="10"/>
                <w:szCs w:val="10"/>
              </w:rPr>
            </w:pPr>
          </w:p>
        </w:tc>
      </w:tr>
      <w:tr w:rsidR="003C102E" w:rsidRPr="00CD1278" w14:paraId="3D3A5098" w14:textId="77777777" w:rsidTr="008277E3">
        <w:trPr>
          <w:trHeight w:val="270"/>
          <w:jc w:val="center"/>
        </w:trPr>
        <w:tc>
          <w:tcPr>
            <w:tcW w:w="662" w:type="dxa"/>
            <w:shd w:val="clear" w:color="auto" w:fill="auto"/>
            <w:vAlign w:val="center"/>
          </w:tcPr>
          <w:p w14:paraId="31BDD313" w14:textId="77777777" w:rsidR="00D34C6F" w:rsidRPr="00CD1278" w:rsidRDefault="00D34C6F" w:rsidP="008277E3">
            <w:pPr>
              <w:spacing w:after="60"/>
              <w:rPr>
                <w:color w:val="auto"/>
                <w:sz w:val="12"/>
                <w:szCs w:val="12"/>
              </w:rPr>
            </w:pPr>
            <w:r w:rsidRPr="00CD1278">
              <w:rPr>
                <w:color w:val="auto"/>
                <w:sz w:val="12"/>
                <w:szCs w:val="12"/>
              </w:rPr>
              <w:t>Greece</w:t>
            </w:r>
          </w:p>
        </w:tc>
        <w:tc>
          <w:tcPr>
            <w:tcW w:w="824" w:type="dxa"/>
            <w:shd w:val="clear" w:color="auto" w:fill="auto"/>
            <w:vAlign w:val="center"/>
          </w:tcPr>
          <w:p w14:paraId="5A574EF3" w14:textId="77777777" w:rsidR="00D34C6F" w:rsidRPr="00CD1278" w:rsidRDefault="00D34C6F" w:rsidP="00D1371C">
            <w:pPr>
              <w:spacing w:after="60"/>
              <w:ind w:left="-87"/>
              <w:rPr>
                <w:color w:val="auto"/>
                <w:sz w:val="12"/>
                <w:szCs w:val="12"/>
              </w:rPr>
            </w:pPr>
            <w:r w:rsidRPr="00CD1278">
              <w:rPr>
                <w:color w:val="auto"/>
                <w:sz w:val="12"/>
                <w:szCs w:val="12"/>
              </w:rPr>
              <w:t>Tomatoes</w:t>
            </w:r>
          </w:p>
        </w:tc>
        <w:tc>
          <w:tcPr>
            <w:tcW w:w="770" w:type="dxa"/>
            <w:shd w:val="clear" w:color="auto" w:fill="auto"/>
            <w:vAlign w:val="center"/>
          </w:tcPr>
          <w:p w14:paraId="627CB251" w14:textId="77777777" w:rsidR="00D34C6F" w:rsidRPr="00CD1278" w:rsidRDefault="00D34C6F" w:rsidP="008277E3">
            <w:pPr>
              <w:spacing w:after="60"/>
              <w:rPr>
                <w:color w:val="auto"/>
                <w:sz w:val="10"/>
                <w:szCs w:val="10"/>
              </w:rPr>
            </w:pPr>
            <w:r w:rsidRPr="00CD1278">
              <w:rPr>
                <w:color w:val="auto"/>
                <w:sz w:val="10"/>
                <w:szCs w:val="10"/>
              </w:rPr>
              <w:t>180.000</w:t>
            </w:r>
          </w:p>
        </w:tc>
        <w:tc>
          <w:tcPr>
            <w:tcW w:w="647" w:type="dxa"/>
            <w:shd w:val="clear" w:color="auto" w:fill="auto"/>
            <w:vAlign w:val="center"/>
          </w:tcPr>
          <w:p w14:paraId="64D1B8CC" w14:textId="77777777" w:rsidR="00D34C6F" w:rsidRPr="00CD1278" w:rsidRDefault="00D34C6F" w:rsidP="008277E3">
            <w:pPr>
              <w:spacing w:after="60"/>
              <w:rPr>
                <w:color w:val="auto"/>
                <w:sz w:val="10"/>
                <w:szCs w:val="10"/>
              </w:rPr>
            </w:pPr>
            <w:r w:rsidRPr="00CD1278">
              <w:rPr>
                <w:color w:val="auto"/>
                <w:sz w:val="10"/>
                <w:szCs w:val="10"/>
              </w:rPr>
              <w:t>73.600</w:t>
            </w:r>
          </w:p>
        </w:tc>
        <w:tc>
          <w:tcPr>
            <w:tcW w:w="709" w:type="dxa"/>
            <w:shd w:val="clear" w:color="auto" w:fill="auto"/>
            <w:vAlign w:val="center"/>
          </w:tcPr>
          <w:p w14:paraId="5CAB4F1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306DFAE"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9BFEF6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34F158F"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4BFAE71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37F420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414F1FD"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62946308" w14:textId="77777777" w:rsidR="00D34C6F" w:rsidRPr="00CD1278" w:rsidRDefault="00D34C6F" w:rsidP="008277E3">
            <w:pPr>
              <w:spacing w:after="60"/>
              <w:rPr>
                <w:color w:val="auto"/>
                <w:sz w:val="10"/>
                <w:szCs w:val="10"/>
              </w:rPr>
            </w:pPr>
          </w:p>
        </w:tc>
        <w:tc>
          <w:tcPr>
            <w:tcW w:w="567" w:type="dxa"/>
          </w:tcPr>
          <w:p w14:paraId="71A807F0" w14:textId="77777777" w:rsidR="00D34C6F" w:rsidRPr="00CD1278" w:rsidRDefault="00D34C6F" w:rsidP="008277E3">
            <w:pPr>
              <w:spacing w:after="60"/>
              <w:jc w:val="center"/>
              <w:rPr>
                <w:color w:val="auto"/>
                <w:sz w:val="10"/>
                <w:szCs w:val="10"/>
              </w:rPr>
            </w:pPr>
          </w:p>
        </w:tc>
        <w:tc>
          <w:tcPr>
            <w:tcW w:w="567" w:type="dxa"/>
          </w:tcPr>
          <w:p w14:paraId="564580D1"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436BAADE" w14:textId="77777777" w:rsidR="00D34C6F" w:rsidRPr="00CD1278" w:rsidRDefault="00D34C6F" w:rsidP="008277E3">
            <w:pPr>
              <w:spacing w:after="60"/>
              <w:rPr>
                <w:color w:val="auto"/>
                <w:sz w:val="10"/>
                <w:szCs w:val="10"/>
              </w:rPr>
            </w:pPr>
            <w:r w:rsidRPr="00CD1278">
              <w:rPr>
                <w:color w:val="auto"/>
                <w:sz w:val="10"/>
                <w:szCs w:val="10"/>
              </w:rPr>
              <w:t>156.000</w:t>
            </w:r>
          </w:p>
        </w:tc>
        <w:tc>
          <w:tcPr>
            <w:tcW w:w="709" w:type="dxa"/>
            <w:shd w:val="clear" w:color="auto" w:fill="auto"/>
            <w:vAlign w:val="center"/>
          </w:tcPr>
          <w:p w14:paraId="1486D16E" w14:textId="77777777" w:rsidR="00D34C6F" w:rsidRPr="00CD1278" w:rsidRDefault="00D34C6F" w:rsidP="008277E3">
            <w:pPr>
              <w:spacing w:after="60"/>
              <w:rPr>
                <w:color w:val="auto"/>
                <w:sz w:val="10"/>
                <w:szCs w:val="10"/>
              </w:rPr>
            </w:pPr>
            <w:r w:rsidRPr="00CD1278">
              <w:rPr>
                <w:color w:val="auto"/>
                <w:sz w:val="10"/>
                <w:szCs w:val="10"/>
              </w:rPr>
              <w:t>73.600</w:t>
            </w:r>
          </w:p>
        </w:tc>
        <w:tc>
          <w:tcPr>
            <w:tcW w:w="708" w:type="dxa"/>
            <w:shd w:val="clear" w:color="auto" w:fill="auto"/>
            <w:vAlign w:val="center"/>
          </w:tcPr>
          <w:p w14:paraId="131D2714"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070F3F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84D4D49"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789AC69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4C10C8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5D0AA57B"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7C7B44FC" w14:textId="77777777" w:rsidR="00D34C6F" w:rsidRPr="00CD1278" w:rsidRDefault="00D34C6F" w:rsidP="008277E3">
            <w:pPr>
              <w:spacing w:after="60"/>
              <w:rPr>
                <w:b/>
                <w:color w:val="auto"/>
                <w:sz w:val="10"/>
                <w:szCs w:val="10"/>
              </w:rPr>
            </w:pPr>
          </w:p>
        </w:tc>
        <w:tc>
          <w:tcPr>
            <w:tcW w:w="567" w:type="dxa"/>
          </w:tcPr>
          <w:p w14:paraId="20126791" w14:textId="77777777" w:rsidR="00D34C6F" w:rsidRPr="00CD1278" w:rsidRDefault="00D34C6F" w:rsidP="008277E3">
            <w:pPr>
              <w:spacing w:after="60"/>
              <w:jc w:val="center"/>
              <w:rPr>
                <w:b/>
                <w:color w:val="auto"/>
                <w:sz w:val="10"/>
                <w:szCs w:val="10"/>
              </w:rPr>
            </w:pPr>
          </w:p>
        </w:tc>
        <w:tc>
          <w:tcPr>
            <w:tcW w:w="567" w:type="dxa"/>
          </w:tcPr>
          <w:p w14:paraId="7D1BEE6E" w14:textId="77777777" w:rsidR="00D34C6F" w:rsidRPr="00CD1278" w:rsidRDefault="00D34C6F" w:rsidP="008277E3">
            <w:pPr>
              <w:spacing w:after="60"/>
              <w:jc w:val="center"/>
              <w:rPr>
                <w:b/>
                <w:color w:val="auto"/>
                <w:sz w:val="10"/>
                <w:szCs w:val="10"/>
              </w:rPr>
            </w:pPr>
          </w:p>
        </w:tc>
        <w:tc>
          <w:tcPr>
            <w:tcW w:w="567" w:type="dxa"/>
          </w:tcPr>
          <w:p w14:paraId="3396DA1D" w14:textId="77777777" w:rsidR="00D34C6F" w:rsidRPr="00CD1278" w:rsidRDefault="00D34C6F" w:rsidP="008277E3">
            <w:pPr>
              <w:spacing w:after="60"/>
              <w:jc w:val="center"/>
              <w:rPr>
                <w:b/>
                <w:color w:val="auto"/>
                <w:sz w:val="10"/>
                <w:szCs w:val="10"/>
              </w:rPr>
            </w:pPr>
          </w:p>
        </w:tc>
      </w:tr>
      <w:tr w:rsidR="003C102E" w:rsidRPr="00CD1278" w14:paraId="097F21A0" w14:textId="77777777" w:rsidTr="008277E3">
        <w:trPr>
          <w:trHeight w:val="270"/>
          <w:jc w:val="center"/>
        </w:trPr>
        <w:tc>
          <w:tcPr>
            <w:tcW w:w="662" w:type="dxa"/>
            <w:shd w:val="clear" w:color="auto" w:fill="auto"/>
            <w:vAlign w:val="center"/>
          </w:tcPr>
          <w:p w14:paraId="0132AAB1" w14:textId="77777777" w:rsidR="00D34C6F" w:rsidRPr="00CD1278" w:rsidRDefault="00D34C6F" w:rsidP="008277E3">
            <w:pPr>
              <w:spacing w:after="60"/>
              <w:rPr>
                <w:color w:val="auto"/>
                <w:sz w:val="12"/>
                <w:szCs w:val="12"/>
              </w:rPr>
            </w:pPr>
            <w:r w:rsidRPr="00CD1278">
              <w:rPr>
                <w:color w:val="auto"/>
                <w:sz w:val="12"/>
                <w:szCs w:val="12"/>
              </w:rPr>
              <w:t xml:space="preserve">Israel </w:t>
            </w:r>
          </w:p>
        </w:tc>
        <w:tc>
          <w:tcPr>
            <w:tcW w:w="824" w:type="dxa"/>
            <w:shd w:val="clear" w:color="auto" w:fill="auto"/>
            <w:vAlign w:val="center"/>
          </w:tcPr>
          <w:p w14:paraId="0FCB091E" w14:textId="77777777" w:rsidR="00D34C6F" w:rsidRPr="00CD1278" w:rsidRDefault="00D34C6F" w:rsidP="00D1371C">
            <w:pPr>
              <w:spacing w:after="60"/>
              <w:ind w:left="-87"/>
              <w:rPr>
                <w:color w:val="auto"/>
                <w:sz w:val="12"/>
                <w:szCs w:val="12"/>
              </w:rPr>
            </w:pPr>
            <w:r w:rsidRPr="00CD1278">
              <w:rPr>
                <w:color w:val="auto"/>
                <w:sz w:val="12"/>
                <w:szCs w:val="12"/>
              </w:rPr>
              <w:t>Broomrape</w:t>
            </w:r>
          </w:p>
        </w:tc>
        <w:tc>
          <w:tcPr>
            <w:tcW w:w="770" w:type="dxa"/>
            <w:shd w:val="clear" w:color="auto" w:fill="auto"/>
            <w:vAlign w:val="center"/>
          </w:tcPr>
          <w:p w14:paraId="7B297BF1"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184D32A"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FA59ED7" w14:textId="77777777" w:rsidR="00D34C6F" w:rsidRPr="00CD1278" w:rsidRDefault="00D34C6F" w:rsidP="008277E3">
            <w:pPr>
              <w:spacing w:after="60"/>
              <w:rPr>
                <w:color w:val="auto"/>
                <w:sz w:val="10"/>
                <w:szCs w:val="10"/>
              </w:rPr>
            </w:pPr>
            <w:r w:rsidRPr="00CD1278">
              <w:rPr>
                <w:color w:val="auto"/>
                <w:sz w:val="10"/>
                <w:szCs w:val="10"/>
              </w:rPr>
              <w:t>250.000</w:t>
            </w:r>
          </w:p>
        </w:tc>
        <w:tc>
          <w:tcPr>
            <w:tcW w:w="567" w:type="dxa"/>
            <w:shd w:val="clear" w:color="auto" w:fill="auto"/>
            <w:vAlign w:val="center"/>
          </w:tcPr>
          <w:p w14:paraId="6FCB7ADE" w14:textId="77777777" w:rsidR="00D34C6F" w:rsidRPr="00CD1278" w:rsidRDefault="00D34C6F" w:rsidP="008277E3">
            <w:pPr>
              <w:spacing w:after="60"/>
              <w:rPr>
                <w:color w:val="auto"/>
                <w:sz w:val="10"/>
                <w:szCs w:val="10"/>
              </w:rPr>
            </w:pPr>
            <w:r w:rsidRPr="00CD1278">
              <w:rPr>
                <w:color w:val="auto"/>
                <w:sz w:val="10"/>
                <w:szCs w:val="10"/>
              </w:rPr>
              <w:t>250.000</w:t>
            </w:r>
          </w:p>
        </w:tc>
        <w:tc>
          <w:tcPr>
            <w:tcW w:w="709" w:type="dxa"/>
            <w:shd w:val="clear" w:color="auto" w:fill="auto"/>
            <w:vAlign w:val="center"/>
          </w:tcPr>
          <w:p w14:paraId="6C357701" w14:textId="77777777" w:rsidR="00D34C6F" w:rsidRPr="00CD1278" w:rsidRDefault="00D34C6F" w:rsidP="008277E3">
            <w:pPr>
              <w:spacing w:after="60"/>
              <w:rPr>
                <w:color w:val="auto"/>
                <w:sz w:val="10"/>
                <w:szCs w:val="10"/>
              </w:rPr>
            </w:pPr>
            <w:r w:rsidRPr="00CD1278">
              <w:rPr>
                <w:color w:val="auto"/>
                <w:sz w:val="10"/>
                <w:szCs w:val="10"/>
              </w:rPr>
              <w:t>125.000</w:t>
            </w:r>
          </w:p>
        </w:tc>
        <w:tc>
          <w:tcPr>
            <w:tcW w:w="567" w:type="dxa"/>
            <w:shd w:val="clear" w:color="auto" w:fill="auto"/>
            <w:vAlign w:val="center"/>
          </w:tcPr>
          <w:p w14:paraId="5A2351FB" w14:textId="77777777" w:rsidR="00D34C6F" w:rsidRPr="00CD1278" w:rsidRDefault="00D34C6F" w:rsidP="008277E3">
            <w:pPr>
              <w:spacing w:after="60"/>
              <w:rPr>
                <w:color w:val="auto"/>
                <w:sz w:val="10"/>
                <w:szCs w:val="10"/>
              </w:rPr>
            </w:pPr>
            <w:r w:rsidRPr="00CD1278">
              <w:rPr>
                <w:color w:val="auto"/>
                <w:sz w:val="10"/>
                <w:szCs w:val="10"/>
              </w:rPr>
              <w:t>12.500</w:t>
            </w:r>
          </w:p>
        </w:tc>
        <w:tc>
          <w:tcPr>
            <w:tcW w:w="708" w:type="dxa"/>
            <w:shd w:val="clear" w:color="auto" w:fill="auto"/>
            <w:vAlign w:val="center"/>
          </w:tcPr>
          <w:p w14:paraId="180CE453" w14:textId="77777777" w:rsidR="00D34C6F" w:rsidRPr="00CD1278" w:rsidRDefault="00D34C6F" w:rsidP="008277E3">
            <w:pPr>
              <w:spacing w:after="60"/>
              <w:rPr>
                <w:color w:val="auto"/>
                <w:sz w:val="10"/>
                <w:szCs w:val="10"/>
              </w:rPr>
            </w:pPr>
            <w:r w:rsidRPr="00CD1278">
              <w:rPr>
                <w:color w:val="auto"/>
                <w:sz w:val="10"/>
                <w:szCs w:val="10"/>
              </w:rPr>
              <w:t>12.500</w:t>
            </w:r>
          </w:p>
        </w:tc>
        <w:tc>
          <w:tcPr>
            <w:tcW w:w="567" w:type="dxa"/>
            <w:shd w:val="clear" w:color="auto" w:fill="auto"/>
            <w:vAlign w:val="center"/>
          </w:tcPr>
          <w:p w14:paraId="41A00B5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3DFAB26"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6B5A088" w14:textId="77777777" w:rsidR="00D34C6F" w:rsidRPr="00CD1278" w:rsidRDefault="00D34C6F" w:rsidP="008277E3">
            <w:pPr>
              <w:spacing w:after="60"/>
              <w:rPr>
                <w:color w:val="auto"/>
                <w:sz w:val="10"/>
                <w:szCs w:val="10"/>
              </w:rPr>
            </w:pPr>
          </w:p>
        </w:tc>
        <w:tc>
          <w:tcPr>
            <w:tcW w:w="567" w:type="dxa"/>
          </w:tcPr>
          <w:p w14:paraId="20DC3F13" w14:textId="77777777" w:rsidR="00D34C6F" w:rsidRPr="00CD1278" w:rsidRDefault="00D34C6F" w:rsidP="008277E3">
            <w:pPr>
              <w:spacing w:after="60"/>
              <w:jc w:val="center"/>
              <w:rPr>
                <w:color w:val="auto"/>
                <w:sz w:val="10"/>
                <w:szCs w:val="10"/>
              </w:rPr>
            </w:pPr>
          </w:p>
        </w:tc>
        <w:tc>
          <w:tcPr>
            <w:tcW w:w="567" w:type="dxa"/>
          </w:tcPr>
          <w:p w14:paraId="3C6C8230"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9CB2D7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29B6F96"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5014D363" w14:textId="77777777" w:rsidR="00D34C6F" w:rsidRPr="00CD1278" w:rsidRDefault="00D34C6F" w:rsidP="008277E3">
            <w:pPr>
              <w:spacing w:after="60"/>
              <w:rPr>
                <w:color w:val="auto"/>
                <w:sz w:val="10"/>
                <w:szCs w:val="10"/>
              </w:rPr>
            </w:pPr>
            <w:r w:rsidRPr="00CD1278">
              <w:rPr>
                <w:color w:val="auto"/>
                <w:sz w:val="10"/>
                <w:szCs w:val="10"/>
              </w:rPr>
              <w:t>250.000</w:t>
            </w:r>
          </w:p>
        </w:tc>
        <w:tc>
          <w:tcPr>
            <w:tcW w:w="709" w:type="dxa"/>
            <w:shd w:val="clear" w:color="auto" w:fill="auto"/>
            <w:vAlign w:val="center"/>
          </w:tcPr>
          <w:p w14:paraId="49FE6D95" w14:textId="77777777" w:rsidR="00D34C6F" w:rsidRPr="00CD1278" w:rsidRDefault="00D34C6F" w:rsidP="008277E3">
            <w:pPr>
              <w:spacing w:after="60"/>
              <w:rPr>
                <w:color w:val="auto"/>
                <w:sz w:val="10"/>
                <w:szCs w:val="10"/>
              </w:rPr>
            </w:pPr>
            <w:r w:rsidRPr="00CD1278">
              <w:rPr>
                <w:color w:val="auto"/>
                <w:sz w:val="10"/>
                <w:szCs w:val="10"/>
              </w:rPr>
              <w:t>250.000</w:t>
            </w:r>
          </w:p>
        </w:tc>
        <w:tc>
          <w:tcPr>
            <w:tcW w:w="567" w:type="dxa"/>
            <w:shd w:val="clear" w:color="auto" w:fill="auto"/>
            <w:vAlign w:val="center"/>
          </w:tcPr>
          <w:p w14:paraId="40BEC731" w14:textId="77777777" w:rsidR="00D34C6F" w:rsidRPr="00CD1278" w:rsidRDefault="00D34C6F" w:rsidP="008277E3">
            <w:pPr>
              <w:spacing w:after="60"/>
              <w:rPr>
                <w:color w:val="auto"/>
                <w:sz w:val="10"/>
                <w:szCs w:val="10"/>
              </w:rPr>
            </w:pPr>
            <w:r w:rsidRPr="00CD1278">
              <w:rPr>
                <w:color w:val="auto"/>
                <w:sz w:val="10"/>
                <w:szCs w:val="10"/>
              </w:rPr>
              <w:t>125.000</w:t>
            </w:r>
          </w:p>
        </w:tc>
        <w:tc>
          <w:tcPr>
            <w:tcW w:w="647" w:type="dxa"/>
            <w:shd w:val="clear" w:color="auto" w:fill="auto"/>
            <w:vAlign w:val="center"/>
          </w:tcPr>
          <w:p w14:paraId="71EC8960" w14:textId="77777777" w:rsidR="00D34C6F" w:rsidRPr="00CD1278" w:rsidRDefault="00D34C6F" w:rsidP="008277E3">
            <w:pPr>
              <w:spacing w:after="60"/>
              <w:rPr>
                <w:color w:val="auto"/>
                <w:sz w:val="10"/>
                <w:szCs w:val="10"/>
              </w:rPr>
            </w:pPr>
            <w:r w:rsidRPr="00CD1278">
              <w:rPr>
                <w:color w:val="auto"/>
                <w:sz w:val="10"/>
                <w:szCs w:val="10"/>
              </w:rPr>
              <w:t>12.500</w:t>
            </w:r>
          </w:p>
        </w:tc>
        <w:tc>
          <w:tcPr>
            <w:tcW w:w="567" w:type="dxa"/>
            <w:shd w:val="clear" w:color="auto" w:fill="auto"/>
            <w:vAlign w:val="center"/>
          </w:tcPr>
          <w:p w14:paraId="1A5F1B4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4DA5CF0D"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6D050D45" w14:textId="77777777" w:rsidR="00D34C6F" w:rsidRPr="00CD1278" w:rsidRDefault="00D34C6F" w:rsidP="008277E3">
            <w:pPr>
              <w:spacing w:after="60"/>
              <w:rPr>
                <w:b/>
                <w:color w:val="auto"/>
                <w:sz w:val="10"/>
                <w:szCs w:val="10"/>
              </w:rPr>
            </w:pPr>
          </w:p>
        </w:tc>
        <w:tc>
          <w:tcPr>
            <w:tcW w:w="567" w:type="dxa"/>
          </w:tcPr>
          <w:p w14:paraId="75DB1151" w14:textId="77777777" w:rsidR="00D34C6F" w:rsidRPr="00CD1278" w:rsidRDefault="00D34C6F" w:rsidP="008277E3">
            <w:pPr>
              <w:spacing w:after="60"/>
              <w:jc w:val="center"/>
              <w:rPr>
                <w:b/>
                <w:color w:val="auto"/>
                <w:sz w:val="10"/>
                <w:szCs w:val="10"/>
              </w:rPr>
            </w:pPr>
          </w:p>
        </w:tc>
        <w:tc>
          <w:tcPr>
            <w:tcW w:w="567" w:type="dxa"/>
          </w:tcPr>
          <w:p w14:paraId="70343700" w14:textId="77777777" w:rsidR="00D34C6F" w:rsidRPr="00CD1278" w:rsidRDefault="00D34C6F" w:rsidP="008277E3">
            <w:pPr>
              <w:spacing w:after="60"/>
              <w:jc w:val="center"/>
              <w:rPr>
                <w:b/>
                <w:color w:val="auto"/>
                <w:sz w:val="10"/>
                <w:szCs w:val="10"/>
              </w:rPr>
            </w:pPr>
          </w:p>
        </w:tc>
        <w:tc>
          <w:tcPr>
            <w:tcW w:w="567" w:type="dxa"/>
          </w:tcPr>
          <w:p w14:paraId="1E2EEE78" w14:textId="77777777" w:rsidR="00D34C6F" w:rsidRPr="00CD1278" w:rsidRDefault="00D34C6F" w:rsidP="008277E3">
            <w:pPr>
              <w:spacing w:after="60"/>
              <w:jc w:val="center"/>
              <w:rPr>
                <w:b/>
                <w:color w:val="auto"/>
                <w:sz w:val="10"/>
                <w:szCs w:val="10"/>
              </w:rPr>
            </w:pPr>
          </w:p>
        </w:tc>
      </w:tr>
      <w:tr w:rsidR="003C102E" w:rsidRPr="00CD1278" w14:paraId="677C5161" w14:textId="77777777" w:rsidTr="00355929">
        <w:trPr>
          <w:trHeight w:val="270"/>
          <w:jc w:val="center"/>
        </w:trPr>
        <w:tc>
          <w:tcPr>
            <w:tcW w:w="662" w:type="dxa"/>
            <w:shd w:val="clear" w:color="auto" w:fill="auto"/>
            <w:vAlign w:val="center"/>
          </w:tcPr>
          <w:p w14:paraId="6D39BB28" w14:textId="77777777" w:rsidR="00D34C6F" w:rsidRPr="00CD1278" w:rsidRDefault="00D34C6F" w:rsidP="008277E3">
            <w:pPr>
              <w:spacing w:after="60"/>
              <w:rPr>
                <w:color w:val="auto"/>
                <w:sz w:val="12"/>
                <w:szCs w:val="12"/>
              </w:rPr>
            </w:pPr>
            <w:r w:rsidRPr="00CD1278">
              <w:rPr>
                <w:color w:val="auto"/>
                <w:sz w:val="12"/>
                <w:szCs w:val="12"/>
              </w:rPr>
              <w:t>Israel</w:t>
            </w:r>
          </w:p>
        </w:tc>
        <w:tc>
          <w:tcPr>
            <w:tcW w:w="2241" w:type="dxa"/>
            <w:gridSpan w:val="3"/>
            <w:shd w:val="clear" w:color="auto" w:fill="auto"/>
            <w:vAlign w:val="center"/>
          </w:tcPr>
          <w:p w14:paraId="5ACDEB09" w14:textId="77777777" w:rsidR="00D34C6F" w:rsidRPr="00CD1278" w:rsidRDefault="00D34C6F" w:rsidP="00D1371C">
            <w:pPr>
              <w:spacing w:after="60"/>
              <w:ind w:left="-87"/>
              <w:rPr>
                <w:color w:val="auto"/>
                <w:sz w:val="10"/>
                <w:szCs w:val="10"/>
              </w:rPr>
            </w:pPr>
            <w:r w:rsidRPr="00CD1278">
              <w:rPr>
                <w:color w:val="auto"/>
                <w:sz w:val="10"/>
                <w:szCs w:val="10"/>
              </w:rPr>
              <w:t>Cucumber - protected new 2007</w:t>
            </w:r>
          </w:p>
        </w:tc>
        <w:tc>
          <w:tcPr>
            <w:tcW w:w="709" w:type="dxa"/>
            <w:shd w:val="clear" w:color="auto" w:fill="auto"/>
            <w:vAlign w:val="center"/>
          </w:tcPr>
          <w:p w14:paraId="28BE9BB3" w14:textId="77777777" w:rsidR="00D34C6F" w:rsidRPr="00CD1278" w:rsidRDefault="00D34C6F" w:rsidP="008277E3">
            <w:pPr>
              <w:spacing w:after="60"/>
              <w:rPr>
                <w:color w:val="auto"/>
                <w:sz w:val="10"/>
                <w:szCs w:val="10"/>
              </w:rPr>
            </w:pPr>
            <w:r w:rsidRPr="00CD1278">
              <w:rPr>
                <w:color w:val="auto"/>
                <w:sz w:val="10"/>
                <w:szCs w:val="10"/>
              </w:rPr>
              <w:t>25.000</w:t>
            </w:r>
          </w:p>
        </w:tc>
        <w:tc>
          <w:tcPr>
            <w:tcW w:w="567" w:type="dxa"/>
            <w:shd w:val="clear" w:color="auto" w:fill="auto"/>
            <w:vAlign w:val="center"/>
          </w:tcPr>
          <w:p w14:paraId="3367FD4B" w14:textId="77777777" w:rsidR="00D34C6F" w:rsidRPr="00CD1278" w:rsidRDefault="00D34C6F" w:rsidP="008277E3">
            <w:pPr>
              <w:spacing w:after="60"/>
              <w:rPr>
                <w:color w:val="auto"/>
                <w:sz w:val="10"/>
                <w:szCs w:val="10"/>
              </w:rPr>
            </w:pPr>
            <w:r w:rsidRPr="00CD1278">
              <w:rPr>
                <w:color w:val="auto"/>
                <w:sz w:val="10"/>
                <w:szCs w:val="10"/>
              </w:rPr>
              <w:t>18.750</w:t>
            </w:r>
          </w:p>
        </w:tc>
        <w:tc>
          <w:tcPr>
            <w:tcW w:w="709" w:type="dxa"/>
            <w:shd w:val="clear" w:color="auto" w:fill="auto"/>
            <w:vAlign w:val="center"/>
          </w:tcPr>
          <w:p w14:paraId="376CE2D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7481019" w14:textId="77777777" w:rsidR="00D34C6F" w:rsidRPr="00CD1278" w:rsidRDefault="00D34C6F" w:rsidP="008277E3">
            <w:pPr>
              <w:spacing w:after="60"/>
              <w:rPr>
                <w:color w:val="auto"/>
                <w:sz w:val="10"/>
                <w:szCs w:val="10"/>
              </w:rPr>
            </w:pPr>
            <w:r w:rsidRPr="00CD1278">
              <w:rPr>
                <w:color w:val="auto"/>
                <w:sz w:val="10"/>
                <w:szCs w:val="10"/>
              </w:rPr>
              <w:t>18.750</w:t>
            </w:r>
          </w:p>
        </w:tc>
        <w:tc>
          <w:tcPr>
            <w:tcW w:w="708" w:type="dxa"/>
            <w:shd w:val="clear" w:color="auto" w:fill="auto"/>
            <w:vAlign w:val="center"/>
          </w:tcPr>
          <w:p w14:paraId="529E8ACA" w14:textId="77777777" w:rsidR="00D34C6F" w:rsidRPr="00CD1278" w:rsidRDefault="00D34C6F" w:rsidP="008277E3">
            <w:pPr>
              <w:spacing w:after="60"/>
              <w:rPr>
                <w:color w:val="auto"/>
                <w:sz w:val="10"/>
                <w:szCs w:val="10"/>
              </w:rPr>
            </w:pPr>
            <w:r w:rsidRPr="00CD1278">
              <w:rPr>
                <w:color w:val="auto"/>
                <w:sz w:val="10"/>
                <w:szCs w:val="10"/>
              </w:rPr>
              <w:t>12.500</w:t>
            </w:r>
          </w:p>
        </w:tc>
        <w:tc>
          <w:tcPr>
            <w:tcW w:w="567" w:type="dxa"/>
            <w:shd w:val="clear" w:color="auto" w:fill="auto"/>
            <w:vAlign w:val="center"/>
          </w:tcPr>
          <w:p w14:paraId="273F3CF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01220C0"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127F43DD" w14:textId="77777777" w:rsidR="00D34C6F" w:rsidRPr="00CD1278" w:rsidRDefault="00D34C6F" w:rsidP="008277E3">
            <w:pPr>
              <w:spacing w:after="60"/>
              <w:rPr>
                <w:color w:val="auto"/>
                <w:sz w:val="10"/>
                <w:szCs w:val="10"/>
              </w:rPr>
            </w:pPr>
          </w:p>
        </w:tc>
        <w:tc>
          <w:tcPr>
            <w:tcW w:w="567" w:type="dxa"/>
          </w:tcPr>
          <w:p w14:paraId="375B2E28" w14:textId="77777777" w:rsidR="00D34C6F" w:rsidRPr="00CD1278" w:rsidRDefault="00D34C6F" w:rsidP="008277E3">
            <w:pPr>
              <w:spacing w:after="60"/>
              <w:jc w:val="center"/>
              <w:rPr>
                <w:color w:val="auto"/>
                <w:sz w:val="10"/>
                <w:szCs w:val="10"/>
              </w:rPr>
            </w:pPr>
          </w:p>
        </w:tc>
        <w:tc>
          <w:tcPr>
            <w:tcW w:w="567" w:type="dxa"/>
          </w:tcPr>
          <w:p w14:paraId="40068933"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55CA4D1B"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4CFCEE02"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1E439D78" w14:textId="77777777" w:rsidR="00D34C6F" w:rsidRPr="00CD1278" w:rsidRDefault="00D34C6F" w:rsidP="008277E3">
            <w:pPr>
              <w:spacing w:after="60"/>
              <w:rPr>
                <w:color w:val="auto"/>
                <w:sz w:val="10"/>
                <w:szCs w:val="10"/>
              </w:rPr>
            </w:pPr>
            <w:r w:rsidRPr="00CD1278">
              <w:rPr>
                <w:color w:val="auto"/>
                <w:sz w:val="10"/>
                <w:szCs w:val="10"/>
              </w:rPr>
              <w:t>25.000</w:t>
            </w:r>
          </w:p>
        </w:tc>
        <w:tc>
          <w:tcPr>
            <w:tcW w:w="709" w:type="dxa"/>
            <w:shd w:val="clear" w:color="auto" w:fill="auto"/>
            <w:vAlign w:val="center"/>
          </w:tcPr>
          <w:p w14:paraId="22FCB6CC" w14:textId="77777777" w:rsidR="00D34C6F" w:rsidRPr="00CD1278" w:rsidRDefault="00D34C6F" w:rsidP="008277E3">
            <w:pPr>
              <w:spacing w:after="60"/>
              <w:rPr>
                <w:color w:val="auto"/>
                <w:sz w:val="10"/>
                <w:szCs w:val="10"/>
              </w:rPr>
            </w:pPr>
            <w:r w:rsidRPr="00CD1278">
              <w:rPr>
                <w:color w:val="auto"/>
                <w:sz w:val="10"/>
                <w:szCs w:val="10"/>
              </w:rPr>
              <w:t>18.750</w:t>
            </w:r>
          </w:p>
        </w:tc>
        <w:tc>
          <w:tcPr>
            <w:tcW w:w="567" w:type="dxa"/>
            <w:shd w:val="clear" w:color="auto" w:fill="auto"/>
            <w:vAlign w:val="center"/>
          </w:tcPr>
          <w:p w14:paraId="53FD7E69" w14:textId="77777777" w:rsidR="00D34C6F" w:rsidRPr="00CD1278" w:rsidRDefault="00D34C6F" w:rsidP="008277E3">
            <w:pPr>
              <w:spacing w:after="60"/>
              <w:rPr>
                <w:color w:val="auto"/>
                <w:sz w:val="10"/>
                <w:szCs w:val="10"/>
              </w:rPr>
            </w:pPr>
            <w:r w:rsidRPr="00CD1278">
              <w:rPr>
                <w:color w:val="auto"/>
                <w:sz w:val="10"/>
                <w:szCs w:val="10"/>
              </w:rPr>
              <w:t>-</w:t>
            </w:r>
          </w:p>
        </w:tc>
        <w:tc>
          <w:tcPr>
            <w:tcW w:w="647" w:type="dxa"/>
            <w:shd w:val="clear" w:color="auto" w:fill="auto"/>
            <w:vAlign w:val="center"/>
          </w:tcPr>
          <w:p w14:paraId="3EE754DE" w14:textId="77777777" w:rsidR="00D34C6F" w:rsidRPr="00CD1278" w:rsidRDefault="00D34C6F" w:rsidP="008277E3">
            <w:pPr>
              <w:spacing w:after="60"/>
              <w:rPr>
                <w:color w:val="auto"/>
                <w:sz w:val="10"/>
                <w:szCs w:val="10"/>
              </w:rPr>
            </w:pPr>
            <w:r w:rsidRPr="00CD1278">
              <w:rPr>
                <w:color w:val="auto"/>
                <w:sz w:val="10"/>
                <w:szCs w:val="10"/>
              </w:rPr>
              <w:t>15.937</w:t>
            </w:r>
          </w:p>
        </w:tc>
        <w:tc>
          <w:tcPr>
            <w:tcW w:w="567" w:type="dxa"/>
            <w:shd w:val="clear" w:color="auto" w:fill="auto"/>
            <w:vAlign w:val="center"/>
          </w:tcPr>
          <w:p w14:paraId="4BAF908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2947861F"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37F12443" w14:textId="77777777" w:rsidR="00D34C6F" w:rsidRPr="00CD1278" w:rsidRDefault="00D34C6F" w:rsidP="008277E3">
            <w:pPr>
              <w:spacing w:after="60"/>
              <w:rPr>
                <w:b/>
                <w:color w:val="auto"/>
                <w:sz w:val="10"/>
                <w:szCs w:val="10"/>
              </w:rPr>
            </w:pPr>
          </w:p>
        </w:tc>
        <w:tc>
          <w:tcPr>
            <w:tcW w:w="567" w:type="dxa"/>
          </w:tcPr>
          <w:p w14:paraId="3908DF61" w14:textId="77777777" w:rsidR="00D34C6F" w:rsidRPr="00CD1278" w:rsidRDefault="00D34C6F" w:rsidP="008277E3">
            <w:pPr>
              <w:spacing w:after="60"/>
              <w:jc w:val="center"/>
              <w:rPr>
                <w:b/>
                <w:color w:val="auto"/>
                <w:sz w:val="10"/>
                <w:szCs w:val="10"/>
              </w:rPr>
            </w:pPr>
          </w:p>
        </w:tc>
        <w:tc>
          <w:tcPr>
            <w:tcW w:w="567" w:type="dxa"/>
          </w:tcPr>
          <w:p w14:paraId="246E5931" w14:textId="77777777" w:rsidR="00D34C6F" w:rsidRPr="00CD1278" w:rsidRDefault="00D34C6F" w:rsidP="008277E3">
            <w:pPr>
              <w:spacing w:after="60"/>
              <w:jc w:val="center"/>
              <w:rPr>
                <w:b/>
                <w:color w:val="auto"/>
                <w:sz w:val="10"/>
                <w:szCs w:val="10"/>
              </w:rPr>
            </w:pPr>
          </w:p>
        </w:tc>
        <w:tc>
          <w:tcPr>
            <w:tcW w:w="567" w:type="dxa"/>
          </w:tcPr>
          <w:p w14:paraId="3860752F" w14:textId="77777777" w:rsidR="00D34C6F" w:rsidRPr="00CD1278" w:rsidRDefault="00D34C6F" w:rsidP="008277E3">
            <w:pPr>
              <w:spacing w:after="60"/>
              <w:jc w:val="center"/>
              <w:rPr>
                <w:b/>
                <w:color w:val="auto"/>
                <w:sz w:val="10"/>
                <w:szCs w:val="10"/>
              </w:rPr>
            </w:pPr>
          </w:p>
        </w:tc>
      </w:tr>
      <w:tr w:rsidR="003C102E" w:rsidRPr="00CD1278" w14:paraId="406D767A" w14:textId="77777777" w:rsidTr="008277E3">
        <w:trPr>
          <w:trHeight w:val="465"/>
          <w:jc w:val="center"/>
        </w:trPr>
        <w:tc>
          <w:tcPr>
            <w:tcW w:w="662" w:type="dxa"/>
            <w:shd w:val="clear" w:color="auto" w:fill="auto"/>
            <w:vAlign w:val="center"/>
          </w:tcPr>
          <w:p w14:paraId="274AF71E" w14:textId="77777777" w:rsidR="00D34C6F" w:rsidRPr="00CD1278" w:rsidRDefault="00D34C6F" w:rsidP="008277E3">
            <w:pPr>
              <w:spacing w:after="60"/>
              <w:rPr>
                <w:color w:val="auto"/>
                <w:sz w:val="12"/>
                <w:szCs w:val="12"/>
              </w:rPr>
            </w:pPr>
            <w:r w:rsidRPr="00CD1278">
              <w:rPr>
                <w:color w:val="auto"/>
                <w:sz w:val="12"/>
                <w:szCs w:val="12"/>
              </w:rPr>
              <w:t>Israel</w:t>
            </w:r>
          </w:p>
        </w:tc>
        <w:tc>
          <w:tcPr>
            <w:tcW w:w="824" w:type="dxa"/>
            <w:shd w:val="clear" w:color="auto" w:fill="auto"/>
            <w:vAlign w:val="center"/>
          </w:tcPr>
          <w:p w14:paraId="01F6FD90" w14:textId="77777777" w:rsidR="00D34C6F" w:rsidRPr="00CD1278" w:rsidRDefault="00D34C6F" w:rsidP="00D1371C">
            <w:pPr>
              <w:spacing w:after="60"/>
              <w:ind w:left="-87"/>
              <w:rPr>
                <w:color w:val="auto"/>
                <w:sz w:val="12"/>
                <w:szCs w:val="12"/>
              </w:rPr>
            </w:pPr>
            <w:r w:rsidRPr="00CD1278">
              <w:rPr>
                <w:color w:val="auto"/>
                <w:sz w:val="12"/>
                <w:szCs w:val="12"/>
              </w:rPr>
              <w:t>Cut flowers – open field</w:t>
            </w:r>
          </w:p>
        </w:tc>
        <w:tc>
          <w:tcPr>
            <w:tcW w:w="770" w:type="dxa"/>
            <w:shd w:val="clear" w:color="auto" w:fill="auto"/>
            <w:vAlign w:val="center"/>
          </w:tcPr>
          <w:p w14:paraId="7B6A319C" w14:textId="77777777" w:rsidR="00D34C6F" w:rsidRPr="00CD1278" w:rsidRDefault="00D34C6F" w:rsidP="008277E3">
            <w:pPr>
              <w:spacing w:after="60"/>
              <w:rPr>
                <w:color w:val="auto"/>
                <w:sz w:val="10"/>
                <w:szCs w:val="10"/>
              </w:rPr>
            </w:pPr>
            <w:r w:rsidRPr="00CD1278">
              <w:rPr>
                <w:color w:val="auto"/>
                <w:sz w:val="10"/>
                <w:szCs w:val="10"/>
              </w:rPr>
              <w:t>77.000</w:t>
            </w:r>
          </w:p>
        </w:tc>
        <w:tc>
          <w:tcPr>
            <w:tcW w:w="647" w:type="dxa"/>
            <w:shd w:val="clear" w:color="auto" w:fill="auto"/>
            <w:vAlign w:val="center"/>
          </w:tcPr>
          <w:p w14:paraId="33FE25A3" w14:textId="77777777" w:rsidR="00D34C6F" w:rsidRPr="00CD1278" w:rsidRDefault="00D34C6F" w:rsidP="008277E3">
            <w:pPr>
              <w:spacing w:after="60"/>
              <w:rPr>
                <w:color w:val="auto"/>
                <w:sz w:val="10"/>
                <w:szCs w:val="10"/>
              </w:rPr>
            </w:pPr>
            <w:r w:rsidRPr="00CD1278">
              <w:rPr>
                <w:color w:val="auto"/>
                <w:sz w:val="10"/>
                <w:szCs w:val="10"/>
              </w:rPr>
              <w:t>67.000</w:t>
            </w:r>
          </w:p>
        </w:tc>
        <w:tc>
          <w:tcPr>
            <w:tcW w:w="709" w:type="dxa"/>
            <w:shd w:val="clear" w:color="auto" w:fill="auto"/>
            <w:vAlign w:val="center"/>
          </w:tcPr>
          <w:p w14:paraId="37F6A147" w14:textId="77777777" w:rsidR="00D34C6F" w:rsidRPr="00CD1278" w:rsidRDefault="00D34C6F" w:rsidP="008277E3">
            <w:pPr>
              <w:spacing w:after="60"/>
              <w:rPr>
                <w:color w:val="auto"/>
                <w:sz w:val="10"/>
                <w:szCs w:val="10"/>
              </w:rPr>
            </w:pPr>
            <w:r w:rsidRPr="00CD1278">
              <w:rPr>
                <w:color w:val="auto"/>
                <w:sz w:val="10"/>
                <w:szCs w:val="10"/>
              </w:rPr>
              <w:t>80.755</w:t>
            </w:r>
          </w:p>
        </w:tc>
        <w:tc>
          <w:tcPr>
            <w:tcW w:w="567" w:type="dxa"/>
            <w:shd w:val="clear" w:color="auto" w:fill="auto"/>
            <w:vAlign w:val="center"/>
          </w:tcPr>
          <w:p w14:paraId="0B95EA14" w14:textId="77777777" w:rsidR="00D34C6F" w:rsidRPr="00CD1278" w:rsidRDefault="00D34C6F" w:rsidP="008277E3">
            <w:pPr>
              <w:spacing w:after="60"/>
              <w:rPr>
                <w:color w:val="auto"/>
                <w:sz w:val="10"/>
                <w:szCs w:val="10"/>
              </w:rPr>
            </w:pPr>
            <w:r w:rsidRPr="00CD1278">
              <w:rPr>
                <w:color w:val="auto"/>
                <w:sz w:val="10"/>
                <w:szCs w:val="10"/>
              </w:rPr>
              <w:t>53.345</w:t>
            </w:r>
          </w:p>
        </w:tc>
        <w:tc>
          <w:tcPr>
            <w:tcW w:w="709" w:type="dxa"/>
            <w:shd w:val="clear" w:color="auto" w:fill="auto"/>
            <w:vAlign w:val="center"/>
          </w:tcPr>
          <w:p w14:paraId="1141A71C" w14:textId="77777777" w:rsidR="00D34C6F" w:rsidRPr="00CD1278" w:rsidRDefault="00D34C6F" w:rsidP="008277E3">
            <w:pPr>
              <w:spacing w:after="60"/>
              <w:rPr>
                <w:color w:val="auto"/>
                <w:sz w:val="10"/>
                <w:szCs w:val="10"/>
              </w:rPr>
            </w:pPr>
            <w:r w:rsidRPr="00CD1278">
              <w:rPr>
                <w:color w:val="auto"/>
                <w:sz w:val="10"/>
                <w:szCs w:val="10"/>
              </w:rPr>
              <w:t>42.777</w:t>
            </w:r>
          </w:p>
        </w:tc>
        <w:tc>
          <w:tcPr>
            <w:tcW w:w="567" w:type="dxa"/>
            <w:shd w:val="clear" w:color="auto" w:fill="auto"/>
            <w:vAlign w:val="center"/>
          </w:tcPr>
          <w:p w14:paraId="1EB4863C" w14:textId="77777777" w:rsidR="00D34C6F" w:rsidRPr="00CD1278" w:rsidRDefault="00D34C6F" w:rsidP="008277E3">
            <w:pPr>
              <w:spacing w:after="60"/>
              <w:rPr>
                <w:color w:val="auto"/>
                <w:sz w:val="10"/>
                <w:szCs w:val="10"/>
              </w:rPr>
            </w:pPr>
            <w:r w:rsidRPr="00CD1278">
              <w:rPr>
                <w:color w:val="auto"/>
                <w:sz w:val="10"/>
                <w:szCs w:val="10"/>
              </w:rPr>
              <w:t>42.554</w:t>
            </w:r>
          </w:p>
        </w:tc>
        <w:tc>
          <w:tcPr>
            <w:tcW w:w="708" w:type="dxa"/>
            <w:shd w:val="clear" w:color="auto" w:fill="auto"/>
            <w:vAlign w:val="center"/>
          </w:tcPr>
          <w:p w14:paraId="0E8E73F5" w14:textId="77777777" w:rsidR="00D34C6F" w:rsidRPr="00CD1278" w:rsidRDefault="00D34C6F" w:rsidP="008277E3">
            <w:pPr>
              <w:spacing w:after="60"/>
              <w:rPr>
                <w:color w:val="auto"/>
                <w:sz w:val="10"/>
                <w:szCs w:val="10"/>
              </w:rPr>
            </w:pPr>
            <w:r w:rsidRPr="00CD1278">
              <w:rPr>
                <w:color w:val="auto"/>
                <w:sz w:val="10"/>
                <w:szCs w:val="10"/>
              </w:rPr>
              <w:t>23.292</w:t>
            </w:r>
          </w:p>
        </w:tc>
        <w:tc>
          <w:tcPr>
            <w:tcW w:w="567" w:type="dxa"/>
            <w:shd w:val="clear" w:color="auto" w:fill="auto"/>
            <w:vAlign w:val="center"/>
          </w:tcPr>
          <w:p w14:paraId="0A032E6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71832A9"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365C3FEF" w14:textId="77777777" w:rsidR="00D34C6F" w:rsidRPr="00CD1278" w:rsidRDefault="00D34C6F" w:rsidP="008277E3">
            <w:pPr>
              <w:spacing w:after="60"/>
              <w:rPr>
                <w:color w:val="auto"/>
                <w:sz w:val="10"/>
                <w:szCs w:val="10"/>
              </w:rPr>
            </w:pPr>
          </w:p>
        </w:tc>
        <w:tc>
          <w:tcPr>
            <w:tcW w:w="567" w:type="dxa"/>
          </w:tcPr>
          <w:p w14:paraId="0C0D72B1" w14:textId="77777777" w:rsidR="00D34C6F" w:rsidRPr="00CD1278" w:rsidRDefault="00D34C6F" w:rsidP="008277E3">
            <w:pPr>
              <w:spacing w:after="60"/>
              <w:jc w:val="center"/>
              <w:rPr>
                <w:color w:val="auto"/>
                <w:sz w:val="10"/>
                <w:szCs w:val="10"/>
              </w:rPr>
            </w:pPr>
          </w:p>
        </w:tc>
        <w:tc>
          <w:tcPr>
            <w:tcW w:w="567" w:type="dxa"/>
          </w:tcPr>
          <w:p w14:paraId="7AF5B2FC"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3EE060B6" w14:textId="77777777" w:rsidR="00D34C6F" w:rsidRPr="00CD1278" w:rsidRDefault="00D34C6F" w:rsidP="008277E3">
            <w:pPr>
              <w:spacing w:after="60"/>
              <w:rPr>
                <w:color w:val="auto"/>
                <w:sz w:val="10"/>
                <w:szCs w:val="10"/>
              </w:rPr>
            </w:pPr>
            <w:r w:rsidRPr="00CD1278">
              <w:rPr>
                <w:color w:val="auto"/>
                <w:sz w:val="10"/>
                <w:szCs w:val="10"/>
              </w:rPr>
              <w:t>77.000</w:t>
            </w:r>
          </w:p>
        </w:tc>
        <w:tc>
          <w:tcPr>
            <w:tcW w:w="709" w:type="dxa"/>
            <w:shd w:val="clear" w:color="auto" w:fill="auto"/>
            <w:vAlign w:val="center"/>
          </w:tcPr>
          <w:p w14:paraId="40EB0700" w14:textId="77777777" w:rsidR="00D34C6F" w:rsidRPr="00CD1278" w:rsidRDefault="00D34C6F" w:rsidP="008277E3">
            <w:pPr>
              <w:spacing w:after="60"/>
              <w:rPr>
                <w:color w:val="auto"/>
                <w:sz w:val="10"/>
                <w:szCs w:val="10"/>
              </w:rPr>
            </w:pPr>
            <w:r w:rsidRPr="00CD1278">
              <w:rPr>
                <w:color w:val="auto"/>
                <w:sz w:val="10"/>
                <w:szCs w:val="10"/>
              </w:rPr>
              <w:t>67.000</w:t>
            </w:r>
          </w:p>
        </w:tc>
        <w:tc>
          <w:tcPr>
            <w:tcW w:w="708" w:type="dxa"/>
            <w:shd w:val="clear" w:color="auto" w:fill="auto"/>
            <w:vAlign w:val="center"/>
          </w:tcPr>
          <w:p w14:paraId="13785F86" w14:textId="77777777" w:rsidR="00D34C6F" w:rsidRPr="00CD1278" w:rsidRDefault="00D34C6F" w:rsidP="008277E3">
            <w:pPr>
              <w:spacing w:after="60"/>
              <w:rPr>
                <w:color w:val="auto"/>
                <w:sz w:val="10"/>
                <w:szCs w:val="10"/>
              </w:rPr>
            </w:pPr>
            <w:r w:rsidRPr="00CD1278">
              <w:rPr>
                <w:color w:val="auto"/>
                <w:sz w:val="10"/>
                <w:szCs w:val="10"/>
              </w:rPr>
              <w:t>74.540</w:t>
            </w:r>
          </w:p>
        </w:tc>
        <w:tc>
          <w:tcPr>
            <w:tcW w:w="709" w:type="dxa"/>
            <w:shd w:val="clear" w:color="auto" w:fill="auto"/>
            <w:vAlign w:val="center"/>
          </w:tcPr>
          <w:p w14:paraId="0BF546F7" w14:textId="77777777" w:rsidR="00D34C6F" w:rsidRPr="00CD1278" w:rsidRDefault="00D34C6F" w:rsidP="008277E3">
            <w:pPr>
              <w:spacing w:after="60"/>
              <w:rPr>
                <w:color w:val="auto"/>
                <w:sz w:val="10"/>
                <w:szCs w:val="10"/>
              </w:rPr>
            </w:pPr>
            <w:r w:rsidRPr="00CD1278">
              <w:rPr>
                <w:color w:val="auto"/>
                <w:sz w:val="10"/>
                <w:szCs w:val="10"/>
              </w:rPr>
              <w:t>44.750</w:t>
            </w:r>
          </w:p>
        </w:tc>
        <w:tc>
          <w:tcPr>
            <w:tcW w:w="567" w:type="dxa"/>
            <w:shd w:val="clear" w:color="auto" w:fill="auto"/>
            <w:vAlign w:val="center"/>
          </w:tcPr>
          <w:p w14:paraId="5BB01672" w14:textId="77777777" w:rsidR="00D34C6F" w:rsidRPr="00CD1278" w:rsidRDefault="00D34C6F" w:rsidP="008277E3">
            <w:pPr>
              <w:spacing w:after="60"/>
              <w:rPr>
                <w:color w:val="auto"/>
                <w:sz w:val="10"/>
                <w:szCs w:val="10"/>
              </w:rPr>
            </w:pPr>
            <w:r w:rsidRPr="00CD1278">
              <w:rPr>
                <w:color w:val="auto"/>
                <w:sz w:val="10"/>
                <w:szCs w:val="10"/>
              </w:rPr>
              <w:t>34.698</w:t>
            </w:r>
          </w:p>
        </w:tc>
        <w:tc>
          <w:tcPr>
            <w:tcW w:w="647" w:type="dxa"/>
            <w:shd w:val="clear" w:color="auto" w:fill="auto"/>
            <w:vAlign w:val="center"/>
          </w:tcPr>
          <w:p w14:paraId="0D59ED68" w14:textId="77777777" w:rsidR="00D34C6F" w:rsidRPr="00CD1278" w:rsidRDefault="00D34C6F" w:rsidP="008277E3">
            <w:pPr>
              <w:spacing w:after="60"/>
              <w:rPr>
                <w:color w:val="auto"/>
                <w:sz w:val="10"/>
                <w:szCs w:val="10"/>
              </w:rPr>
            </w:pPr>
            <w:r w:rsidRPr="00CD1278">
              <w:rPr>
                <w:color w:val="auto"/>
                <w:sz w:val="10"/>
                <w:szCs w:val="10"/>
              </w:rPr>
              <w:t>28.554</w:t>
            </w:r>
          </w:p>
        </w:tc>
        <w:tc>
          <w:tcPr>
            <w:tcW w:w="567" w:type="dxa"/>
            <w:shd w:val="clear" w:color="auto" w:fill="auto"/>
            <w:vAlign w:val="center"/>
          </w:tcPr>
          <w:p w14:paraId="4DF5680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5AA4A5B0"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79754646" w14:textId="77777777" w:rsidR="00D34C6F" w:rsidRPr="00CD1278" w:rsidRDefault="00D34C6F" w:rsidP="008277E3">
            <w:pPr>
              <w:spacing w:after="60"/>
              <w:rPr>
                <w:b/>
                <w:color w:val="auto"/>
                <w:sz w:val="10"/>
                <w:szCs w:val="10"/>
              </w:rPr>
            </w:pPr>
          </w:p>
        </w:tc>
        <w:tc>
          <w:tcPr>
            <w:tcW w:w="567" w:type="dxa"/>
          </w:tcPr>
          <w:p w14:paraId="2315D681" w14:textId="77777777" w:rsidR="00D34C6F" w:rsidRPr="00CD1278" w:rsidRDefault="00D34C6F" w:rsidP="008277E3">
            <w:pPr>
              <w:spacing w:after="60"/>
              <w:jc w:val="center"/>
              <w:rPr>
                <w:b/>
                <w:color w:val="auto"/>
                <w:sz w:val="10"/>
                <w:szCs w:val="10"/>
              </w:rPr>
            </w:pPr>
          </w:p>
        </w:tc>
        <w:tc>
          <w:tcPr>
            <w:tcW w:w="567" w:type="dxa"/>
          </w:tcPr>
          <w:p w14:paraId="17D2DC12" w14:textId="77777777" w:rsidR="00D34C6F" w:rsidRPr="00CD1278" w:rsidRDefault="00D34C6F" w:rsidP="008277E3">
            <w:pPr>
              <w:spacing w:after="60"/>
              <w:jc w:val="center"/>
              <w:rPr>
                <w:b/>
                <w:color w:val="auto"/>
                <w:sz w:val="10"/>
                <w:szCs w:val="10"/>
              </w:rPr>
            </w:pPr>
          </w:p>
        </w:tc>
        <w:tc>
          <w:tcPr>
            <w:tcW w:w="567" w:type="dxa"/>
          </w:tcPr>
          <w:p w14:paraId="0F5163C7" w14:textId="77777777" w:rsidR="00D34C6F" w:rsidRPr="00CD1278" w:rsidRDefault="00D34C6F" w:rsidP="008277E3">
            <w:pPr>
              <w:spacing w:after="60"/>
              <w:jc w:val="center"/>
              <w:rPr>
                <w:b/>
                <w:color w:val="auto"/>
                <w:sz w:val="10"/>
                <w:szCs w:val="10"/>
              </w:rPr>
            </w:pPr>
          </w:p>
        </w:tc>
      </w:tr>
      <w:tr w:rsidR="003C102E" w:rsidRPr="00CD1278" w14:paraId="5146886C" w14:textId="77777777" w:rsidTr="008277E3">
        <w:trPr>
          <w:trHeight w:val="465"/>
          <w:jc w:val="center"/>
        </w:trPr>
        <w:tc>
          <w:tcPr>
            <w:tcW w:w="662" w:type="dxa"/>
            <w:shd w:val="clear" w:color="auto" w:fill="auto"/>
            <w:vAlign w:val="center"/>
          </w:tcPr>
          <w:p w14:paraId="4266EE1A" w14:textId="77777777" w:rsidR="00D34C6F" w:rsidRPr="00CD1278" w:rsidRDefault="00D34C6F" w:rsidP="008277E3">
            <w:pPr>
              <w:spacing w:after="60"/>
              <w:rPr>
                <w:color w:val="auto"/>
                <w:sz w:val="12"/>
                <w:szCs w:val="12"/>
              </w:rPr>
            </w:pPr>
            <w:r w:rsidRPr="00CD1278">
              <w:rPr>
                <w:color w:val="auto"/>
                <w:sz w:val="12"/>
                <w:szCs w:val="12"/>
              </w:rPr>
              <w:t>Israel</w:t>
            </w:r>
          </w:p>
        </w:tc>
        <w:tc>
          <w:tcPr>
            <w:tcW w:w="824" w:type="dxa"/>
            <w:shd w:val="clear" w:color="auto" w:fill="auto"/>
            <w:vAlign w:val="center"/>
          </w:tcPr>
          <w:p w14:paraId="01C935BD" w14:textId="77777777" w:rsidR="00D34C6F" w:rsidRPr="00CD1278" w:rsidRDefault="00D34C6F" w:rsidP="00D1371C">
            <w:pPr>
              <w:spacing w:after="60"/>
              <w:ind w:left="-87"/>
              <w:rPr>
                <w:color w:val="auto"/>
                <w:sz w:val="12"/>
                <w:szCs w:val="12"/>
              </w:rPr>
            </w:pPr>
            <w:r w:rsidRPr="00CD1278">
              <w:rPr>
                <w:color w:val="auto"/>
                <w:sz w:val="12"/>
                <w:szCs w:val="12"/>
              </w:rPr>
              <w:t>Cut flowers – protected</w:t>
            </w:r>
          </w:p>
        </w:tc>
        <w:tc>
          <w:tcPr>
            <w:tcW w:w="770" w:type="dxa"/>
            <w:shd w:val="clear" w:color="auto" w:fill="auto"/>
            <w:vAlign w:val="center"/>
          </w:tcPr>
          <w:p w14:paraId="1F1F426B" w14:textId="77777777" w:rsidR="00D34C6F" w:rsidRPr="00CD1278" w:rsidRDefault="00D34C6F" w:rsidP="008277E3">
            <w:pPr>
              <w:spacing w:after="60"/>
              <w:rPr>
                <w:color w:val="auto"/>
                <w:sz w:val="10"/>
                <w:szCs w:val="10"/>
              </w:rPr>
            </w:pPr>
            <w:r w:rsidRPr="00CD1278">
              <w:rPr>
                <w:color w:val="auto"/>
                <w:sz w:val="10"/>
                <w:szCs w:val="10"/>
              </w:rPr>
              <w:t>303.000</w:t>
            </w:r>
          </w:p>
        </w:tc>
        <w:tc>
          <w:tcPr>
            <w:tcW w:w="647" w:type="dxa"/>
            <w:shd w:val="clear" w:color="auto" w:fill="auto"/>
            <w:vAlign w:val="center"/>
          </w:tcPr>
          <w:p w14:paraId="0D43C38A" w14:textId="77777777" w:rsidR="00D34C6F" w:rsidRPr="00CD1278" w:rsidRDefault="00D34C6F" w:rsidP="008277E3">
            <w:pPr>
              <w:spacing w:after="60"/>
              <w:rPr>
                <w:color w:val="auto"/>
                <w:sz w:val="10"/>
                <w:szCs w:val="10"/>
              </w:rPr>
            </w:pPr>
            <w:r w:rsidRPr="00CD1278">
              <w:rPr>
                <w:color w:val="auto"/>
                <w:sz w:val="10"/>
                <w:szCs w:val="10"/>
              </w:rPr>
              <w:t>303.000</w:t>
            </w:r>
          </w:p>
        </w:tc>
        <w:tc>
          <w:tcPr>
            <w:tcW w:w="709" w:type="dxa"/>
            <w:shd w:val="clear" w:color="auto" w:fill="auto"/>
            <w:vAlign w:val="center"/>
          </w:tcPr>
          <w:p w14:paraId="7BB1463E" w14:textId="77777777" w:rsidR="00D34C6F" w:rsidRPr="00CD1278" w:rsidRDefault="00D34C6F" w:rsidP="008277E3">
            <w:pPr>
              <w:spacing w:after="60"/>
              <w:rPr>
                <w:color w:val="auto"/>
                <w:sz w:val="10"/>
                <w:szCs w:val="10"/>
              </w:rPr>
            </w:pPr>
            <w:r w:rsidRPr="00CD1278">
              <w:rPr>
                <w:color w:val="auto"/>
                <w:sz w:val="10"/>
                <w:szCs w:val="10"/>
              </w:rPr>
              <w:t>321.330</w:t>
            </w:r>
          </w:p>
        </w:tc>
        <w:tc>
          <w:tcPr>
            <w:tcW w:w="567" w:type="dxa"/>
            <w:shd w:val="clear" w:color="auto" w:fill="auto"/>
            <w:vAlign w:val="center"/>
          </w:tcPr>
          <w:p w14:paraId="5AE0B2CE" w14:textId="77777777" w:rsidR="00D34C6F" w:rsidRPr="00CD1278" w:rsidRDefault="00D34C6F" w:rsidP="008277E3">
            <w:pPr>
              <w:spacing w:after="60"/>
              <w:rPr>
                <w:color w:val="auto"/>
                <w:sz w:val="10"/>
                <w:szCs w:val="10"/>
              </w:rPr>
            </w:pPr>
            <w:r w:rsidRPr="00CD1278">
              <w:rPr>
                <w:color w:val="auto"/>
                <w:sz w:val="10"/>
                <w:szCs w:val="10"/>
              </w:rPr>
              <w:t>163.400</w:t>
            </w:r>
          </w:p>
        </w:tc>
        <w:tc>
          <w:tcPr>
            <w:tcW w:w="709" w:type="dxa"/>
            <w:shd w:val="clear" w:color="auto" w:fill="auto"/>
            <w:vAlign w:val="center"/>
          </w:tcPr>
          <w:p w14:paraId="79387375" w14:textId="77777777" w:rsidR="00D34C6F" w:rsidRPr="00CD1278" w:rsidRDefault="00D34C6F" w:rsidP="008277E3">
            <w:pPr>
              <w:spacing w:after="60"/>
              <w:rPr>
                <w:color w:val="auto"/>
                <w:sz w:val="10"/>
                <w:szCs w:val="10"/>
              </w:rPr>
            </w:pPr>
            <w:r w:rsidRPr="00CD1278">
              <w:rPr>
                <w:color w:val="auto"/>
                <w:sz w:val="10"/>
                <w:szCs w:val="10"/>
              </w:rPr>
              <w:t>113.821</w:t>
            </w:r>
          </w:p>
        </w:tc>
        <w:tc>
          <w:tcPr>
            <w:tcW w:w="567" w:type="dxa"/>
            <w:shd w:val="clear" w:color="auto" w:fill="auto"/>
            <w:vAlign w:val="center"/>
          </w:tcPr>
          <w:p w14:paraId="05B23B8E" w14:textId="77777777" w:rsidR="00D34C6F" w:rsidRPr="00CD1278" w:rsidRDefault="00D34C6F" w:rsidP="008277E3">
            <w:pPr>
              <w:spacing w:after="60"/>
              <w:rPr>
                <w:color w:val="auto"/>
                <w:sz w:val="10"/>
                <w:szCs w:val="10"/>
              </w:rPr>
            </w:pPr>
            <w:r w:rsidRPr="00CD1278">
              <w:rPr>
                <w:color w:val="auto"/>
                <w:sz w:val="10"/>
                <w:szCs w:val="10"/>
              </w:rPr>
              <w:t>72.266</w:t>
            </w:r>
          </w:p>
        </w:tc>
        <w:tc>
          <w:tcPr>
            <w:tcW w:w="708" w:type="dxa"/>
            <w:shd w:val="clear" w:color="auto" w:fill="auto"/>
            <w:vAlign w:val="center"/>
          </w:tcPr>
          <w:p w14:paraId="21A3675E" w14:textId="77777777" w:rsidR="00D34C6F" w:rsidRPr="00CD1278" w:rsidRDefault="00D34C6F" w:rsidP="008277E3">
            <w:pPr>
              <w:spacing w:after="60"/>
              <w:rPr>
                <w:color w:val="auto"/>
                <w:sz w:val="10"/>
                <w:szCs w:val="10"/>
              </w:rPr>
            </w:pPr>
            <w:r w:rsidRPr="00CD1278">
              <w:rPr>
                <w:color w:val="auto"/>
                <w:sz w:val="10"/>
                <w:szCs w:val="10"/>
              </w:rPr>
              <w:t>52.955</w:t>
            </w:r>
          </w:p>
        </w:tc>
        <w:tc>
          <w:tcPr>
            <w:tcW w:w="567" w:type="dxa"/>
            <w:shd w:val="clear" w:color="auto" w:fill="auto"/>
            <w:vAlign w:val="center"/>
          </w:tcPr>
          <w:p w14:paraId="14C13E2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479BF5F"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5DAF869D" w14:textId="77777777" w:rsidR="00D34C6F" w:rsidRPr="00CD1278" w:rsidRDefault="00D34C6F" w:rsidP="008277E3">
            <w:pPr>
              <w:spacing w:after="60"/>
              <w:rPr>
                <w:color w:val="auto"/>
                <w:sz w:val="10"/>
                <w:szCs w:val="10"/>
              </w:rPr>
            </w:pPr>
          </w:p>
        </w:tc>
        <w:tc>
          <w:tcPr>
            <w:tcW w:w="567" w:type="dxa"/>
          </w:tcPr>
          <w:p w14:paraId="31CC0C7A" w14:textId="77777777" w:rsidR="00D34C6F" w:rsidRPr="00CD1278" w:rsidRDefault="00D34C6F" w:rsidP="008277E3">
            <w:pPr>
              <w:spacing w:after="60"/>
              <w:jc w:val="center"/>
              <w:rPr>
                <w:color w:val="auto"/>
                <w:sz w:val="10"/>
                <w:szCs w:val="10"/>
              </w:rPr>
            </w:pPr>
          </w:p>
        </w:tc>
        <w:tc>
          <w:tcPr>
            <w:tcW w:w="567" w:type="dxa"/>
          </w:tcPr>
          <w:p w14:paraId="7C077D2F"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465A5E3F" w14:textId="77777777" w:rsidR="00D34C6F" w:rsidRPr="00CD1278" w:rsidRDefault="00D34C6F" w:rsidP="008277E3">
            <w:pPr>
              <w:spacing w:after="60"/>
              <w:rPr>
                <w:color w:val="auto"/>
                <w:sz w:val="10"/>
                <w:szCs w:val="10"/>
              </w:rPr>
            </w:pPr>
            <w:r w:rsidRPr="00CD1278">
              <w:rPr>
                <w:color w:val="auto"/>
                <w:sz w:val="10"/>
                <w:szCs w:val="10"/>
              </w:rPr>
              <w:t>303.000</w:t>
            </w:r>
          </w:p>
        </w:tc>
        <w:tc>
          <w:tcPr>
            <w:tcW w:w="709" w:type="dxa"/>
            <w:shd w:val="clear" w:color="auto" w:fill="auto"/>
            <w:vAlign w:val="center"/>
          </w:tcPr>
          <w:p w14:paraId="13DE7F91" w14:textId="77777777" w:rsidR="00D34C6F" w:rsidRPr="00CD1278" w:rsidRDefault="00D34C6F" w:rsidP="008277E3">
            <w:pPr>
              <w:spacing w:after="60"/>
              <w:rPr>
                <w:color w:val="auto"/>
                <w:sz w:val="10"/>
                <w:szCs w:val="10"/>
              </w:rPr>
            </w:pPr>
            <w:r w:rsidRPr="00CD1278">
              <w:rPr>
                <w:color w:val="auto"/>
                <w:sz w:val="10"/>
                <w:szCs w:val="10"/>
              </w:rPr>
              <w:t>240.000</w:t>
            </w:r>
          </w:p>
        </w:tc>
        <w:tc>
          <w:tcPr>
            <w:tcW w:w="708" w:type="dxa"/>
            <w:shd w:val="clear" w:color="auto" w:fill="auto"/>
            <w:vAlign w:val="center"/>
          </w:tcPr>
          <w:p w14:paraId="59D087A2" w14:textId="77777777" w:rsidR="00D34C6F" w:rsidRPr="00CD1278" w:rsidRDefault="00D34C6F" w:rsidP="008277E3">
            <w:pPr>
              <w:spacing w:after="60"/>
              <w:rPr>
                <w:color w:val="auto"/>
                <w:sz w:val="10"/>
                <w:szCs w:val="10"/>
              </w:rPr>
            </w:pPr>
            <w:r w:rsidRPr="00CD1278">
              <w:rPr>
                <w:color w:val="auto"/>
                <w:sz w:val="10"/>
                <w:szCs w:val="10"/>
              </w:rPr>
              <w:t>220.185</w:t>
            </w:r>
          </w:p>
        </w:tc>
        <w:tc>
          <w:tcPr>
            <w:tcW w:w="709" w:type="dxa"/>
            <w:shd w:val="clear" w:color="auto" w:fill="auto"/>
            <w:vAlign w:val="center"/>
          </w:tcPr>
          <w:p w14:paraId="2FF04744" w14:textId="77777777" w:rsidR="00D34C6F" w:rsidRPr="00CD1278" w:rsidRDefault="00D34C6F" w:rsidP="008277E3">
            <w:pPr>
              <w:spacing w:after="60"/>
              <w:rPr>
                <w:color w:val="auto"/>
                <w:sz w:val="10"/>
                <w:szCs w:val="10"/>
              </w:rPr>
            </w:pPr>
            <w:r w:rsidRPr="00CD1278">
              <w:rPr>
                <w:color w:val="auto"/>
                <w:sz w:val="10"/>
                <w:szCs w:val="10"/>
              </w:rPr>
              <w:t>114.450</w:t>
            </w:r>
          </w:p>
        </w:tc>
        <w:tc>
          <w:tcPr>
            <w:tcW w:w="567" w:type="dxa"/>
            <w:shd w:val="clear" w:color="auto" w:fill="auto"/>
            <w:vAlign w:val="center"/>
          </w:tcPr>
          <w:p w14:paraId="2FEAC762" w14:textId="77777777" w:rsidR="00D34C6F" w:rsidRPr="00CD1278" w:rsidRDefault="00D34C6F" w:rsidP="008277E3">
            <w:pPr>
              <w:spacing w:after="60"/>
              <w:rPr>
                <w:color w:val="auto"/>
                <w:sz w:val="10"/>
                <w:szCs w:val="10"/>
              </w:rPr>
            </w:pPr>
            <w:r w:rsidRPr="00CD1278">
              <w:rPr>
                <w:color w:val="auto"/>
                <w:sz w:val="10"/>
                <w:szCs w:val="10"/>
              </w:rPr>
              <w:t>85.431</w:t>
            </w:r>
          </w:p>
        </w:tc>
        <w:tc>
          <w:tcPr>
            <w:tcW w:w="647" w:type="dxa"/>
            <w:shd w:val="clear" w:color="auto" w:fill="auto"/>
            <w:vAlign w:val="center"/>
          </w:tcPr>
          <w:p w14:paraId="5CEFBF9C" w14:textId="77777777" w:rsidR="00D34C6F" w:rsidRPr="00CD1278" w:rsidRDefault="00D34C6F" w:rsidP="008277E3">
            <w:pPr>
              <w:spacing w:after="60"/>
              <w:rPr>
                <w:color w:val="auto"/>
                <w:sz w:val="10"/>
                <w:szCs w:val="10"/>
              </w:rPr>
            </w:pPr>
            <w:r w:rsidRPr="00CD1278">
              <w:rPr>
                <w:color w:val="auto"/>
                <w:sz w:val="10"/>
                <w:szCs w:val="10"/>
              </w:rPr>
              <w:t>63.464</w:t>
            </w:r>
          </w:p>
        </w:tc>
        <w:tc>
          <w:tcPr>
            <w:tcW w:w="567" w:type="dxa"/>
            <w:shd w:val="clear" w:color="auto" w:fill="auto"/>
            <w:vAlign w:val="center"/>
          </w:tcPr>
          <w:p w14:paraId="7496A8A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52D1C8FE"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55189183" w14:textId="77777777" w:rsidR="00D34C6F" w:rsidRPr="00CD1278" w:rsidRDefault="00D34C6F" w:rsidP="008277E3">
            <w:pPr>
              <w:spacing w:after="60"/>
              <w:rPr>
                <w:b/>
                <w:color w:val="auto"/>
                <w:sz w:val="10"/>
                <w:szCs w:val="10"/>
              </w:rPr>
            </w:pPr>
          </w:p>
        </w:tc>
        <w:tc>
          <w:tcPr>
            <w:tcW w:w="567" w:type="dxa"/>
          </w:tcPr>
          <w:p w14:paraId="2A93353E" w14:textId="77777777" w:rsidR="00D34C6F" w:rsidRPr="00CD1278" w:rsidRDefault="00D34C6F" w:rsidP="008277E3">
            <w:pPr>
              <w:spacing w:after="60"/>
              <w:jc w:val="center"/>
              <w:rPr>
                <w:b/>
                <w:color w:val="auto"/>
                <w:sz w:val="10"/>
                <w:szCs w:val="10"/>
              </w:rPr>
            </w:pPr>
          </w:p>
        </w:tc>
        <w:tc>
          <w:tcPr>
            <w:tcW w:w="567" w:type="dxa"/>
          </w:tcPr>
          <w:p w14:paraId="6C6E5F84" w14:textId="77777777" w:rsidR="00D34C6F" w:rsidRPr="00CD1278" w:rsidRDefault="00D34C6F" w:rsidP="008277E3">
            <w:pPr>
              <w:spacing w:after="60"/>
              <w:jc w:val="center"/>
              <w:rPr>
                <w:b/>
                <w:color w:val="auto"/>
                <w:sz w:val="10"/>
                <w:szCs w:val="10"/>
              </w:rPr>
            </w:pPr>
          </w:p>
        </w:tc>
        <w:tc>
          <w:tcPr>
            <w:tcW w:w="567" w:type="dxa"/>
          </w:tcPr>
          <w:p w14:paraId="61533C8B" w14:textId="77777777" w:rsidR="00D34C6F" w:rsidRPr="00CD1278" w:rsidRDefault="00D34C6F" w:rsidP="008277E3">
            <w:pPr>
              <w:spacing w:after="60"/>
              <w:jc w:val="center"/>
              <w:rPr>
                <w:b/>
                <w:color w:val="auto"/>
                <w:sz w:val="10"/>
                <w:szCs w:val="10"/>
              </w:rPr>
            </w:pPr>
          </w:p>
        </w:tc>
      </w:tr>
      <w:tr w:rsidR="003C102E" w:rsidRPr="00CD1278" w14:paraId="2277B1D2" w14:textId="77777777" w:rsidTr="008277E3">
        <w:trPr>
          <w:trHeight w:val="465"/>
          <w:jc w:val="center"/>
        </w:trPr>
        <w:tc>
          <w:tcPr>
            <w:tcW w:w="662" w:type="dxa"/>
            <w:shd w:val="clear" w:color="auto" w:fill="auto"/>
            <w:vAlign w:val="center"/>
          </w:tcPr>
          <w:p w14:paraId="19EC6E9A" w14:textId="77777777" w:rsidR="00D34C6F" w:rsidRPr="00CD1278" w:rsidRDefault="00D34C6F" w:rsidP="008277E3">
            <w:pPr>
              <w:spacing w:after="60"/>
              <w:rPr>
                <w:color w:val="auto"/>
                <w:sz w:val="12"/>
                <w:szCs w:val="12"/>
              </w:rPr>
            </w:pPr>
            <w:r w:rsidRPr="00CD1278">
              <w:rPr>
                <w:color w:val="auto"/>
                <w:sz w:val="12"/>
                <w:szCs w:val="12"/>
              </w:rPr>
              <w:t>Israel</w:t>
            </w:r>
          </w:p>
        </w:tc>
        <w:tc>
          <w:tcPr>
            <w:tcW w:w="824" w:type="dxa"/>
            <w:shd w:val="clear" w:color="auto" w:fill="auto"/>
            <w:vAlign w:val="center"/>
          </w:tcPr>
          <w:p w14:paraId="1E5BDBD8" w14:textId="77777777" w:rsidR="00D34C6F" w:rsidRPr="00CD1278" w:rsidRDefault="00D34C6F" w:rsidP="00D1371C">
            <w:pPr>
              <w:spacing w:after="60"/>
              <w:ind w:left="-87"/>
              <w:rPr>
                <w:color w:val="auto"/>
                <w:sz w:val="12"/>
                <w:szCs w:val="12"/>
              </w:rPr>
            </w:pPr>
            <w:r w:rsidRPr="00CD1278">
              <w:rPr>
                <w:color w:val="auto"/>
                <w:sz w:val="12"/>
                <w:szCs w:val="12"/>
              </w:rPr>
              <w:t>Fruit tree nurseries</w:t>
            </w:r>
          </w:p>
        </w:tc>
        <w:tc>
          <w:tcPr>
            <w:tcW w:w="770" w:type="dxa"/>
            <w:shd w:val="clear" w:color="auto" w:fill="auto"/>
            <w:vAlign w:val="center"/>
          </w:tcPr>
          <w:p w14:paraId="450DB566" w14:textId="77777777" w:rsidR="00D34C6F" w:rsidRPr="00CD1278" w:rsidRDefault="00D34C6F" w:rsidP="008277E3">
            <w:pPr>
              <w:spacing w:after="60"/>
              <w:rPr>
                <w:color w:val="auto"/>
                <w:sz w:val="10"/>
                <w:szCs w:val="10"/>
              </w:rPr>
            </w:pPr>
            <w:r w:rsidRPr="00CD1278">
              <w:rPr>
                <w:color w:val="auto"/>
                <w:sz w:val="10"/>
                <w:szCs w:val="10"/>
              </w:rPr>
              <w:t>50.000</w:t>
            </w:r>
          </w:p>
        </w:tc>
        <w:tc>
          <w:tcPr>
            <w:tcW w:w="647" w:type="dxa"/>
            <w:shd w:val="clear" w:color="auto" w:fill="auto"/>
            <w:vAlign w:val="center"/>
          </w:tcPr>
          <w:p w14:paraId="39F4F248" w14:textId="77777777" w:rsidR="00D34C6F" w:rsidRPr="00CD1278" w:rsidRDefault="00D34C6F" w:rsidP="008277E3">
            <w:pPr>
              <w:spacing w:after="60"/>
              <w:rPr>
                <w:color w:val="auto"/>
                <w:sz w:val="10"/>
                <w:szCs w:val="10"/>
              </w:rPr>
            </w:pPr>
            <w:r w:rsidRPr="00CD1278">
              <w:rPr>
                <w:color w:val="auto"/>
                <w:sz w:val="10"/>
                <w:szCs w:val="10"/>
              </w:rPr>
              <w:t>45.000</w:t>
            </w:r>
          </w:p>
        </w:tc>
        <w:tc>
          <w:tcPr>
            <w:tcW w:w="709" w:type="dxa"/>
            <w:shd w:val="clear" w:color="auto" w:fill="auto"/>
            <w:vAlign w:val="center"/>
          </w:tcPr>
          <w:p w14:paraId="04FF8109" w14:textId="77777777" w:rsidR="00D34C6F" w:rsidRPr="00CD1278" w:rsidRDefault="00D34C6F" w:rsidP="008277E3">
            <w:pPr>
              <w:spacing w:after="60"/>
              <w:rPr>
                <w:color w:val="auto"/>
                <w:sz w:val="10"/>
                <w:szCs w:val="10"/>
              </w:rPr>
            </w:pPr>
            <w:r w:rsidRPr="00CD1278">
              <w:rPr>
                <w:color w:val="auto"/>
                <w:sz w:val="10"/>
                <w:szCs w:val="10"/>
              </w:rPr>
              <w:t>10.000</w:t>
            </w:r>
          </w:p>
        </w:tc>
        <w:tc>
          <w:tcPr>
            <w:tcW w:w="567" w:type="dxa"/>
            <w:shd w:val="clear" w:color="auto" w:fill="auto"/>
            <w:vAlign w:val="center"/>
          </w:tcPr>
          <w:p w14:paraId="5905F7AE"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4FBBE0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8B50680"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33C74A0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F70774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89C3B6E"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3CA0A8A1" w14:textId="77777777" w:rsidR="00D34C6F" w:rsidRPr="00CD1278" w:rsidRDefault="00D34C6F" w:rsidP="008277E3">
            <w:pPr>
              <w:spacing w:after="60"/>
              <w:rPr>
                <w:color w:val="auto"/>
                <w:sz w:val="10"/>
                <w:szCs w:val="10"/>
              </w:rPr>
            </w:pPr>
          </w:p>
        </w:tc>
        <w:tc>
          <w:tcPr>
            <w:tcW w:w="567" w:type="dxa"/>
          </w:tcPr>
          <w:p w14:paraId="7A71EEC5" w14:textId="77777777" w:rsidR="00D34C6F" w:rsidRPr="00CD1278" w:rsidRDefault="00D34C6F" w:rsidP="008277E3">
            <w:pPr>
              <w:spacing w:after="60"/>
              <w:jc w:val="center"/>
              <w:rPr>
                <w:color w:val="auto"/>
                <w:sz w:val="10"/>
                <w:szCs w:val="10"/>
              </w:rPr>
            </w:pPr>
          </w:p>
        </w:tc>
        <w:tc>
          <w:tcPr>
            <w:tcW w:w="567" w:type="dxa"/>
          </w:tcPr>
          <w:p w14:paraId="7FE1E3F0"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17F26F71" w14:textId="77777777" w:rsidR="00D34C6F" w:rsidRPr="00CD1278" w:rsidRDefault="00D34C6F" w:rsidP="008277E3">
            <w:pPr>
              <w:spacing w:after="60"/>
              <w:rPr>
                <w:color w:val="auto"/>
                <w:sz w:val="10"/>
                <w:szCs w:val="10"/>
              </w:rPr>
            </w:pPr>
            <w:r w:rsidRPr="00CD1278">
              <w:rPr>
                <w:color w:val="auto"/>
                <w:sz w:val="10"/>
                <w:szCs w:val="10"/>
              </w:rPr>
              <w:t>50.000</w:t>
            </w:r>
          </w:p>
        </w:tc>
        <w:tc>
          <w:tcPr>
            <w:tcW w:w="709" w:type="dxa"/>
            <w:shd w:val="clear" w:color="auto" w:fill="auto"/>
            <w:vAlign w:val="center"/>
          </w:tcPr>
          <w:p w14:paraId="4AAA0244" w14:textId="77777777" w:rsidR="00D34C6F" w:rsidRPr="00CD1278" w:rsidRDefault="00D34C6F" w:rsidP="008277E3">
            <w:pPr>
              <w:spacing w:after="60"/>
              <w:rPr>
                <w:color w:val="auto"/>
                <w:sz w:val="10"/>
                <w:szCs w:val="10"/>
              </w:rPr>
            </w:pPr>
            <w:r w:rsidRPr="00CD1278">
              <w:rPr>
                <w:color w:val="auto"/>
                <w:sz w:val="10"/>
                <w:szCs w:val="10"/>
              </w:rPr>
              <w:t>45.000</w:t>
            </w:r>
          </w:p>
        </w:tc>
        <w:tc>
          <w:tcPr>
            <w:tcW w:w="708" w:type="dxa"/>
            <w:shd w:val="clear" w:color="auto" w:fill="auto"/>
            <w:vAlign w:val="center"/>
          </w:tcPr>
          <w:p w14:paraId="7725B7BA" w14:textId="77777777" w:rsidR="00D34C6F" w:rsidRPr="00CD1278" w:rsidRDefault="00D34C6F" w:rsidP="008277E3">
            <w:pPr>
              <w:spacing w:after="60"/>
              <w:rPr>
                <w:color w:val="auto"/>
                <w:sz w:val="10"/>
                <w:szCs w:val="10"/>
              </w:rPr>
            </w:pPr>
            <w:r w:rsidRPr="00CD1278">
              <w:rPr>
                <w:color w:val="auto"/>
                <w:sz w:val="10"/>
                <w:szCs w:val="10"/>
              </w:rPr>
              <w:t>7.500</w:t>
            </w:r>
          </w:p>
        </w:tc>
        <w:tc>
          <w:tcPr>
            <w:tcW w:w="709" w:type="dxa"/>
            <w:shd w:val="clear" w:color="auto" w:fill="auto"/>
            <w:vAlign w:val="center"/>
          </w:tcPr>
          <w:p w14:paraId="7D06504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642C1C7"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7A10F79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7F71EE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5E69E6B9"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1FC540D1" w14:textId="77777777" w:rsidR="00D34C6F" w:rsidRPr="00CD1278" w:rsidRDefault="00D34C6F" w:rsidP="008277E3">
            <w:pPr>
              <w:spacing w:after="60"/>
              <w:rPr>
                <w:b/>
                <w:color w:val="auto"/>
                <w:sz w:val="10"/>
                <w:szCs w:val="10"/>
              </w:rPr>
            </w:pPr>
          </w:p>
        </w:tc>
        <w:tc>
          <w:tcPr>
            <w:tcW w:w="567" w:type="dxa"/>
          </w:tcPr>
          <w:p w14:paraId="6D546432" w14:textId="77777777" w:rsidR="00D34C6F" w:rsidRPr="00CD1278" w:rsidRDefault="00D34C6F" w:rsidP="008277E3">
            <w:pPr>
              <w:spacing w:after="60"/>
              <w:jc w:val="center"/>
              <w:rPr>
                <w:b/>
                <w:color w:val="auto"/>
                <w:sz w:val="10"/>
                <w:szCs w:val="10"/>
              </w:rPr>
            </w:pPr>
          </w:p>
        </w:tc>
        <w:tc>
          <w:tcPr>
            <w:tcW w:w="567" w:type="dxa"/>
          </w:tcPr>
          <w:p w14:paraId="5994BCF0" w14:textId="77777777" w:rsidR="00D34C6F" w:rsidRPr="00CD1278" w:rsidRDefault="00D34C6F" w:rsidP="008277E3">
            <w:pPr>
              <w:spacing w:after="60"/>
              <w:jc w:val="center"/>
              <w:rPr>
                <w:b/>
                <w:color w:val="auto"/>
                <w:sz w:val="10"/>
                <w:szCs w:val="10"/>
              </w:rPr>
            </w:pPr>
          </w:p>
        </w:tc>
        <w:tc>
          <w:tcPr>
            <w:tcW w:w="567" w:type="dxa"/>
          </w:tcPr>
          <w:p w14:paraId="3A2116E2" w14:textId="77777777" w:rsidR="00D34C6F" w:rsidRPr="00CD1278" w:rsidRDefault="00D34C6F" w:rsidP="008277E3">
            <w:pPr>
              <w:spacing w:after="60"/>
              <w:jc w:val="center"/>
              <w:rPr>
                <w:b/>
                <w:color w:val="auto"/>
                <w:sz w:val="10"/>
                <w:szCs w:val="10"/>
              </w:rPr>
            </w:pPr>
          </w:p>
        </w:tc>
      </w:tr>
      <w:tr w:rsidR="003C102E" w:rsidRPr="00CD1278" w14:paraId="24CDC8CB" w14:textId="77777777" w:rsidTr="008277E3">
        <w:trPr>
          <w:trHeight w:val="690"/>
          <w:jc w:val="center"/>
        </w:trPr>
        <w:tc>
          <w:tcPr>
            <w:tcW w:w="662" w:type="dxa"/>
            <w:shd w:val="clear" w:color="auto" w:fill="auto"/>
            <w:vAlign w:val="center"/>
          </w:tcPr>
          <w:p w14:paraId="64ED9755" w14:textId="77777777" w:rsidR="00D34C6F" w:rsidRPr="00CD1278" w:rsidRDefault="00D34C6F" w:rsidP="008277E3">
            <w:pPr>
              <w:spacing w:after="60"/>
              <w:rPr>
                <w:color w:val="auto"/>
                <w:sz w:val="12"/>
                <w:szCs w:val="12"/>
              </w:rPr>
            </w:pPr>
            <w:r w:rsidRPr="00CD1278">
              <w:rPr>
                <w:color w:val="auto"/>
                <w:sz w:val="12"/>
                <w:szCs w:val="12"/>
              </w:rPr>
              <w:t>Israel</w:t>
            </w:r>
          </w:p>
        </w:tc>
        <w:tc>
          <w:tcPr>
            <w:tcW w:w="824" w:type="dxa"/>
            <w:shd w:val="clear" w:color="auto" w:fill="auto"/>
            <w:vAlign w:val="center"/>
          </w:tcPr>
          <w:p w14:paraId="09D3941D" w14:textId="77777777" w:rsidR="00D34C6F" w:rsidRPr="00CD1278" w:rsidRDefault="00D34C6F" w:rsidP="00D1371C">
            <w:pPr>
              <w:spacing w:after="60"/>
              <w:ind w:left="-87"/>
              <w:rPr>
                <w:color w:val="auto"/>
                <w:sz w:val="12"/>
                <w:szCs w:val="12"/>
              </w:rPr>
            </w:pPr>
            <w:r w:rsidRPr="00CD1278">
              <w:rPr>
                <w:color w:val="auto"/>
                <w:sz w:val="12"/>
                <w:szCs w:val="12"/>
              </w:rPr>
              <w:t xml:space="preserve">Melon – protected &amp; field </w:t>
            </w:r>
          </w:p>
        </w:tc>
        <w:tc>
          <w:tcPr>
            <w:tcW w:w="770" w:type="dxa"/>
            <w:shd w:val="clear" w:color="auto" w:fill="auto"/>
            <w:vAlign w:val="center"/>
          </w:tcPr>
          <w:p w14:paraId="14E5D628" w14:textId="77777777" w:rsidR="00D34C6F" w:rsidRPr="00CD1278" w:rsidRDefault="00D34C6F" w:rsidP="008277E3">
            <w:pPr>
              <w:spacing w:after="60"/>
              <w:rPr>
                <w:color w:val="auto"/>
                <w:sz w:val="10"/>
                <w:szCs w:val="10"/>
              </w:rPr>
            </w:pPr>
            <w:r w:rsidRPr="00CD1278">
              <w:rPr>
                <w:color w:val="auto"/>
                <w:sz w:val="10"/>
                <w:szCs w:val="10"/>
              </w:rPr>
              <w:t>148.000</w:t>
            </w:r>
          </w:p>
        </w:tc>
        <w:tc>
          <w:tcPr>
            <w:tcW w:w="647" w:type="dxa"/>
            <w:shd w:val="clear" w:color="auto" w:fill="auto"/>
            <w:vAlign w:val="center"/>
          </w:tcPr>
          <w:p w14:paraId="50558A28" w14:textId="77777777" w:rsidR="00D34C6F" w:rsidRPr="00CD1278" w:rsidRDefault="00D34C6F" w:rsidP="008277E3">
            <w:pPr>
              <w:spacing w:after="60"/>
              <w:rPr>
                <w:color w:val="auto"/>
                <w:sz w:val="10"/>
                <w:szCs w:val="10"/>
              </w:rPr>
            </w:pPr>
            <w:r w:rsidRPr="00CD1278">
              <w:rPr>
                <w:color w:val="auto"/>
                <w:sz w:val="10"/>
                <w:szCs w:val="10"/>
              </w:rPr>
              <w:t>142.000</w:t>
            </w:r>
          </w:p>
        </w:tc>
        <w:tc>
          <w:tcPr>
            <w:tcW w:w="709" w:type="dxa"/>
            <w:shd w:val="clear" w:color="auto" w:fill="auto"/>
            <w:vAlign w:val="center"/>
          </w:tcPr>
          <w:p w14:paraId="7CA20143" w14:textId="77777777" w:rsidR="00D34C6F" w:rsidRPr="00CD1278" w:rsidRDefault="00D34C6F" w:rsidP="008277E3">
            <w:pPr>
              <w:spacing w:after="60"/>
              <w:rPr>
                <w:color w:val="auto"/>
                <w:sz w:val="10"/>
                <w:szCs w:val="10"/>
              </w:rPr>
            </w:pPr>
            <w:r w:rsidRPr="00CD1278">
              <w:rPr>
                <w:color w:val="auto"/>
                <w:sz w:val="10"/>
                <w:szCs w:val="10"/>
              </w:rPr>
              <w:t>140.000</w:t>
            </w:r>
          </w:p>
        </w:tc>
        <w:tc>
          <w:tcPr>
            <w:tcW w:w="567" w:type="dxa"/>
            <w:shd w:val="clear" w:color="auto" w:fill="auto"/>
            <w:vAlign w:val="center"/>
          </w:tcPr>
          <w:p w14:paraId="6E175448" w14:textId="77777777" w:rsidR="00D34C6F" w:rsidRPr="00CD1278" w:rsidRDefault="00D34C6F" w:rsidP="008277E3">
            <w:pPr>
              <w:spacing w:after="60"/>
              <w:rPr>
                <w:color w:val="auto"/>
                <w:sz w:val="10"/>
                <w:szCs w:val="10"/>
              </w:rPr>
            </w:pPr>
            <w:r w:rsidRPr="00CD1278">
              <w:rPr>
                <w:color w:val="auto"/>
                <w:sz w:val="10"/>
                <w:szCs w:val="10"/>
              </w:rPr>
              <w:t>87.500</w:t>
            </w:r>
          </w:p>
        </w:tc>
        <w:tc>
          <w:tcPr>
            <w:tcW w:w="709" w:type="dxa"/>
            <w:shd w:val="clear" w:color="auto" w:fill="auto"/>
            <w:vAlign w:val="center"/>
          </w:tcPr>
          <w:p w14:paraId="1009528F" w14:textId="77777777" w:rsidR="00D34C6F" w:rsidRPr="00CD1278" w:rsidRDefault="00D34C6F" w:rsidP="008277E3">
            <w:pPr>
              <w:spacing w:after="60"/>
              <w:rPr>
                <w:color w:val="auto"/>
                <w:sz w:val="10"/>
                <w:szCs w:val="10"/>
              </w:rPr>
            </w:pPr>
            <w:r w:rsidRPr="00CD1278">
              <w:rPr>
                <w:color w:val="auto"/>
                <w:sz w:val="10"/>
                <w:szCs w:val="10"/>
              </w:rPr>
              <w:t>87.500</w:t>
            </w:r>
          </w:p>
        </w:tc>
        <w:tc>
          <w:tcPr>
            <w:tcW w:w="567" w:type="dxa"/>
            <w:shd w:val="clear" w:color="auto" w:fill="auto"/>
            <w:vAlign w:val="center"/>
          </w:tcPr>
          <w:p w14:paraId="50B0E9ED" w14:textId="77777777" w:rsidR="00D34C6F" w:rsidRPr="00CD1278" w:rsidRDefault="00D34C6F" w:rsidP="008277E3">
            <w:pPr>
              <w:spacing w:after="60"/>
              <w:rPr>
                <w:color w:val="auto"/>
                <w:sz w:val="10"/>
                <w:szCs w:val="10"/>
              </w:rPr>
            </w:pPr>
            <w:r w:rsidRPr="00CD1278">
              <w:rPr>
                <w:color w:val="auto"/>
                <w:sz w:val="10"/>
                <w:szCs w:val="10"/>
              </w:rPr>
              <w:t>87.500</w:t>
            </w:r>
          </w:p>
        </w:tc>
        <w:tc>
          <w:tcPr>
            <w:tcW w:w="708" w:type="dxa"/>
            <w:shd w:val="clear" w:color="auto" w:fill="auto"/>
            <w:vAlign w:val="center"/>
          </w:tcPr>
          <w:p w14:paraId="2E0B08DC" w14:textId="77777777" w:rsidR="00D34C6F" w:rsidRPr="00CD1278" w:rsidRDefault="00D34C6F" w:rsidP="008277E3">
            <w:pPr>
              <w:spacing w:after="60"/>
              <w:rPr>
                <w:color w:val="auto"/>
                <w:sz w:val="10"/>
                <w:szCs w:val="10"/>
              </w:rPr>
            </w:pPr>
            <w:r w:rsidRPr="00CD1278">
              <w:rPr>
                <w:color w:val="auto"/>
                <w:sz w:val="10"/>
                <w:szCs w:val="10"/>
              </w:rPr>
              <w:t>35.000</w:t>
            </w:r>
          </w:p>
        </w:tc>
        <w:tc>
          <w:tcPr>
            <w:tcW w:w="567" w:type="dxa"/>
            <w:shd w:val="clear" w:color="auto" w:fill="auto"/>
            <w:vAlign w:val="center"/>
          </w:tcPr>
          <w:p w14:paraId="785F98A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66FB8AD"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070C8A4F" w14:textId="77777777" w:rsidR="00D34C6F" w:rsidRPr="00CD1278" w:rsidRDefault="00D34C6F" w:rsidP="008277E3">
            <w:pPr>
              <w:spacing w:after="60"/>
              <w:rPr>
                <w:color w:val="auto"/>
                <w:sz w:val="10"/>
                <w:szCs w:val="10"/>
              </w:rPr>
            </w:pPr>
          </w:p>
        </w:tc>
        <w:tc>
          <w:tcPr>
            <w:tcW w:w="567" w:type="dxa"/>
          </w:tcPr>
          <w:p w14:paraId="0722BACA" w14:textId="77777777" w:rsidR="00D34C6F" w:rsidRPr="00CD1278" w:rsidRDefault="00D34C6F" w:rsidP="008277E3">
            <w:pPr>
              <w:spacing w:after="60"/>
              <w:jc w:val="center"/>
              <w:rPr>
                <w:color w:val="auto"/>
                <w:sz w:val="10"/>
                <w:szCs w:val="10"/>
              </w:rPr>
            </w:pPr>
          </w:p>
        </w:tc>
        <w:tc>
          <w:tcPr>
            <w:tcW w:w="567" w:type="dxa"/>
          </w:tcPr>
          <w:p w14:paraId="5A6492CD"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5F609DE2" w14:textId="77777777" w:rsidR="00D34C6F" w:rsidRPr="00CD1278" w:rsidRDefault="00D34C6F" w:rsidP="008277E3">
            <w:pPr>
              <w:spacing w:after="60"/>
              <w:rPr>
                <w:color w:val="auto"/>
                <w:sz w:val="10"/>
                <w:szCs w:val="10"/>
              </w:rPr>
            </w:pPr>
            <w:r w:rsidRPr="00CD1278">
              <w:rPr>
                <w:color w:val="auto"/>
                <w:sz w:val="10"/>
                <w:szCs w:val="10"/>
              </w:rPr>
              <w:t>125.650</w:t>
            </w:r>
          </w:p>
        </w:tc>
        <w:tc>
          <w:tcPr>
            <w:tcW w:w="709" w:type="dxa"/>
            <w:shd w:val="clear" w:color="auto" w:fill="auto"/>
            <w:vAlign w:val="center"/>
          </w:tcPr>
          <w:p w14:paraId="1895D805" w14:textId="77777777" w:rsidR="00D34C6F" w:rsidRPr="00CD1278" w:rsidRDefault="00D34C6F" w:rsidP="008277E3">
            <w:pPr>
              <w:spacing w:after="60"/>
              <w:rPr>
                <w:color w:val="auto"/>
                <w:sz w:val="10"/>
                <w:szCs w:val="10"/>
              </w:rPr>
            </w:pPr>
            <w:r w:rsidRPr="00CD1278">
              <w:rPr>
                <w:color w:val="auto"/>
                <w:sz w:val="10"/>
                <w:szCs w:val="10"/>
              </w:rPr>
              <w:t>99.400</w:t>
            </w:r>
          </w:p>
        </w:tc>
        <w:tc>
          <w:tcPr>
            <w:tcW w:w="708" w:type="dxa"/>
            <w:shd w:val="clear" w:color="auto" w:fill="auto"/>
            <w:vAlign w:val="center"/>
          </w:tcPr>
          <w:p w14:paraId="478D0764" w14:textId="77777777" w:rsidR="00D34C6F" w:rsidRPr="00CD1278" w:rsidRDefault="00D34C6F" w:rsidP="008277E3">
            <w:pPr>
              <w:spacing w:after="60"/>
              <w:rPr>
                <w:color w:val="auto"/>
                <w:sz w:val="10"/>
                <w:szCs w:val="10"/>
              </w:rPr>
            </w:pPr>
            <w:r w:rsidRPr="00CD1278">
              <w:rPr>
                <w:color w:val="auto"/>
                <w:sz w:val="10"/>
                <w:szCs w:val="10"/>
              </w:rPr>
              <w:t>105.000</w:t>
            </w:r>
          </w:p>
        </w:tc>
        <w:tc>
          <w:tcPr>
            <w:tcW w:w="709" w:type="dxa"/>
            <w:shd w:val="clear" w:color="auto" w:fill="auto"/>
            <w:vAlign w:val="center"/>
          </w:tcPr>
          <w:p w14:paraId="08615D6D" w14:textId="77777777" w:rsidR="00D34C6F" w:rsidRPr="00CD1278" w:rsidRDefault="00D34C6F" w:rsidP="008277E3">
            <w:pPr>
              <w:spacing w:after="60"/>
              <w:rPr>
                <w:color w:val="auto"/>
                <w:sz w:val="10"/>
                <w:szCs w:val="10"/>
              </w:rPr>
            </w:pPr>
            <w:r w:rsidRPr="00CD1278">
              <w:rPr>
                <w:color w:val="auto"/>
                <w:sz w:val="10"/>
                <w:szCs w:val="10"/>
              </w:rPr>
              <w:t>87.500</w:t>
            </w:r>
          </w:p>
        </w:tc>
        <w:tc>
          <w:tcPr>
            <w:tcW w:w="567" w:type="dxa"/>
            <w:shd w:val="clear" w:color="auto" w:fill="auto"/>
            <w:vAlign w:val="center"/>
          </w:tcPr>
          <w:p w14:paraId="1A49C6C3" w14:textId="77777777" w:rsidR="00D34C6F" w:rsidRPr="00CD1278" w:rsidRDefault="00D34C6F" w:rsidP="008277E3">
            <w:pPr>
              <w:spacing w:after="60"/>
              <w:rPr>
                <w:color w:val="auto"/>
                <w:sz w:val="10"/>
                <w:szCs w:val="10"/>
              </w:rPr>
            </w:pPr>
            <w:r w:rsidRPr="00CD1278">
              <w:rPr>
                <w:color w:val="auto"/>
                <w:sz w:val="10"/>
                <w:szCs w:val="10"/>
              </w:rPr>
              <w:t>87.500</w:t>
            </w:r>
          </w:p>
        </w:tc>
        <w:tc>
          <w:tcPr>
            <w:tcW w:w="647" w:type="dxa"/>
            <w:shd w:val="clear" w:color="auto" w:fill="auto"/>
            <w:vAlign w:val="center"/>
          </w:tcPr>
          <w:p w14:paraId="1B5AE81B" w14:textId="77777777" w:rsidR="00D34C6F" w:rsidRPr="00CD1278" w:rsidRDefault="00D34C6F" w:rsidP="008277E3">
            <w:pPr>
              <w:spacing w:after="60"/>
              <w:rPr>
                <w:color w:val="auto"/>
                <w:sz w:val="10"/>
                <w:szCs w:val="10"/>
              </w:rPr>
            </w:pPr>
            <w:r w:rsidRPr="00CD1278">
              <w:rPr>
                <w:color w:val="auto"/>
                <w:sz w:val="10"/>
                <w:szCs w:val="10"/>
              </w:rPr>
              <w:t>70.000</w:t>
            </w:r>
          </w:p>
        </w:tc>
        <w:tc>
          <w:tcPr>
            <w:tcW w:w="567" w:type="dxa"/>
            <w:shd w:val="clear" w:color="auto" w:fill="auto"/>
            <w:vAlign w:val="center"/>
          </w:tcPr>
          <w:p w14:paraId="09870F4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D62DF5B"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751F6C7D" w14:textId="77777777" w:rsidR="00D34C6F" w:rsidRPr="00CD1278" w:rsidRDefault="00D34C6F" w:rsidP="008277E3">
            <w:pPr>
              <w:spacing w:after="60"/>
              <w:rPr>
                <w:b/>
                <w:color w:val="auto"/>
                <w:sz w:val="10"/>
                <w:szCs w:val="10"/>
              </w:rPr>
            </w:pPr>
          </w:p>
        </w:tc>
        <w:tc>
          <w:tcPr>
            <w:tcW w:w="567" w:type="dxa"/>
          </w:tcPr>
          <w:p w14:paraId="5191EDB9" w14:textId="77777777" w:rsidR="00D34C6F" w:rsidRPr="00CD1278" w:rsidRDefault="00D34C6F" w:rsidP="008277E3">
            <w:pPr>
              <w:spacing w:after="60"/>
              <w:jc w:val="center"/>
              <w:rPr>
                <w:b/>
                <w:color w:val="auto"/>
                <w:sz w:val="10"/>
                <w:szCs w:val="10"/>
              </w:rPr>
            </w:pPr>
          </w:p>
        </w:tc>
        <w:tc>
          <w:tcPr>
            <w:tcW w:w="567" w:type="dxa"/>
          </w:tcPr>
          <w:p w14:paraId="6659A4DA" w14:textId="77777777" w:rsidR="00D34C6F" w:rsidRPr="00CD1278" w:rsidRDefault="00D34C6F" w:rsidP="008277E3">
            <w:pPr>
              <w:spacing w:after="60"/>
              <w:jc w:val="center"/>
              <w:rPr>
                <w:b/>
                <w:color w:val="auto"/>
                <w:sz w:val="10"/>
                <w:szCs w:val="10"/>
              </w:rPr>
            </w:pPr>
          </w:p>
        </w:tc>
        <w:tc>
          <w:tcPr>
            <w:tcW w:w="567" w:type="dxa"/>
          </w:tcPr>
          <w:p w14:paraId="18162673" w14:textId="77777777" w:rsidR="00D34C6F" w:rsidRPr="00CD1278" w:rsidRDefault="00D34C6F" w:rsidP="008277E3">
            <w:pPr>
              <w:spacing w:after="60"/>
              <w:jc w:val="center"/>
              <w:rPr>
                <w:b/>
                <w:color w:val="auto"/>
                <w:sz w:val="10"/>
                <w:szCs w:val="10"/>
              </w:rPr>
            </w:pPr>
          </w:p>
        </w:tc>
      </w:tr>
      <w:tr w:rsidR="003C102E" w:rsidRPr="00CD1278" w14:paraId="40E4AEC4" w14:textId="77777777" w:rsidTr="008277E3">
        <w:trPr>
          <w:trHeight w:val="270"/>
          <w:jc w:val="center"/>
        </w:trPr>
        <w:tc>
          <w:tcPr>
            <w:tcW w:w="662" w:type="dxa"/>
            <w:shd w:val="clear" w:color="auto" w:fill="auto"/>
            <w:vAlign w:val="center"/>
          </w:tcPr>
          <w:p w14:paraId="059CE45F" w14:textId="77777777" w:rsidR="00D34C6F" w:rsidRPr="00CD1278" w:rsidRDefault="00D34C6F" w:rsidP="008277E3">
            <w:pPr>
              <w:spacing w:after="60"/>
              <w:rPr>
                <w:color w:val="auto"/>
                <w:sz w:val="12"/>
                <w:szCs w:val="12"/>
              </w:rPr>
            </w:pPr>
            <w:r w:rsidRPr="00CD1278">
              <w:rPr>
                <w:color w:val="auto"/>
                <w:sz w:val="12"/>
                <w:szCs w:val="12"/>
              </w:rPr>
              <w:t>Israel</w:t>
            </w:r>
          </w:p>
        </w:tc>
        <w:tc>
          <w:tcPr>
            <w:tcW w:w="824" w:type="dxa"/>
            <w:shd w:val="clear" w:color="auto" w:fill="auto"/>
            <w:vAlign w:val="center"/>
          </w:tcPr>
          <w:p w14:paraId="6EF1D512" w14:textId="77777777" w:rsidR="00D34C6F" w:rsidRPr="00CD1278" w:rsidRDefault="00D34C6F" w:rsidP="00D1371C">
            <w:pPr>
              <w:spacing w:after="60"/>
              <w:ind w:left="-87"/>
              <w:rPr>
                <w:color w:val="auto"/>
                <w:sz w:val="12"/>
                <w:szCs w:val="12"/>
              </w:rPr>
            </w:pPr>
            <w:r w:rsidRPr="00CD1278">
              <w:rPr>
                <w:color w:val="auto"/>
                <w:sz w:val="12"/>
                <w:szCs w:val="12"/>
              </w:rPr>
              <w:t>Potato</w:t>
            </w:r>
          </w:p>
        </w:tc>
        <w:tc>
          <w:tcPr>
            <w:tcW w:w="770" w:type="dxa"/>
            <w:shd w:val="clear" w:color="auto" w:fill="auto"/>
            <w:vAlign w:val="center"/>
          </w:tcPr>
          <w:p w14:paraId="4E87F518" w14:textId="77777777" w:rsidR="00D34C6F" w:rsidRPr="00CD1278" w:rsidRDefault="00D34C6F" w:rsidP="008277E3">
            <w:pPr>
              <w:spacing w:after="60"/>
              <w:rPr>
                <w:color w:val="auto"/>
                <w:sz w:val="10"/>
                <w:szCs w:val="10"/>
              </w:rPr>
            </w:pPr>
            <w:r w:rsidRPr="00CD1278">
              <w:rPr>
                <w:color w:val="auto"/>
                <w:sz w:val="10"/>
                <w:szCs w:val="10"/>
              </w:rPr>
              <w:t>239.000</w:t>
            </w:r>
          </w:p>
        </w:tc>
        <w:tc>
          <w:tcPr>
            <w:tcW w:w="647" w:type="dxa"/>
            <w:shd w:val="clear" w:color="auto" w:fill="auto"/>
            <w:vAlign w:val="center"/>
          </w:tcPr>
          <w:p w14:paraId="50D286BD" w14:textId="77777777" w:rsidR="00D34C6F" w:rsidRPr="00CD1278" w:rsidRDefault="00D34C6F" w:rsidP="008277E3">
            <w:pPr>
              <w:spacing w:after="60"/>
              <w:rPr>
                <w:color w:val="auto"/>
                <w:sz w:val="10"/>
                <w:szCs w:val="10"/>
              </w:rPr>
            </w:pPr>
            <w:r w:rsidRPr="00CD1278">
              <w:rPr>
                <w:color w:val="auto"/>
                <w:sz w:val="10"/>
                <w:szCs w:val="10"/>
              </w:rPr>
              <w:t>231.000</w:t>
            </w:r>
          </w:p>
        </w:tc>
        <w:tc>
          <w:tcPr>
            <w:tcW w:w="709" w:type="dxa"/>
            <w:shd w:val="clear" w:color="auto" w:fill="auto"/>
            <w:vAlign w:val="center"/>
          </w:tcPr>
          <w:p w14:paraId="3787E584" w14:textId="77777777" w:rsidR="00D34C6F" w:rsidRPr="00CD1278" w:rsidRDefault="00D34C6F" w:rsidP="008277E3">
            <w:pPr>
              <w:spacing w:after="60"/>
              <w:rPr>
                <w:color w:val="auto"/>
                <w:sz w:val="10"/>
                <w:szCs w:val="10"/>
              </w:rPr>
            </w:pPr>
            <w:r w:rsidRPr="00CD1278">
              <w:rPr>
                <w:color w:val="auto"/>
                <w:sz w:val="10"/>
                <w:szCs w:val="10"/>
              </w:rPr>
              <w:t>137.500</w:t>
            </w:r>
          </w:p>
        </w:tc>
        <w:tc>
          <w:tcPr>
            <w:tcW w:w="567" w:type="dxa"/>
            <w:shd w:val="clear" w:color="auto" w:fill="auto"/>
            <w:vAlign w:val="center"/>
          </w:tcPr>
          <w:p w14:paraId="737CBF28" w14:textId="77777777" w:rsidR="00D34C6F" w:rsidRPr="00CD1278" w:rsidRDefault="00D34C6F" w:rsidP="008277E3">
            <w:pPr>
              <w:spacing w:after="60"/>
              <w:rPr>
                <w:color w:val="auto"/>
                <w:sz w:val="10"/>
                <w:szCs w:val="10"/>
              </w:rPr>
            </w:pPr>
            <w:r w:rsidRPr="00CD1278">
              <w:rPr>
                <w:color w:val="auto"/>
                <w:sz w:val="10"/>
                <w:szCs w:val="10"/>
              </w:rPr>
              <w:t>93.750</w:t>
            </w:r>
          </w:p>
        </w:tc>
        <w:tc>
          <w:tcPr>
            <w:tcW w:w="709" w:type="dxa"/>
            <w:shd w:val="clear" w:color="auto" w:fill="auto"/>
            <w:vAlign w:val="center"/>
          </w:tcPr>
          <w:p w14:paraId="13BE694E" w14:textId="77777777" w:rsidR="00D34C6F" w:rsidRPr="00CD1278" w:rsidRDefault="00D34C6F" w:rsidP="008277E3">
            <w:pPr>
              <w:spacing w:after="60"/>
              <w:rPr>
                <w:color w:val="auto"/>
                <w:sz w:val="10"/>
                <w:szCs w:val="10"/>
              </w:rPr>
            </w:pPr>
            <w:r w:rsidRPr="00CD1278">
              <w:rPr>
                <w:color w:val="auto"/>
                <w:sz w:val="10"/>
                <w:szCs w:val="10"/>
              </w:rPr>
              <w:t>75.000</w:t>
            </w:r>
          </w:p>
        </w:tc>
        <w:tc>
          <w:tcPr>
            <w:tcW w:w="567" w:type="dxa"/>
            <w:shd w:val="clear" w:color="auto" w:fill="auto"/>
            <w:vAlign w:val="center"/>
          </w:tcPr>
          <w:p w14:paraId="0ADA8DE9"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7D82DC7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04FA8C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B09B587"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E85C579" w14:textId="77777777" w:rsidR="00D34C6F" w:rsidRPr="00CD1278" w:rsidRDefault="00D34C6F" w:rsidP="008277E3">
            <w:pPr>
              <w:spacing w:after="60"/>
              <w:rPr>
                <w:color w:val="auto"/>
                <w:sz w:val="10"/>
                <w:szCs w:val="10"/>
              </w:rPr>
            </w:pPr>
          </w:p>
        </w:tc>
        <w:tc>
          <w:tcPr>
            <w:tcW w:w="567" w:type="dxa"/>
          </w:tcPr>
          <w:p w14:paraId="5CF58D18" w14:textId="77777777" w:rsidR="00D34C6F" w:rsidRPr="00CD1278" w:rsidRDefault="00D34C6F" w:rsidP="008277E3">
            <w:pPr>
              <w:spacing w:after="60"/>
              <w:jc w:val="center"/>
              <w:rPr>
                <w:color w:val="auto"/>
                <w:sz w:val="10"/>
                <w:szCs w:val="10"/>
              </w:rPr>
            </w:pPr>
          </w:p>
        </w:tc>
        <w:tc>
          <w:tcPr>
            <w:tcW w:w="567" w:type="dxa"/>
          </w:tcPr>
          <w:p w14:paraId="5332BF43"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5CE05C9B" w14:textId="77777777" w:rsidR="00D34C6F" w:rsidRPr="00CD1278" w:rsidRDefault="00D34C6F" w:rsidP="008277E3">
            <w:pPr>
              <w:spacing w:after="60"/>
              <w:rPr>
                <w:color w:val="auto"/>
                <w:sz w:val="10"/>
                <w:szCs w:val="10"/>
              </w:rPr>
            </w:pPr>
            <w:r w:rsidRPr="00CD1278">
              <w:rPr>
                <w:color w:val="auto"/>
                <w:sz w:val="10"/>
                <w:szCs w:val="10"/>
              </w:rPr>
              <w:t>239.000</w:t>
            </w:r>
          </w:p>
        </w:tc>
        <w:tc>
          <w:tcPr>
            <w:tcW w:w="709" w:type="dxa"/>
            <w:shd w:val="clear" w:color="auto" w:fill="auto"/>
            <w:vAlign w:val="center"/>
          </w:tcPr>
          <w:p w14:paraId="264D9C66" w14:textId="77777777" w:rsidR="00D34C6F" w:rsidRPr="00CD1278" w:rsidRDefault="00D34C6F" w:rsidP="008277E3">
            <w:pPr>
              <w:spacing w:after="60"/>
              <w:rPr>
                <w:color w:val="auto"/>
                <w:sz w:val="10"/>
                <w:szCs w:val="10"/>
              </w:rPr>
            </w:pPr>
            <w:r w:rsidRPr="00CD1278">
              <w:rPr>
                <w:color w:val="auto"/>
                <w:sz w:val="10"/>
                <w:szCs w:val="10"/>
              </w:rPr>
              <w:t>165.000</w:t>
            </w:r>
          </w:p>
        </w:tc>
        <w:tc>
          <w:tcPr>
            <w:tcW w:w="708" w:type="dxa"/>
            <w:shd w:val="clear" w:color="auto" w:fill="auto"/>
            <w:vAlign w:val="center"/>
          </w:tcPr>
          <w:p w14:paraId="0A75B2B9" w14:textId="77777777" w:rsidR="00D34C6F" w:rsidRPr="00CD1278" w:rsidRDefault="00D34C6F" w:rsidP="008277E3">
            <w:pPr>
              <w:spacing w:after="60"/>
              <w:rPr>
                <w:color w:val="auto"/>
                <w:sz w:val="10"/>
                <w:szCs w:val="10"/>
              </w:rPr>
            </w:pPr>
            <w:r w:rsidRPr="00CD1278">
              <w:rPr>
                <w:color w:val="auto"/>
                <w:sz w:val="10"/>
                <w:szCs w:val="10"/>
              </w:rPr>
              <w:t>137.500</w:t>
            </w:r>
          </w:p>
        </w:tc>
        <w:tc>
          <w:tcPr>
            <w:tcW w:w="709" w:type="dxa"/>
            <w:shd w:val="clear" w:color="auto" w:fill="auto"/>
            <w:vAlign w:val="center"/>
          </w:tcPr>
          <w:p w14:paraId="6056297D" w14:textId="77777777" w:rsidR="00D34C6F" w:rsidRPr="00CD1278" w:rsidRDefault="00D34C6F" w:rsidP="008277E3">
            <w:pPr>
              <w:spacing w:after="60"/>
              <w:rPr>
                <w:color w:val="auto"/>
                <w:sz w:val="10"/>
                <w:szCs w:val="10"/>
              </w:rPr>
            </w:pPr>
            <w:r w:rsidRPr="00CD1278">
              <w:rPr>
                <w:color w:val="auto"/>
                <w:sz w:val="10"/>
                <w:szCs w:val="10"/>
              </w:rPr>
              <w:t>93.750</w:t>
            </w:r>
          </w:p>
        </w:tc>
        <w:tc>
          <w:tcPr>
            <w:tcW w:w="567" w:type="dxa"/>
            <w:shd w:val="clear" w:color="auto" w:fill="auto"/>
            <w:vAlign w:val="center"/>
          </w:tcPr>
          <w:p w14:paraId="648288C9" w14:textId="77777777" w:rsidR="00D34C6F" w:rsidRPr="00CD1278" w:rsidRDefault="00D34C6F" w:rsidP="008277E3">
            <w:pPr>
              <w:spacing w:after="60"/>
              <w:rPr>
                <w:color w:val="auto"/>
                <w:sz w:val="10"/>
                <w:szCs w:val="10"/>
              </w:rPr>
            </w:pPr>
            <w:r w:rsidRPr="00CD1278">
              <w:rPr>
                <w:color w:val="auto"/>
                <w:sz w:val="10"/>
                <w:szCs w:val="10"/>
              </w:rPr>
              <w:t>75.000</w:t>
            </w:r>
          </w:p>
        </w:tc>
        <w:tc>
          <w:tcPr>
            <w:tcW w:w="647" w:type="dxa"/>
            <w:shd w:val="clear" w:color="auto" w:fill="auto"/>
            <w:vAlign w:val="center"/>
          </w:tcPr>
          <w:p w14:paraId="7EC661D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BA407E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7ED06642"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1BEFF268" w14:textId="77777777" w:rsidR="00D34C6F" w:rsidRPr="00CD1278" w:rsidRDefault="00D34C6F" w:rsidP="008277E3">
            <w:pPr>
              <w:spacing w:after="60"/>
              <w:rPr>
                <w:b/>
                <w:color w:val="auto"/>
                <w:sz w:val="10"/>
                <w:szCs w:val="10"/>
              </w:rPr>
            </w:pPr>
          </w:p>
        </w:tc>
        <w:tc>
          <w:tcPr>
            <w:tcW w:w="567" w:type="dxa"/>
          </w:tcPr>
          <w:p w14:paraId="5F334025" w14:textId="77777777" w:rsidR="00D34C6F" w:rsidRPr="00CD1278" w:rsidRDefault="00D34C6F" w:rsidP="008277E3">
            <w:pPr>
              <w:spacing w:after="60"/>
              <w:jc w:val="center"/>
              <w:rPr>
                <w:b/>
                <w:color w:val="auto"/>
                <w:sz w:val="10"/>
                <w:szCs w:val="10"/>
              </w:rPr>
            </w:pPr>
          </w:p>
        </w:tc>
        <w:tc>
          <w:tcPr>
            <w:tcW w:w="567" w:type="dxa"/>
          </w:tcPr>
          <w:p w14:paraId="4C30A667" w14:textId="77777777" w:rsidR="00D34C6F" w:rsidRPr="00CD1278" w:rsidRDefault="00D34C6F" w:rsidP="008277E3">
            <w:pPr>
              <w:spacing w:after="60"/>
              <w:jc w:val="center"/>
              <w:rPr>
                <w:b/>
                <w:color w:val="auto"/>
                <w:sz w:val="10"/>
                <w:szCs w:val="10"/>
              </w:rPr>
            </w:pPr>
          </w:p>
        </w:tc>
        <w:tc>
          <w:tcPr>
            <w:tcW w:w="567" w:type="dxa"/>
          </w:tcPr>
          <w:p w14:paraId="016CAAE4" w14:textId="77777777" w:rsidR="00D34C6F" w:rsidRPr="00CD1278" w:rsidRDefault="00D34C6F" w:rsidP="008277E3">
            <w:pPr>
              <w:spacing w:after="60"/>
              <w:jc w:val="center"/>
              <w:rPr>
                <w:b/>
                <w:color w:val="auto"/>
                <w:sz w:val="10"/>
                <w:szCs w:val="10"/>
              </w:rPr>
            </w:pPr>
          </w:p>
        </w:tc>
      </w:tr>
      <w:tr w:rsidR="003C102E" w:rsidRPr="00CD1278" w14:paraId="547C95D4" w14:textId="77777777" w:rsidTr="008277E3">
        <w:trPr>
          <w:trHeight w:val="465"/>
          <w:jc w:val="center"/>
        </w:trPr>
        <w:tc>
          <w:tcPr>
            <w:tcW w:w="662" w:type="dxa"/>
            <w:shd w:val="clear" w:color="auto" w:fill="auto"/>
            <w:vAlign w:val="center"/>
          </w:tcPr>
          <w:p w14:paraId="2011690D" w14:textId="77777777" w:rsidR="00D34C6F" w:rsidRPr="00CD1278" w:rsidRDefault="00D34C6F" w:rsidP="008277E3">
            <w:pPr>
              <w:spacing w:after="60"/>
              <w:rPr>
                <w:color w:val="auto"/>
                <w:sz w:val="12"/>
                <w:szCs w:val="12"/>
              </w:rPr>
            </w:pPr>
            <w:r w:rsidRPr="00CD1278">
              <w:rPr>
                <w:color w:val="auto"/>
                <w:sz w:val="12"/>
                <w:szCs w:val="12"/>
              </w:rPr>
              <w:t>Israel</w:t>
            </w:r>
          </w:p>
        </w:tc>
        <w:tc>
          <w:tcPr>
            <w:tcW w:w="824" w:type="dxa"/>
            <w:shd w:val="clear" w:color="auto" w:fill="auto"/>
            <w:vAlign w:val="center"/>
          </w:tcPr>
          <w:p w14:paraId="56F7E07A" w14:textId="77777777" w:rsidR="00D34C6F" w:rsidRPr="00CD1278" w:rsidRDefault="00D34C6F" w:rsidP="00D1371C">
            <w:pPr>
              <w:spacing w:after="60"/>
              <w:ind w:left="-87"/>
              <w:rPr>
                <w:color w:val="auto"/>
                <w:sz w:val="12"/>
                <w:szCs w:val="12"/>
              </w:rPr>
            </w:pPr>
            <w:r w:rsidRPr="00CD1278">
              <w:rPr>
                <w:color w:val="auto"/>
                <w:sz w:val="12"/>
                <w:szCs w:val="12"/>
              </w:rPr>
              <w:t>Seed production</w:t>
            </w:r>
          </w:p>
        </w:tc>
        <w:tc>
          <w:tcPr>
            <w:tcW w:w="770" w:type="dxa"/>
            <w:shd w:val="clear" w:color="auto" w:fill="auto"/>
            <w:vAlign w:val="center"/>
          </w:tcPr>
          <w:p w14:paraId="7E6B9078" w14:textId="77777777" w:rsidR="00D34C6F" w:rsidRPr="00CD1278" w:rsidRDefault="00D34C6F" w:rsidP="008277E3">
            <w:pPr>
              <w:spacing w:after="60"/>
              <w:rPr>
                <w:color w:val="auto"/>
                <w:sz w:val="10"/>
                <w:szCs w:val="10"/>
              </w:rPr>
            </w:pPr>
            <w:r w:rsidRPr="00CD1278">
              <w:rPr>
                <w:color w:val="auto"/>
                <w:sz w:val="10"/>
                <w:szCs w:val="10"/>
              </w:rPr>
              <w:t>56.000</w:t>
            </w:r>
          </w:p>
        </w:tc>
        <w:tc>
          <w:tcPr>
            <w:tcW w:w="647" w:type="dxa"/>
            <w:shd w:val="clear" w:color="auto" w:fill="auto"/>
            <w:vAlign w:val="center"/>
          </w:tcPr>
          <w:p w14:paraId="7F9237DD" w14:textId="77777777" w:rsidR="00D34C6F" w:rsidRPr="00CD1278" w:rsidRDefault="00D34C6F" w:rsidP="008277E3">
            <w:pPr>
              <w:spacing w:after="60"/>
              <w:rPr>
                <w:color w:val="auto"/>
                <w:sz w:val="10"/>
                <w:szCs w:val="10"/>
              </w:rPr>
            </w:pPr>
            <w:r w:rsidRPr="00CD1278">
              <w:rPr>
                <w:color w:val="auto"/>
                <w:sz w:val="10"/>
                <w:szCs w:val="10"/>
              </w:rPr>
              <w:t>50.000</w:t>
            </w:r>
          </w:p>
        </w:tc>
        <w:tc>
          <w:tcPr>
            <w:tcW w:w="709" w:type="dxa"/>
            <w:shd w:val="clear" w:color="auto" w:fill="auto"/>
            <w:vAlign w:val="center"/>
          </w:tcPr>
          <w:p w14:paraId="2776054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5B48512"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9620A69" w14:textId="77777777" w:rsidR="00D34C6F" w:rsidRPr="00CD1278" w:rsidRDefault="00D34C6F" w:rsidP="008277E3">
            <w:pPr>
              <w:spacing w:after="60"/>
              <w:rPr>
                <w:color w:val="auto"/>
                <w:sz w:val="10"/>
                <w:szCs w:val="10"/>
              </w:rPr>
            </w:pPr>
            <w:r w:rsidRPr="00CD1278">
              <w:rPr>
                <w:color w:val="auto"/>
                <w:sz w:val="10"/>
                <w:szCs w:val="10"/>
              </w:rPr>
              <w:t>22.400</w:t>
            </w:r>
          </w:p>
        </w:tc>
        <w:tc>
          <w:tcPr>
            <w:tcW w:w="567" w:type="dxa"/>
            <w:shd w:val="clear" w:color="auto" w:fill="auto"/>
            <w:vAlign w:val="center"/>
          </w:tcPr>
          <w:p w14:paraId="31363630"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7C9935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B25A05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D85AEA8"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1C8A3694" w14:textId="77777777" w:rsidR="00D34C6F" w:rsidRPr="00CD1278" w:rsidRDefault="00D34C6F" w:rsidP="008277E3">
            <w:pPr>
              <w:spacing w:after="60"/>
              <w:rPr>
                <w:color w:val="auto"/>
                <w:sz w:val="10"/>
                <w:szCs w:val="10"/>
              </w:rPr>
            </w:pPr>
          </w:p>
        </w:tc>
        <w:tc>
          <w:tcPr>
            <w:tcW w:w="567" w:type="dxa"/>
          </w:tcPr>
          <w:p w14:paraId="7D5C938B" w14:textId="77777777" w:rsidR="00D34C6F" w:rsidRPr="00CD1278" w:rsidRDefault="00D34C6F" w:rsidP="008277E3">
            <w:pPr>
              <w:spacing w:after="60"/>
              <w:jc w:val="center"/>
              <w:rPr>
                <w:color w:val="auto"/>
                <w:sz w:val="10"/>
                <w:szCs w:val="10"/>
              </w:rPr>
            </w:pPr>
          </w:p>
        </w:tc>
        <w:tc>
          <w:tcPr>
            <w:tcW w:w="567" w:type="dxa"/>
          </w:tcPr>
          <w:p w14:paraId="63953C25"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6F3152FF" w14:textId="77777777" w:rsidR="00D34C6F" w:rsidRPr="00CD1278" w:rsidRDefault="00D34C6F" w:rsidP="008277E3">
            <w:pPr>
              <w:spacing w:after="60"/>
              <w:rPr>
                <w:color w:val="auto"/>
                <w:sz w:val="10"/>
                <w:szCs w:val="10"/>
              </w:rPr>
            </w:pPr>
            <w:r w:rsidRPr="00CD1278">
              <w:rPr>
                <w:color w:val="auto"/>
                <w:sz w:val="10"/>
                <w:szCs w:val="10"/>
              </w:rPr>
              <w:t>56.000</w:t>
            </w:r>
          </w:p>
        </w:tc>
        <w:tc>
          <w:tcPr>
            <w:tcW w:w="709" w:type="dxa"/>
            <w:shd w:val="clear" w:color="auto" w:fill="auto"/>
            <w:vAlign w:val="center"/>
          </w:tcPr>
          <w:p w14:paraId="5249EEA1" w14:textId="77777777" w:rsidR="00D34C6F" w:rsidRPr="00CD1278" w:rsidRDefault="00D34C6F" w:rsidP="008277E3">
            <w:pPr>
              <w:spacing w:after="60"/>
              <w:rPr>
                <w:color w:val="auto"/>
                <w:sz w:val="10"/>
                <w:szCs w:val="10"/>
              </w:rPr>
            </w:pPr>
            <w:r w:rsidRPr="00CD1278">
              <w:rPr>
                <w:color w:val="auto"/>
                <w:sz w:val="10"/>
                <w:szCs w:val="10"/>
              </w:rPr>
              <w:t>28.000</w:t>
            </w:r>
          </w:p>
        </w:tc>
        <w:tc>
          <w:tcPr>
            <w:tcW w:w="708" w:type="dxa"/>
            <w:shd w:val="clear" w:color="auto" w:fill="auto"/>
            <w:vAlign w:val="center"/>
          </w:tcPr>
          <w:p w14:paraId="7954893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B206D4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60C16AD" w14:textId="77777777" w:rsidR="00D34C6F" w:rsidRPr="00CD1278" w:rsidRDefault="00D34C6F" w:rsidP="008277E3">
            <w:pPr>
              <w:spacing w:after="60"/>
              <w:rPr>
                <w:color w:val="auto"/>
                <w:sz w:val="10"/>
                <w:szCs w:val="10"/>
              </w:rPr>
            </w:pPr>
            <w:r w:rsidRPr="00CD1278">
              <w:rPr>
                <w:color w:val="auto"/>
                <w:sz w:val="10"/>
                <w:szCs w:val="10"/>
              </w:rPr>
              <w:t>NR</w:t>
            </w:r>
          </w:p>
        </w:tc>
        <w:tc>
          <w:tcPr>
            <w:tcW w:w="647" w:type="dxa"/>
            <w:shd w:val="clear" w:color="auto" w:fill="auto"/>
            <w:vAlign w:val="center"/>
          </w:tcPr>
          <w:p w14:paraId="78CED04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119F19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4B550830"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18280257" w14:textId="77777777" w:rsidR="00D34C6F" w:rsidRPr="00CD1278" w:rsidRDefault="00D34C6F" w:rsidP="008277E3">
            <w:pPr>
              <w:spacing w:after="60"/>
              <w:rPr>
                <w:b/>
                <w:color w:val="auto"/>
                <w:sz w:val="10"/>
                <w:szCs w:val="10"/>
              </w:rPr>
            </w:pPr>
          </w:p>
        </w:tc>
        <w:tc>
          <w:tcPr>
            <w:tcW w:w="567" w:type="dxa"/>
          </w:tcPr>
          <w:p w14:paraId="51EE8278" w14:textId="77777777" w:rsidR="00D34C6F" w:rsidRPr="00CD1278" w:rsidRDefault="00D34C6F" w:rsidP="008277E3">
            <w:pPr>
              <w:spacing w:after="60"/>
              <w:jc w:val="center"/>
              <w:rPr>
                <w:b/>
                <w:color w:val="auto"/>
                <w:sz w:val="10"/>
                <w:szCs w:val="10"/>
              </w:rPr>
            </w:pPr>
          </w:p>
        </w:tc>
        <w:tc>
          <w:tcPr>
            <w:tcW w:w="567" w:type="dxa"/>
          </w:tcPr>
          <w:p w14:paraId="46101EA5" w14:textId="77777777" w:rsidR="00D34C6F" w:rsidRPr="00CD1278" w:rsidRDefault="00D34C6F" w:rsidP="008277E3">
            <w:pPr>
              <w:spacing w:after="60"/>
              <w:jc w:val="center"/>
              <w:rPr>
                <w:b/>
                <w:color w:val="auto"/>
                <w:sz w:val="10"/>
                <w:szCs w:val="10"/>
              </w:rPr>
            </w:pPr>
          </w:p>
        </w:tc>
        <w:tc>
          <w:tcPr>
            <w:tcW w:w="567" w:type="dxa"/>
          </w:tcPr>
          <w:p w14:paraId="73746CBD" w14:textId="77777777" w:rsidR="00D34C6F" w:rsidRPr="00CD1278" w:rsidRDefault="00D34C6F" w:rsidP="008277E3">
            <w:pPr>
              <w:spacing w:after="60"/>
              <w:jc w:val="center"/>
              <w:rPr>
                <w:b/>
                <w:color w:val="auto"/>
                <w:sz w:val="10"/>
                <w:szCs w:val="10"/>
              </w:rPr>
            </w:pPr>
          </w:p>
        </w:tc>
      </w:tr>
      <w:tr w:rsidR="003C102E" w:rsidRPr="00CD1278" w14:paraId="53E1C77E" w14:textId="77777777" w:rsidTr="008277E3">
        <w:trPr>
          <w:trHeight w:val="690"/>
          <w:jc w:val="center"/>
        </w:trPr>
        <w:tc>
          <w:tcPr>
            <w:tcW w:w="662" w:type="dxa"/>
            <w:shd w:val="clear" w:color="auto" w:fill="auto"/>
            <w:vAlign w:val="center"/>
          </w:tcPr>
          <w:p w14:paraId="4A8CD9EE" w14:textId="77777777" w:rsidR="00D34C6F" w:rsidRPr="00CD1278" w:rsidRDefault="00D34C6F" w:rsidP="008277E3">
            <w:pPr>
              <w:spacing w:after="60"/>
              <w:rPr>
                <w:color w:val="auto"/>
                <w:sz w:val="12"/>
                <w:szCs w:val="12"/>
              </w:rPr>
            </w:pPr>
            <w:r w:rsidRPr="00CD1278">
              <w:rPr>
                <w:color w:val="auto"/>
                <w:sz w:val="12"/>
                <w:szCs w:val="12"/>
              </w:rPr>
              <w:t>Israel</w:t>
            </w:r>
          </w:p>
        </w:tc>
        <w:tc>
          <w:tcPr>
            <w:tcW w:w="824" w:type="dxa"/>
            <w:shd w:val="clear" w:color="auto" w:fill="auto"/>
            <w:vAlign w:val="center"/>
          </w:tcPr>
          <w:p w14:paraId="1891593A" w14:textId="77777777" w:rsidR="00D34C6F" w:rsidRPr="00CD1278" w:rsidRDefault="00D34C6F" w:rsidP="00D1371C">
            <w:pPr>
              <w:spacing w:after="60"/>
              <w:ind w:left="-87"/>
              <w:rPr>
                <w:color w:val="auto"/>
                <w:sz w:val="12"/>
                <w:szCs w:val="12"/>
              </w:rPr>
            </w:pPr>
            <w:r w:rsidRPr="00CD1278">
              <w:rPr>
                <w:color w:val="auto"/>
                <w:sz w:val="12"/>
                <w:szCs w:val="12"/>
              </w:rPr>
              <w:t>Strawberries – fruit (Sharon)</w:t>
            </w:r>
          </w:p>
        </w:tc>
        <w:tc>
          <w:tcPr>
            <w:tcW w:w="770" w:type="dxa"/>
            <w:shd w:val="clear" w:color="auto" w:fill="auto"/>
            <w:vAlign w:val="center"/>
          </w:tcPr>
          <w:p w14:paraId="1B18D0C7" w14:textId="77777777" w:rsidR="00D34C6F" w:rsidRPr="00CD1278" w:rsidRDefault="00D34C6F" w:rsidP="008277E3">
            <w:pPr>
              <w:spacing w:after="60"/>
              <w:rPr>
                <w:color w:val="auto"/>
                <w:sz w:val="10"/>
                <w:szCs w:val="10"/>
              </w:rPr>
            </w:pPr>
            <w:r w:rsidRPr="00CD1278">
              <w:rPr>
                <w:color w:val="auto"/>
                <w:sz w:val="10"/>
                <w:szCs w:val="10"/>
              </w:rPr>
              <w:t>196.000</w:t>
            </w:r>
          </w:p>
        </w:tc>
        <w:tc>
          <w:tcPr>
            <w:tcW w:w="647" w:type="dxa"/>
            <w:shd w:val="clear" w:color="auto" w:fill="auto"/>
            <w:vAlign w:val="center"/>
          </w:tcPr>
          <w:p w14:paraId="220E1971" w14:textId="77777777" w:rsidR="00D34C6F" w:rsidRPr="00CD1278" w:rsidRDefault="00D34C6F" w:rsidP="008277E3">
            <w:pPr>
              <w:spacing w:after="60"/>
              <w:rPr>
                <w:color w:val="auto"/>
                <w:sz w:val="10"/>
                <w:szCs w:val="10"/>
              </w:rPr>
            </w:pPr>
            <w:r w:rsidRPr="00CD1278">
              <w:rPr>
                <w:color w:val="auto"/>
                <w:sz w:val="10"/>
                <w:szCs w:val="10"/>
              </w:rPr>
              <w:t>196.000</w:t>
            </w:r>
          </w:p>
        </w:tc>
        <w:tc>
          <w:tcPr>
            <w:tcW w:w="709" w:type="dxa"/>
            <w:shd w:val="clear" w:color="auto" w:fill="auto"/>
            <w:vAlign w:val="center"/>
          </w:tcPr>
          <w:p w14:paraId="11F2D1E8" w14:textId="77777777" w:rsidR="00D34C6F" w:rsidRPr="00CD1278" w:rsidRDefault="00D34C6F" w:rsidP="008277E3">
            <w:pPr>
              <w:spacing w:after="60"/>
              <w:rPr>
                <w:color w:val="auto"/>
                <w:sz w:val="10"/>
                <w:szCs w:val="10"/>
              </w:rPr>
            </w:pPr>
            <w:r w:rsidRPr="00CD1278">
              <w:rPr>
                <w:color w:val="auto"/>
                <w:sz w:val="10"/>
                <w:szCs w:val="10"/>
              </w:rPr>
              <w:t>176.200</w:t>
            </w:r>
          </w:p>
        </w:tc>
        <w:tc>
          <w:tcPr>
            <w:tcW w:w="567" w:type="dxa"/>
            <w:shd w:val="clear" w:color="auto" w:fill="auto"/>
            <w:vAlign w:val="center"/>
          </w:tcPr>
          <w:p w14:paraId="2B6B5A32" w14:textId="77777777" w:rsidR="00D34C6F" w:rsidRPr="00CD1278" w:rsidRDefault="00D34C6F" w:rsidP="008277E3">
            <w:pPr>
              <w:spacing w:after="60"/>
              <w:rPr>
                <w:color w:val="auto"/>
                <w:sz w:val="10"/>
                <w:szCs w:val="10"/>
              </w:rPr>
            </w:pPr>
            <w:r w:rsidRPr="00CD1278">
              <w:rPr>
                <w:color w:val="auto"/>
                <w:sz w:val="10"/>
                <w:szCs w:val="10"/>
              </w:rPr>
              <w:t>64.125</w:t>
            </w:r>
          </w:p>
        </w:tc>
        <w:tc>
          <w:tcPr>
            <w:tcW w:w="709" w:type="dxa"/>
            <w:shd w:val="clear" w:color="auto" w:fill="auto"/>
            <w:vAlign w:val="center"/>
          </w:tcPr>
          <w:p w14:paraId="506FEA62" w14:textId="77777777" w:rsidR="00D34C6F" w:rsidRPr="00CD1278" w:rsidRDefault="00D34C6F" w:rsidP="008277E3">
            <w:pPr>
              <w:spacing w:after="60"/>
              <w:rPr>
                <w:color w:val="auto"/>
                <w:sz w:val="10"/>
                <w:szCs w:val="10"/>
              </w:rPr>
            </w:pPr>
            <w:r w:rsidRPr="00CD1278">
              <w:rPr>
                <w:color w:val="auto"/>
                <w:sz w:val="10"/>
                <w:szCs w:val="10"/>
              </w:rPr>
              <w:t>52.250</w:t>
            </w:r>
          </w:p>
        </w:tc>
        <w:tc>
          <w:tcPr>
            <w:tcW w:w="567" w:type="dxa"/>
            <w:shd w:val="clear" w:color="auto" w:fill="auto"/>
            <w:vAlign w:val="center"/>
          </w:tcPr>
          <w:p w14:paraId="707F909C" w14:textId="77777777" w:rsidR="00D34C6F" w:rsidRPr="00CD1278" w:rsidRDefault="00D34C6F" w:rsidP="008277E3">
            <w:pPr>
              <w:spacing w:after="60"/>
              <w:rPr>
                <w:color w:val="auto"/>
                <w:sz w:val="10"/>
                <w:szCs w:val="10"/>
              </w:rPr>
            </w:pPr>
            <w:r w:rsidRPr="00CD1278">
              <w:rPr>
                <w:color w:val="auto"/>
                <w:sz w:val="10"/>
                <w:szCs w:val="10"/>
              </w:rPr>
              <w:t>47.500</w:t>
            </w:r>
          </w:p>
        </w:tc>
        <w:tc>
          <w:tcPr>
            <w:tcW w:w="708" w:type="dxa"/>
            <w:shd w:val="clear" w:color="auto" w:fill="auto"/>
            <w:vAlign w:val="center"/>
          </w:tcPr>
          <w:p w14:paraId="68DB96CC" w14:textId="77777777" w:rsidR="00D34C6F" w:rsidRPr="00CD1278" w:rsidRDefault="00D34C6F" w:rsidP="008277E3">
            <w:pPr>
              <w:spacing w:after="60"/>
              <w:rPr>
                <w:color w:val="auto"/>
                <w:sz w:val="10"/>
                <w:szCs w:val="10"/>
              </w:rPr>
            </w:pPr>
            <w:r w:rsidRPr="00CD1278">
              <w:rPr>
                <w:color w:val="auto"/>
                <w:sz w:val="10"/>
                <w:szCs w:val="10"/>
              </w:rPr>
              <w:t>28.500</w:t>
            </w:r>
          </w:p>
        </w:tc>
        <w:tc>
          <w:tcPr>
            <w:tcW w:w="567" w:type="dxa"/>
            <w:shd w:val="clear" w:color="auto" w:fill="auto"/>
            <w:vAlign w:val="center"/>
          </w:tcPr>
          <w:p w14:paraId="4B35002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B52BAAB"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3FD0134E" w14:textId="77777777" w:rsidR="00D34C6F" w:rsidRPr="00CD1278" w:rsidRDefault="00D34C6F" w:rsidP="008277E3">
            <w:pPr>
              <w:spacing w:after="60"/>
              <w:rPr>
                <w:color w:val="auto"/>
                <w:sz w:val="10"/>
                <w:szCs w:val="10"/>
              </w:rPr>
            </w:pPr>
          </w:p>
        </w:tc>
        <w:tc>
          <w:tcPr>
            <w:tcW w:w="567" w:type="dxa"/>
          </w:tcPr>
          <w:p w14:paraId="2C81615E" w14:textId="77777777" w:rsidR="00D34C6F" w:rsidRPr="00CD1278" w:rsidRDefault="00D34C6F" w:rsidP="008277E3">
            <w:pPr>
              <w:spacing w:after="60"/>
              <w:jc w:val="center"/>
              <w:rPr>
                <w:color w:val="auto"/>
                <w:sz w:val="10"/>
                <w:szCs w:val="10"/>
              </w:rPr>
            </w:pPr>
          </w:p>
        </w:tc>
        <w:tc>
          <w:tcPr>
            <w:tcW w:w="567" w:type="dxa"/>
          </w:tcPr>
          <w:p w14:paraId="7A81184E"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458E5B47" w14:textId="77777777" w:rsidR="00D34C6F" w:rsidRPr="00CD1278" w:rsidRDefault="00D34C6F" w:rsidP="008277E3">
            <w:pPr>
              <w:spacing w:after="60"/>
              <w:rPr>
                <w:color w:val="auto"/>
                <w:sz w:val="10"/>
                <w:szCs w:val="10"/>
              </w:rPr>
            </w:pPr>
            <w:r w:rsidRPr="00CD1278">
              <w:rPr>
                <w:color w:val="auto"/>
                <w:sz w:val="10"/>
                <w:szCs w:val="10"/>
              </w:rPr>
              <w:t>196.000</w:t>
            </w:r>
          </w:p>
        </w:tc>
        <w:tc>
          <w:tcPr>
            <w:tcW w:w="709" w:type="dxa"/>
            <w:shd w:val="clear" w:color="auto" w:fill="auto"/>
            <w:vAlign w:val="center"/>
          </w:tcPr>
          <w:p w14:paraId="01507ED9" w14:textId="77777777" w:rsidR="00D34C6F" w:rsidRPr="00CD1278" w:rsidRDefault="00D34C6F" w:rsidP="008277E3">
            <w:pPr>
              <w:spacing w:after="60"/>
              <w:rPr>
                <w:color w:val="auto"/>
                <w:sz w:val="10"/>
                <w:szCs w:val="10"/>
              </w:rPr>
            </w:pPr>
            <w:r w:rsidRPr="00CD1278">
              <w:rPr>
                <w:color w:val="auto"/>
                <w:sz w:val="10"/>
                <w:szCs w:val="10"/>
              </w:rPr>
              <w:t>196.000</w:t>
            </w:r>
          </w:p>
        </w:tc>
        <w:tc>
          <w:tcPr>
            <w:tcW w:w="708" w:type="dxa"/>
            <w:shd w:val="clear" w:color="auto" w:fill="auto"/>
            <w:vAlign w:val="center"/>
          </w:tcPr>
          <w:p w14:paraId="081F0C53" w14:textId="77777777" w:rsidR="00D34C6F" w:rsidRPr="00CD1278" w:rsidRDefault="00D34C6F" w:rsidP="008277E3">
            <w:pPr>
              <w:spacing w:after="60"/>
              <w:rPr>
                <w:color w:val="auto"/>
                <w:sz w:val="10"/>
                <w:szCs w:val="10"/>
              </w:rPr>
            </w:pPr>
            <w:r w:rsidRPr="00CD1278">
              <w:rPr>
                <w:color w:val="auto"/>
                <w:sz w:val="10"/>
                <w:szCs w:val="10"/>
              </w:rPr>
              <w:t>93.000</w:t>
            </w:r>
          </w:p>
        </w:tc>
        <w:tc>
          <w:tcPr>
            <w:tcW w:w="709" w:type="dxa"/>
            <w:shd w:val="clear" w:color="auto" w:fill="auto"/>
            <w:vAlign w:val="center"/>
          </w:tcPr>
          <w:p w14:paraId="2A287631" w14:textId="77777777" w:rsidR="00D34C6F" w:rsidRPr="00CD1278" w:rsidRDefault="00D34C6F" w:rsidP="008277E3">
            <w:pPr>
              <w:spacing w:after="60"/>
              <w:rPr>
                <w:color w:val="auto"/>
                <w:sz w:val="10"/>
                <w:szCs w:val="10"/>
              </w:rPr>
            </w:pPr>
            <w:r w:rsidRPr="00CD1278">
              <w:rPr>
                <w:color w:val="auto"/>
                <w:sz w:val="10"/>
                <w:szCs w:val="10"/>
              </w:rPr>
              <w:t>105.960</w:t>
            </w:r>
          </w:p>
        </w:tc>
        <w:tc>
          <w:tcPr>
            <w:tcW w:w="567" w:type="dxa"/>
            <w:shd w:val="clear" w:color="auto" w:fill="auto"/>
            <w:vAlign w:val="center"/>
          </w:tcPr>
          <w:p w14:paraId="6D4AF0F4" w14:textId="77777777" w:rsidR="00D34C6F" w:rsidRPr="00CD1278" w:rsidRDefault="00D34C6F" w:rsidP="008277E3">
            <w:pPr>
              <w:spacing w:after="60"/>
              <w:rPr>
                <w:color w:val="auto"/>
                <w:sz w:val="10"/>
                <w:szCs w:val="10"/>
              </w:rPr>
            </w:pPr>
            <w:r w:rsidRPr="00CD1278">
              <w:rPr>
                <w:color w:val="auto"/>
                <w:sz w:val="10"/>
                <w:szCs w:val="10"/>
              </w:rPr>
              <w:t>42.750</w:t>
            </w:r>
          </w:p>
        </w:tc>
        <w:tc>
          <w:tcPr>
            <w:tcW w:w="647" w:type="dxa"/>
            <w:shd w:val="clear" w:color="auto" w:fill="auto"/>
            <w:vAlign w:val="center"/>
          </w:tcPr>
          <w:p w14:paraId="6F0ABD3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A09868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2A7AAEA7"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3F8B0CB1" w14:textId="77777777" w:rsidR="00D34C6F" w:rsidRPr="00CD1278" w:rsidRDefault="00D34C6F" w:rsidP="008277E3">
            <w:pPr>
              <w:spacing w:after="60"/>
              <w:rPr>
                <w:b/>
                <w:color w:val="auto"/>
                <w:sz w:val="10"/>
                <w:szCs w:val="10"/>
              </w:rPr>
            </w:pPr>
          </w:p>
        </w:tc>
        <w:tc>
          <w:tcPr>
            <w:tcW w:w="567" w:type="dxa"/>
          </w:tcPr>
          <w:p w14:paraId="5472BBD7" w14:textId="77777777" w:rsidR="00D34C6F" w:rsidRPr="00CD1278" w:rsidRDefault="00D34C6F" w:rsidP="008277E3">
            <w:pPr>
              <w:spacing w:after="60"/>
              <w:jc w:val="center"/>
              <w:rPr>
                <w:b/>
                <w:color w:val="auto"/>
                <w:sz w:val="10"/>
                <w:szCs w:val="10"/>
              </w:rPr>
            </w:pPr>
          </w:p>
        </w:tc>
        <w:tc>
          <w:tcPr>
            <w:tcW w:w="567" w:type="dxa"/>
          </w:tcPr>
          <w:p w14:paraId="509D0344" w14:textId="77777777" w:rsidR="00D34C6F" w:rsidRPr="00CD1278" w:rsidRDefault="00D34C6F" w:rsidP="008277E3">
            <w:pPr>
              <w:spacing w:after="60"/>
              <w:jc w:val="center"/>
              <w:rPr>
                <w:b/>
                <w:color w:val="auto"/>
                <w:sz w:val="10"/>
                <w:szCs w:val="10"/>
              </w:rPr>
            </w:pPr>
          </w:p>
        </w:tc>
        <w:tc>
          <w:tcPr>
            <w:tcW w:w="567" w:type="dxa"/>
          </w:tcPr>
          <w:p w14:paraId="32933194" w14:textId="77777777" w:rsidR="00D34C6F" w:rsidRPr="00CD1278" w:rsidRDefault="00D34C6F" w:rsidP="008277E3">
            <w:pPr>
              <w:spacing w:after="60"/>
              <w:jc w:val="center"/>
              <w:rPr>
                <w:b/>
                <w:color w:val="auto"/>
                <w:sz w:val="10"/>
                <w:szCs w:val="10"/>
              </w:rPr>
            </w:pPr>
          </w:p>
        </w:tc>
      </w:tr>
      <w:tr w:rsidR="003C102E" w:rsidRPr="00CD1278" w14:paraId="1A3FD46E" w14:textId="77777777" w:rsidTr="008277E3">
        <w:trPr>
          <w:trHeight w:val="915"/>
          <w:jc w:val="center"/>
        </w:trPr>
        <w:tc>
          <w:tcPr>
            <w:tcW w:w="662" w:type="dxa"/>
            <w:shd w:val="clear" w:color="auto" w:fill="auto"/>
            <w:vAlign w:val="center"/>
          </w:tcPr>
          <w:p w14:paraId="17AF069E" w14:textId="77777777" w:rsidR="00D34C6F" w:rsidRPr="00CD1278" w:rsidRDefault="00D34C6F" w:rsidP="008277E3">
            <w:pPr>
              <w:spacing w:after="60"/>
              <w:rPr>
                <w:color w:val="auto"/>
                <w:sz w:val="12"/>
                <w:szCs w:val="12"/>
              </w:rPr>
            </w:pPr>
            <w:r w:rsidRPr="00CD1278">
              <w:rPr>
                <w:color w:val="auto"/>
                <w:sz w:val="12"/>
                <w:szCs w:val="12"/>
              </w:rPr>
              <w:t>Israel</w:t>
            </w:r>
          </w:p>
        </w:tc>
        <w:tc>
          <w:tcPr>
            <w:tcW w:w="824" w:type="dxa"/>
            <w:shd w:val="clear" w:color="auto" w:fill="auto"/>
            <w:vAlign w:val="center"/>
          </w:tcPr>
          <w:p w14:paraId="309D86B5" w14:textId="4D29F256" w:rsidR="00D34C6F" w:rsidRPr="00CD1278" w:rsidRDefault="00D34C6F" w:rsidP="00D1371C">
            <w:pPr>
              <w:spacing w:after="60"/>
              <w:ind w:left="-87"/>
              <w:rPr>
                <w:color w:val="auto"/>
                <w:sz w:val="12"/>
                <w:szCs w:val="12"/>
              </w:rPr>
            </w:pPr>
            <w:r w:rsidRPr="00CD1278">
              <w:rPr>
                <w:color w:val="auto"/>
                <w:sz w:val="12"/>
                <w:szCs w:val="12"/>
              </w:rPr>
              <w:t>Strawberries – fruit (Sharon &amp;Ghaza)</w:t>
            </w:r>
          </w:p>
        </w:tc>
        <w:tc>
          <w:tcPr>
            <w:tcW w:w="770" w:type="dxa"/>
            <w:shd w:val="clear" w:color="auto" w:fill="auto"/>
            <w:vAlign w:val="center"/>
          </w:tcPr>
          <w:p w14:paraId="2645A725"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92A04AA"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C01DFE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EF6605B"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CDB3D9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1D62B49"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5047652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E00C75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EEC083B"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0049F0B" w14:textId="77777777" w:rsidR="00D34C6F" w:rsidRPr="00CD1278" w:rsidRDefault="00D34C6F" w:rsidP="008277E3">
            <w:pPr>
              <w:spacing w:after="60"/>
              <w:rPr>
                <w:color w:val="auto"/>
                <w:sz w:val="10"/>
                <w:szCs w:val="10"/>
              </w:rPr>
            </w:pPr>
          </w:p>
        </w:tc>
        <w:tc>
          <w:tcPr>
            <w:tcW w:w="567" w:type="dxa"/>
          </w:tcPr>
          <w:p w14:paraId="6C563A24" w14:textId="77777777" w:rsidR="00D34C6F" w:rsidRPr="00CD1278" w:rsidRDefault="00D34C6F" w:rsidP="008277E3">
            <w:pPr>
              <w:spacing w:after="60"/>
              <w:jc w:val="center"/>
              <w:rPr>
                <w:color w:val="auto"/>
                <w:sz w:val="10"/>
                <w:szCs w:val="10"/>
              </w:rPr>
            </w:pPr>
          </w:p>
        </w:tc>
        <w:tc>
          <w:tcPr>
            <w:tcW w:w="567" w:type="dxa"/>
          </w:tcPr>
          <w:p w14:paraId="43016C6A"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8A909BB"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7E721FF"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79103662"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E034C7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F98EBE9"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89F2789" w14:textId="77777777" w:rsidR="00D34C6F" w:rsidRPr="00CD1278" w:rsidRDefault="00D34C6F" w:rsidP="008277E3">
            <w:pPr>
              <w:spacing w:after="60"/>
              <w:rPr>
                <w:color w:val="auto"/>
                <w:sz w:val="10"/>
                <w:szCs w:val="10"/>
              </w:rPr>
            </w:pPr>
            <w:r w:rsidRPr="00CD1278">
              <w:rPr>
                <w:color w:val="auto"/>
                <w:sz w:val="10"/>
                <w:szCs w:val="10"/>
              </w:rPr>
              <w:t>57.063</w:t>
            </w:r>
          </w:p>
        </w:tc>
        <w:tc>
          <w:tcPr>
            <w:tcW w:w="567" w:type="dxa"/>
            <w:shd w:val="clear" w:color="auto" w:fill="auto"/>
            <w:vAlign w:val="center"/>
          </w:tcPr>
          <w:p w14:paraId="5CBC56B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40584B54"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164EB7F9" w14:textId="77777777" w:rsidR="00D34C6F" w:rsidRPr="00CD1278" w:rsidRDefault="00D34C6F" w:rsidP="008277E3">
            <w:pPr>
              <w:spacing w:after="60"/>
              <w:rPr>
                <w:b/>
                <w:color w:val="auto"/>
                <w:sz w:val="10"/>
                <w:szCs w:val="10"/>
              </w:rPr>
            </w:pPr>
          </w:p>
        </w:tc>
        <w:tc>
          <w:tcPr>
            <w:tcW w:w="567" w:type="dxa"/>
          </w:tcPr>
          <w:p w14:paraId="64F498DB" w14:textId="77777777" w:rsidR="00D34C6F" w:rsidRPr="00CD1278" w:rsidRDefault="00D34C6F" w:rsidP="008277E3">
            <w:pPr>
              <w:spacing w:after="60"/>
              <w:jc w:val="center"/>
              <w:rPr>
                <w:b/>
                <w:color w:val="auto"/>
                <w:sz w:val="10"/>
                <w:szCs w:val="10"/>
              </w:rPr>
            </w:pPr>
          </w:p>
        </w:tc>
        <w:tc>
          <w:tcPr>
            <w:tcW w:w="567" w:type="dxa"/>
          </w:tcPr>
          <w:p w14:paraId="1698FBC1" w14:textId="77777777" w:rsidR="00D34C6F" w:rsidRPr="00CD1278" w:rsidRDefault="00D34C6F" w:rsidP="008277E3">
            <w:pPr>
              <w:spacing w:after="60"/>
              <w:jc w:val="center"/>
              <w:rPr>
                <w:b/>
                <w:color w:val="auto"/>
                <w:sz w:val="10"/>
                <w:szCs w:val="10"/>
              </w:rPr>
            </w:pPr>
          </w:p>
        </w:tc>
        <w:tc>
          <w:tcPr>
            <w:tcW w:w="567" w:type="dxa"/>
          </w:tcPr>
          <w:p w14:paraId="05FEC7B3" w14:textId="77777777" w:rsidR="00D34C6F" w:rsidRPr="00CD1278" w:rsidRDefault="00D34C6F" w:rsidP="008277E3">
            <w:pPr>
              <w:spacing w:after="60"/>
              <w:jc w:val="center"/>
              <w:rPr>
                <w:b/>
                <w:color w:val="auto"/>
                <w:sz w:val="10"/>
                <w:szCs w:val="10"/>
              </w:rPr>
            </w:pPr>
          </w:p>
        </w:tc>
      </w:tr>
      <w:tr w:rsidR="003C102E" w:rsidRPr="00CD1278" w14:paraId="7BB30FA6" w14:textId="77777777" w:rsidTr="008277E3">
        <w:trPr>
          <w:trHeight w:val="690"/>
          <w:jc w:val="center"/>
        </w:trPr>
        <w:tc>
          <w:tcPr>
            <w:tcW w:w="662" w:type="dxa"/>
            <w:shd w:val="clear" w:color="auto" w:fill="auto"/>
            <w:vAlign w:val="center"/>
          </w:tcPr>
          <w:p w14:paraId="1DC52E7E" w14:textId="77777777" w:rsidR="00D34C6F" w:rsidRPr="00CD1278" w:rsidRDefault="00D34C6F" w:rsidP="008277E3">
            <w:pPr>
              <w:spacing w:after="60"/>
              <w:rPr>
                <w:color w:val="auto"/>
                <w:sz w:val="12"/>
                <w:szCs w:val="12"/>
              </w:rPr>
            </w:pPr>
            <w:r w:rsidRPr="00CD1278">
              <w:rPr>
                <w:color w:val="auto"/>
                <w:sz w:val="12"/>
                <w:szCs w:val="12"/>
              </w:rPr>
              <w:t>Israel</w:t>
            </w:r>
          </w:p>
        </w:tc>
        <w:tc>
          <w:tcPr>
            <w:tcW w:w="824" w:type="dxa"/>
            <w:shd w:val="clear" w:color="auto" w:fill="auto"/>
            <w:vAlign w:val="center"/>
          </w:tcPr>
          <w:p w14:paraId="309569E5" w14:textId="77777777" w:rsidR="00D34C6F" w:rsidRPr="00CD1278" w:rsidRDefault="00D34C6F" w:rsidP="00D1371C">
            <w:pPr>
              <w:spacing w:after="60"/>
              <w:ind w:left="-87"/>
              <w:rPr>
                <w:color w:val="auto"/>
                <w:sz w:val="12"/>
                <w:szCs w:val="12"/>
              </w:rPr>
            </w:pPr>
            <w:r w:rsidRPr="00CD1278">
              <w:rPr>
                <w:color w:val="auto"/>
                <w:sz w:val="12"/>
                <w:szCs w:val="12"/>
              </w:rPr>
              <w:t>Strawberry runners (Sharon)</w:t>
            </w:r>
          </w:p>
        </w:tc>
        <w:tc>
          <w:tcPr>
            <w:tcW w:w="770" w:type="dxa"/>
            <w:shd w:val="clear" w:color="auto" w:fill="auto"/>
            <w:vAlign w:val="center"/>
          </w:tcPr>
          <w:p w14:paraId="6F0C5306" w14:textId="77777777" w:rsidR="00D34C6F" w:rsidRPr="00CD1278" w:rsidRDefault="00D34C6F" w:rsidP="008277E3">
            <w:pPr>
              <w:spacing w:after="60"/>
              <w:rPr>
                <w:color w:val="auto"/>
                <w:sz w:val="10"/>
                <w:szCs w:val="10"/>
              </w:rPr>
            </w:pPr>
            <w:r w:rsidRPr="00CD1278">
              <w:rPr>
                <w:color w:val="auto"/>
                <w:sz w:val="10"/>
                <w:szCs w:val="10"/>
              </w:rPr>
              <w:t>35.000</w:t>
            </w:r>
          </w:p>
        </w:tc>
        <w:tc>
          <w:tcPr>
            <w:tcW w:w="647" w:type="dxa"/>
            <w:shd w:val="clear" w:color="auto" w:fill="auto"/>
            <w:vAlign w:val="center"/>
          </w:tcPr>
          <w:p w14:paraId="46DA0F68" w14:textId="77777777" w:rsidR="00D34C6F" w:rsidRPr="00CD1278" w:rsidRDefault="00D34C6F" w:rsidP="008277E3">
            <w:pPr>
              <w:spacing w:after="60"/>
              <w:rPr>
                <w:color w:val="auto"/>
                <w:sz w:val="10"/>
                <w:szCs w:val="10"/>
              </w:rPr>
            </w:pPr>
            <w:r w:rsidRPr="00CD1278">
              <w:rPr>
                <w:color w:val="auto"/>
                <w:sz w:val="10"/>
                <w:szCs w:val="10"/>
              </w:rPr>
              <w:t>35.000</w:t>
            </w:r>
          </w:p>
        </w:tc>
        <w:tc>
          <w:tcPr>
            <w:tcW w:w="709" w:type="dxa"/>
            <w:shd w:val="clear" w:color="auto" w:fill="auto"/>
            <w:vAlign w:val="center"/>
          </w:tcPr>
          <w:p w14:paraId="368DD6E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A7B539B" w14:textId="77777777" w:rsidR="00D34C6F" w:rsidRPr="00CD1278" w:rsidRDefault="00D34C6F" w:rsidP="008277E3">
            <w:pPr>
              <w:spacing w:after="60"/>
              <w:rPr>
                <w:color w:val="auto"/>
                <w:sz w:val="10"/>
                <w:szCs w:val="10"/>
              </w:rPr>
            </w:pPr>
            <w:r w:rsidRPr="00CD1278">
              <w:rPr>
                <w:color w:val="auto"/>
                <w:sz w:val="10"/>
                <w:szCs w:val="10"/>
              </w:rPr>
              <w:t>20.000</w:t>
            </w:r>
          </w:p>
        </w:tc>
        <w:tc>
          <w:tcPr>
            <w:tcW w:w="709" w:type="dxa"/>
            <w:shd w:val="clear" w:color="auto" w:fill="auto"/>
            <w:vAlign w:val="center"/>
          </w:tcPr>
          <w:p w14:paraId="684357C5" w14:textId="77777777" w:rsidR="00D34C6F" w:rsidRPr="00CD1278" w:rsidRDefault="00D34C6F" w:rsidP="008277E3">
            <w:pPr>
              <w:spacing w:after="60"/>
              <w:rPr>
                <w:color w:val="auto"/>
                <w:sz w:val="10"/>
                <w:szCs w:val="10"/>
              </w:rPr>
            </w:pPr>
            <w:r w:rsidRPr="00CD1278">
              <w:rPr>
                <w:color w:val="auto"/>
                <w:sz w:val="10"/>
                <w:szCs w:val="10"/>
              </w:rPr>
              <w:t>15.800</w:t>
            </w:r>
          </w:p>
        </w:tc>
        <w:tc>
          <w:tcPr>
            <w:tcW w:w="567" w:type="dxa"/>
            <w:shd w:val="clear" w:color="auto" w:fill="auto"/>
            <w:vAlign w:val="center"/>
          </w:tcPr>
          <w:p w14:paraId="7A8B0125" w14:textId="77777777" w:rsidR="00D34C6F" w:rsidRPr="00CD1278" w:rsidRDefault="00D34C6F" w:rsidP="008277E3">
            <w:pPr>
              <w:spacing w:after="60"/>
              <w:rPr>
                <w:color w:val="auto"/>
                <w:sz w:val="10"/>
                <w:szCs w:val="10"/>
              </w:rPr>
            </w:pPr>
            <w:r w:rsidRPr="00CD1278">
              <w:rPr>
                <w:color w:val="auto"/>
                <w:sz w:val="10"/>
                <w:szCs w:val="10"/>
              </w:rPr>
              <w:t>13.570</w:t>
            </w:r>
          </w:p>
        </w:tc>
        <w:tc>
          <w:tcPr>
            <w:tcW w:w="708" w:type="dxa"/>
            <w:shd w:val="clear" w:color="auto" w:fill="auto"/>
            <w:vAlign w:val="center"/>
          </w:tcPr>
          <w:p w14:paraId="41B7EDD0" w14:textId="77777777" w:rsidR="00D34C6F" w:rsidRPr="00CD1278" w:rsidRDefault="00D34C6F" w:rsidP="008277E3">
            <w:pPr>
              <w:spacing w:after="60"/>
              <w:rPr>
                <w:color w:val="auto"/>
                <w:sz w:val="10"/>
                <w:szCs w:val="10"/>
              </w:rPr>
            </w:pPr>
            <w:r w:rsidRPr="00CD1278">
              <w:rPr>
                <w:color w:val="auto"/>
                <w:sz w:val="10"/>
                <w:szCs w:val="10"/>
              </w:rPr>
              <w:t>13.500</w:t>
            </w:r>
          </w:p>
        </w:tc>
        <w:tc>
          <w:tcPr>
            <w:tcW w:w="567" w:type="dxa"/>
            <w:shd w:val="clear" w:color="auto" w:fill="auto"/>
            <w:vAlign w:val="center"/>
          </w:tcPr>
          <w:p w14:paraId="482B2AB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B1191E2"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C164CD1" w14:textId="77777777" w:rsidR="00D34C6F" w:rsidRPr="00CD1278" w:rsidRDefault="00D34C6F" w:rsidP="008277E3">
            <w:pPr>
              <w:spacing w:after="60"/>
              <w:rPr>
                <w:color w:val="auto"/>
                <w:sz w:val="10"/>
                <w:szCs w:val="10"/>
              </w:rPr>
            </w:pPr>
          </w:p>
        </w:tc>
        <w:tc>
          <w:tcPr>
            <w:tcW w:w="567" w:type="dxa"/>
          </w:tcPr>
          <w:p w14:paraId="6E8DACDD" w14:textId="77777777" w:rsidR="00D34C6F" w:rsidRPr="00CD1278" w:rsidRDefault="00D34C6F" w:rsidP="008277E3">
            <w:pPr>
              <w:spacing w:after="60"/>
              <w:jc w:val="center"/>
              <w:rPr>
                <w:color w:val="auto"/>
                <w:sz w:val="10"/>
                <w:szCs w:val="10"/>
              </w:rPr>
            </w:pPr>
          </w:p>
        </w:tc>
        <w:tc>
          <w:tcPr>
            <w:tcW w:w="567" w:type="dxa"/>
          </w:tcPr>
          <w:p w14:paraId="4C2D8A4D"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A1F9B18" w14:textId="77777777" w:rsidR="00D34C6F" w:rsidRPr="00CD1278" w:rsidRDefault="00D34C6F" w:rsidP="008277E3">
            <w:pPr>
              <w:spacing w:after="60"/>
              <w:rPr>
                <w:color w:val="auto"/>
                <w:sz w:val="10"/>
                <w:szCs w:val="10"/>
              </w:rPr>
            </w:pPr>
            <w:r w:rsidRPr="00CD1278">
              <w:rPr>
                <w:color w:val="auto"/>
                <w:sz w:val="10"/>
                <w:szCs w:val="10"/>
              </w:rPr>
              <w:t>35.000</w:t>
            </w:r>
          </w:p>
        </w:tc>
        <w:tc>
          <w:tcPr>
            <w:tcW w:w="709" w:type="dxa"/>
            <w:shd w:val="clear" w:color="auto" w:fill="auto"/>
            <w:vAlign w:val="center"/>
          </w:tcPr>
          <w:p w14:paraId="798DA981" w14:textId="77777777" w:rsidR="00D34C6F" w:rsidRPr="00CD1278" w:rsidRDefault="00D34C6F" w:rsidP="008277E3">
            <w:pPr>
              <w:spacing w:after="60"/>
              <w:rPr>
                <w:color w:val="auto"/>
                <w:sz w:val="10"/>
                <w:szCs w:val="10"/>
              </w:rPr>
            </w:pPr>
            <w:r w:rsidRPr="00CD1278">
              <w:rPr>
                <w:color w:val="auto"/>
                <w:sz w:val="10"/>
                <w:szCs w:val="10"/>
              </w:rPr>
              <w:t>35.000</w:t>
            </w:r>
          </w:p>
        </w:tc>
        <w:tc>
          <w:tcPr>
            <w:tcW w:w="708" w:type="dxa"/>
            <w:shd w:val="clear" w:color="auto" w:fill="auto"/>
            <w:vAlign w:val="center"/>
          </w:tcPr>
          <w:p w14:paraId="4AACA622" w14:textId="77777777" w:rsidR="00D34C6F" w:rsidRPr="00CD1278" w:rsidRDefault="00D34C6F" w:rsidP="008277E3">
            <w:pPr>
              <w:spacing w:after="60"/>
              <w:rPr>
                <w:color w:val="auto"/>
                <w:sz w:val="10"/>
                <w:szCs w:val="10"/>
              </w:rPr>
            </w:pPr>
            <w:r w:rsidRPr="00CD1278">
              <w:rPr>
                <w:color w:val="auto"/>
                <w:sz w:val="10"/>
                <w:szCs w:val="10"/>
              </w:rPr>
              <w:t>28.000</w:t>
            </w:r>
          </w:p>
        </w:tc>
        <w:tc>
          <w:tcPr>
            <w:tcW w:w="709" w:type="dxa"/>
            <w:shd w:val="clear" w:color="auto" w:fill="auto"/>
            <w:vAlign w:val="center"/>
          </w:tcPr>
          <w:p w14:paraId="5C6E5252" w14:textId="77777777" w:rsidR="00D34C6F" w:rsidRPr="00CD1278" w:rsidRDefault="00D34C6F" w:rsidP="008277E3">
            <w:pPr>
              <w:spacing w:after="60"/>
              <w:rPr>
                <w:color w:val="auto"/>
                <w:sz w:val="10"/>
                <w:szCs w:val="10"/>
              </w:rPr>
            </w:pPr>
            <w:r w:rsidRPr="00CD1278">
              <w:rPr>
                <w:color w:val="auto"/>
                <w:sz w:val="10"/>
                <w:szCs w:val="10"/>
              </w:rPr>
              <w:t>31.900</w:t>
            </w:r>
          </w:p>
        </w:tc>
        <w:tc>
          <w:tcPr>
            <w:tcW w:w="567" w:type="dxa"/>
            <w:shd w:val="clear" w:color="auto" w:fill="auto"/>
            <w:vAlign w:val="center"/>
          </w:tcPr>
          <w:p w14:paraId="0F590A2E" w14:textId="77777777" w:rsidR="00D34C6F" w:rsidRPr="00CD1278" w:rsidRDefault="00D34C6F" w:rsidP="008277E3">
            <w:pPr>
              <w:spacing w:after="60"/>
              <w:rPr>
                <w:color w:val="auto"/>
                <w:sz w:val="10"/>
                <w:szCs w:val="10"/>
              </w:rPr>
            </w:pPr>
            <w:r w:rsidRPr="00CD1278">
              <w:rPr>
                <w:color w:val="auto"/>
                <w:sz w:val="10"/>
                <w:szCs w:val="10"/>
              </w:rPr>
              <w:t>15.825</w:t>
            </w:r>
          </w:p>
        </w:tc>
        <w:tc>
          <w:tcPr>
            <w:tcW w:w="647" w:type="dxa"/>
            <w:shd w:val="clear" w:color="auto" w:fill="auto"/>
            <w:vAlign w:val="center"/>
          </w:tcPr>
          <w:p w14:paraId="65E839E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90195A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6CD604FF"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698A9DB9" w14:textId="77777777" w:rsidR="00D34C6F" w:rsidRPr="00CD1278" w:rsidRDefault="00D34C6F" w:rsidP="008277E3">
            <w:pPr>
              <w:spacing w:after="60"/>
              <w:rPr>
                <w:b/>
                <w:color w:val="auto"/>
                <w:sz w:val="10"/>
                <w:szCs w:val="10"/>
              </w:rPr>
            </w:pPr>
          </w:p>
        </w:tc>
        <w:tc>
          <w:tcPr>
            <w:tcW w:w="567" w:type="dxa"/>
          </w:tcPr>
          <w:p w14:paraId="05D1C26A" w14:textId="77777777" w:rsidR="00D34C6F" w:rsidRPr="00CD1278" w:rsidRDefault="00D34C6F" w:rsidP="008277E3">
            <w:pPr>
              <w:spacing w:after="60"/>
              <w:jc w:val="center"/>
              <w:rPr>
                <w:b/>
                <w:color w:val="auto"/>
                <w:sz w:val="10"/>
                <w:szCs w:val="10"/>
              </w:rPr>
            </w:pPr>
          </w:p>
        </w:tc>
        <w:tc>
          <w:tcPr>
            <w:tcW w:w="567" w:type="dxa"/>
          </w:tcPr>
          <w:p w14:paraId="5B1C07D1" w14:textId="77777777" w:rsidR="00D34C6F" w:rsidRPr="00CD1278" w:rsidRDefault="00D34C6F" w:rsidP="008277E3">
            <w:pPr>
              <w:spacing w:after="60"/>
              <w:jc w:val="center"/>
              <w:rPr>
                <w:b/>
                <w:color w:val="auto"/>
                <w:sz w:val="10"/>
                <w:szCs w:val="10"/>
              </w:rPr>
            </w:pPr>
          </w:p>
        </w:tc>
        <w:tc>
          <w:tcPr>
            <w:tcW w:w="567" w:type="dxa"/>
          </w:tcPr>
          <w:p w14:paraId="5D64B650" w14:textId="77777777" w:rsidR="00D34C6F" w:rsidRPr="00CD1278" w:rsidRDefault="00D34C6F" w:rsidP="008277E3">
            <w:pPr>
              <w:spacing w:after="60"/>
              <w:jc w:val="center"/>
              <w:rPr>
                <w:b/>
                <w:color w:val="auto"/>
                <w:sz w:val="10"/>
                <w:szCs w:val="10"/>
              </w:rPr>
            </w:pPr>
          </w:p>
        </w:tc>
      </w:tr>
      <w:tr w:rsidR="003C102E" w:rsidRPr="00CD1278" w14:paraId="10E03D5A" w14:textId="77777777" w:rsidTr="008277E3">
        <w:trPr>
          <w:trHeight w:val="690"/>
          <w:jc w:val="center"/>
        </w:trPr>
        <w:tc>
          <w:tcPr>
            <w:tcW w:w="662" w:type="dxa"/>
            <w:shd w:val="clear" w:color="auto" w:fill="auto"/>
            <w:vAlign w:val="center"/>
          </w:tcPr>
          <w:p w14:paraId="1F6C456C" w14:textId="77777777" w:rsidR="00D34C6F" w:rsidRPr="00CD1278" w:rsidRDefault="00D34C6F" w:rsidP="008277E3">
            <w:pPr>
              <w:spacing w:after="60"/>
              <w:rPr>
                <w:color w:val="auto"/>
                <w:sz w:val="12"/>
                <w:szCs w:val="12"/>
              </w:rPr>
            </w:pPr>
            <w:r w:rsidRPr="00CD1278">
              <w:rPr>
                <w:color w:val="auto"/>
                <w:sz w:val="12"/>
                <w:szCs w:val="12"/>
              </w:rPr>
              <w:t>Israel</w:t>
            </w:r>
          </w:p>
        </w:tc>
        <w:tc>
          <w:tcPr>
            <w:tcW w:w="824" w:type="dxa"/>
            <w:shd w:val="clear" w:color="auto" w:fill="auto"/>
            <w:vAlign w:val="center"/>
          </w:tcPr>
          <w:p w14:paraId="17B00C4A" w14:textId="77777777" w:rsidR="00D34C6F" w:rsidRPr="00CD1278" w:rsidRDefault="00D34C6F" w:rsidP="00D1371C">
            <w:pPr>
              <w:spacing w:after="60"/>
              <w:ind w:left="-87"/>
              <w:rPr>
                <w:color w:val="auto"/>
                <w:sz w:val="12"/>
                <w:szCs w:val="12"/>
              </w:rPr>
            </w:pPr>
            <w:r w:rsidRPr="00CD1278">
              <w:rPr>
                <w:color w:val="auto"/>
                <w:sz w:val="12"/>
                <w:szCs w:val="12"/>
              </w:rPr>
              <w:t>Strawberry runners and fruit Ghaza</w:t>
            </w:r>
          </w:p>
        </w:tc>
        <w:tc>
          <w:tcPr>
            <w:tcW w:w="770" w:type="dxa"/>
            <w:shd w:val="clear" w:color="auto" w:fill="auto"/>
            <w:vAlign w:val="center"/>
          </w:tcPr>
          <w:p w14:paraId="57D4345E"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2E9F0EA"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3CBF0A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1DC7152" w14:textId="77777777" w:rsidR="00D34C6F" w:rsidRPr="00CD1278" w:rsidRDefault="00D34C6F" w:rsidP="008277E3">
            <w:pPr>
              <w:spacing w:after="60"/>
              <w:rPr>
                <w:color w:val="auto"/>
                <w:sz w:val="10"/>
                <w:szCs w:val="10"/>
              </w:rPr>
            </w:pPr>
            <w:r w:rsidRPr="00CD1278">
              <w:rPr>
                <w:color w:val="auto"/>
                <w:sz w:val="10"/>
                <w:szCs w:val="10"/>
              </w:rPr>
              <w:t>87.875</w:t>
            </w:r>
          </w:p>
        </w:tc>
        <w:tc>
          <w:tcPr>
            <w:tcW w:w="709" w:type="dxa"/>
            <w:shd w:val="clear" w:color="auto" w:fill="auto"/>
            <w:vAlign w:val="center"/>
          </w:tcPr>
          <w:p w14:paraId="20F40CD1" w14:textId="77777777" w:rsidR="00D34C6F" w:rsidRPr="00CD1278" w:rsidRDefault="00D34C6F" w:rsidP="008277E3">
            <w:pPr>
              <w:spacing w:after="60"/>
              <w:rPr>
                <w:color w:val="auto"/>
                <w:sz w:val="10"/>
                <w:szCs w:val="10"/>
              </w:rPr>
            </w:pPr>
            <w:r w:rsidRPr="00CD1278">
              <w:rPr>
                <w:color w:val="auto"/>
                <w:sz w:val="10"/>
                <w:szCs w:val="10"/>
              </w:rPr>
              <w:t>67.500</w:t>
            </w:r>
          </w:p>
        </w:tc>
        <w:tc>
          <w:tcPr>
            <w:tcW w:w="567" w:type="dxa"/>
            <w:shd w:val="clear" w:color="auto" w:fill="auto"/>
            <w:vAlign w:val="center"/>
          </w:tcPr>
          <w:p w14:paraId="4D9C5FFA" w14:textId="77777777" w:rsidR="00D34C6F" w:rsidRPr="00CD1278" w:rsidRDefault="00D34C6F" w:rsidP="008277E3">
            <w:pPr>
              <w:spacing w:after="60"/>
              <w:rPr>
                <w:color w:val="auto"/>
                <w:sz w:val="10"/>
                <w:szCs w:val="10"/>
              </w:rPr>
            </w:pPr>
            <w:r w:rsidRPr="00CD1278">
              <w:rPr>
                <w:color w:val="auto"/>
                <w:sz w:val="10"/>
                <w:szCs w:val="10"/>
              </w:rPr>
              <w:t>67.500</w:t>
            </w:r>
          </w:p>
        </w:tc>
        <w:tc>
          <w:tcPr>
            <w:tcW w:w="708" w:type="dxa"/>
            <w:shd w:val="clear" w:color="auto" w:fill="auto"/>
            <w:vAlign w:val="center"/>
          </w:tcPr>
          <w:p w14:paraId="031AE08D" w14:textId="77777777" w:rsidR="00D34C6F" w:rsidRPr="00CD1278" w:rsidRDefault="00D34C6F" w:rsidP="008277E3">
            <w:pPr>
              <w:spacing w:after="60"/>
              <w:rPr>
                <w:color w:val="auto"/>
                <w:sz w:val="10"/>
                <w:szCs w:val="10"/>
              </w:rPr>
            </w:pPr>
            <w:r w:rsidRPr="00CD1278">
              <w:rPr>
                <w:color w:val="auto"/>
                <w:sz w:val="10"/>
                <w:szCs w:val="10"/>
              </w:rPr>
              <w:t>34.000</w:t>
            </w:r>
          </w:p>
        </w:tc>
        <w:tc>
          <w:tcPr>
            <w:tcW w:w="567" w:type="dxa"/>
            <w:shd w:val="clear" w:color="auto" w:fill="auto"/>
            <w:vAlign w:val="center"/>
          </w:tcPr>
          <w:p w14:paraId="392535D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38EA6C3"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2A05FC7" w14:textId="77777777" w:rsidR="00D34C6F" w:rsidRPr="00CD1278" w:rsidRDefault="00D34C6F" w:rsidP="008277E3">
            <w:pPr>
              <w:spacing w:after="60"/>
              <w:rPr>
                <w:color w:val="auto"/>
                <w:sz w:val="10"/>
                <w:szCs w:val="10"/>
              </w:rPr>
            </w:pPr>
          </w:p>
        </w:tc>
        <w:tc>
          <w:tcPr>
            <w:tcW w:w="567" w:type="dxa"/>
          </w:tcPr>
          <w:p w14:paraId="0D874670" w14:textId="77777777" w:rsidR="00D34C6F" w:rsidRPr="00CD1278" w:rsidRDefault="00D34C6F" w:rsidP="008277E3">
            <w:pPr>
              <w:spacing w:after="60"/>
              <w:jc w:val="center"/>
              <w:rPr>
                <w:color w:val="auto"/>
                <w:sz w:val="10"/>
                <w:szCs w:val="10"/>
              </w:rPr>
            </w:pPr>
          </w:p>
        </w:tc>
        <w:tc>
          <w:tcPr>
            <w:tcW w:w="567" w:type="dxa"/>
          </w:tcPr>
          <w:p w14:paraId="19A5F4F5"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EB30C4F"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5EBFA1C"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48E6BB9E"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6B8861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FFE3869" w14:textId="77777777" w:rsidR="00D34C6F" w:rsidRPr="00CD1278" w:rsidRDefault="00D34C6F" w:rsidP="008277E3">
            <w:pPr>
              <w:spacing w:after="60"/>
              <w:rPr>
                <w:color w:val="auto"/>
                <w:sz w:val="10"/>
                <w:szCs w:val="10"/>
              </w:rPr>
            </w:pPr>
            <w:r w:rsidRPr="00CD1278">
              <w:rPr>
                <w:color w:val="auto"/>
                <w:sz w:val="10"/>
                <w:szCs w:val="10"/>
              </w:rPr>
              <w:t>47.250</w:t>
            </w:r>
          </w:p>
        </w:tc>
        <w:tc>
          <w:tcPr>
            <w:tcW w:w="647" w:type="dxa"/>
            <w:shd w:val="clear" w:color="auto" w:fill="auto"/>
            <w:vAlign w:val="center"/>
          </w:tcPr>
          <w:p w14:paraId="56C71C9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FA09DD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3FD49B99"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5A620988" w14:textId="77777777" w:rsidR="00D34C6F" w:rsidRPr="00CD1278" w:rsidRDefault="00D34C6F" w:rsidP="008277E3">
            <w:pPr>
              <w:spacing w:after="60"/>
              <w:rPr>
                <w:b/>
                <w:color w:val="auto"/>
                <w:sz w:val="10"/>
                <w:szCs w:val="10"/>
              </w:rPr>
            </w:pPr>
          </w:p>
        </w:tc>
        <w:tc>
          <w:tcPr>
            <w:tcW w:w="567" w:type="dxa"/>
          </w:tcPr>
          <w:p w14:paraId="7E149526" w14:textId="77777777" w:rsidR="00D34C6F" w:rsidRPr="00CD1278" w:rsidRDefault="00D34C6F" w:rsidP="008277E3">
            <w:pPr>
              <w:spacing w:after="60"/>
              <w:jc w:val="center"/>
              <w:rPr>
                <w:b/>
                <w:color w:val="auto"/>
                <w:sz w:val="10"/>
                <w:szCs w:val="10"/>
              </w:rPr>
            </w:pPr>
          </w:p>
        </w:tc>
        <w:tc>
          <w:tcPr>
            <w:tcW w:w="567" w:type="dxa"/>
          </w:tcPr>
          <w:p w14:paraId="76AABE79" w14:textId="77777777" w:rsidR="00D34C6F" w:rsidRPr="00CD1278" w:rsidRDefault="00D34C6F" w:rsidP="008277E3">
            <w:pPr>
              <w:spacing w:after="60"/>
              <w:jc w:val="center"/>
              <w:rPr>
                <w:b/>
                <w:color w:val="auto"/>
                <w:sz w:val="10"/>
                <w:szCs w:val="10"/>
              </w:rPr>
            </w:pPr>
          </w:p>
        </w:tc>
        <w:tc>
          <w:tcPr>
            <w:tcW w:w="567" w:type="dxa"/>
          </w:tcPr>
          <w:p w14:paraId="0F5A28E9" w14:textId="77777777" w:rsidR="00D34C6F" w:rsidRPr="00CD1278" w:rsidRDefault="00D34C6F" w:rsidP="008277E3">
            <w:pPr>
              <w:spacing w:after="60"/>
              <w:jc w:val="center"/>
              <w:rPr>
                <w:b/>
                <w:color w:val="auto"/>
                <w:sz w:val="10"/>
                <w:szCs w:val="10"/>
              </w:rPr>
            </w:pPr>
          </w:p>
        </w:tc>
      </w:tr>
      <w:tr w:rsidR="003C102E" w:rsidRPr="00CD1278" w14:paraId="38174407" w14:textId="77777777" w:rsidTr="008277E3">
        <w:trPr>
          <w:trHeight w:val="915"/>
          <w:jc w:val="center"/>
        </w:trPr>
        <w:tc>
          <w:tcPr>
            <w:tcW w:w="662" w:type="dxa"/>
            <w:shd w:val="clear" w:color="auto" w:fill="auto"/>
            <w:vAlign w:val="center"/>
          </w:tcPr>
          <w:p w14:paraId="059E5CD9" w14:textId="77777777" w:rsidR="00D34C6F" w:rsidRPr="00CD1278" w:rsidRDefault="00D34C6F" w:rsidP="008277E3">
            <w:pPr>
              <w:spacing w:after="60"/>
              <w:rPr>
                <w:color w:val="auto"/>
                <w:sz w:val="12"/>
                <w:szCs w:val="12"/>
              </w:rPr>
            </w:pPr>
            <w:r w:rsidRPr="00CD1278">
              <w:rPr>
                <w:color w:val="auto"/>
                <w:sz w:val="12"/>
                <w:szCs w:val="12"/>
              </w:rPr>
              <w:t>Israel</w:t>
            </w:r>
          </w:p>
        </w:tc>
        <w:tc>
          <w:tcPr>
            <w:tcW w:w="824" w:type="dxa"/>
            <w:shd w:val="clear" w:color="auto" w:fill="auto"/>
            <w:vAlign w:val="center"/>
          </w:tcPr>
          <w:p w14:paraId="275C9852" w14:textId="52090B4A" w:rsidR="00D34C6F" w:rsidRPr="00CD1278" w:rsidRDefault="00D34C6F" w:rsidP="00D1371C">
            <w:pPr>
              <w:spacing w:after="60"/>
              <w:ind w:left="-87"/>
              <w:rPr>
                <w:color w:val="auto"/>
                <w:sz w:val="12"/>
                <w:szCs w:val="12"/>
              </w:rPr>
            </w:pPr>
            <w:r w:rsidRPr="00CD1278">
              <w:rPr>
                <w:color w:val="auto"/>
                <w:sz w:val="12"/>
                <w:szCs w:val="12"/>
              </w:rPr>
              <w:t>Strawberry runners (Sharon &amp;Ghaza)</w:t>
            </w:r>
          </w:p>
        </w:tc>
        <w:tc>
          <w:tcPr>
            <w:tcW w:w="770" w:type="dxa"/>
            <w:shd w:val="clear" w:color="auto" w:fill="auto"/>
            <w:vAlign w:val="center"/>
          </w:tcPr>
          <w:p w14:paraId="264C5111"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8CEB365"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CC508B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DEBA127"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392451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D722B66"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FF7B4E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CE4F63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6C74B96"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06ABB9FF" w14:textId="77777777" w:rsidR="00D34C6F" w:rsidRPr="00CD1278" w:rsidRDefault="00D34C6F" w:rsidP="008277E3">
            <w:pPr>
              <w:spacing w:after="60"/>
              <w:rPr>
                <w:color w:val="auto"/>
                <w:sz w:val="10"/>
                <w:szCs w:val="10"/>
              </w:rPr>
            </w:pPr>
          </w:p>
        </w:tc>
        <w:tc>
          <w:tcPr>
            <w:tcW w:w="567" w:type="dxa"/>
          </w:tcPr>
          <w:p w14:paraId="050B32D3" w14:textId="77777777" w:rsidR="00D34C6F" w:rsidRPr="00CD1278" w:rsidRDefault="00D34C6F" w:rsidP="008277E3">
            <w:pPr>
              <w:spacing w:after="60"/>
              <w:jc w:val="center"/>
              <w:rPr>
                <w:color w:val="auto"/>
                <w:sz w:val="10"/>
                <w:szCs w:val="10"/>
              </w:rPr>
            </w:pPr>
          </w:p>
        </w:tc>
        <w:tc>
          <w:tcPr>
            <w:tcW w:w="567" w:type="dxa"/>
          </w:tcPr>
          <w:p w14:paraId="19A96B32"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13822CE4"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400E480"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314AA26C"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745CB4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B930AB3"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30E5491" w14:textId="77777777" w:rsidR="00D34C6F" w:rsidRPr="00CD1278" w:rsidRDefault="00D34C6F" w:rsidP="008277E3">
            <w:pPr>
              <w:spacing w:after="60"/>
              <w:rPr>
                <w:color w:val="auto"/>
                <w:sz w:val="10"/>
                <w:szCs w:val="10"/>
              </w:rPr>
            </w:pPr>
            <w:r w:rsidRPr="00CD1278">
              <w:rPr>
                <w:color w:val="auto"/>
                <w:sz w:val="10"/>
                <w:szCs w:val="10"/>
              </w:rPr>
              <w:t>22.320</w:t>
            </w:r>
          </w:p>
        </w:tc>
        <w:tc>
          <w:tcPr>
            <w:tcW w:w="567" w:type="dxa"/>
            <w:shd w:val="clear" w:color="auto" w:fill="auto"/>
            <w:vAlign w:val="center"/>
          </w:tcPr>
          <w:p w14:paraId="57CEE29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36D6AEBE"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64FA863D" w14:textId="77777777" w:rsidR="00D34C6F" w:rsidRPr="00CD1278" w:rsidRDefault="00D34C6F" w:rsidP="008277E3">
            <w:pPr>
              <w:spacing w:after="60"/>
              <w:rPr>
                <w:b/>
                <w:color w:val="auto"/>
                <w:sz w:val="10"/>
                <w:szCs w:val="10"/>
              </w:rPr>
            </w:pPr>
          </w:p>
        </w:tc>
        <w:tc>
          <w:tcPr>
            <w:tcW w:w="567" w:type="dxa"/>
          </w:tcPr>
          <w:p w14:paraId="79FCBC7B" w14:textId="77777777" w:rsidR="00D34C6F" w:rsidRPr="00CD1278" w:rsidRDefault="00D34C6F" w:rsidP="008277E3">
            <w:pPr>
              <w:spacing w:after="60"/>
              <w:jc w:val="center"/>
              <w:rPr>
                <w:b/>
                <w:color w:val="auto"/>
                <w:sz w:val="10"/>
                <w:szCs w:val="10"/>
              </w:rPr>
            </w:pPr>
          </w:p>
        </w:tc>
        <w:tc>
          <w:tcPr>
            <w:tcW w:w="567" w:type="dxa"/>
          </w:tcPr>
          <w:p w14:paraId="6FD7B138" w14:textId="77777777" w:rsidR="00D34C6F" w:rsidRPr="00CD1278" w:rsidRDefault="00D34C6F" w:rsidP="008277E3">
            <w:pPr>
              <w:spacing w:after="60"/>
              <w:jc w:val="center"/>
              <w:rPr>
                <w:b/>
                <w:color w:val="auto"/>
                <w:sz w:val="10"/>
                <w:szCs w:val="10"/>
              </w:rPr>
            </w:pPr>
          </w:p>
        </w:tc>
        <w:tc>
          <w:tcPr>
            <w:tcW w:w="567" w:type="dxa"/>
          </w:tcPr>
          <w:p w14:paraId="40B698F8" w14:textId="77777777" w:rsidR="00D34C6F" w:rsidRPr="00CD1278" w:rsidRDefault="00D34C6F" w:rsidP="008277E3">
            <w:pPr>
              <w:spacing w:after="60"/>
              <w:jc w:val="center"/>
              <w:rPr>
                <w:b/>
                <w:color w:val="auto"/>
                <w:sz w:val="10"/>
                <w:szCs w:val="10"/>
              </w:rPr>
            </w:pPr>
          </w:p>
        </w:tc>
      </w:tr>
      <w:tr w:rsidR="003C102E" w:rsidRPr="00CD1278" w14:paraId="34D5E8D6" w14:textId="77777777" w:rsidTr="008277E3">
        <w:trPr>
          <w:trHeight w:val="270"/>
          <w:jc w:val="center"/>
        </w:trPr>
        <w:tc>
          <w:tcPr>
            <w:tcW w:w="662" w:type="dxa"/>
            <w:shd w:val="clear" w:color="auto" w:fill="auto"/>
            <w:vAlign w:val="center"/>
          </w:tcPr>
          <w:p w14:paraId="6F998387" w14:textId="77777777" w:rsidR="00D34C6F" w:rsidRPr="00CD1278" w:rsidRDefault="00D34C6F" w:rsidP="008277E3">
            <w:pPr>
              <w:spacing w:after="60"/>
              <w:rPr>
                <w:color w:val="auto"/>
                <w:sz w:val="12"/>
                <w:szCs w:val="12"/>
              </w:rPr>
            </w:pPr>
            <w:r w:rsidRPr="00CD1278">
              <w:rPr>
                <w:color w:val="auto"/>
                <w:sz w:val="12"/>
                <w:szCs w:val="12"/>
              </w:rPr>
              <w:t xml:space="preserve">Israel </w:t>
            </w:r>
          </w:p>
        </w:tc>
        <w:tc>
          <w:tcPr>
            <w:tcW w:w="824" w:type="dxa"/>
            <w:shd w:val="clear" w:color="auto" w:fill="auto"/>
            <w:vAlign w:val="center"/>
          </w:tcPr>
          <w:p w14:paraId="6F57BAB7" w14:textId="77777777" w:rsidR="00D34C6F" w:rsidRPr="00CD1278" w:rsidRDefault="00D34C6F" w:rsidP="00D1371C">
            <w:pPr>
              <w:spacing w:after="60"/>
              <w:ind w:left="-87"/>
              <w:rPr>
                <w:color w:val="auto"/>
                <w:sz w:val="12"/>
                <w:szCs w:val="12"/>
              </w:rPr>
            </w:pPr>
            <w:r w:rsidRPr="00CD1278">
              <w:rPr>
                <w:color w:val="auto"/>
                <w:sz w:val="12"/>
                <w:szCs w:val="12"/>
              </w:rPr>
              <w:t>Tomatoes</w:t>
            </w:r>
          </w:p>
        </w:tc>
        <w:tc>
          <w:tcPr>
            <w:tcW w:w="770" w:type="dxa"/>
            <w:shd w:val="clear" w:color="auto" w:fill="auto"/>
            <w:vAlign w:val="center"/>
          </w:tcPr>
          <w:p w14:paraId="13A2F53F"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6DA7219D"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FC178EC" w14:textId="77777777" w:rsidR="00D34C6F" w:rsidRPr="00CD1278" w:rsidRDefault="00D34C6F" w:rsidP="008277E3">
            <w:pPr>
              <w:spacing w:after="60"/>
              <w:rPr>
                <w:color w:val="auto"/>
                <w:sz w:val="10"/>
                <w:szCs w:val="10"/>
              </w:rPr>
            </w:pPr>
            <w:r w:rsidRPr="00CD1278">
              <w:rPr>
                <w:color w:val="auto"/>
                <w:sz w:val="10"/>
                <w:szCs w:val="10"/>
              </w:rPr>
              <w:t>90.000</w:t>
            </w:r>
          </w:p>
        </w:tc>
        <w:tc>
          <w:tcPr>
            <w:tcW w:w="567" w:type="dxa"/>
            <w:shd w:val="clear" w:color="auto" w:fill="auto"/>
            <w:vAlign w:val="center"/>
          </w:tcPr>
          <w:p w14:paraId="7C48DD5B"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260F44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C882A53"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7ECC868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7518A6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E36CB5C"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72468A0" w14:textId="77777777" w:rsidR="00D34C6F" w:rsidRPr="00CD1278" w:rsidRDefault="00D34C6F" w:rsidP="008277E3">
            <w:pPr>
              <w:spacing w:after="60"/>
              <w:rPr>
                <w:color w:val="auto"/>
                <w:sz w:val="10"/>
                <w:szCs w:val="10"/>
              </w:rPr>
            </w:pPr>
          </w:p>
        </w:tc>
        <w:tc>
          <w:tcPr>
            <w:tcW w:w="567" w:type="dxa"/>
          </w:tcPr>
          <w:p w14:paraId="4ACECB05" w14:textId="77777777" w:rsidR="00D34C6F" w:rsidRPr="00CD1278" w:rsidRDefault="00D34C6F" w:rsidP="008277E3">
            <w:pPr>
              <w:spacing w:after="60"/>
              <w:jc w:val="center"/>
              <w:rPr>
                <w:color w:val="auto"/>
                <w:sz w:val="10"/>
                <w:szCs w:val="10"/>
              </w:rPr>
            </w:pPr>
          </w:p>
        </w:tc>
        <w:tc>
          <w:tcPr>
            <w:tcW w:w="567" w:type="dxa"/>
          </w:tcPr>
          <w:p w14:paraId="7A4F5342"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503A0004"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C1F68CD"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3C046806" w14:textId="77777777" w:rsidR="00D34C6F" w:rsidRPr="00CD1278" w:rsidRDefault="00D34C6F" w:rsidP="008277E3">
            <w:pPr>
              <w:spacing w:after="60"/>
              <w:rPr>
                <w:color w:val="auto"/>
                <w:sz w:val="10"/>
                <w:szCs w:val="10"/>
              </w:rPr>
            </w:pPr>
            <w:r w:rsidRPr="00CD1278">
              <w:rPr>
                <w:color w:val="auto"/>
                <w:sz w:val="10"/>
                <w:szCs w:val="10"/>
              </w:rPr>
              <w:t>22.750</w:t>
            </w:r>
          </w:p>
        </w:tc>
        <w:tc>
          <w:tcPr>
            <w:tcW w:w="709" w:type="dxa"/>
            <w:shd w:val="clear" w:color="auto" w:fill="auto"/>
            <w:vAlign w:val="center"/>
          </w:tcPr>
          <w:p w14:paraId="1017891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1F237AD"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744ED44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F322E9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33304E5"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274F8016" w14:textId="77777777" w:rsidR="00D34C6F" w:rsidRPr="00CD1278" w:rsidRDefault="00D34C6F" w:rsidP="008277E3">
            <w:pPr>
              <w:spacing w:after="60"/>
              <w:rPr>
                <w:b/>
                <w:color w:val="auto"/>
                <w:sz w:val="10"/>
                <w:szCs w:val="10"/>
              </w:rPr>
            </w:pPr>
          </w:p>
        </w:tc>
        <w:tc>
          <w:tcPr>
            <w:tcW w:w="567" w:type="dxa"/>
          </w:tcPr>
          <w:p w14:paraId="2FF19CFE" w14:textId="77777777" w:rsidR="00D34C6F" w:rsidRPr="00CD1278" w:rsidRDefault="00D34C6F" w:rsidP="008277E3">
            <w:pPr>
              <w:spacing w:after="60"/>
              <w:jc w:val="center"/>
              <w:rPr>
                <w:b/>
                <w:color w:val="auto"/>
                <w:sz w:val="10"/>
                <w:szCs w:val="10"/>
              </w:rPr>
            </w:pPr>
          </w:p>
        </w:tc>
        <w:tc>
          <w:tcPr>
            <w:tcW w:w="567" w:type="dxa"/>
          </w:tcPr>
          <w:p w14:paraId="63207D4F" w14:textId="77777777" w:rsidR="00D34C6F" w:rsidRPr="00CD1278" w:rsidRDefault="00D34C6F" w:rsidP="008277E3">
            <w:pPr>
              <w:spacing w:after="60"/>
              <w:jc w:val="center"/>
              <w:rPr>
                <w:b/>
                <w:color w:val="auto"/>
                <w:sz w:val="10"/>
                <w:szCs w:val="10"/>
              </w:rPr>
            </w:pPr>
          </w:p>
        </w:tc>
        <w:tc>
          <w:tcPr>
            <w:tcW w:w="567" w:type="dxa"/>
          </w:tcPr>
          <w:p w14:paraId="70743303" w14:textId="77777777" w:rsidR="00D34C6F" w:rsidRPr="00CD1278" w:rsidRDefault="00D34C6F" w:rsidP="008277E3">
            <w:pPr>
              <w:spacing w:after="60"/>
              <w:jc w:val="center"/>
              <w:rPr>
                <w:b/>
                <w:color w:val="auto"/>
                <w:sz w:val="10"/>
                <w:szCs w:val="10"/>
              </w:rPr>
            </w:pPr>
          </w:p>
        </w:tc>
      </w:tr>
      <w:tr w:rsidR="003C102E" w:rsidRPr="00CD1278" w14:paraId="148BEE86" w14:textId="77777777" w:rsidTr="008277E3">
        <w:trPr>
          <w:trHeight w:val="465"/>
          <w:jc w:val="center"/>
        </w:trPr>
        <w:tc>
          <w:tcPr>
            <w:tcW w:w="662" w:type="dxa"/>
            <w:shd w:val="clear" w:color="auto" w:fill="auto"/>
            <w:vAlign w:val="center"/>
          </w:tcPr>
          <w:p w14:paraId="0D521F34" w14:textId="77777777" w:rsidR="00D34C6F" w:rsidRPr="00CD1278" w:rsidRDefault="00D34C6F" w:rsidP="008277E3">
            <w:pPr>
              <w:spacing w:after="60"/>
              <w:rPr>
                <w:color w:val="auto"/>
                <w:sz w:val="12"/>
                <w:szCs w:val="12"/>
              </w:rPr>
            </w:pPr>
            <w:r w:rsidRPr="00CD1278">
              <w:rPr>
                <w:color w:val="auto"/>
                <w:sz w:val="12"/>
                <w:szCs w:val="12"/>
              </w:rPr>
              <w:t>Israel</w:t>
            </w:r>
          </w:p>
        </w:tc>
        <w:tc>
          <w:tcPr>
            <w:tcW w:w="824" w:type="dxa"/>
            <w:shd w:val="clear" w:color="auto" w:fill="auto"/>
            <w:vAlign w:val="center"/>
          </w:tcPr>
          <w:p w14:paraId="2283CFFB" w14:textId="77777777" w:rsidR="00D34C6F" w:rsidRPr="00CD1278" w:rsidRDefault="00D34C6F" w:rsidP="00D1371C">
            <w:pPr>
              <w:spacing w:after="60"/>
              <w:ind w:left="-87"/>
              <w:rPr>
                <w:color w:val="auto"/>
                <w:sz w:val="12"/>
                <w:szCs w:val="12"/>
              </w:rPr>
            </w:pPr>
            <w:r w:rsidRPr="00CD1278">
              <w:rPr>
                <w:color w:val="auto"/>
                <w:sz w:val="12"/>
                <w:szCs w:val="12"/>
              </w:rPr>
              <w:t>Sweet potato</w:t>
            </w:r>
          </w:p>
        </w:tc>
        <w:tc>
          <w:tcPr>
            <w:tcW w:w="770" w:type="dxa"/>
            <w:shd w:val="clear" w:color="auto" w:fill="auto"/>
            <w:vAlign w:val="center"/>
          </w:tcPr>
          <w:p w14:paraId="35CE8B9A"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4FCE6E5B"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D6C89F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7F60B66"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51FF7CA" w14:textId="77777777" w:rsidR="00D34C6F" w:rsidRPr="00CD1278" w:rsidRDefault="00D34C6F" w:rsidP="008277E3">
            <w:pPr>
              <w:spacing w:after="60"/>
              <w:rPr>
                <w:color w:val="auto"/>
                <w:sz w:val="10"/>
                <w:szCs w:val="10"/>
              </w:rPr>
            </w:pPr>
            <w:r w:rsidRPr="00CD1278">
              <w:rPr>
                <w:color w:val="auto"/>
                <w:sz w:val="10"/>
                <w:szCs w:val="10"/>
              </w:rPr>
              <w:t>95.000</w:t>
            </w:r>
          </w:p>
        </w:tc>
        <w:tc>
          <w:tcPr>
            <w:tcW w:w="567" w:type="dxa"/>
            <w:shd w:val="clear" w:color="auto" w:fill="auto"/>
            <w:vAlign w:val="center"/>
          </w:tcPr>
          <w:p w14:paraId="3671A88C" w14:textId="77777777" w:rsidR="00D34C6F" w:rsidRPr="00CD1278" w:rsidRDefault="00D34C6F" w:rsidP="008277E3">
            <w:pPr>
              <w:spacing w:after="60"/>
              <w:rPr>
                <w:color w:val="auto"/>
                <w:sz w:val="10"/>
                <w:szCs w:val="10"/>
              </w:rPr>
            </w:pPr>
            <w:r w:rsidRPr="00CD1278">
              <w:rPr>
                <w:color w:val="auto"/>
                <w:sz w:val="10"/>
                <w:szCs w:val="10"/>
              </w:rPr>
              <w:t>20.000</w:t>
            </w:r>
          </w:p>
        </w:tc>
        <w:tc>
          <w:tcPr>
            <w:tcW w:w="708" w:type="dxa"/>
            <w:shd w:val="clear" w:color="auto" w:fill="auto"/>
            <w:vAlign w:val="center"/>
          </w:tcPr>
          <w:p w14:paraId="415BC41F" w14:textId="77777777" w:rsidR="00D34C6F" w:rsidRPr="00CD1278" w:rsidRDefault="00D34C6F" w:rsidP="008277E3">
            <w:pPr>
              <w:spacing w:after="60"/>
              <w:rPr>
                <w:color w:val="auto"/>
                <w:sz w:val="10"/>
                <w:szCs w:val="10"/>
              </w:rPr>
            </w:pPr>
            <w:r w:rsidRPr="00CD1278">
              <w:rPr>
                <w:color w:val="auto"/>
                <w:sz w:val="10"/>
                <w:szCs w:val="10"/>
              </w:rPr>
              <w:t>20.000</w:t>
            </w:r>
          </w:p>
        </w:tc>
        <w:tc>
          <w:tcPr>
            <w:tcW w:w="567" w:type="dxa"/>
            <w:shd w:val="clear" w:color="auto" w:fill="auto"/>
            <w:vAlign w:val="center"/>
          </w:tcPr>
          <w:p w14:paraId="787FBB1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73A5047"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326A0A9" w14:textId="77777777" w:rsidR="00D34C6F" w:rsidRPr="00CD1278" w:rsidRDefault="00D34C6F" w:rsidP="008277E3">
            <w:pPr>
              <w:spacing w:after="60"/>
              <w:rPr>
                <w:color w:val="auto"/>
                <w:sz w:val="10"/>
                <w:szCs w:val="10"/>
              </w:rPr>
            </w:pPr>
          </w:p>
        </w:tc>
        <w:tc>
          <w:tcPr>
            <w:tcW w:w="567" w:type="dxa"/>
          </w:tcPr>
          <w:p w14:paraId="2BEE70AD" w14:textId="77777777" w:rsidR="00D34C6F" w:rsidRPr="00CD1278" w:rsidRDefault="00D34C6F" w:rsidP="008277E3">
            <w:pPr>
              <w:spacing w:after="60"/>
              <w:jc w:val="center"/>
              <w:rPr>
                <w:color w:val="auto"/>
                <w:sz w:val="10"/>
                <w:szCs w:val="10"/>
              </w:rPr>
            </w:pPr>
          </w:p>
        </w:tc>
        <w:tc>
          <w:tcPr>
            <w:tcW w:w="567" w:type="dxa"/>
          </w:tcPr>
          <w:p w14:paraId="75656B4B"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4ED22344"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E9FCDD4"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3A82DF6"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5F7F83A" w14:textId="77777777" w:rsidR="00D34C6F" w:rsidRPr="00CD1278" w:rsidRDefault="00D34C6F" w:rsidP="008277E3">
            <w:pPr>
              <w:spacing w:after="60"/>
              <w:rPr>
                <w:color w:val="auto"/>
                <w:sz w:val="10"/>
                <w:szCs w:val="10"/>
              </w:rPr>
            </w:pPr>
            <w:r w:rsidRPr="00CD1278">
              <w:rPr>
                <w:color w:val="auto"/>
                <w:sz w:val="10"/>
                <w:szCs w:val="10"/>
              </w:rPr>
              <w:t>111.500</w:t>
            </w:r>
          </w:p>
        </w:tc>
        <w:tc>
          <w:tcPr>
            <w:tcW w:w="567" w:type="dxa"/>
            <w:shd w:val="clear" w:color="auto" w:fill="auto"/>
            <w:vAlign w:val="center"/>
          </w:tcPr>
          <w:p w14:paraId="74FABC4F" w14:textId="77777777" w:rsidR="00D34C6F" w:rsidRPr="00CD1278" w:rsidRDefault="00D34C6F" w:rsidP="008277E3">
            <w:pPr>
              <w:spacing w:after="60"/>
              <w:rPr>
                <w:color w:val="auto"/>
                <w:sz w:val="10"/>
                <w:szCs w:val="10"/>
              </w:rPr>
            </w:pPr>
            <w:r w:rsidRPr="00CD1278">
              <w:rPr>
                <w:color w:val="auto"/>
                <w:sz w:val="10"/>
                <w:szCs w:val="10"/>
              </w:rPr>
              <w:t>95.000</w:t>
            </w:r>
          </w:p>
        </w:tc>
        <w:tc>
          <w:tcPr>
            <w:tcW w:w="647" w:type="dxa"/>
            <w:shd w:val="clear" w:color="auto" w:fill="auto"/>
            <w:vAlign w:val="center"/>
          </w:tcPr>
          <w:p w14:paraId="52170A79" w14:textId="77777777" w:rsidR="00D34C6F" w:rsidRPr="00CD1278" w:rsidRDefault="00D34C6F" w:rsidP="008277E3">
            <w:pPr>
              <w:spacing w:after="60"/>
              <w:rPr>
                <w:color w:val="auto"/>
                <w:sz w:val="10"/>
                <w:szCs w:val="10"/>
              </w:rPr>
            </w:pPr>
            <w:r w:rsidRPr="00CD1278">
              <w:rPr>
                <w:color w:val="auto"/>
                <w:sz w:val="10"/>
                <w:szCs w:val="10"/>
              </w:rPr>
              <w:t>20.000</w:t>
            </w:r>
          </w:p>
        </w:tc>
        <w:tc>
          <w:tcPr>
            <w:tcW w:w="567" w:type="dxa"/>
            <w:shd w:val="clear" w:color="auto" w:fill="auto"/>
            <w:vAlign w:val="center"/>
          </w:tcPr>
          <w:p w14:paraId="58F9B3D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7E7486C2"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5762A9E6" w14:textId="77777777" w:rsidR="00D34C6F" w:rsidRPr="00CD1278" w:rsidRDefault="00D34C6F" w:rsidP="008277E3">
            <w:pPr>
              <w:spacing w:after="60"/>
              <w:rPr>
                <w:b/>
                <w:color w:val="auto"/>
                <w:sz w:val="10"/>
                <w:szCs w:val="10"/>
              </w:rPr>
            </w:pPr>
          </w:p>
        </w:tc>
        <w:tc>
          <w:tcPr>
            <w:tcW w:w="567" w:type="dxa"/>
          </w:tcPr>
          <w:p w14:paraId="7F1CCC45" w14:textId="77777777" w:rsidR="00D34C6F" w:rsidRPr="00CD1278" w:rsidRDefault="00D34C6F" w:rsidP="008277E3">
            <w:pPr>
              <w:spacing w:after="60"/>
              <w:jc w:val="center"/>
              <w:rPr>
                <w:b/>
                <w:color w:val="auto"/>
                <w:sz w:val="10"/>
                <w:szCs w:val="10"/>
              </w:rPr>
            </w:pPr>
          </w:p>
        </w:tc>
        <w:tc>
          <w:tcPr>
            <w:tcW w:w="567" w:type="dxa"/>
          </w:tcPr>
          <w:p w14:paraId="0ED56C9A" w14:textId="77777777" w:rsidR="00D34C6F" w:rsidRPr="00CD1278" w:rsidRDefault="00D34C6F" w:rsidP="008277E3">
            <w:pPr>
              <w:spacing w:after="60"/>
              <w:jc w:val="center"/>
              <w:rPr>
                <w:b/>
                <w:color w:val="auto"/>
                <w:sz w:val="10"/>
                <w:szCs w:val="10"/>
              </w:rPr>
            </w:pPr>
          </w:p>
        </w:tc>
        <w:tc>
          <w:tcPr>
            <w:tcW w:w="567" w:type="dxa"/>
          </w:tcPr>
          <w:p w14:paraId="2CB41B66" w14:textId="77777777" w:rsidR="00D34C6F" w:rsidRPr="00CD1278" w:rsidRDefault="00D34C6F" w:rsidP="008277E3">
            <w:pPr>
              <w:spacing w:after="60"/>
              <w:jc w:val="center"/>
              <w:rPr>
                <w:b/>
                <w:color w:val="auto"/>
                <w:sz w:val="10"/>
                <w:szCs w:val="10"/>
              </w:rPr>
            </w:pPr>
          </w:p>
        </w:tc>
      </w:tr>
      <w:tr w:rsidR="003C102E" w:rsidRPr="00CD1278" w14:paraId="62A8087A" w14:textId="77777777" w:rsidTr="008277E3">
        <w:trPr>
          <w:trHeight w:val="465"/>
          <w:jc w:val="center"/>
        </w:trPr>
        <w:tc>
          <w:tcPr>
            <w:tcW w:w="662" w:type="dxa"/>
            <w:shd w:val="clear" w:color="auto" w:fill="auto"/>
            <w:vAlign w:val="center"/>
          </w:tcPr>
          <w:p w14:paraId="574A55AF" w14:textId="77777777" w:rsidR="00D34C6F" w:rsidRPr="00CD1278" w:rsidRDefault="00D34C6F" w:rsidP="008277E3">
            <w:pPr>
              <w:spacing w:after="60"/>
              <w:rPr>
                <w:color w:val="auto"/>
                <w:sz w:val="12"/>
                <w:szCs w:val="12"/>
              </w:rPr>
            </w:pPr>
            <w:r w:rsidRPr="00CD1278">
              <w:rPr>
                <w:color w:val="auto"/>
                <w:sz w:val="12"/>
                <w:szCs w:val="12"/>
              </w:rPr>
              <w:t>Italy</w:t>
            </w:r>
          </w:p>
        </w:tc>
        <w:tc>
          <w:tcPr>
            <w:tcW w:w="824" w:type="dxa"/>
            <w:shd w:val="clear" w:color="auto" w:fill="auto"/>
            <w:vAlign w:val="center"/>
          </w:tcPr>
          <w:p w14:paraId="59C5ED98" w14:textId="77777777" w:rsidR="00D34C6F" w:rsidRPr="00CD1278" w:rsidRDefault="00D34C6F" w:rsidP="00D1371C">
            <w:pPr>
              <w:spacing w:after="60"/>
              <w:ind w:left="-87"/>
              <w:rPr>
                <w:color w:val="auto"/>
                <w:sz w:val="12"/>
                <w:szCs w:val="12"/>
              </w:rPr>
            </w:pPr>
            <w:r w:rsidRPr="00CD1278">
              <w:rPr>
                <w:color w:val="auto"/>
                <w:sz w:val="12"/>
                <w:szCs w:val="12"/>
              </w:rPr>
              <w:t>Cut flowers (protected)</w:t>
            </w:r>
          </w:p>
        </w:tc>
        <w:tc>
          <w:tcPr>
            <w:tcW w:w="770" w:type="dxa"/>
            <w:shd w:val="clear" w:color="auto" w:fill="auto"/>
            <w:vAlign w:val="center"/>
          </w:tcPr>
          <w:p w14:paraId="1938C3F3" w14:textId="77777777" w:rsidR="00D34C6F" w:rsidRPr="00CD1278" w:rsidRDefault="00D34C6F" w:rsidP="008277E3">
            <w:pPr>
              <w:spacing w:after="60"/>
              <w:rPr>
                <w:color w:val="auto"/>
                <w:sz w:val="10"/>
                <w:szCs w:val="10"/>
              </w:rPr>
            </w:pPr>
            <w:r w:rsidRPr="00CD1278">
              <w:rPr>
                <w:color w:val="auto"/>
                <w:sz w:val="10"/>
                <w:szCs w:val="10"/>
              </w:rPr>
              <w:t>250.000</w:t>
            </w:r>
          </w:p>
        </w:tc>
        <w:tc>
          <w:tcPr>
            <w:tcW w:w="647" w:type="dxa"/>
            <w:shd w:val="clear" w:color="auto" w:fill="auto"/>
            <w:vAlign w:val="center"/>
          </w:tcPr>
          <w:p w14:paraId="31C2120D" w14:textId="77777777" w:rsidR="00D34C6F" w:rsidRPr="00CD1278" w:rsidRDefault="00D34C6F" w:rsidP="008277E3">
            <w:pPr>
              <w:spacing w:after="60"/>
              <w:rPr>
                <w:color w:val="auto"/>
                <w:sz w:val="10"/>
                <w:szCs w:val="10"/>
              </w:rPr>
            </w:pPr>
            <w:r w:rsidRPr="00CD1278">
              <w:rPr>
                <w:color w:val="auto"/>
                <w:sz w:val="10"/>
                <w:szCs w:val="10"/>
              </w:rPr>
              <w:t>250.000</w:t>
            </w:r>
          </w:p>
        </w:tc>
        <w:tc>
          <w:tcPr>
            <w:tcW w:w="709" w:type="dxa"/>
            <w:shd w:val="clear" w:color="auto" w:fill="auto"/>
            <w:vAlign w:val="center"/>
          </w:tcPr>
          <w:p w14:paraId="7D3B4F37" w14:textId="77777777" w:rsidR="00D34C6F" w:rsidRPr="00CD1278" w:rsidRDefault="00D34C6F" w:rsidP="008277E3">
            <w:pPr>
              <w:spacing w:after="60"/>
              <w:rPr>
                <w:color w:val="auto"/>
                <w:sz w:val="10"/>
                <w:szCs w:val="10"/>
              </w:rPr>
            </w:pPr>
            <w:r w:rsidRPr="00CD1278">
              <w:rPr>
                <w:color w:val="auto"/>
                <w:sz w:val="10"/>
                <w:szCs w:val="10"/>
              </w:rPr>
              <w:t>30.000</w:t>
            </w:r>
          </w:p>
        </w:tc>
        <w:tc>
          <w:tcPr>
            <w:tcW w:w="567" w:type="dxa"/>
            <w:shd w:val="clear" w:color="auto" w:fill="auto"/>
            <w:vAlign w:val="center"/>
          </w:tcPr>
          <w:p w14:paraId="675AF0A8"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6CF4AA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96FB88A"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4E07781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F973B9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7D4CD0B"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9CAEEA4" w14:textId="77777777" w:rsidR="00D34C6F" w:rsidRPr="00CD1278" w:rsidRDefault="00D34C6F" w:rsidP="008277E3">
            <w:pPr>
              <w:spacing w:after="60"/>
              <w:rPr>
                <w:color w:val="auto"/>
                <w:sz w:val="10"/>
                <w:szCs w:val="10"/>
              </w:rPr>
            </w:pPr>
          </w:p>
        </w:tc>
        <w:tc>
          <w:tcPr>
            <w:tcW w:w="567" w:type="dxa"/>
          </w:tcPr>
          <w:p w14:paraId="79320D00" w14:textId="77777777" w:rsidR="00D34C6F" w:rsidRPr="00CD1278" w:rsidRDefault="00D34C6F" w:rsidP="008277E3">
            <w:pPr>
              <w:spacing w:after="60"/>
              <w:jc w:val="center"/>
              <w:rPr>
                <w:color w:val="auto"/>
                <w:sz w:val="10"/>
                <w:szCs w:val="10"/>
              </w:rPr>
            </w:pPr>
          </w:p>
        </w:tc>
        <w:tc>
          <w:tcPr>
            <w:tcW w:w="567" w:type="dxa"/>
          </w:tcPr>
          <w:p w14:paraId="1029A9EC"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9686C06" w14:textId="77777777" w:rsidR="00D34C6F" w:rsidRPr="00CD1278" w:rsidRDefault="00D34C6F" w:rsidP="008277E3">
            <w:pPr>
              <w:spacing w:after="60"/>
              <w:rPr>
                <w:color w:val="auto"/>
                <w:sz w:val="10"/>
                <w:szCs w:val="10"/>
              </w:rPr>
            </w:pPr>
            <w:r w:rsidRPr="00CD1278">
              <w:rPr>
                <w:color w:val="auto"/>
                <w:sz w:val="10"/>
                <w:szCs w:val="10"/>
              </w:rPr>
              <w:t>250.000</w:t>
            </w:r>
          </w:p>
        </w:tc>
        <w:tc>
          <w:tcPr>
            <w:tcW w:w="709" w:type="dxa"/>
            <w:shd w:val="clear" w:color="auto" w:fill="auto"/>
            <w:vAlign w:val="center"/>
          </w:tcPr>
          <w:p w14:paraId="2604D8E1" w14:textId="77777777" w:rsidR="00D34C6F" w:rsidRPr="00CD1278" w:rsidRDefault="00D34C6F" w:rsidP="008277E3">
            <w:pPr>
              <w:spacing w:after="60"/>
              <w:rPr>
                <w:color w:val="auto"/>
                <w:sz w:val="10"/>
                <w:szCs w:val="10"/>
              </w:rPr>
            </w:pPr>
            <w:r w:rsidRPr="00CD1278">
              <w:rPr>
                <w:color w:val="auto"/>
                <w:sz w:val="10"/>
                <w:szCs w:val="10"/>
              </w:rPr>
              <w:t>187.000</w:t>
            </w:r>
          </w:p>
        </w:tc>
        <w:tc>
          <w:tcPr>
            <w:tcW w:w="708" w:type="dxa"/>
            <w:shd w:val="clear" w:color="auto" w:fill="auto"/>
            <w:vAlign w:val="center"/>
          </w:tcPr>
          <w:p w14:paraId="2300FA25" w14:textId="77777777" w:rsidR="00D34C6F" w:rsidRPr="00CD1278" w:rsidRDefault="00D34C6F" w:rsidP="008277E3">
            <w:pPr>
              <w:spacing w:after="60"/>
              <w:rPr>
                <w:color w:val="auto"/>
                <w:sz w:val="10"/>
                <w:szCs w:val="10"/>
              </w:rPr>
            </w:pPr>
            <w:r w:rsidRPr="00CD1278">
              <w:rPr>
                <w:color w:val="auto"/>
                <w:sz w:val="10"/>
                <w:szCs w:val="10"/>
              </w:rPr>
              <w:t>30.000</w:t>
            </w:r>
          </w:p>
        </w:tc>
        <w:tc>
          <w:tcPr>
            <w:tcW w:w="709" w:type="dxa"/>
            <w:shd w:val="clear" w:color="auto" w:fill="auto"/>
            <w:vAlign w:val="center"/>
          </w:tcPr>
          <w:p w14:paraId="77891F1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27A2099"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24181C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61D3E6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4AEF1630"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5132FF16" w14:textId="77777777" w:rsidR="00D34C6F" w:rsidRPr="00CD1278" w:rsidRDefault="00D34C6F" w:rsidP="008277E3">
            <w:pPr>
              <w:spacing w:after="60"/>
              <w:rPr>
                <w:b/>
                <w:color w:val="auto"/>
                <w:sz w:val="10"/>
                <w:szCs w:val="10"/>
              </w:rPr>
            </w:pPr>
          </w:p>
        </w:tc>
        <w:tc>
          <w:tcPr>
            <w:tcW w:w="567" w:type="dxa"/>
          </w:tcPr>
          <w:p w14:paraId="2C70CC0E" w14:textId="77777777" w:rsidR="00D34C6F" w:rsidRPr="00CD1278" w:rsidRDefault="00D34C6F" w:rsidP="008277E3">
            <w:pPr>
              <w:spacing w:after="60"/>
              <w:jc w:val="center"/>
              <w:rPr>
                <w:b/>
                <w:color w:val="auto"/>
                <w:sz w:val="10"/>
                <w:szCs w:val="10"/>
              </w:rPr>
            </w:pPr>
          </w:p>
        </w:tc>
        <w:tc>
          <w:tcPr>
            <w:tcW w:w="567" w:type="dxa"/>
          </w:tcPr>
          <w:p w14:paraId="7E50FF7C" w14:textId="77777777" w:rsidR="00D34C6F" w:rsidRPr="00CD1278" w:rsidRDefault="00D34C6F" w:rsidP="008277E3">
            <w:pPr>
              <w:spacing w:after="60"/>
              <w:jc w:val="center"/>
              <w:rPr>
                <w:b/>
                <w:color w:val="auto"/>
                <w:sz w:val="10"/>
                <w:szCs w:val="10"/>
              </w:rPr>
            </w:pPr>
          </w:p>
        </w:tc>
        <w:tc>
          <w:tcPr>
            <w:tcW w:w="567" w:type="dxa"/>
          </w:tcPr>
          <w:p w14:paraId="0466466A" w14:textId="77777777" w:rsidR="00D34C6F" w:rsidRPr="00CD1278" w:rsidRDefault="00D34C6F" w:rsidP="008277E3">
            <w:pPr>
              <w:spacing w:after="60"/>
              <w:jc w:val="center"/>
              <w:rPr>
                <w:b/>
                <w:color w:val="auto"/>
                <w:sz w:val="10"/>
                <w:szCs w:val="10"/>
              </w:rPr>
            </w:pPr>
          </w:p>
        </w:tc>
      </w:tr>
      <w:tr w:rsidR="003C102E" w:rsidRPr="00CD1278" w14:paraId="0EF6B22A" w14:textId="77777777" w:rsidTr="008277E3">
        <w:trPr>
          <w:trHeight w:val="465"/>
          <w:jc w:val="center"/>
        </w:trPr>
        <w:tc>
          <w:tcPr>
            <w:tcW w:w="662" w:type="dxa"/>
            <w:shd w:val="clear" w:color="auto" w:fill="auto"/>
            <w:vAlign w:val="center"/>
          </w:tcPr>
          <w:p w14:paraId="635A2475" w14:textId="77777777" w:rsidR="00D34C6F" w:rsidRPr="00CD1278" w:rsidRDefault="00D34C6F" w:rsidP="008277E3">
            <w:pPr>
              <w:spacing w:after="60"/>
              <w:rPr>
                <w:color w:val="auto"/>
                <w:sz w:val="12"/>
                <w:szCs w:val="12"/>
              </w:rPr>
            </w:pPr>
            <w:r w:rsidRPr="00CD1278">
              <w:rPr>
                <w:color w:val="auto"/>
                <w:sz w:val="12"/>
                <w:szCs w:val="12"/>
              </w:rPr>
              <w:t>Italy</w:t>
            </w:r>
          </w:p>
        </w:tc>
        <w:tc>
          <w:tcPr>
            <w:tcW w:w="824" w:type="dxa"/>
            <w:shd w:val="clear" w:color="auto" w:fill="auto"/>
            <w:vAlign w:val="center"/>
          </w:tcPr>
          <w:p w14:paraId="14358B2D" w14:textId="77777777" w:rsidR="00D34C6F" w:rsidRPr="00CD1278" w:rsidRDefault="00D34C6F" w:rsidP="00D1371C">
            <w:pPr>
              <w:spacing w:after="60"/>
              <w:ind w:left="-87"/>
              <w:rPr>
                <w:color w:val="auto"/>
                <w:sz w:val="12"/>
                <w:szCs w:val="12"/>
              </w:rPr>
            </w:pPr>
            <w:r w:rsidRPr="00CD1278">
              <w:rPr>
                <w:color w:val="auto"/>
                <w:sz w:val="12"/>
                <w:szCs w:val="12"/>
              </w:rPr>
              <w:t>Eggplant (protected)</w:t>
            </w:r>
          </w:p>
        </w:tc>
        <w:tc>
          <w:tcPr>
            <w:tcW w:w="770" w:type="dxa"/>
            <w:shd w:val="clear" w:color="auto" w:fill="auto"/>
            <w:vAlign w:val="center"/>
          </w:tcPr>
          <w:p w14:paraId="6528FBB0" w14:textId="77777777" w:rsidR="00D34C6F" w:rsidRPr="00CD1278" w:rsidRDefault="00D34C6F" w:rsidP="008277E3">
            <w:pPr>
              <w:spacing w:after="60"/>
              <w:rPr>
                <w:color w:val="auto"/>
                <w:sz w:val="10"/>
                <w:szCs w:val="10"/>
              </w:rPr>
            </w:pPr>
            <w:r w:rsidRPr="00CD1278">
              <w:rPr>
                <w:color w:val="auto"/>
                <w:sz w:val="10"/>
                <w:szCs w:val="10"/>
              </w:rPr>
              <w:t>280.000</w:t>
            </w:r>
          </w:p>
        </w:tc>
        <w:tc>
          <w:tcPr>
            <w:tcW w:w="647" w:type="dxa"/>
            <w:shd w:val="clear" w:color="auto" w:fill="auto"/>
            <w:vAlign w:val="center"/>
          </w:tcPr>
          <w:p w14:paraId="704C6D92" w14:textId="77777777" w:rsidR="00D34C6F" w:rsidRPr="00CD1278" w:rsidRDefault="00D34C6F" w:rsidP="008277E3">
            <w:pPr>
              <w:spacing w:after="60"/>
              <w:rPr>
                <w:color w:val="auto"/>
                <w:sz w:val="10"/>
                <w:szCs w:val="10"/>
              </w:rPr>
            </w:pPr>
            <w:r w:rsidRPr="00CD1278">
              <w:rPr>
                <w:color w:val="auto"/>
                <w:sz w:val="10"/>
                <w:szCs w:val="10"/>
              </w:rPr>
              <w:t>200.000</w:t>
            </w:r>
          </w:p>
        </w:tc>
        <w:tc>
          <w:tcPr>
            <w:tcW w:w="709" w:type="dxa"/>
            <w:shd w:val="clear" w:color="auto" w:fill="auto"/>
            <w:vAlign w:val="center"/>
          </w:tcPr>
          <w:p w14:paraId="3F1463B0" w14:textId="77777777" w:rsidR="00D34C6F" w:rsidRPr="00CD1278" w:rsidRDefault="00D34C6F" w:rsidP="008277E3">
            <w:pPr>
              <w:spacing w:after="60"/>
              <w:rPr>
                <w:color w:val="auto"/>
                <w:sz w:val="10"/>
                <w:szCs w:val="10"/>
              </w:rPr>
            </w:pPr>
            <w:r w:rsidRPr="00CD1278">
              <w:rPr>
                <w:color w:val="auto"/>
                <w:sz w:val="10"/>
                <w:szCs w:val="10"/>
              </w:rPr>
              <w:t>15.000</w:t>
            </w:r>
          </w:p>
        </w:tc>
        <w:tc>
          <w:tcPr>
            <w:tcW w:w="567" w:type="dxa"/>
            <w:shd w:val="clear" w:color="auto" w:fill="auto"/>
            <w:vAlign w:val="center"/>
          </w:tcPr>
          <w:p w14:paraId="0C413547"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CA58C3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6009590"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4F7673A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E3FAC4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BC1EF9F"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1A1284F3" w14:textId="77777777" w:rsidR="00D34C6F" w:rsidRPr="00CD1278" w:rsidRDefault="00D34C6F" w:rsidP="008277E3">
            <w:pPr>
              <w:spacing w:after="60"/>
              <w:rPr>
                <w:color w:val="auto"/>
                <w:sz w:val="10"/>
                <w:szCs w:val="10"/>
              </w:rPr>
            </w:pPr>
          </w:p>
        </w:tc>
        <w:tc>
          <w:tcPr>
            <w:tcW w:w="567" w:type="dxa"/>
          </w:tcPr>
          <w:p w14:paraId="53831E1E" w14:textId="77777777" w:rsidR="00D34C6F" w:rsidRPr="00CD1278" w:rsidRDefault="00D34C6F" w:rsidP="008277E3">
            <w:pPr>
              <w:spacing w:after="60"/>
              <w:jc w:val="center"/>
              <w:rPr>
                <w:color w:val="auto"/>
                <w:sz w:val="10"/>
                <w:szCs w:val="10"/>
              </w:rPr>
            </w:pPr>
          </w:p>
        </w:tc>
        <w:tc>
          <w:tcPr>
            <w:tcW w:w="567" w:type="dxa"/>
          </w:tcPr>
          <w:p w14:paraId="68273572"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433A3A5E" w14:textId="77777777" w:rsidR="00D34C6F" w:rsidRPr="00CD1278" w:rsidRDefault="00D34C6F" w:rsidP="008277E3">
            <w:pPr>
              <w:spacing w:after="60"/>
              <w:rPr>
                <w:color w:val="auto"/>
                <w:sz w:val="10"/>
                <w:szCs w:val="10"/>
              </w:rPr>
            </w:pPr>
            <w:r w:rsidRPr="00CD1278">
              <w:rPr>
                <w:color w:val="auto"/>
                <w:sz w:val="10"/>
                <w:szCs w:val="10"/>
              </w:rPr>
              <w:t>194.000</w:t>
            </w:r>
          </w:p>
        </w:tc>
        <w:tc>
          <w:tcPr>
            <w:tcW w:w="709" w:type="dxa"/>
            <w:shd w:val="clear" w:color="auto" w:fill="auto"/>
            <w:vAlign w:val="center"/>
          </w:tcPr>
          <w:p w14:paraId="2BDE0DD4" w14:textId="77777777" w:rsidR="00D34C6F" w:rsidRPr="00CD1278" w:rsidRDefault="00D34C6F" w:rsidP="008277E3">
            <w:pPr>
              <w:spacing w:after="60"/>
              <w:rPr>
                <w:color w:val="auto"/>
                <w:sz w:val="10"/>
                <w:szCs w:val="10"/>
              </w:rPr>
            </w:pPr>
            <w:r w:rsidRPr="00CD1278">
              <w:rPr>
                <w:color w:val="auto"/>
                <w:sz w:val="10"/>
                <w:szCs w:val="10"/>
              </w:rPr>
              <w:t>156.000</w:t>
            </w:r>
          </w:p>
        </w:tc>
        <w:tc>
          <w:tcPr>
            <w:tcW w:w="708" w:type="dxa"/>
            <w:shd w:val="clear" w:color="auto" w:fill="auto"/>
            <w:vAlign w:val="center"/>
          </w:tcPr>
          <w:p w14:paraId="00C54427"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AD4403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BB16D95"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0C5B10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B261F9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096E08A"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0730CB34" w14:textId="77777777" w:rsidR="00D34C6F" w:rsidRPr="00CD1278" w:rsidRDefault="00D34C6F" w:rsidP="008277E3">
            <w:pPr>
              <w:spacing w:after="60"/>
              <w:rPr>
                <w:b/>
                <w:color w:val="auto"/>
                <w:sz w:val="10"/>
                <w:szCs w:val="10"/>
              </w:rPr>
            </w:pPr>
          </w:p>
        </w:tc>
        <w:tc>
          <w:tcPr>
            <w:tcW w:w="567" w:type="dxa"/>
          </w:tcPr>
          <w:p w14:paraId="75F03EC9" w14:textId="77777777" w:rsidR="00D34C6F" w:rsidRPr="00CD1278" w:rsidRDefault="00D34C6F" w:rsidP="008277E3">
            <w:pPr>
              <w:spacing w:after="60"/>
              <w:jc w:val="center"/>
              <w:rPr>
                <w:b/>
                <w:color w:val="auto"/>
                <w:sz w:val="10"/>
                <w:szCs w:val="10"/>
              </w:rPr>
            </w:pPr>
          </w:p>
        </w:tc>
        <w:tc>
          <w:tcPr>
            <w:tcW w:w="567" w:type="dxa"/>
          </w:tcPr>
          <w:p w14:paraId="1CA5AE5E" w14:textId="77777777" w:rsidR="00D34C6F" w:rsidRPr="00CD1278" w:rsidRDefault="00D34C6F" w:rsidP="008277E3">
            <w:pPr>
              <w:spacing w:after="60"/>
              <w:jc w:val="center"/>
              <w:rPr>
                <w:b/>
                <w:color w:val="auto"/>
                <w:sz w:val="10"/>
                <w:szCs w:val="10"/>
              </w:rPr>
            </w:pPr>
          </w:p>
        </w:tc>
        <w:tc>
          <w:tcPr>
            <w:tcW w:w="567" w:type="dxa"/>
          </w:tcPr>
          <w:p w14:paraId="1B1EFDAE" w14:textId="77777777" w:rsidR="00D34C6F" w:rsidRPr="00CD1278" w:rsidRDefault="00D34C6F" w:rsidP="008277E3">
            <w:pPr>
              <w:spacing w:after="60"/>
              <w:jc w:val="center"/>
              <w:rPr>
                <w:b/>
                <w:color w:val="auto"/>
                <w:sz w:val="10"/>
                <w:szCs w:val="10"/>
              </w:rPr>
            </w:pPr>
          </w:p>
        </w:tc>
      </w:tr>
      <w:tr w:rsidR="003C102E" w:rsidRPr="00CD1278" w14:paraId="071C4835" w14:textId="77777777" w:rsidTr="008277E3">
        <w:trPr>
          <w:trHeight w:val="465"/>
          <w:jc w:val="center"/>
        </w:trPr>
        <w:tc>
          <w:tcPr>
            <w:tcW w:w="662" w:type="dxa"/>
            <w:shd w:val="clear" w:color="auto" w:fill="auto"/>
            <w:vAlign w:val="center"/>
          </w:tcPr>
          <w:p w14:paraId="291DA058" w14:textId="77777777" w:rsidR="00D34C6F" w:rsidRPr="00CD1278" w:rsidRDefault="00D34C6F" w:rsidP="008277E3">
            <w:pPr>
              <w:spacing w:after="60"/>
              <w:rPr>
                <w:color w:val="auto"/>
                <w:sz w:val="12"/>
                <w:szCs w:val="12"/>
              </w:rPr>
            </w:pPr>
            <w:r w:rsidRPr="00CD1278">
              <w:rPr>
                <w:color w:val="auto"/>
                <w:sz w:val="12"/>
                <w:szCs w:val="12"/>
              </w:rPr>
              <w:t>Italy</w:t>
            </w:r>
          </w:p>
        </w:tc>
        <w:tc>
          <w:tcPr>
            <w:tcW w:w="824" w:type="dxa"/>
            <w:shd w:val="clear" w:color="auto" w:fill="auto"/>
            <w:vAlign w:val="center"/>
          </w:tcPr>
          <w:p w14:paraId="709D1473" w14:textId="77777777" w:rsidR="00D34C6F" w:rsidRPr="00CD1278" w:rsidRDefault="00D34C6F" w:rsidP="00D1371C">
            <w:pPr>
              <w:spacing w:after="60"/>
              <w:ind w:left="-87"/>
              <w:rPr>
                <w:color w:val="auto"/>
                <w:sz w:val="12"/>
                <w:szCs w:val="12"/>
              </w:rPr>
            </w:pPr>
            <w:r w:rsidRPr="00CD1278">
              <w:rPr>
                <w:color w:val="auto"/>
                <w:sz w:val="12"/>
                <w:szCs w:val="12"/>
              </w:rPr>
              <w:t>Melon (protected)</w:t>
            </w:r>
          </w:p>
        </w:tc>
        <w:tc>
          <w:tcPr>
            <w:tcW w:w="770" w:type="dxa"/>
            <w:shd w:val="clear" w:color="auto" w:fill="auto"/>
            <w:vAlign w:val="center"/>
          </w:tcPr>
          <w:p w14:paraId="552680BA" w14:textId="77777777" w:rsidR="00D34C6F" w:rsidRPr="00CD1278" w:rsidRDefault="00D34C6F" w:rsidP="008277E3">
            <w:pPr>
              <w:spacing w:after="60"/>
              <w:rPr>
                <w:color w:val="auto"/>
                <w:sz w:val="10"/>
                <w:szCs w:val="10"/>
              </w:rPr>
            </w:pPr>
            <w:r w:rsidRPr="00CD1278">
              <w:rPr>
                <w:color w:val="auto"/>
                <w:sz w:val="10"/>
                <w:szCs w:val="10"/>
              </w:rPr>
              <w:t>180.000</w:t>
            </w:r>
          </w:p>
        </w:tc>
        <w:tc>
          <w:tcPr>
            <w:tcW w:w="647" w:type="dxa"/>
            <w:shd w:val="clear" w:color="auto" w:fill="auto"/>
            <w:vAlign w:val="center"/>
          </w:tcPr>
          <w:p w14:paraId="412550A3" w14:textId="77777777" w:rsidR="00D34C6F" w:rsidRPr="00CD1278" w:rsidRDefault="00D34C6F" w:rsidP="008277E3">
            <w:pPr>
              <w:spacing w:after="60"/>
              <w:rPr>
                <w:color w:val="auto"/>
                <w:sz w:val="10"/>
                <w:szCs w:val="10"/>
              </w:rPr>
            </w:pPr>
            <w:r w:rsidRPr="00CD1278">
              <w:rPr>
                <w:color w:val="auto"/>
                <w:sz w:val="10"/>
                <w:szCs w:val="10"/>
              </w:rPr>
              <w:t>135.000</w:t>
            </w:r>
          </w:p>
        </w:tc>
        <w:tc>
          <w:tcPr>
            <w:tcW w:w="709" w:type="dxa"/>
            <w:shd w:val="clear" w:color="auto" w:fill="auto"/>
            <w:vAlign w:val="center"/>
          </w:tcPr>
          <w:p w14:paraId="4F935ABA" w14:textId="77777777" w:rsidR="00D34C6F" w:rsidRPr="00CD1278" w:rsidRDefault="00D34C6F" w:rsidP="008277E3">
            <w:pPr>
              <w:spacing w:after="60"/>
              <w:rPr>
                <w:color w:val="auto"/>
                <w:sz w:val="10"/>
                <w:szCs w:val="10"/>
              </w:rPr>
            </w:pPr>
            <w:r w:rsidRPr="00CD1278">
              <w:rPr>
                <w:color w:val="auto"/>
                <w:sz w:val="10"/>
                <w:szCs w:val="10"/>
              </w:rPr>
              <w:t>10.000</w:t>
            </w:r>
          </w:p>
        </w:tc>
        <w:tc>
          <w:tcPr>
            <w:tcW w:w="567" w:type="dxa"/>
            <w:shd w:val="clear" w:color="auto" w:fill="auto"/>
            <w:vAlign w:val="center"/>
          </w:tcPr>
          <w:p w14:paraId="630C5F6B"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CB5818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A3638D0"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5D2E3C4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1CB834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7771A13"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F300CFC" w14:textId="77777777" w:rsidR="00D34C6F" w:rsidRPr="00CD1278" w:rsidRDefault="00D34C6F" w:rsidP="008277E3">
            <w:pPr>
              <w:spacing w:after="60"/>
              <w:rPr>
                <w:color w:val="auto"/>
                <w:sz w:val="10"/>
                <w:szCs w:val="10"/>
              </w:rPr>
            </w:pPr>
          </w:p>
        </w:tc>
        <w:tc>
          <w:tcPr>
            <w:tcW w:w="567" w:type="dxa"/>
          </w:tcPr>
          <w:p w14:paraId="716F27B0" w14:textId="77777777" w:rsidR="00D34C6F" w:rsidRPr="00CD1278" w:rsidRDefault="00D34C6F" w:rsidP="008277E3">
            <w:pPr>
              <w:spacing w:after="60"/>
              <w:jc w:val="center"/>
              <w:rPr>
                <w:color w:val="auto"/>
                <w:sz w:val="10"/>
                <w:szCs w:val="10"/>
              </w:rPr>
            </w:pPr>
          </w:p>
        </w:tc>
        <w:tc>
          <w:tcPr>
            <w:tcW w:w="567" w:type="dxa"/>
          </w:tcPr>
          <w:p w14:paraId="50528CCA"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9EFF2FC" w14:textId="77777777" w:rsidR="00D34C6F" w:rsidRPr="00CD1278" w:rsidRDefault="00D34C6F" w:rsidP="008277E3">
            <w:pPr>
              <w:spacing w:after="60"/>
              <w:rPr>
                <w:color w:val="auto"/>
                <w:sz w:val="10"/>
                <w:szCs w:val="10"/>
              </w:rPr>
            </w:pPr>
            <w:r w:rsidRPr="00CD1278">
              <w:rPr>
                <w:color w:val="auto"/>
                <w:sz w:val="10"/>
                <w:szCs w:val="10"/>
              </w:rPr>
              <w:t>131.000</w:t>
            </w:r>
          </w:p>
        </w:tc>
        <w:tc>
          <w:tcPr>
            <w:tcW w:w="709" w:type="dxa"/>
            <w:shd w:val="clear" w:color="auto" w:fill="auto"/>
            <w:vAlign w:val="center"/>
          </w:tcPr>
          <w:p w14:paraId="5549599B" w14:textId="77777777" w:rsidR="00D34C6F" w:rsidRPr="00CD1278" w:rsidRDefault="00D34C6F" w:rsidP="008277E3">
            <w:pPr>
              <w:spacing w:after="60"/>
              <w:rPr>
                <w:color w:val="auto"/>
                <w:sz w:val="10"/>
                <w:szCs w:val="10"/>
              </w:rPr>
            </w:pPr>
            <w:r w:rsidRPr="00CD1278">
              <w:rPr>
                <w:color w:val="auto"/>
                <w:sz w:val="10"/>
                <w:szCs w:val="10"/>
              </w:rPr>
              <w:t>131.000</w:t>
            </w:r>
          </w:p>
        </w:tc>
        <w:tc>
          <w:tcPr>
            <w:tcW w:w="708" w:type="dxa"/>
            <w:shd w:val="clear" w:color="auto" w:fill="auto"/>
            <w:vAlign w:val="center"/>
          </w:tcPr>
          <w:p w14:paraId="79FF61A7" w14:textId="77777777" w:rsidR="00D34C6F" w:rsidRPr="00CD1278" w:rsidRDefault="00D34C6F" w:rsidP="008277E3">
            <w:pPr>
              <w:spacing w:after="60"/>
              <w:rPr>
                <w:color w:val="auto"/>
                <w:sz w:val="10"/>
                <w:szCs w:val="10"/>
              </w:rPr>
            </w:pPr>
            <w:r w:rsidRPr="00CD1278">
              <w:rPr>
                <w:color w:val="auto"/>
                <w:sz w:val="10"/>
                <w:szCs w:val="10"/>
              </w:rPr>
              <w:t>10.000</w:t>
            </w:r>
          </w:p>
        </w:tc>
        <w:tc>
          <w:tcPr>
            <w:tcW w:w="709" w:type="dxa"/>
            <w:shd w:val="clear" w:color="auto" w:fill="auto"/>
            <w:vAlign w:val="center"/>
          </w:tcPr>
          <w:p w14:paraId="5552356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DD7CCCB"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6AD864C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AA0239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3C82B305"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7D1AAC1E" w14:textId="77777777" w:rsidR="00D34C6F" w:rsidRPr="00CD1278" w:rsidRDefault="00D34C6F" w:rsidP="008277E3">
            <w:pPr>
              <w:spacing w:after="60"/>
              <w:rPr>
                <w:b/>
                <w:color w:val="auto"/>
                <w:sz w:val="10"/>
                <w:szCs w:val="10"/>
              </w:rPr>
            </w:pPr>
          </w:p>
        </w:tc>
        <w:tc>
          <w:tcPr>
            <w:tcW w:w="567" w:type="dxa"/>
          </w:tcPr>
          <w:p w14:paraId="0349EAEC" w14:textId="77777777" w:rsidR="00D34C6F" w:rsidRPr="00CD1278" w:rsidRDefault="00D34C6F" w:rsidP="008277E3">
            <w:pPr>
              <w:spacing w:after="60"/>
              <w:jc w:val="center"/>
              <w:rPr>
                <w:b/>
                <w:color w:val="auto"/>
                <w:sz w:val="10"/>
                <w:szCs w:val="10"/>
              </w:rPr>
            </w:pPr>
          </w:p>
        </w:tc>
        <w:tc>
          <w:tcPr>
            <w:tcW w:w="567" w:type="dxa"/>
          </w:tcPr>
          <w:p w14:paraId="45C60220" w14:textId="77777777" w:rsidR="00D34C6F" w:rsidRPr="00CD1278" w:rsidRDefault="00D34C6F" w:rsidP="008277E3">
            <w:pPr>
              <w:spacing w:after="60"/>
              <w:jc w:val="center"/>
              <w:rPr>
                <w:b/>
                <w:color w:val="auto"/>
                <w:sz w:val="10"/>
                <w:szCs w:val="10"/>
              </w:rPr>
            </w:pPr>
          </w:p>
        </w:tc>
        <w:tc>
          <w:tcPr>
            <w:tcW w:w="567" w:type="dxa"/>
          </w:tcPr>
          <w:p w14:paraId="584C6DC7" w14:textId="77777777" w:rsidR="00D34C6F" w:rsidRPr="00CD1278" w:rsidRDefault="00D34C6F" w:rsidP="008277E3">
            <w:pPr>
              <w:spacing w:after="60"/>
              <w:jc w:val="center"/>
              <w:rPr>
                <w:b/>
                <w:color w:val="auto"/>
                <w:sz w:val="10"/>
                <w:szCs w:val="10"/>
              </w:rPr>
            </w:pPr>
          </w:p>
        </w:tc>
      </w:tr>
      <w:tr w:rsidR="003C102E" w:rsidRPr="00CD1278" w14:paraId="1D7E1757" w14:textId="77777777" w:rsidTr="008277E3">
        <w:trPr>
          <w:trHeight w:val="465"/>
          <w:jc w:val="center"/>
        </w:trPr>
        <w:tc>
          <w:tcPr>
            <w:tcW w:w="662" w:type="dxa"/>
            <w:shd w:val="clear" w:color="auto" w:fill="auto"/>
            <w:vAlign w:val="center"/>
          </w:tcPr>
          <w:p w14:paraId="630AD5B8" w14:textId="77777777" w:rsidR="00D34C6F" w:rsidRPr="00CD1278" w:rsidRDefault="00D34C6F" w:rsidP="008277E3">
            <w:pPr>
              <w:spacing w:after="60"/>
              <w:rPr>
                <w:color w:val="auto"/>
                <w:sz w:val="12"/>
                <w:szCs w:val="12"/>
              </w:rPr>
            </w:pPr>
            <w:r w:rsidRPr="00CD1278">
              <w:rPr>
                <w:color w:val="auto"/>
                <w:sz w:val="12"/>
                <w:szCs w:val="12"/>
              </w:rPr>
              <w:t>Italy</w:t>
            </w:r>
          </w:p>
        </w:tc>
        <w:tc>
          <w:tcPr>
            <w:tcW w:w="824" w:type="dxa"/>
            <w:shd w:val="clear" w:color="auto" w:fill="auto"/>
            <w:vAlign w:val="center"/>
          </w:tcPr>
          <w:p w14:paraId="31B5E416" w14:textId="77777777" w:rsidR="00D34C6F" w:rsidRPr="00CD1278" w:rsidRDefault="00D34C6F" w:rsidP="00D1371C">
            <w:pPr>
              <w:spacing w:after="60"/>
              <w:ind w:left="-87"/>
              <w:rPr>
                <w:color w:val="auto"/>
                <w:sz w:val="12"/>
                <w:szCs w:val="12"/>
              </w:rPr>
            </w:pPr>
            <w:r w:rsidRPr="00CD1278">
              <w:rPr>
                <w:color w:val="auto"/>
                <w:sz w:val="12"/>
                <w:szCs w:val="12"/>
              </w:rPr>
              <w:t>Pepper (protected)</w:t>
            </w:r>
          </w:p>
        </w:tc>
        <w:tc>
          <w:tcPr>
            <w:tcW w:w="770" w:type="dxa"/>
            <w:shd w:val="clear" w:color="auto" w:fill="auto"/>
            <w:vAlign w:val="center"/>
          </w:tcPr>
          <w:p w14:paraId="29FBFD94" w14:textId="77777777" w:rsidR="00D34C6F" w:rsidRPr="00CD1278" w:rsidRDefault="00D34C6F" w:rsidP="008277E3">
            <w:pPr>
              <w:spacing w:after="60"/>
              <w:rPr>
                <w:color w:val="auto"/>
                <w:sz w:val="10"/>
                <w:szCs w:val="10"/>
              </w:rPr>
            </w:pPr>
            <w:r w:rsidRPr="00CD1278">
              <w:rPr>
                <w:color w:val="auto"/>
                <w:sz w:val="10"/>
                <w:szCs w:val="10"/>
              </w:rPr>
              <w:t>220.000</w:t>
            </w:r>
          </w:p>
        </w:tc>
        <w:tc>
          <w:tcPr>
            <w:tcW w:w="647" w:type="dxa"/>
            <w:shd w:val="clear" w:color="auto" w:fill="auto"/>
            <w:vAlign w:val="center"/>
          </w:tcPr>
          <w:p w14:paraId="433BEB96" w14:textId="77777777" w:rsidR="00D34C6F" w:rsidRPr="00CD1278" w:rsidRDefault="00D34C6F" w:rsidP="008277E3">
            <w:pPr>
              <w:spacing w:after="60"/>
              <w:rPr>
                <w:color w:val="auto"/>
                <w:sz w:val="10"/>
                <w:szCs w:val="10"/>
              </w:rPr>
            </w:pPr>
            <w:r w:rsidRPr="00CD1278">
              <w:rPr>
                <w:color w:val="auto"/>
                <w:sz w:val="10"/>
                <w:szCs w:val="10"/>
              </w:rPr>
              <w:t>160.000</w:t>
            </w:r>
          </w:p>
        </w:tc>
        <w:tc>
          <w:tcPr>
            <w:tcW w:w="709" w:type="dxa"/>
            <w:shd w:val="clear" w:color="auto" w:fill="auto"/>
            <w:vAlign w:val="center"/>
          </w:tcPr>
          <w:p w14:paraId="6CC9A4A5" w14:textId="77777777" w:rsidR="00D34C6F" w:rsidRPr="00CD1278" w:rsidRDefault="00D34C6F" w:rsidP="008277E3">
            <w:pPr>
              <w:spacing w:after="60"/>
              <w:rPr>
                <w:color w:val="auto"/>
                <w:sz w:val="10"/>
                <w:szCs w:val="10"/>
              </w:rPr>
            </w:pPr>
            <w:r w:rsidRPr="00CD1278">
              <w:rPr>
                <w:color w:val="auto"/>
                <w:sz w:val="10"/>
                <w:szCs w:val="10"/>
              </w:rPr>
              <w:t>67.000</w:t>
            </w:r>
          </w:p>
        </w:tc>
        <w:tc>
          <w:tcPr>
            <w:tcW w:w="567" w:type="dxa"/>
            <w:shd w:val="clear" w:color="auto" w:fill="auto"/>
            <w:vAlign w:val="center"/>
          </w:tcPr>
          <w:p w14:paraId="0EBE2EE7"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11A093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EDF7C42"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6EAED98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4DCCD7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5C22C02"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651F3F43" w14:textId="77777777" w:rsidR="00D34C6F" w:rsidRPr="00CD1278" w:rsidRDefault="00D34C6F" w:rsidP="008277E3">
            <w:pPr>
              <w:spacing w:after="60"/>
              <w:rPr>
                <w:color w:val="auto"/>
                <w:sz w:val="10"/>
                <w:szCs w:val="10"/>
              </w:rPr>
            </w:pPr>
          </w:p>
        </w:tc>
        <w:tc>
          <w:tcPr>
            <w:tcW w:w="567" w:type="dxa"/>
          </w:tcPr>
          <w:p w14:paraId="7ACAD4D0" w14:textId="77777777" w:rsidR="00D34C6F" w:rsidRPr="00CD1278" w:rsidRDefault="00D34C6F" w:rsidP="008277E3">
            <w:pPr>
              <w:spacing w:after="60"/>
              <w:jc w:val="center"/>
              <w:rPr>
                <w:color w:val="auto"/>
                <w:sz w:val="10"/>
                <w:szCs w:val="10"/>
              </w:rPr>
            </w:pPr>
          </w:p>
        </w:tc>
        <w:tc>
          <w:tcPr>
            <w:tcW w:w="567" w:type="dxa"/>
          </w:tcPr>
          <w:p w14:paraId="525329D8"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5B792E17" w14:textId="77777777" w:rsidR="00D34C6F" w:rsidRPr="00CD1278" w:rsidRDefault="00D34C6F" w:rsidP="008277E3">
            <w:pPr>
              <w:spacing w:after="60"/>
              <w:rPr>
                <w:color w:val="auto"/>
                <w:sz w:val="10"/>
                <w:szCs w:val="10"/>
              </w:rPr>
            </w:pPr>
            <w:r w:rsidRPr="00CD1278">
              <w:rPr>
                <w:color w:val="auto"/>
                <w:sz w:val="10"/>
                <w:szCs w:val="10"/>
              </w:rPr>
              <w:t>160.000</w:t>
            </w:r>
          </w:p>
        </w:tc>
        <w:tc>
          <w:tcPr>
            <w:tcW w:w="709" w:type="dxa"/>
            <w:shd w:val="clear" w:color="auto" w:fill="auto"/>
            <w:vAlign w:val="center"/>
          </w:tcPr>
          <w:p w14:paraId="52EA1467" w14:textId="77777777" w:rsidR="00D34C6F" w:rsidRPr="00CD1278" w:rsidRDefault="00D34C6F" w:rsidP="008277E3">
            <w:pPr>
              <w:spacing w:after="60"/>
              <w:rPr>
                <w:color w:val="auto"/>
                <w:sz w:val="10"/>
                <w:szCs w:val="10"/>
              </w:rPr>
            </w:pPr>
            <w:r w:rsidRPr="00CD1278">
              <w:rPr>
                <w:color w:val="auto"/>
                <w:sz w:val="10"/>
                <w:szCs w:val="10"/>
              </w:rPr>
              <w:t>130.000</w:t>
            </w:r>
          </w:p>
        </w:tc>
        <w:tc>
          <w:tcPr>
            <w:tcW w:w="708" w:type="dxa"/>
            <w:shd w:val="clear" w:color="auto" w:fill="auto"/>
            <w:vAlign w:val="center"/>
          </w:tcPr>
          <w:p w14:paraId="791D8A68" w14:textId="77777777" w:rsidR="00D34C6F" w:rsidRPr="00CD1278" w:rsidRDefault="00D34C6F" w:rsidP="008277E3">
            <w:pPr>
              <w:spacing w:after="60"/>
              <w:rPr>
                <w:color w:val="auto"/>
                <w:sz w:val="10"/>
                <w:szCs w:val="10"/>
              </w:rPr>
            </w:pPr>
            <w:r w:rsidRPr="00CD1278">
              <w:rPr>
                <w:color w:val="auto"/>
                <w:sz w:val="10"/>
                <w:szCs w:val="10"/>
              </w:rPr>
              <w:t>67.000</w:t>
            </w:r>
          </w:p>
        </w:tc>
        <w:tc>
          <w:tcPr>
            <w:tcW w:w="709" w:type="dxa"/>
            <w:shd w:val="clear" w:color="auto" w:fill="auto"/>
            <w:vAlign w:val="center"/>
          </w:tcPr>
          <w:p w14:paraId="7D53B38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F1C77DA"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22EA64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2AD176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2568AE8E"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3BFD3E06" w14:textId="77777777" w:rsidR="00D34C6F" w:rsidRPr="00CD1278" w:rsidRDefault="00D34C6F" w:rsidP="008277E3">
            <w:pPr>
              <w:spacing w:after="60"/>
              <w:rPr>
                <w:b/>
                <w:color w:val="auto"/>
                <w:sz w:val="10"/>
                <w:szCs w:val="10"/>
              </w:rPr>
            </w:pPr>
          </w:p>
        </w:tc>
        <w:tc>
          <w:tcPr>
            <w:tcW w:w="567" w:type="dxa"/>
          </w:tcPr>
          <w:p w14:paraId="7D414E1C" w14:textId="77777777" w:rsidR="00D34C6F" w:rsidRPr="00CD1278" w:rsidRDefault="00D34C6F" w:rsidP="008277E3">
            <w:pPr>
              <w:spacing w:after="60"/>
              <w:jc w:val="center"/>
              <w:rPr>
                <w:b/>
                <w:color w:val="auto"/>
                <w:sz w:val="10"/>
                <w:szCs w:val="10"/>
              </w:rPr>
            </w:pPr>
          </w:p>
        </w:tc>
        <w:tc>
          <w:tcPr>
            <w:tcW w:w="567" w:type="dxa"/>
          </w:tcPr>
          <w:p w14:paraId="4D5E7185" w14:textId="77777777" w:rsidR="00D34C6F" w:rsidRPr="00CD1278" w:rsidRDefault="00D34C6F" w:rsidP="008277E3">
            <w:pPr>
              <w:spacing w:after="60"/>
              <w:jc w:val="center"/>
              <w:rPr>
                <w:b/>
                <w:color w:val="auto"/>
                <w:sz w:val="10"/>
                <w:szCs w:val="10"/>
              </w:rPr>
            </w:pPr>
          </w:p>
        </w:tc>
        <w:tc>
          <w:tcPr>
            <w:tcW w:w="567" w:type="dxa"/>
          </w:tcPr>
          <w:p w14:paraId="3B35E424" w14:textId="77777777" w:rsidR="00D34C6F" w:rsidRPr="00CD1278" w:rsidRDefault="00D34C6F" w:rsidP="008277E3">
            <w:pPr>
              <w:spacing w:after="60"/>
              <w:jc w:val="center"/>
              <w:rPr>
                <w:b/>
                <w:color w:val="auto"/>
                <w:sz w:val="10"/>
                <w:szCs w:val="10"/>
              </w:rPr>
            </w:pPr>
          </w:p>
        </w:tc>
      </w:tr>
      <w:tr w:rsidR="003C102E" w:rsidRPr="00CD1278" w14:paraId="33C817E8" w14:textId="77777777" w:rsidTr="008277E3">
        <w:trPr>
          <w:trHeight w:val="690"/>
          <w:jc w:val="center"/>
        </w:trPr>
        <w:tc>
          <w:tcPr>
            <w:tcW w:w="662" w:type="dxa"/>
            <w:shd w:val="clear" w:color="auto" w:fill="auto"/>
            <w:vAlign w:val="center"/>
          </w:tcPr>
          <w:p w14:paraId="09522B6B" w14:textId="77777777" w:rsidR="00D34C6F" w:rsidRPr="00CD1278" w:rsidRDefault="00D34C6F" w:rsidP="008277E3">
            <w:pPr>
              <w:spacing w:after="60"/>
              <w:rPr>
                <w:color w:val="auto"/>
                <w:sz w:val="12"/>
                <w:szCs w:val="12"/>
              </w:rPr>
            </w:pPr>
            <w:r w:rsidRPr="00CD1278">
              <w:rPr>
                <w:color w:val="auto"/>
                <w:sz w:val="12"/>
                <w:szCs w:val="12"/>
              </w:rPr>
              <w:t>Italy</w:t>
            </w:r>
          </w:p>
        </w:tc>
        <w:tc>
          <w:tcPr>
            <w:tcW w:w="824" w:type="dxa"/>
            <w:shd w:val="clear" w:color="auto" w:fill="auto"/>
            <w:vAlign w:val="center"/>
          </w:tcPr>
          <w:p w14:paraId="30584DF0" w14:textId="77777777" w:rsidR="00D34C6F" w:rsidRPr="00CD1278" w:rsidRDefault="00D34C6F" w:rsidP="00D1371C">
            <w:pPr>
              <w:spacing w:after="60"/>
              <w:ind w:left="-87"/>
              <w:rPr>
                <w:color w:val="auto"/>
                <w:sz w:val="12"/>
                <w:szCs w:val="12"/>
              </w:rPr>
            </w:pPr>
            <w:r w:rsidRPr="00CD1278">
              <w:rPr>
                <w:color w:val="auto"/>
                <w:sz w:val="12"/>
                <w:szCs w:val="12"/>
              </w:rPr>
              <w:t>Strawberry Fruit (Protected)</w:t>
            </w:r>
          </w:p>
        </w:tc>
        <w:tc>
          <w:tcPr>
            <w:tcW w:w="770" w:type="dxa"/>
            <w:shd w:val="clear" w:color="auto" w:fill="auto"/>
            <w:vAlign w:val="center"/>
          </w:tcPr>
          <w:p w14:paraId="46B2AE27" w14:textId="77777777" w:rsidR="00D34C6F" w:rsidRPr="00CD1278" w:rsidRDefault="00D34C6F" w:rsidP="008277E3">
            <w:pPr>
              <w:spacing w:after="60"/>
              <w:rPr>
                <w:color w:val="auto"/>
                <w:sz w:val="10"/>
                <w:szCs w:val="10"/>
              </w:rPr>
            </w:pPr>
            <w:r w:rsidRPr="00CD1278">
              <w:rPr>
                <w:color w:val="auto"/>
                <w:sz w:val="10"/>
                <w:szCs w:val="10"/>
              </w:rPr>
              <w:t>510.000</w:t>
            </w:r>
          </w:p>
        </w:tc>
        <w:tc>
          <w:tcPr>
            <w:tcW w:w="647" w:type="dxa"/>
            <w:shd w:val="clear" w:color="auto" w:fill="auto"/>
            <w:vAlign w:val="center"/>
          </w:tcPr>
          <w:p w14:paraId="4FCFF053" w14:textId="77777777" w:rsidR="00D34C6F" w:rsidRPr="00CD1278" w:rsidRDefault="00D34C6F" w:rsidP="008277E3">
            <w:pPr>
              <w:spacing w:after="60"/>
              <w:rPr>
                <w:color w:val="auto"/>
                <w:sz w:val="10"/>
                <w:szCs w:val="10"/>
              </w:rPr>
            </w:pPr>
            <w:r w:rsidRPr="00CD1278">
              <w:rPr>
                <w:color w:val="auto"/>
                <w:sz w:val="10"/>
                <w:szCs w:val="10"/>
              </w:rPr>
              <w:t>400.000</w:t>
            </w:r>
          </w:p>
        </w:tc>
        <w:tc>
          <w:tcPr>
            <w:tcW w:w="709" w:type="dxa"/>
            <w:shd w:val="clear" w:color="auto" w:fill="auto"/>
            <w:vAlign w:val="center"/>
          </w:tcPr>
          <w:p w14:paraId="7743780A" w14:textId="77777777" w:rsidR="00D34C6F" w:rsidRPr="00CD1278" w:rsidRDefault="00D34C6F" w:rsidP="008277E3">
            <w:pPr>
              <w:spacing w:after="60"/>
              <w:rPr>
                <w:color w:val="auto"/>
                <w:sz w:val="10"/>
                <w:szCs w:val="10"/>
              </w:rPr>
            </w:pPr>
            <w:r w:rsidRPr="00CD1278">
              <w:rPr>
                <w:color w:val="auto"/>
                <w:sz w:val="10"/>
                <w:szCs w:val="10"/>
              </w:rPr>
              <w:t>35.000</w:t>
            </w:r>
          </w:p>
        </w:tc>
        <w:tc>
          <w:tcPr>
            <w:tcW w:w="567" w:type="dxa"/>
            <w:shd w:val="clear" w:color="auto" w:fill="auto"/>
            <w:vAlign w:val="center"/>
          </w:tcPr>
          <w:p w14:paraId="72611A4E"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23B1A2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066E85E"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6ED195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0F20B7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0AF2C9D"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0B4F63C5" w14:textId="77777777" w:rsidR="00D34C6F" w:rsidRPr="00CD1278" w:rsidRDefault="00D34C6F" w:rsidP="008277E3">
            <w:pPr>
              <w:spacing w:after="60"/>
              <w:rPr>
                <w:color w:val="auto"/>
                <w:sz w:val="10"/>
                <w:szCs w:val="10"/>
              </w:rPr>
            </w:pPr>
          </w:p>
        </w:tc>
        <w:tc>
          <w:tcPr>
            <w:tcW w:w="567" w:type="dxa"/>
          </w:tcPr>
          <w:p w14:paraId="7FB34338" w14:textId="77777777" w:rsidR="00D34C6F" w:rsidRPr="00CD1278" w:rsidRDefault="00D34C6F" w:rsidP="008277E3">
            <w:pPr>
              <w:spacing w:after="60"/>
              <w:jc w:val="center"/>
              <w:rPr>
                <w:color w:val="auto"/>
                <w:sz w:val="10"/>
                <w:szCs w:val="10"/>
              </w:rPr>
            </w:pPr>
          </w:p>
        </w:tc>
        <w:tc>
          <w:tcPr>
            <w:tcW w:w="567" w:type="dxa"/>
          </w:tcPr>
          <w:p w14:paraId="1B26C690"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399C48AC" w14:textId="77777777" w:rsidR="00D34C6F" w:rsidRPr="00CD1278" w:rsidRDefault="00D34C6F" w:rsidP="008277E3">
            <w:pPr>
              <w:spacing w:after="60"/>
              <w:rPr>
                <w:color w:val="auto"/>
                <w:sz w:val="10"/>
                <w:szCs w:val="10"/>
              </w:rPr>
            </w:pPr>
            <w:r w:rsidRPr="00CD1278">
              <w:rPr>
                <w:color w:val="auto"/>
                <w:sz w:val="10"/>
                <w:szCs w:val="10"/>
              </w:rPr>
              <w:t>407.000</w:t>
            </w:r>
          </w:p>
        </w:tc>
        <w:tc>
          <w:tcPr>
            <w:tcW w:w="709" w:type="dxa"/>
            <w:shd w:val="clear" w:color="auto" w:fill="auto"/>
            <w:vAlign w:val="center"/>
          </w:tcPr>
          <w:p w14:paraId="3B9CB777" w14:textId="77777777" w:rsidR="00D34C6F" w:rsidRPr="00CD1278" w:rsidRDefault="00D34C6F" w:rsidP="008277E3">
            <w:pPr>
              <w:spacing w:after="60"/>
              <w:rPr>
                <w:color w:val="auto"/>
                <w:sz w:val="10"/>
                <w:szCs w:val="10"/>
              </w:rPr>
            </w:pPr>
            <w:r w:rsidRPr="00CD1278">
              <w:rPr>
                <w:color w:val="auto"/>
                <w:sz w:val="10"/>
                <w:szCs w:val="10"/>
              </w:rPr>
              <w:t>320.000</w:t>
            </w:r>
          </w:p>
        </w:tc>
        <w:tc>
          <w:tcPr>
            <w:tcW w:w="708" w:type="dxa"/>
            <w:shd w:val="clear" w:color="auto" w:fill="auto"/>
            <w:vAlign w:val="center"/>
          </w:tcPr>
          <w:p w14:paraId="063726ED"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CDD0BA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7147F9A"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86FF57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A278FE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6AC82599"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1B573D85" w14:textId="77777777" w:rsidR="00D34C6F" w:rsidRPr="00CD1278" w:rsidRDefault="00D34C6F" w:rsidP="008277E3">
            <w:pPr>
              <w:spacing w:after="60"/>
              <w:rPr>
                <w:b/>
                <w:color w:val="auto"/>
                <w:sz w:val="10"/>
                <w:szCs w:val="10"/>
              </w:rPr>
            </w:pPr>
          </w:p>
        </w:tc>
        <w:tc>
          <w:tcPr>
            <w:tcW w:w="567" w:type="dxa"/>
          </w:tcPr>
          <w:p w14:paraId="7CDFD02F" w14:textId="77777777" w:rsidR="00D34C6F" w:rsidRPr="00CD1278" w:rsidRDefault="00D34C6F" w:rsidP="008277E3">
            <w:pPr>
              <w:spacing w:after="60"/>
              <w:jc w:val="center"/>
              <w:rPr>
                <w:b/>
                <w:color w:val="auto"/>
                <w:sz w:val="10"/>
                <w:szCs w:val="10"/>
              </w:rPr>
            </w:pPr>
          </w:p>
        </w:tc>
        <w:tc>
          <w:tcPr>
            <w:tcW w:w="567" w:type="dxa"/>
          </w:tcPr>
          <w:p w14:paraId="3142961C" w14:textId="77777777" w:rsidR="00D34C6F" w:rsidRPr="00CD1278" w:rsidRDefault="00D34C6F" w:rsidP="008277E3">
            <w:pPr>
              <w:spacing w:after="60"/>
              <w:jc w:val="center"/>
              <w:rPr>
                <w:b/>
                <w:color w:val="auto"/>
                <w:sz w:val="10"/>
                <w:szCs w:val="10"/>
              </w:rPr>
            </w:pPr>
          </w:p>
        </w:tc>
        <w:tc>
          <w:tcPr>
            <w:tcW w:w="567" w:type="dxa"/>
          </w:tcPr>
          <w:p w14:paraId="62856D89" w14:textId="77777777" w:rsidR="00D34C6F" w:rsidRPr="00CD1278" w:rsidRDefault="00D34C6F" w:rsidP="008277E3">
            <w:pPr>
              <w:spacing w:after="60"/>
              <w:jc w:val="center"/>
              <w:rPr>
                <w:b/>
                <w:color w:val="auto"/>
                <w:sz w:val="10"/>
                <w:szCs w:val="10"/>
              </w:rPr>
            </w:pPr>
          </w:p>
        </w:tc>
      </w:tr>
      <w:tr w:rsidR="003C102E" w:rsidRPr="00CD1278" w14:paraId="0D83549F" w14:textId="77777777" w:rsidTr="008277E3">
        <w:trPr>
          <w:trHeight w:val="465"/>
          <w:jc w:val="center"/>
        </w:trPr>
        <w:tc>
          <w:tcPr>
            <w:tcW w:w="662" w:type="dxa"/>
            <w:shd w:val="clear" w:color="auto" w:fill="auto"/>
            <w:vAlign w:val="center"/>
          </w:tcPr>
          <w:p w14:paraId="1E49F1C8" w14:textId="77777777" w:rsidR="00D34C6F" w:rsidRPr="00CD1278" w:rsidRDefault="00D34C6F" w:rsidP="008277E3">
            <w:pPr>
              <w:spacing w:after="60"/>
              <w:rPr>
                <w:color w:val="auto"/>
                <w:sz w:val="12"/>
                <w:szCs w:val="12"/>
              </w:rPr>
            </w:pPr>
            <w:r w:rsidRPr="00CD1278">
              <w:rPr>
                <w:color w:val="auto"/>
                <w:sz w:val="12"/>
                <w:szCs w:val="12"/>
              </w:rPr>
              <w:t>Italy</w:t>
            </w:r>
          </w:p>
        </w:tc>
        <w:tc>
          <w:tcPr>
            <w:tcW w:w="824" w:type="dxa"/>
            <w:shd w:val="clear" w:color="auto" w:fill="auto"/>
            <w:vAlign w:val="center"/>
          </w:tcPr>
          <w:p w14:paraId="15CD389C" w14:textId="77777777" w:rsidR="00D34C6F" w:rsidRPr="00CD1278" w:rsidRDefault="00D34C6F" w:rsidP="00D1371C">
            <w:pPr>
              <w:spacing w:after="60"/>
              <w:ind w:left="-87"/>
              <w:rPr>
                <w:color w:val="auto"/>
                <w:sz w:val="12"/>
                <w:szCs w:val="12"/>
              </w:rPr>
            </w:pPr>
            <w:r w:rsidRPr="00CD1278">
              <w:rPr>
                <w:color w:val="auto"/>
                <w:sz w:val="12"/>
                <w:szCs w:val="12"/>
              </w:rPr>
              <w:t>Strawberry Runners</w:t>
            </w:r>
          </w:p>
        </w:tc>
        <w:tc>
          <w:tcPr>
            <w:tcW w:w="770" w:type="dxa"/>
            <w:shd w:val="clear" w:color="auto" w:fill="auto"/>
            <w:vAlign w:val="center"/>
          </w:tcPr>
          <w:p w14:paraId="7D017FED" w14:textId="77777777" w:rsidR="00D34C6F" w:rsidRPr="00CD1278" w:rsidRDefault="00D34C6F" w:rsidP="008277E3">
            <w:pPr>
              <w:spacing w:after="60"/>
              <w:rPr>
                <w:color w:val="auto"/>
                <w:sz w:val="10"/>
                <w:szCs w:val="10"/>
              </w:rPr>
            </w:pPr>
            <w:r w:rsidRPr="00CD1278">
              <w:rPr>
                <w:color w:val="auto"/>
                <w:sz w:val="10"/>
                <w:szCs w:val="10"/>
              </w:rPr>
              <w:t>100.000</w:t>
            </w:r>
          </w:p>
        </w:tc>
        <w:tc>
          <w:tcPr>
            <w:tcW w:w="647" w:type="dxa"/>
            <w:shd w:val="clear" w:color="auto" w:fill="auto"/>
            <w:vAlign w:val="center"/>
          </w:tcPr>
          <w:p w14:paraId="3D959D56" w14:textId="77777777" w:rsidR="00D34C6F" w:rsidRPr="00CD1278" w:rsidRDefault="00D34C6F" w:rsidP="008277E3">
            <w:pPr>
              <w:spacing w:after="60"/>
              <w:rPr>
                <w:color w:val="auto"/>
                <w:sz w:val="10"/>
                <w:szCs w:val="10"/>
              </w:rPr>
            </w:pPr>
            <w:r w:rsidRPr="00CD1278">
              <w:rPr>
                <w:color w:val="auto"/>
                <w:sz w:val="10"/>
                <w:szCs w:val="10"/>
              </w:rPr>
              <w:t>120.000</w:t>
            </w:r>
          </w:p>
        </w:tc>
        <w:tc>
          <w:tcPr>
            <w:tcW w:w="709" w:type="dxa"/>
            <w:shd w:val="clear" w:color="auto" w:fill="auto"/>
            <w:vAlign w:val="center"/>
          </w:tcPr>
          <w:p w14:paraId="2FC1B7FF" w14:textId="77777777" w:rsidR="00D34C6F" w:rsidRPr="00CD1278" w:rsidRDefault="00D34C6F" w:rsidP="008277E3">
            <w:pPr>
              <w:spacing w:after="60"/>
              <w:rPr>
                <w:color w:val="auto"/>
                <w:sz w:val="10"/>
                <w:szCs w:val="10"/>
              </w:rPr>
            </w:pPr>
            <w:r w:rsidRPr="00CD1278">
              <w:rPr>
                <w:color w:val="auto"/>
                <w:sz w:val="10"/>
                <w:szCs w:val="10"/>
              </w:rPr>
              <w:t>35.000</w:t>
            </w:r>
          </w:p>
        </w:tc>
        <w:tc>
          <w:tcPr>
            <w:tcW w:w="567" w:type="dxa"/>
            <w:shd w:val="clear" w:color="auto" w:fill="auto"/>
            <w:vAlign w:val="center"/>
          </w:tcPr>
          <w:p w14:paraId="35BC7D9D"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B2BD0E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AFA9BE3"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7B3B4F7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D64A01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85F3335"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473C3459" w14:textId="77777777" w:rsidR="00D34C6F" w:rsidRPr="00CD1278" w:rsidRDefault="00D34C6F" w:rsidP="008277E3">
            <w:pPr>
              <w:spacing w:after="60"/>
              <w:rPr>
                <w:color w:val="auto"/>
                <w:sz w:val="10"/>
                <w:szCs w:val="10"/>
              </w:rPr>
            </w:pPr>
          </w:p>
        </w:tc>
        <w:tc>
          <w:tcPr>
            <w:tcW w:w="567" w:type="dxa"/>
          </w:tcPr>
          <w:p w14:paraId="6BB107BB" w14:textId="77777777" w:rsidR="00D34C6F" w:rsidRPr="00CD1278" w:rsidRDefault="00D34C6F" w:rsidP="008277E3">
            <w:pPr>
              <w:spacing w:after="60"/>
              <w:jc w:val="center"/>
              <w:rPr>
                <w:color w:val="auto"/>
                <w:sz w:val="10"/>
                <w:szCs w:val="10"/>
              </w:rPr>
            </w:pPr>
          </w:p>
        </w:tc>
        <w:tc>
          <w:tcPr>
            <w:tcW w:w="567" w:type="dxa"/>
          </w:tcPr>
          <w:p w14:paraId="01828321"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6ED3593" w14:textId="77777777" w:rsidR="00D34C6F" w:rsidRPr="00CD1278" w:rsidRDefault="00D34C6F" w:rsidP="008277E3">
            <w:pPr>
              <w:spacing w:after="60"/>
              <w:rPr>
                <w:color w:val="auto"/>
                <w:sz w:val="10"/>
                <w:szCs w:val="10"/>
              </w:rPr>
            </w:pPr>
            <w:r w:rsidRPr="00CD1278">
              <w:rPr>
                <w:color w:val="auto"/>
                <w:sz w:val="10"/>
                <w:szCs w:val="10"/>
              </w:rPr>
              <w:t>120.000</w:t>
            </w:r>
          </w:p>
        </w:tc>
        <w:tc>
          <w:tcPr>
            <w:tcW w:w="709" w:type="dxa"/>
            <w:shd w:val="clear" w:color="auto" w:fill="auto"/>
            <w:vAlign w:val="center"/>
          </w:tcPr>
          <w:p w14:paraId="552CFECD" w14:textId="77777777" w:rsidR="00D34C6F" w:rsidRPr="00CD1278" w:rsidRDefault="00D34C6F" w:rsidP="008277E3">
            <w:pPr>
              <w:spacing w:after="60"/>
              <w:rPr>
                <w:color w:val="auto"/>
                <w:sz w:val="10"/>
                <w:szCs w:val="10"/>
              </w:rPr>
            </w:pPr>
            <w:r w:rsidRPr="00CD1278">
              <w:rPr>
                <w:color w:val="auto"/>
                <w:sz w:val="10"/>
                <w:szCs w:val="10"/>
              </w:rPr>
              <w:t>120.000</w:t>
            </w:r>
          </w:p>
        </w:tc>
        <w:tc>
          <w:tcPr>
            <w:tcW w:w="708" w:type="dxa"/>
            <w:shd w:val="clear" w:color="auto" w:fill="auto"/>
            <w:vAlign w:val="center"/>
          </w:tcPr>
          <w:p w14:paraId="3A37DEDE" w14:textId="77777777" w:rsidR="00D34C6F" w:rsidRPr="00CD1278" w:rsidRDefault="00D34C6F" w:rsidP="008277E3">
            <w:pPr>
              <w:spacing w:after="60"/>
              <w:rPr>
                <w:color w:val="auto"/>
                <w:sz w:val="10"/>
                <w:szCs w:val="10"/>
              </w:rPr>
            </w:pPr>
            <w:r w:rsidRPr="00CD1278">
              <w:rPr>
                <w:color w:val="auto"/>
                <w:sz w:val="10"/>
                <w:szCs w:val="10"/>
              </w:rPr>
              <w:t>35.000</w:t>
            </w:r>
          </w:p>
        </w:tc>
        <w:tc>
          <w:tcPr>
            <w:tcW w:w="709" w:type="dxa"/>
            <w:shd w:val="clear" w:color="auto" w:fill="auto"/>
            <w:vAlign w:val="center"/>
          </w:tcPr>
          <w:p w14:paraId="0C6DCB7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B23150D"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3BEB93D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793DD0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5E9400CE"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6EEFCACE" w14:textId="77777777" w:rsidR="00D34C6F" w:rsidRPr="00CD1278" w:rsidRDefault="00D34C6F" w:rsidP="008277E3">
            <w:pPr>
              <w:spacing w:after="60"/>
              <w:rPr>
                <w:b/>
                <w:color w:val="auto"/>
                <w:sz w:val="10"/>
                <w:szCs w:val="10"/>
              </w:rPr>
            </w:pPr>
          </w:p>
        </w:tc>
        <w:tc>
          <w:tcPr>
            <w:tcW w:w="567" w:type="dxa"/>
          </w:tcPr>
          <w:p w14:paraId="0044373A" w14:textId="77777777" w:rsidR="00D34C6F" w:rsidRPr="00CD1278" w:rsidRDefault="00D34C6F" w:rsidP="008277E3">
            <w:pPr>
              <w:spacing w:after="60"/>
              <w:jc w:val="center"/>
              <w:rPr>
                <w:b/>
                <w:color w:val="auto"/>
                <w:sz w:val="10"/>
                <w:szCs w:val="10"/>
              </w:rPr>
            </w:pPr>
          </w:p>
        </w:tc>
        <w:tc>
          <w:tcPr>
            <w:tcW w:w="567" w:type="dxa"/>
          </w:tcPr>
          <w:p w14:paraId="54075F3F" w14:textId="77777777" w:rsidR="00D34C6F" w:rsidRPr="00CD1278" w:rsidRDefault="00D34C6F" w:rsidP="008277E3">
            <w:pPr>
              <w:spacing w:after="60"/>
              <w:jc w:val="center"/>
              <w:rPr>
                <w:b/>
                <w:color w:val="auto"/>
                <w:sz w:val="10"/>
                <w:szCs w:val="10"/>
              </w:rPr>
            </w:pPr>
          </w:p>
        </w:tc>
        <w:tc>
          <w:tcPr>
            <w:tcW w:w="567" w:type="dxa"/>
          </w:tcPr>
          <w:p w14:paraId="39DDD00D" w14:textId="77777777" w:rsidR="00D34C6F" w:rsidRPr="00CD1278" w:rsidRDefault="00D34C6F" w:rsidP="008277E3">
            <w:pPr>
              <w:spacing w:after="60"/>
              <w:jc w:val="center"/>
              <w:rPr>
                <w:b/>
                <w:color w:val="auto"/>
                <w:sz w:val="10"/>
                <w:szCs w:val="10"/>
              </w:rPr>
            </w:pPr>
          </w:p>
        </w:tc>
      </w:tr>
      <w:tr w:rsidR="003C102E" w:rsidRPr="00CD1278" w14:paraId="6B9CDCA8" w14:textId="77777777" w:rsidTr="008277E3">
        <w:trPr>
          <w:trHeight w:val="465"/>
          <w:jc w:val="center"/>
        </w:trPr>
        <w:tc>
          <w:tcPr>
            <w:tcW w:w="662" w:type="dxa"/>
            <w:shd w:val="clear" w:color="auto" w:fill="auto"/>
            <w:vAlign w:val="center"/>
          </w:tcPr>
          <w:p w14:paraId="02521FB2" w14:textId="77777777" w:rsidR="00D34C6F" w:rsidRPr="00CD1278" w:rsidRDefault="00D34C6F" w:rsidP="008277E3">
            <w:pPr>
              <w:spacing w:after="60"/>
              <w:rPr>
                <w:color w:val="auto"/>
                <w:sz w:val="12"/>
                <w:szCs w:val="12"/>
              </w:rPr>
            </w:pPr>
            <w:r w:rsidRPr="00CD1278">
              <w:rPr>
                <w:color w:val="auto"/>
                <w:sz w:val="12"/>
                <w:szCs w:val="12"/>
              </w:rPr>
              <w:t>Italy</w:t>
            </w:r>
          </w:p>
        </w:tc>
        <w:tc>
          <w:tcPr>
            <w:tcW w:w="824" w:type="dxa"/>
            <w:shd w:val="clear" w:color="auto" w:fill="auto"/>
            <w:vAlign w:val="center"/>
          </w:tcPr>
          <w:p w14:paraId="2396B187" w14:textId="77777777" w:rsidR="00D34C6F" w:rsidRPr="00CD1278" w:rsidRDefault="00D34C6F" w:rsidP="00D1371C">
            <w:pPr>
              <w:spacing w:after="60"/>
              <w:ind w:left="-87"/>
              <w:rPr>
                <w:color w:val="auto"/>
                <w:sz w:val="12"/>
                <w:szCs w:val="12"/>
              </w:rPr>
            </w:pPr>
            <w:r w:rsidRPr="00CD1278">
              <w:rPr>
                <w:color w:val="auto"/>
                <w:sz w:val="12"/>
                <w:szCs w:val="12"/>
              </w:rPr>
              <w:t>Tomato (protected)</w:t>
            </w:r>
          </w:p>
        </w:tc>
        <w:tc>
          <w:tcPr>
            <w:tcW w:w="770" w:type="dxa"/>
            <w:shd w:val="clear" w:color="auto" w:fill="auto"/>
            <w:vAlign w:val="center"/>
          </w:tcPr>
          <w:p w14:paraId="672554EB" w14:textId="77777777" w:rsidR="00D34C6F" w:rsidRPr="00CD1278" w:rsidRDefault="00D34C6F" w:rsidP="008277E3">
            <w:pPr>
              <w:spacing w:after="60"/>
              <w:rPr>
                <w:color w:val="auto"/>
                <w:sz w:val="10"/>
                <w:szCs w:val="10"/>
              </w:rPr>
            </w:pPr>
            <w:r w:rsidRPr="00CD1278">
              <w:rPr>
                <w:color w:val="auto"/>
                <w:sz w:val="10"/>
                <w:szCs w:val="10"/>
              </w:rPr>
              <w:t>1300.000</w:t>
            </w:r>
          </w:p>
        </w:tc>
        <w:tc>
          <w:tcPr>
            <w:tcW w:w="647" w:type="dxa"/>
            <w:shd w:val="clear" w:color="auto" w:fill="auto"/>
            <w:vAlign w:val="center"/>
          </w:tcPr>
          <w:p w14:paraId="1E37BA27" w14:textId="77777777" w:rsidR="00D34C6F" w:rsidRPr="00CD1278" w:rsidRDefault="00D34C6F" w:rsidP="008277E3">
            <w:pPr>
              <w:spacing w:after="60"/>
              <w:rPr>
                <w:color w:val="auto"/>
                <w:sz w:val="10"/>
                <w:szCs w:val="10"/>
              </w:rPr>
            </w:pPr>
            <w:r w:rsidRPr="00CD1278">
              <w:rPr>
                <w:color w:val="auto"/>
                <w:sz w:val="10"/>
                <w:szCs w:val="10"/>
              </w:rPr>
              <w:t>1030.00</w:t>
            </w:r>
          </w:p>
        </w:tc>
        <w:tc>
          <w:tcPr>
            <w:tcW w:w="709" w:type="dxa"/>
            <w:shd w:val="clear" w:color="auto" w:fill="auto"/>
            <w:vAlign w:val="center"/>
          </w:tcPr>
          <w:p w14:paraId="5AED2A88" w14:textId="77777777" w:rsidR="00D34C6F" w:rsidRPr="00CD1278" w:rsidRDefault="00D34C6F" w:rsidP="008277E3">
            <w:pPr>
              <w:spacing w:after="60"/>
              <w:rPr>
                <w:color w:val="auto"/>
                <w:sz w:val="10"/>
                <w:szCs w:val="10"/>
              </w:rPr>
            </w:pPr>
            <w:r w:rsidRPr="00CD1278">
              <w:rPr>
                <w:color w:val="auto"/>
                <w:sz w:val="10"/>
                <w:szCs w:val="10"/>
              </w:rPr>
              <w:t>418.000</w:t>
            </w:r>
          </w:p>
        </w:tc>
        <w:tc>
          <w:tcPr>
            <w:tcW w:w="567" w:type="dxa"/>
            <w:shd w:val="clear" w:color="auto" w:fill="auto"/>
            <w:vAlign w:val="center"/>
          </w:tcPr>
          <w:p w14:paraId="57857E5E"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74DC99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E3C9AB3"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360798D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C8086A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9BB17ED"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991B5B7" w14:textId="77777777" w:rsidR="00D34C6F" w:rsidRPr="00CD1278" w:rsidRDefault="00D34C6F" w:rsidP="008277E3">
            <w:pPr>
              <w:spacing w:after="60"/>
              <w:rPr>
                <w:color w:val="auto"/>
                <w:sz w:val="10"/>
                <w:szCs w:val="10"/>
              </w:rPr>
            </w:pPr>
          </w:p>
        </w:tc>
        <w:tc>
          <w:tcPr>
            <w:tcW w:w="567" w:type="dxa"/>
          </w:tcPr>
          <w:p w14:paraId="55F5066B" w14:textId="77777777" w:rsidR="00D34C6F" w:rsidRPr="00CD1278" w:rsidRDefault="00D34C6F" w:rsidP="008277E3">
            <w:pPr>
              <w:spacing w:after="60"/>
              <w:jc w:val="center"/>
              <w:rPr>
                <w:color w:val="auto"/>
                <w:sz w:val="10"/>
                <w:szCs w:val="10"/>
              </w:rPr>
            </w:pPr>
          </w:p>
        </w:tc>
        <w:tc>
          <w:tcPr>
            <w:tcW w:w="567" w:type="dxa"/>
          </w:tcPr>
          <w:p w14:paraId="34042804"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1E7FDF92" w14:textId="77777777" w:rsidR="00D34C6F" w:rsidRPr="00CD1278" w:rsidRDefault="00D34C6F" w:rsidP="008277E3">
            <w:pPr>
              <w:spacing w:after="60"/>
              <w:rPr>
                <w:color w:val="auto"/>
                <w:sz w:val="10"/>
                <w:szCs w:val="10"/>
              </w:rPr>
            </w:pPr>
            <w:r w:rsidRPr="00CD1278">
              <w:rPr>
                <w:color w:val="auto"/>
                <w:sz w:val="10"/>
                <w:szCs w:val="10"/>
              </w:rPr>
              <w:t>871.000</w:t>
            </w:r>
          </w:p>
        </w:tc>
        <w:tc>
          <w:tcPr>
            <w:tcW w:w="709" w:type="dxa"/>
            <w:shd w:val="clear" w:color="auto" w:fill="auto"/>
            <w:vAlign w:val="center"/>
          </w:tcPr>
          <w:p w14:paraId="2AB0ADC5" w14:textId="77777777" w:rsidR="00D34C6F" w:rsidRPr="00CD1278" w:rsidRDefault="00D34C6F" w:rsidP="008277E3">
            <w:pPr>
              <w:spacing w:after="60"/>
              <w:rPr>
                <w:color w:val="auto"/>
                <w:sz w:val="10"/>
                <w:szCs w:val="10"/>
              </w:rPr>
            </w:pPr>
            <w:r w:rsidRPr="00CD1278">
              <w:rPr>
                <w:color w:val="auto"/>
                <w:sz w:val="10"/>
                <w:szCs w:val="10"/>
              </w:rPr>
              <w:t>697.000</w:t>
            </w:r>
          </w:p>
        </w:tc>
        <w:tc>
          <w:tcPr>
            <w:tcW w:w="708" w:type="dxa"/>
            <w:shd w:val="clear" w:color="auto" w:fill="auto"/>
            <w:vAlign w:val="center"/>
          </w:tcPr>
          <w:p w14:paraId="57072E37" w14:textId="77777777" w:rsidR="00D34C6F" w:rsidRPr="00CD1278" w:rsidRDefault="00D34C6F" w:rsidP="008277E3">
            <w:pPr>
              <w:spacing w:after="60"/>
              <w:rPr>
                <w:color w:val="auto"/>
                <w:sz w:val="10"/>
                <w:szCs w:val="10"/>
              </w:rPr>
            </w:pPr>
            <w:r w:rsidRPr="00CD1278">
              <w:rPr>
                <w:color w:val="auto"/>
                <w:sz w:val="10"/>
                <w:szCs w:val="10"/>
              </w:rPr>
              <w:t>80.000</w:t>
            </w:r>
          </w:p>
        </w:tc>
        <w:tc>
          <w:tcPr>
            <w:tcW w:w="709" w:type="dxa"/>
            <w:shd w:val="clear" w:color="auto" w:fill="auto"/>
            <w:vAlign w:val="center"/>
          </w:tcPr>
          <w:p w14:paraId="4984D10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7545D67"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4A8FFA0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078C96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04D40204"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545DF565" w14:textId="77777777" w:rsidR="00D34C6F" w:rsidRPr="00CD1278" w:rsidRDefault="00D34C6F" w:rsidP="008277E3">
            <w:pPr>
              <w:spacing w:after="60"/>
              <w:rPr>
                <w:b/>
                <w:color w:val="auto"/>
                <w:sz w:val="10"/>
                <w:szCs w:val="10"/>
              </w:rPr>
            </w:pPr>
          </w:p>
        </w:tc>
        <w:tc>
          <w:tcPr>
            <w:tcW w:w="567" w:type="dxa"/>
          </w:tcPr>
          <w:p w14:paraId="339C0865" w14:textId="77777777" w:rsidR="00D34C6F" w:rsidRPr="00CD1278" w:rsidRDefault="00D34C6F" w:rsidP="008277E3">
            <w:pPr>
              <w:spacing w:after="60"/>
              <w:jc w:val="center"/>
              <w:rPr>
                <w:b/>
                <w:color w:val="auto"/>
                <w:sz w:val="10"/>
                <w:szCs w:val="10"/>
              </w:rPr>
            </w:pPr>
          </w:p>
        </w:tc>
        <w:tc>
          <w:tcPr>
            <w:tcW w:w="567" w:type="dxa"/>
          </w:tcPr>
          <w:p w14:paraId="03FAE954" w14:textId="77777777" w:rsidR="00D34C6F" w:rsidRPr="00CD1278" w:rsidRDefault="00D34C6F" w:rsidP="008277E3">
            <w:pPr>
              <w:spacing w:after="60"/>
              <w:jc w:val="center"/>
              <w:rPr>
                <w:b/>
                <w:color w:val="auto"/>
                <w:sz w:val="10"/>
                <w:szCs w:val="10"/>
              </w:rPr>
            </w:pPr>
          </w:p>
        </w:tc>
        <w:tc>
          <w:tcPr>
            <w:tcW w:w="567" w:type="dxa"/>
          </w:tcPr>
          <w:p w14:paraId="4BD5FECD" w14:textId="77777777" w:rsidR="00D34C6F" w:rsidRPr="00CD1278" w:rsidRDefault="00D34C6F" w:rsidP="008277E3">
            <w:pPr>
              <w:spacing w:after="60"/>
              <w:jc w:val="center"/>
              <w:rPr>
                <w:b/>
                <w:color w:val="auto"/>
                <w:sz w:val="10"/>
                <w:szCs w:val="10"/>
              </w:rPr>
            </w:pPr>
          </w:p>
        </w:tc>
      </w:tr>
      <w:tr w:rsidR="003C102E" w:rsidRPr="00CD1278" w14:paraId="4B138C93" w14:textId="77777777" w:rsidTr="008277E3">
        <w:trPr>
          <w:trHeight w:val="270"/>
          <w:jc w:val="center"/>
        </w:trPr>
        <w:tc>
          <w:tcPr>
            <w:tcW w:w="662" w:type="dxa"/>
            <w:shd w:val="clear" w:color="auto" w:fill="auto"/>
            <w:vAlign w:val="center"/>
          </w:tcPr>
          <w:p w14:paraId="7BC9FF3B" w14:textId="77777777" w:rsidR="00D34C6F" w:rsidRPr="00CD1278" w:rsidRDefault="00D34C6F" w:rsidP="008277E3">
            <w:pPr>
              <w:spacing w:after="60"/>
              <w:rPr>
                <w:color w:val="auto"/>
                <w:sz w:val="12"/>
                <w:szCs w:val="12"/>
              </w:rPr>
            </w:pPr>
            <w:r w:rsidRPr="00CD1278">
              <w:rPr>
                <w:color w:val="auto"/>
                <w:sz w:val="12"/>
                <w:szCs w:val="12"/>
              </w:rPr>
              <w:t>Japan</w:t>
            </w:r>
          </w:p>
        </w:tc>
        <w:tc>
          <w:tcPr>
            <w:tcW w:w="824" w:type="dxa"/>
            <w:shd w:val="clear" w:color="auto" w:fill="auto"/>
            <w:vAlign w:val="center"/>
          </w:tcPr>
          <w:p w14:paraId="0F517159" w14:textId="77777777" w:rsidR="00D34C6F" w:rsidRPr="00CD1278" w:rsidRDefault="00D34C6F" w:rsidP="00D1371C">
            <w:pPr>
              <w:spacing w:after="60"/>
              <w:ind w:left="-87"/>
              <w:rPr>
                <w:color w:val="auto"/>
                <w:sz w:val="12"/>
                <w:szCs w:val="12"/>
              </w:rPr>
            </w:pPr>
            <w:r w:rsidRPr="00CD1278">
              <w:rPr>
                <w:color w:val="auto"/>
                <w:sz w:val="12"/>
                <w:szCs w:val="12"/>
              </w:rPr>
              <w:t>Cucumber</w:t>
            </w:r>
          </w:p>
        </w:tc>
        <w:tc>
          <w:tcPr>
            <w:tcW w:w="770" w:type="dxa"/>
            <w:shd w:val="clear" w:color="auto" w:fill="auto"/>
            <w:vAlign w:val="center"/>
          </w:tcPr>
          <w:p w14:paraId="42762100" w14:textId="77777777" w:rsidR="00D34C6F" w:rsidRPr="00CD1278" w:rsidRDefault="00D34C6F" w:rsidP="008277E3">
            <w:pPr>
              <w:spacing w:after="60"/>
              <w:rPr>
                <w:color w:val="auto"/>
                <w:sz w:val="10"/>
                <w:szCs w:val="10"/>
              </w:rPr>
            </w:pPr>
            <w:r w:rsidRPr="00CD1278">
              <w:rPr>
                <w:color w:val="auto"/>
                <w:sz w:val="10"/>
                <w:szCs w:val="10"/>
              </w:rPr>
              <w:t>88.300</w:t>
            </w:r>
          </w:p>
        </w:tc>
        <w:tc>
          <w:tcPr>
            <w:tcW w:w="647" w:type="dxa"/>
            <w:shd w:val="clear" w:color="auto" w:fill="auto"/>
            <w:vAlign w:val="center"/>
          </w:tcPr>
          <w:p w14:paraId="48DCC348" w14:textId="77777777" w:rsidR="00D34C6F" w:rsidRPr="00CD1278" w:rsidRDefault="00D34C6F" w:rsidP="008277E3">
            <w:pPr>
              <w:spacing w:after="60"/>
              <w:rPr>
                <w:color w:val="auto"/>
                <w:sz w:val="10"/>
                <w:szCs w:val="10"/>
              </w:rPr>
            </w:pPr>
            <w:r w:rsidRPr="00CD1278">
              <w:rPr>
                <w:color w:val="auto"/>
                <w:sz w:val="10"/>
                <w:szCs w:val="10"/>
              </w:rPr>
              <w:t>88.800</w:t>
            </w:r>
          </w:p>
        </w:tc>
        <w:tc>
          <w:tcPr>
            <w:tcW w:w="709" w:type="dxa"/>
            <w:shd w:val="clear" w:color="auto" w:fill="auto"/>
            <w:vAlign w:val="center"/>
          </w:tcPr>
          <w:p w14:paraId="583C8988" w14:textId="77777777" w:rsidR="00D34C6F" w:rsidRPr="00CD1278" w:rsidRDefault="00D34C6F" w:rsidP="008277E3">
            <w:pPr>
              <w:spacing w:after="60"/>
              <w:rPr>
                <w:color w:val="auto"/>
                <w:sz w:val="10"/>
                <w:szCs w:val="10"/>
              </w:rPr>
            </w:pPr>
            <w:r w:rsidRPr="00CD1278">
              <w:rPr>
                <w:color w:val="auto"/>
                <w:sz w:val="10"/>
                <w:szCs w:val="10"/>
              </w:rPr>
              <w:t>72.400</w:t>
            </w:r>
          </w:p>
        </w:tc>
        <w:tc>
          <w:tcPr>
            <w:tcW w:w="567" w:type="dxa"/>
            <w:shd w:val="clear" w:color="auto" w:fill="auto"/>
            <w:vAlign w:val="center"/>
          </w:tcPr>
          <w:p w14:paraId="25750139" w14:textId="77777777" w:rsidR="00D34C6F" w:rsidRPr="00CD1278" w:rsidRDefault="00D34C6F" w:rsidP="008277E3">
            <w:pPr>
              <w:spacing w:after="60"/>
              <w:rPr>
                <w:color w:val="auto"/>
                <w:sz w:val="10"/>
                <w:szCs w:val="10"/>
              </w:rPr>
            </w:pPr>
            <w:r w:rsidRPr="00CD1278">
              <w:rPr>
                <w:color w:val="auto"/>
                <w:sz w:val="10"/>
                <w:szCs w:val="10"/>
              </w:rPr>
              <w:t>68.600</w:t>
            </w:r>
          </w:p>
        </w:tc>
        <w:tc>
          <w:tcPr>
            <w:tcW w:w="709" w:type="dxa"/>
            <w:shd w:val="clear" w:color="auto" w:fill="auto"/>
            <w:vAlign w:val="center"/>
          </w:tcPr>
          <w:p w14:paraId="14BCA0E1" w14:textId="77777777" w:rsidR="00D34C6F" w:rsidRPr="00CD1278" w:rsidRDefault="00D34C6F" w:rsidP="008277E3">
            <w:pPr>
              <w:spacing w:after="60"/>
              <w:rPr>
                <w:color w:val="auto"/>
                <w:sz w:val="10"/>
                <w:szCs w:val="10"/>
              </w:rPr>
            </w:pPr>
            <w:r w:rsidRPr="00CD1278">
              <w:rPr>
                <w:color w:val="auto"/>
                <w:sz w:val="10"/>
                <w:szCs w:val="10"/>
              </w:rPr>
              <w:t>61.400</w:t>
            </w:r>
          </w:p>
        </w:tc>
        <w:tc>
          <w:tcPr>
            <w:tcW w:w="567" w:type="dxa"/>
            <w:shd w:val="clear" w:color="auto" w:fill="auto"/>
            <w:vAlign w:val="center"/>
          </w:tcPr>
          <w:p w14:paraId="2374A1EB" w14:textId="77777777" w:rsidR="00D34C6F" w:rsidRPr="00CD1278" w:rsidRDefault="00D34C6F" w:rsidP="008277E3">
            <w:pPr>
              <w:spacing w:after="60"/>
              <w:rPr>
                <w:color w:val="auto"/>
                <w:sz w:val="10"/>
                <w:szCs w:val="10"/>
              </w:rPr>
            </w:pPr>
            <w:r w:rsidRPr="00CD1278">
              <w:rPr>
                <w:color w:val="auto"/>
                <w:sz w:val="10"/>
                <w:szCs w:val="10"/>
              </w:rPr>
              <w:t>34.100</w:t>
            </w:r>
          </w:p>
        </w:tc>
        <w:tc>
          <w:tcPr>
            <w:tcW w:w="708" w:type="dxa"/>
            <w:shd w:val="clear" w:color="auto" w:fill="auto"/>
            <w:vAlign w:val="center"/>
          </w:tcPr>
          <w:p w14:paraId="4C748777" w14:textId="77777777" w:rsidR="00D34C6F" w:rsidRPr="00CD1278" w:rsidRDefault="00D34C6F" w:rsidP="008277E3">
            <w:pPr>
              <w:spacing w:after="60"/>
              <w:rPr>
                <w:color w:val="auto"/>
                <w:sz w:val="10"/>
                <w:szCs w:val="10"/>
              </w:rPr>
            </w:pPr>
            <w:r w:rsidRPr="00CD1278">
              <w:rPr>
                <w:color w:val="auto"/>
                <w:sz w:val="10"/>
                <w:szCs w:val="10"/>
              </w:rPr>
              <w:t>29.120</w:t>
            </w:r>
          </w:p>
        </w:tc>
        <w:tc>
          <w:tcPr>
            <w:tcW w:w="567" w:type="dxa"/>
            <w:shd w:val="clear" w:color="auto" w:fill="auto"/>
            <w:vAlign w:val="center"/>
          </w:tcPr>
          <w:p w14:paraId="2D7DCAEE" w14:textId="77777777" w:rsidR="00D34C6F" w:rsidRPr="00CD1278" w:rsidRDefault="00D34C6F" w:rsidP="008277E3">
            <w:pPr>
              <w:spacing w:after="60"/>
              <w:rPr>
                <w:color w:val="auto"/>
                <w:sz w:val="10"/>
                <w:szCs w:val="10"/>
              </w:rPr>
            </w:pPr>
            <w:r w:rsidRPr="00CD1278">
              <w:rPr>
                <w:color w:val="auto"/>
                <w:sz w:val="10"/>
                <w:szCs w:val="10"/>
              </w:rPr>
              <w:t>26.162</w:t>
            </w:r>
          </w:p>
        </w:tc>
        <w:tc>
          <w:tcPr>
            <w:tcW w:w="567" w:type="dxa"/>
            <w:shd w:val="clear" w:color="auto" w:fill="auto"/>
            <w:vAlign w:val="center"/>
          </w:tcPr>
          <w:p w14:paraId="4DDED91D"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93C0067" w14:textId="77777777" w:rsidR="00D34C6F" w:rsidRPr="00CD1278" w:rsidRDefault="00D34C6F" w:rsidP="008277E3">
            <w:pPr>
              <w:spacing w:after="60"/>
              <w:rPr>
                <w:color w:val="auto"/>
                <w:sz w:val="10"/>
                <w:szCs w:val="10"/>
              </w:rPr>
            </w:pPr>
          </w:p>
        </w:tc>
        <w:tc>
          <w:tcPr>
            <w:tcW w:w="567" w:type="dxa"/>
          </w:tcPr>
          <w:p w14:paraId="0DE86B94" w14:textId="77777777" w:rsidR="00D34C6F" w:rsidRPr="00CD1278" w:rsidRDefault="00D34C6F" w:rsidP="008277E3">
            <w:pPr>
              <w:spacing w:after="60"/>
              <w:jc w:val="center"/>
              <w:rPr>
                <w:color w:val="auto"/>
                <w:sz w:val="10"/>
                <w:szCs w:val="10"/>
              </w:rPr>
            </w:pPr>
          </w:p>
        </w:tc>
        <w:tc>
          <w:tcPr>
            <w:tcW w:w="567" w:type="dxa"/>
          </w:tcPr>
          <w:p w14:paraId="2873BF7E"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7B861D7C" w14:textId="77777777" w:rsidR="00D34C6F" w:rsidRPr="00CD1278" w:rsidRDefault="00D34C6F" w:rsidP="008277E3">
            <w:pPr>
              <w:spacing w:after="60"/>
              <w:rPr>
                <w:color w:val="auto"/>
                <w:sz w:val="10"/>
                <w:szCs w:val="10"/>
              </w:rPr>
            </w:pPr>
            <w:r w:rsidRPr="00CD1278">
              <w:rPr>
                <w:color w:val="auto"/>
                <w:sz w:val="10"/>
                <w:szCs w:val="10"/>
              </w:rPr>
              <w:t>88.300</w:t>
            </w:r>
          </w:p>
        </w:tc>
        <w:tc>
          <w:tcPr>
            <w:tcW w:w="709" w:type="dxa"/>
            <w:shd w:val="clear" w:color="auto" w:fill="auto"/>
            <w:vAlign w:val="center"/>
          </w:tcPr>
          <w:p w14:paraId="632620A5" w14:textId="77777777" w:rsidR="00D34C6F" w:rsidRPr="00CD1278" w:rsidRDefault="00D34C6F" w:rsidP="008277E3">
            <w:pPr>
              <w:spacing w:after="60"/>
              <w:rPr>
                <w:color w:val="auto"/>
                <w:sz w:val="10"/>
                <w:szCs w:val="10"/>
              </w:rPr>
            </w:pPr>
            <w:r w:rsidRPr="00CD1278">
              <w:rPr>
                <w:color w:val="auto"/>
                <w:sz w:val="10"/>
                <w:szCs w:val="10"/>
              </w:rPr>
              <w:t>88.800</w:t>
            </w:r>
          </w:p>
        </w:tc>
        <w:tc>
          <w:tcPr>
            <w:tcW w:w="708" w:type="dxa"/>
            <w:shd w:val="clear" w:color="auto" w:fill="auto"/>
            <w:vAlign w:val="center"/>
          </w:tcPr>
          <w:p w14:paraId="48BF4ADC" w14:textId="77777777" w:rsidR="00D34C6F" w:rsidRPr="00CD1278" w:rsidRDefault="00D34C6F" w:rsidP="008277E3">
            <w:pPr>
              <w:spacing w:after="60"/>
              <w:rPr>
                <w:color w:val="auto"/>
                <w:sz w:val="10"/>
                <w:szCs w:val="10"/>
              </w:rPr>
            </w:pPr>
            <w:r w:rsidRPr="00CD1278">
              <w:rPr>
                <w:color w:val="auto"/>
                <w:sz w:val="10"/>
                <w:szCs w:val="10"/>
              </w:rPr>
              <w:t>72.400</w:t>
            </w:r>
          </w:p>
        </w:tc>
        <w:tc>
          <w:tcPr>
            <w:tcW w:w="709" w:type="dxa"/>
            <w:shd w:val="clear" w:color="auto" w:fill="auto"/>
            <w:vAlign w:val="center"/>
          </w:tcPr>
          <w:p w14:paraId="6DA7A97E" w14:textId="77777777" w:rsidR="00D34C6F" w:rsidRPr="00CD1278" w:rsidRDefault="00D34C6F" w:rsidP="008277E3">
            <w:pPr>
              <w:spacing w:after="60"/>
              <w:rPr>
                <w:color w:val="auto"/>
                <w:sz w:val="10"/>
                <w:szCs w:val="10"/>
              </w:rPr>
            </w:pPr>
            <w:r w:rsidRPr="00CD1278">
              <w:rPr>
                <w:color w:val="auto"/>
                <w:sz w:val="10"/>
                <w:szCs w:val="10"/>
              </w:rPr>
              <w:t>51.450</w:t>
            </w:r>
          </w:p>
        </w:tc>
        <w:tc>
          <w:tcPr>
            <w:tcW w:w="567" w:type="dxa"/>
            <w:shd w:val="clear" w:color="auto" w:fill="auto"/>
            <w:vAlign w:val="center"/>
          </w:tcPr>
          <w:p w14:paraId="541E433A" w14:textId="77777777" w:rsidR="00D34C6F" w:rsidRPr="00CD1278" w:rsidRDefault="00D34C6F" w:rsidP="008277E3">
            <w:pPr>
              <w:spacing w:after="60"/>
              <w:rPr>
                <w:color w:val="auto"/>
                <w:sz w:val="10"/>
                <w:szCs w:val="10"/>
              </w:rPr>
            </w:pPr>
            <w:r w:rsidRPr="00CD1278">
              <w:rPr>
                <w:color w:val="auto"/>
                <w:sz w:val="10"/>
                <w:szCs w:val="10"/>
              </w:rPr>
              <w:t>34.300</w:t>
            </w:r>
          </w:p>
        </w:tc>
        <w:tc>
          <w:tcPr>
            <w:tcW w:w="647" w:type="dxa"/>
            <w:shd w:val="clear" w:color="auto" w:fill="auto"/>
            <w:vAlign w:val="center"/>
          </w:tcPr>
          <w:p w14:paraId="2805FD09" w14:textId="77777777" w:rsidR="00D34C6F" w:rsidRPr="00CD1278" w:rsidRDefault="00D34C6F" w:rsidP="008277E3">
            <w:pPr>
              <w:spacing w:after="60"/>
              <w:rPr>
                <w:color w:val="auto"/>
                <w:sz w:val="10"/>
                <w:szCs w:val="10"/>
              </w:rPr>
            </w:pPr>
            <w:r w:rsidRPr="00CD1278">
              <w:rPr>
                <w:color w:val="auto"/>
                <w:sz w:val="10"/>
                <w:szCs w:val="10"/>
              </w:rPr>
              <w:t>30.690</w:t>
            </w:r>
          </w:p>
        </w:tc>
        <w:tc>
          <w:tcPr>
            <w:tcW w:w="567" w:type="dxa"/>
            <w:shd w:val="clear" w:color="auto" w:fill="auto"/>
            <w:vAlign w:val="center"/>
          </w:tcPr>
          <w:p w14:paraId="08C90A81" w14:textId="77777777" w:rsidR="00D34C6F" w:rsidRPr="00CD1278" w:rsidRDefault="00D34C6F" w:rsidP="008277E3">
            <w:pPr>
              <w:spacing w:after="60"/>
              <w:rPr>
                <w:color w:val="auto"/>
                <w:sz w:val="10"/>
                <w:szCs w:val="10"/>
              </w:rPr>
            </w:pPr>
            <w:r w:rsidRPr="00CD1278">
              <w:rPr>
                <w:color w:val="auto"/>
                <w:sz w:val="10"/>
                <w:szCs w:val="10"/>
              </w:rPr>
              <w:t>27.621</w:t>
            </w:r>
          </w:p>
        </w:tc>
        <w:tc>
          <w:tcPr>
            <w:tcW w:w="567" w:type="dxa"/>
            <w:shd w:val="clear" w:color="auto" w:fill="auto"/>
            <w:noWrap/>
            <w:vAlign w:val="center"/>
          </w:tcPr>
          <w:p w14:paraId="23A4AE3D"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7FBD168C" w14:textId="77777777" w:rsidR="00D34C6F" w:rsidRPr="00CD1278" w:rsidRDefault="00D34C6F" w:rsidP="008277E3">
            <w:pPr>
              <w:spacing w:after="60"/>
              <w:rPr>
                <w:b/>
                <w:color w:val="auto"/>
                <w:sz w:val="10"/>
                <w:szCs w:val="10"/>
              </w:rPr>
            </w:pPr>
          </w:p>
        </w:tc>
        <w:tc>
          <w:tcPr>
            <w:tcW w:w="567" w:type="dxa"/>
          </w:tcPr>
          <w:p w14:paraId="14170880" w14:textId="77777777" w:rsidR="00D34C6F" w:rsidRPr="00CD1278" w:rsidRDefault="00D34C6F" w:rsidP="008277E3">
            <w:pPr>
              <w:spacing w:after="60"/>
              <w:jc w:val="center"/>
              <w:rPr>
                <w:b/>
                <w:color w:val="auto"/>
                <w:sz w:val="10"/>
                <w:szCs w:val="10"/>
              </w:rPr>
            </w:pPr>
          </w:p>
        </w:tc>
        <w:tc>
          <w:tcPr>
            <w:tcW w:w="567" w:type="dxa"/>
          </w:tcPr>
          <w:p w14:paraId="52ADD1EB" w14:textId="77777777" w:rsidR="00D34C6F" w:rsidRPr="00CD1278" w:rsidRDefault="00D34C6F" w:rsidP="008277E3">
            <w:pPr>
              <w:spacing w:after="60"/>
              <w:jc w:val="center"/>
              <w:rPr>
                <w:b/>
                <w:color w:val="auto"/>
                <w:sz w:val="10"/>
                <w:szCs w:val="10"/>
              </w:rPr>
            </w:pPr>
          </w:p>
        </w:tc>
        <w:tc>
          <w:tcPr>
            <w:tcW w:w="567" w:type="dxa"/>
          </w:tcPr>
          <w:p w14:paraId="715AFFC8" w14:textId="77777777" w:rsidR="00D34C6F" w:rsidRPr="00CD1278" w:rsidRDefault="00D34C6F" w:rsidP="008277E3">
            <w:pPr>
              <w:spacing w:after="60"/>
              <w:jc w:val="center"/>
              <w:rPr>
                <w:b/>
                <w:color w:val="auto"/>
                <w:sz w:val="10"/>
                <w:szCs w:val="10"/>
              </w:rPr>
            </w:pPr>
          </w:p>
        </w:tc>
      </w:tr>
      <w:tr w:rsidR="003C102E" w:rsidRPr="00CD1278" w14:paraId="237FA1DE" w14:textId="77777777" w:rsidTr="008277E3">
        <w:trPr>
          <w:trHeight w:val="465"/>
          <w:jc w:val="center"/>
        </w:trPr>
        <w:tc>
          <w:tcPr>
            <w:tcW w:w="662" w:type="dxa"/>
            <w:shd w:val="clear" w:color="auto" w:fill="auto"/>
            <w:vAlign w:val="center"/>
          </w:tcPr>
          <w:p w14:paraId="4804B30D" w14:textId="77777777" w:rsidR="00D34C6F" w:rsidRPr="00CD1278" w:rsidRDefault="00D34C6F" w:rsidP="008277E3">
            <w:pPr>
              <w:spacing w:after="60"/>
              <w:rPr>
                <w:color w:val="auto"/>
                <w:sz w:val="12"/>
                <w:szCs w:val="12"/>
              </w:rPr>
            </w:pPr>
            <w:r w:rsidRPr="00CD1278">
              <w:rPr>
                <w:color w:val="auto"/>
                <w:sz w:val="12"/>
                <w:szCs w:val="12"/>
              </w:rPr>
              <w:t>Japan</w:t>
            </w:r>
          </w:p>
        </w:tc>
        <w:tc>
          <w:tcPr>
            <w:tcW w:w="824" w:type="dxa"/>
            <w:shd w:val="clear" w:color="auto" w:fill="auto"/>
            <w:vAlign w:val="center"/>
          </w:tcPr>
          <w:p w14:paraId="7755D6C8" w14:textId="77777777" w:rsidR="00D34C6F" w:rsidRPr="00CD1278" w:rsidRDefault="00D34C6F" w:rsidP="00D1371C">
            <w:pPr>
              <w:spacing w:after="60"/>
              <w:ind w:left="-87"/>
              <w:rPr>
                <w:color w:val="auto"/>
                <w:sz w:val="12"/>
                <w:szCs w:val="12"/>
              </w:rPr>
            </w:pPr>
            <w:r w:rsidRPr="00CD1278">
              <w:rPr>
                <w:color w:val="auto"/>
                <w:sz w:val="12"/>
                <w:szCs w:val="12"/>
              </w:rPr>
              <w:t>Ginger – field</w:t>
            </w:r>
          </w:p>
        </w:tc>
        <w:tc>
          <w:tcPr>
            <w:tcW w:w="770" w:type="dxa"/>
            <w:shd w:val="clear" w:color="auto" w:fill="auto"/>
            <w:vAlign w:val="center"/>
          </w:tcPr>
          <w:p w14:paraId="331DA76D" w14:textId="77777777" w:rsidR="00D34C6F" w:rsidRPr="00CD1278" w:rsidRDefault="00D34C6F" w:rsidP="008277E3">
            <w:pPr>
              <w:spacing w:after="60"/>
              <w:rPr>
                <w:color w:val="auto"/>
                <w:sz w:val="10"/>
                <w:szCs w:val="10"/>
              </w:rPr>
            </w:pPr>
            <w:r w:rsidRPr="00CD1278">
              <w:rPr>
                <w:color w:val="auto"/>
                <w:sz w:val="10"/>
                <w:szCs w:val="10"/>
              </w:rPr>
              <w:t>119.400</w:t>
            </w:r>
          </w:p>
        </w:tc>
        <w:tc>
          <w:tcPr>
            <w:tcW w:w="647" w:type="dxa"/>
            <w:shd w:val="clear" w:color="auto" w:fill="auto"/>
            <w:vAlign w:val="center"/>
          </w:tcPr>
          <w:p w14:paraId="13ACC250" w14:textId="77777777" w:rsidR="00D34C6F" w:rsidRPr="00CD1278" w:rsidRDefault="00D34C6F" w:rsidP="008277E3">
            <w:pPr>
              <w:spacing w:after="60"/>
              <w:rPr>
                <w:color w:val="auto"/>
                <w:sz w:val="10"/>
                <w:szCs w:val="10"/>
              </w:rPr>
            </w:pPr>
            <w:r w:rsidRPr="00CD1278">
              <w:rPr>
                <w:color w:val="auto"/>
                <w:sz w:val="10"/>
                <w:szCs w:val="10"/>
              </w:rPr>
              <w:t>119.400</w:t>
            </w:r>
          </w:p>
        </w:tc>
        <w:tc>
          <w:tcPr>
            <w:tcW w:w="709" w:type="dxa"/>
            <w:shd w:val="clear" w:color="auto" w:fill="auto"/>
            <w:vAlign w:val="center"/>
          </w:tcPr>
          <w:p w14:paraId="65A73600" w14:textId="77777777" w:rsidR="00D34C6F" w:rsidRPr="00CD1278" w:rsidRDefault="00D34C6F" w:rsidP="008277E3">
            <w:pPr>
              <w:spacing w:after="60"/>
              <w:rPr>
                <w:color w:val="auto"/>
                <w:sz w:val="10"/>
                <w:szCs w:val="10"/>
              </w:rPr>
            </w:pPr>
            <w:r w:rsidRPr="00CD1278">
              <w:rPr>
                <w:color w:val="auto"/>
                <w:sz w:val="10"/>
                <w:szCs w:val="10"/>
              </w:rPr>
              <w:t>112.200</w:t>
            </w:r>
          </w:p>
        </w:tc>
        <w:tc>
          <w:tcPr>
            <w:tcW w:w="567" w:type="dxa"/>
            <w:shd w:val="clear" w:color="auto" w:fill="auto"/>
            <w:vAlign w:val="center"/>
          </w:tcPr>
          <w:p w14:paraId="5ACF8E04" w14:textId="77777777" w:rsidR="00D34C6F" w:rsidRPr="00CD1278" w:rsidRDefault="00D34C6F" w:rsidP="008277E3">
            <w:pPr>
              <w:spacing w:after="60"/>
              <w:rPr>
                <w:color w:val="auto"/>
                <w:sz w:val="10"/>
                <w:szCs w:val="10"/>
              </w:rPr>
            </w:pPr>
            <w:r w:rsidRPr="00CD1278">
              <w:rPr>
                <w:color w:val="auto"/>
                <w:sz w:val="10"/>
                <w:szCs w:val="10"/>
              </w:rPr>
              <w:t>112.100</w:t>
            </w:r>
          </w:p>
        </w:tc>
        <w:tc>
          <w:tcPr>
            <w:tcW w:w="709" w:type="dxa"/>
            <w:shd w:val="clear" w:color="auto" w:fill="auto"/>
            <w:vAlign w:val="center"/>
          </w:tcPr>
          <w:p w14:paraId="67881E7F" w14:textId="77777777" w:rsidR="00D34C6F" w:rsidRPr="00CD1278" w:rsidRDefault="00D34C6F" w:rsidP="008277E3">
            <w:pPr>
              <w:spacing w:after="60"/>
              <w:rPr>
                <w:color w:val="auto"/>
                <w:sz w:val="10"/>
                <w:szCs w:val="10"/>
              </w:rPr>
            </w:pPr>
            <w:r w:rsidRPr="00CD1278">
              <w:rPr>
                <w:color w:val="auto"/>
                <w:sz w:val="10"/>
                <w:szCs w:val="10"/>
              </w:rPr>
              <w:t>102.200</w:t>
            </w:r>
          </w:p>
        </w:tc>
        <w:tc>
          <w:tcPr>
            <w:tcW w:w="567" w:type="dxa"/>
            <w:shd w:val="clear" w:color="auto" w:fill="auto"/>
            <w:vAlign w:val="center"/>
          </w:tcPr>
          <w:p w14:paraId="6C06CF51" w14:textId="77777777" w:rsidR="00D34C6F" w:rsidRPr="00CD1278" w:rsidRDefault="00D34C6F" w:rsidP="008277E3">
            <w:pPr>
              <w:spacing w:after="60"/>
              <w:rPr>
                <w:color w:val="auto"/>
                <w:sz w:val="10"/>
                <w:szCs w:val="10"/>
              </w:rPr>
            </w:pPr>
            <w:r w:rsidRPr="00CD1278">
              <w:rPr>
                <w:color w:val="auto"/>
                <w:sz w:val="10"/>
                <w:szCs w:val="10"/>
              </w:rPr>
              <w:t>53.400</w:t>
            </w:r>
          </w:p>
        </w:tc>
        <w:tc>
          <w:tcPr>
            <w:tcW w:w="708" w:type="dxa"/>
            <w:shd w:val="clear" w:color="auto" w:fill="auto"/>
            <w:vAlign w:val="center"/>
          </w:tcPr>
          <w:p w14:paraId="5C4C46D1" w14:textId="77777777" w:rsidR="00D34C6F" w:rsidRPr="00CD1278" w:rsidRDefault="00D34C6F" w:rsidP="008277E3">
            <w:pPr>
              <w:spacing w:after="60"/>
              <w:rPr>
                <w:color w:val="auto"/>
                <w:sz w:val="10"/>
                <w:szCs w:val="10"/>
              </w:rPr>
            </w:pPr>
            <w:r w:rsidRPr="00CD1278">
              <w:rPr>
                <w:color w:val="auto"/>
                <w:sz w:val="10"/>
                <w:szCs w:val="10"/>
              </w:rPr>
              <w:t>47.450</w:t>
            </w:r>
          </w:p>
        </w:tc>
        <w:tc>
          <w:tcPr>
            <w:tcW w:w="567" w:type="dxa"/>
            <w:shd w:val="clear" w:color="auto" w:fill="auto"/>
            <w:vAlign w:val="center"/>
          </w:tcPr>
          <w:p w14:paraId="7545AB72" w14:textId="77777777" w:rsidR="00D34C6F" w:rsidRPr="00CD1278" w:rsidRDefault="00D34C6F" w:rsidP="008277E3">
            <w:pPr>
              <w:spacing w:after="60"/>
              <w:rPr>
                <w:color w:val="auto"/>
                <w:sz w:val="10"/>
                <w:szCs w:val="10"/>
              </w:rPr>
            </w:pPr>
            <w:r w:rsidRPr="00CD1278">
              <w:rPr>
                <w:color w:val="auto"/>
                <w:sz w:val="10"/>
                <w:szCs w:val="10"/>
              </w:rPr>
              <w:t>42.235</w:t>
            </w:r>
          </w:p>
        </w:tc>
        <w:tc>
          <w:tcPr>
            <w:tcW w:w="567" w:type="dxa"/>
            <w:shd w:val="clear" w:color="auto" w:fill="auto"/>
            <w:vAlign w:val="center"/>
          </w:tcPr>
          <w:p w14:paraId="0CCF275C"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02259A1D" w14:textId="77777777" w:rsidR="00D34C6F" w:rsidRPr="00CD1278" w:rsidRDefault="00D34C6F" w:rsidP="008277E3">
            <w:pPr>
              <w:spacing w:after="60"/>
              <w:rPr>
                <w:color w:val="auto"/>
                <w:sz w:val="10"/>
                <w:szCs w:val="10"/>
              </w:rPr>
            </w:pPr>
          </w:p>
        </w:tc>
        <w:tc>
          <w:tcPr>
            <w:tcW w:w="567" w:type="dxa"/>
          </w:tcPr>
          <w:p w14:paraId="77960C05" w14:textId="77777777" w:rsidR="00D34C6F" w:rsidRPr="00CD1278" w:rsidRDefault="00D34C6F" w:rsidP="008277E3">
            <w:pPr>
              <w:spacing w:after="60"/>
              <w:jc w:val="center"/>
              <w:rPr>
                <w:color w:val="auto"/>
                <w:sz w:val="10"/>
                <w:szCs w:val="10"/>
              </w:rPr>
            </w:pPr>
          </w:p>
        </w:tc>
        <w:tc>
          <w:tcPr>
            <w:tcW w:w="567" w:type="dxa"/>
          </w:tcPr>
          <w:p w14:paraId="52581294"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17CDA4CA" w14:textId="77777777" w:rsidR="00D34C6F" w:rsidRPr="00CD1278" w:rsidRDefault="00D34C6F" w:rsidP="008277E3">
            <w:pPr>
              <w:spacing w:after="60"/>
              <w:rPr>
                <w:color w:val="auto"/>
                <w:sz w:val="10"/>
                <w:szCs w:val="10"/>
              </w:rPr>
            </w:pPr>
            <w:r w:rsidRPr="00CD1278">
              <w:rPr>
                <w:color w:val="auto"/>
                <w:sz w:val="10"/>
                <w:szCs w:val="10"/>
              </w:rPr>
              <w:t>119.400</w:t>
            </w:r>
          </w:p>
        </w:tc>
        <w:tc>
          <w:tcPr>
            <w:tcW w:w="709" w:type="dxa"/>
            <w:shd w:val="clear" w:color="auto" w:fill="auto"/>
            <w:vAlign w:val="center"/>
          </w:tcPr>
          <w:p w14:paraId="473797DF" w14:textId="77777777" w:rsidR="00D34C6F" w:rsidRPr="00CD1278" w:rsidRDefault="00D34C6F" w:rsidP="008277E3">
            <w:pPr>
              <w:spacing w:after="60"/>
              <w:rPr>
                <w:color w:val="auto"/>
                <w:sz w:val="10"/>
                <w:szCs w:val="10"/>
              </w:rPr>
            </w:pPr>
            <w:r w:rsidRPr="00CD1278">
              <w:rPr>
                <w:color w:val="auto"/>
                <w:sz w:val="10"/>
                <w:szCs w:val="10"/>
              </w:rPr>
              <w:t>119.400</w:t>
            </w:r>
          </w:p>
        </w:tc>
        <w:tc>
          <w:tcPr>
            <w:tcW w:w="708" w:type="dxa"/>
            <w:shd w:val="clear" w:color="auto" w:fill="auto"/>
            <w:vAlign w:val="center"/>
          </w:tcPr>
          <w:p w14:paraId="3ACA3295" w14:textId="77777777" w:rsidR="00D34C6F" w:rsidRPr="00CD1278" w:rsidRDefault="00D34C6F" w:rsidP="008277E3">
            <w:pPr>
              <w:spacing w:after="60"/>
              <w:rPr>
                <w:color w:val="auto"/>
                <w:sz w:val="10"/>
                <w:szCs w:val="10"/>
              </w:rPr>
            </w:pPr>
            <w:r w:rsidRPr="00CD1278">
              <w:rPr>
                <w:color w:val="auto"/>
                <w:sz w:val="10"/>
                <w:szCs w:val="10"/>
              </w:rPr>
              <w:t>109.701</w:t>
            </w:r>
          </w:p>
        </w:tc>
        <w:tc>
          <w:tcPr>
            <w:tcW w:w="709" w:type="dxa"/>
            <w:shd w:val="clear" w:color="auto" w:fill="auto"/>
            <w:vAlign w:val="center"/>
          </w:tcPr>
          <w:p w14:paraId="7A035F88" w14:textId="77777777" w:rsidR="00D34C6F" w:rsidRPr="00CD1278" w:rsidRDefault="00D34C6F" w:rsidP="008277E3">
            <w:pPr>
              <w:spacing w:after="60"/>
              <w:rPr>
                <w:color w:val="auto"/>
                <w:sz w:val="10"/>
                <w:szCs w:val="10"/>
              </w:rPr>
            </w:pPr>
            <w:r w:rsidRPr="00CD1278">
              <w:rPr>
                <w:color w:val="auto"/>
                <w:sz w:val="10"/>
                <w:szCs w:val="10"/>
              </w:rPr>
              <w:t>84.075</w:t>
            </w:r>
          </w:p>
        </w:tc>
        <w:tc>
          <w:tcPr>
            <w:tcW w:w="567" w:type="dxa"/>
            <w:shd w:val="clear" w:color="auto" w:fill="auto"/>
            <w:vAlign w:val="center"/>
          </w:tcPr>
          <w:p w14:paraId="6E74E9B4" w14:textId="77777777" w:rsidR="00D34C6F" w:rsidRPr="00CD1278" w:rsidRDefault="00D34C6F" w:rsidP="008277E3">
            <w:pPr>
              <w:spacing w:after="60"/>
              <w:rPr>
                <w:color w:val="auto"/>
                <w:sz w:val="10"/>
                <w:szCs w:val="10"/>
              </w:rPr>
            </w:pPr>
            <w:r w:rsidRPr="00CD1278">
              <w:rPr>
                <w:color w:val="auto"/>
                <w:sz w:val="10"/>
                <w:szCs w:val="10"/>
              </w:rPr>
              <w:t>63.056</w:t>
            </w:r>
          </w:p>
        </w:tc>
        <w:tc>
          <w:tcPr>
            <w:tcW w:w="647" w:type="dxa"/>
            <w:shd w:val="clear" w:color="auto" w:fill="auto"/>
            <w:vAlign w:val="center"/>
          </w:tcPr>
          <w:p w14:paraId="16367DA1" w14:textId="77777777" w:rsidR="00D34C6F" w:rsidRPr="00CD1278" w:rsidRDefault="00D34C6F" w:rsidP="008277E3">
            <w:pPr>
              <w:spacing w:after="60"/>
              <w:rPr>
                <w:color w:val="auto"/>
                <w:sz w:val="10"/>
                <w:szCs w:val="10"/>
              </w:rPr>
            </w:pPr>
            <w:r w:rsidRPr="00CD1278">
              <w:rPr>
                <w:color w:val="auto"/>
                <w:sz w:val="10"/>
                <w:szCs w:val="10"/>
              </w:rPr>
              <w:t>53.400</w:t>
            </w:r>
          </w:p>
        </w:tc>
        <w:tc>
          <w:tcPr>
            <w:tcW w:w="567" w:type="dxa"/>
            <w:shd w:val="clear" w:color="auto" w:fill="auto"/>
            <w:vAlign w:val="center"/>
          </w:tcPr>
          <w:p w14:paraId="437E37DE" w14:textId="77777777" w:rsidR="00D34C6F" w:rsidRPr="00CD1278" w:rsidRDefault="00D34C6F" w:rsidP="008277E3">
            <w:pPr>
              <w:spacing w:after="60"/>
              <w:rPr>
                <w:color w:val="auto"/>
                <w:sz w:val="10"/>
                <w:szCs w:val="10"/>
              </w:rPr>
            </w:pPr>
            <w:r w:rsidRPr="00CD1278">
              <w:rPr>
                <w:color w:val="auto"/>
                <w:sz w:val="10"/>
                <w:szCs w:val="10"/>
              </w:rPr>
              <w:t>47.450</w:t>
            </w:r>
          </w:p>
        </w:tc>
        <w:tc>
          <w:tcPr>
            <w:tcW w:w="567" w:type="dxa"/>
            <w:shd w:val="clear" w:color="auto" w:fill="auto"/>
            <w:noWrap/>
            <w:vAlign w:val="center"/>
          </w:tcPr>
          <w:p w14:paraId="5C322A32"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0B89A53F" w14:textId="77777777" w:rsidR="00D34C6F" w:rsidRPr="00CD1278" w:rsidRDefault="00D34C6F" w:rsidP="008277E3">
            <w:pPr>
              <w:spacing w:after="60"/>
              <w:rPr>
                <w:b/>
                <w:color w:val="auto"/>
                <w:sz w:val="10"/>
                <w:szCs w:val="10"/>
              </w:rPr>
            </w:pPr>
          </w:p>
        </w:tc>
        <w:tc>
          <w:tcPr>
            <w:tcW w:w="567" w:type="dxa"/>
          </w:tcPr>
          <w:p w14:paraId="3A9516A3" w14:textId="77777777" w:rsidR="00D34C6F" w:rsidRPr="00CD1278" w:rsidRDefault="00D34C6F" w:rsidP="008277E3">
            <w:pPr>
              <w:spacing w:after="60"/>
              <w:jc w:val="center"/>
              <w:rPr>
                <w:b/>
                <w:color w:val="auto"/>
                <w:sz w:val="10"/>
                <w:szCs w:val="10"/>
              </w:rPr>
            </w:pPr>
          </w:p>
        </w:tc>
        <w:tc>
          <w:tcPr>
            <w:tcW w:w="567" w:type="dxa"/>
          </w:tcPr>
          <w:p w14:paraId="04924043" w14:textId="77777777" w:rsidR="00D34C6F" w:rsidRPr="00CD1278" w:rsidRDefault="00D34C6F" w:rsidP="008277E3">
            <w:pPr>
              <w:spacing w:after="60"/>
              <w:jc w:val="center"/>
              <w:rPr>
                <w:b/>
                <w:color w:val="auto"/>
                <w:sz w:val="10"/>
                <w:szCs w:val="10"/>
              </w:rPr>
            </w:pPr>
          </w:p>
        </w:tc>
        <w:tc>
          <w:tcPr>
            <w:tcW w:w="567" w:type="dxa"/>
          </w:tcPr>
          <w:p w14:paraId="79B80408" w14:textId="77777777" w:rsidR="00D34C6F" w:rsidRPr="00CD1278" w:rsidRDefault="00D34C6F" w:rsidP="008277E3">
            <w:pPr>
              <w:spacing w:after="60"/>
              <w:jc w:val="center"/>
              <w:rPr>
                <w:b/>
                <w:color w:val="auto"/>
                <w:sz w:val="10"/>
                <w:szCs w:val="10"/>
              </w:rPr>
            </w:pPr>
          </w:p>
        </w:tc>
      </w:tr>
      <w:tr w:rsidR="003C102E" w:rsidRPr="00CD1278" w14:paraId="07C3DFC4" w14:textId="77777777" w:rsidTr="008277E3">
        <w:trPr>
          <w:trHeight w:val="465"/>
          <w:jc w:val="center"/>
        </w:trPr>
        <w:tc>
          <w:tcPr>
            <w:tcW w:w="662" w:type="dxa"/>
            <w:shd w:val="clear" w:color="auto" w:fill="auto"/>
            <w:vAlign w:val="center"/>
          </w:tcPr>
          <w:p w14:paraId="727177F8" w14:textId="77777777" w:rsidR="00D34C6F" w:rsidRPr="00CD1278" w:rsidRDefault="00D34C6F" w:rsidP="008277E3">
            <w:pPr>
              <w:spacing w:after="60"/>
              <w:rPr>
                <w:color w:val="auto"/>
                <w:sz w:val="12"/>
                <w:szCs w:val="12"/>
              </w:rPr>
            </w:pPr>
            <w:r w:rsidRPr="00CD1278">
              <w:rPr>
                <w:color w:val="auto"/>
                <w:sz w:val="12"/>
                <w:szCs w:val="12"/>
              </w:rPr>
              <w:t>Japan</w:t>
            </w:r>
          </w:p>
        </w:tc>
        <w:tc>
          <w:tcPr>
            <w:tcW w:w="824" w:type="dxa"/>
            <w:shd w:val="clear" w:color="auto" w:fill="auto"/>
            <w:vAlign w:val="center"/>
          </w:tcPr>
          <w:p w14:paraId="06145963" w14:textId="77777777" w:rsidR="00D34C6F" w:rsidRPr="00CD1278" w:rsidRDefault="00D34C6F" w:rsidP="00D1371C">
            <w:pPr>
              <w:spacing w:after="60"/>
              <w:ind w:left="-87"/>
              <w:rPr>
                <w:color w:val="auto"/>
                <w:sz w:val="12"/>
                <w:szCs w:val="12"/>
              </w:rPr>
            </w:pPr>
            <w:r w:rsidRPr="00CD1278">
              <w:rPr>
                <w:color w:val="auto"/>
                <w:sz w:val="12"/>
                <w:szCs w:val="12"/>
              </w:rPr>
              <w:t>Ginger – protected</w:t>
            </w:r>
          </w:p>
        </w:tc>
        <w:tc>
          <w:tcPr>
            <w:tcW w:w="770" w:type="dxa"/>
            <w:shd w:val="clear" w:color="auto" w:fill="auto"/>
            <w:vAlign w:val="center"/>
          </w:tcPr>
          <w:p w14:paraId="55B5DAD8" w14:textId="77777777" w:rsidR="00D34C6F" w:rsidRPr="00CD1278" w:rsidRDefault="00D34C6F" w:rsidP="008277E3">
            <w:pPr>
              <w:spacing w:after="60"/>
              <w:rPr>
                <w:color w:val="auto"/>
                <w:sz w:val="10"/>
                <w:szCs w:val="10"/>
              </w:rPr>
            </w:pPr>
            <w:r w:rsidRPr="00CD1278">
              <w:rPr>
                <w:color w:val="auto"/>
                <w:sz w:val="10"/>
                <w:szCs w:val="10"/>
              </w:rPr>
              <w:t>22.900</w:t>
            </w:r>
          </w:p>
        </w:tc>
        <w:tc>
          <w:tcPr>
            <w:tcW w:w="647" w:type="dxa"/>
            <w:shd w:val="clear" w:color="auto" w:fill="auto"/>
            <w:vAlign w:val="center"/>
          </w:tcPr>
          <w:p w14:paraId="3C996CEE" w14:textId="77777777" w:rsidR="00D34C6F" w:rsidRPr="00CD1278" w:rsidRDefault="00D34C6F" w:rsidP="008277E3">
            <w:pPr>
              <w:spacing w:after="60"/>
              <w:rPr>
                <w:color w:val="auto"/>
                <w:sz w:val="10"/>
                <w:szCs w:val="10"/>
              </w:rPr>
            </w:pPr>
            <w:r w:rsidRPr="00CD1278">
              <w:rPr>
                <w:color w:val="auto"/>
                <w:sz w:val="10"/>
                <w:szCs w:val="10"/>
              </w:rPr>
              <w:t>22.900</w:t>
            </w:r>
          </w:p>
        </w:tc>
        <w:tc>
          <w:tcPr>
            <w:tcW w:w="709" w:type="dxa"/>
            <w:shd w:val="clear" w:color="auto" w:fill="auto"/>
            <w:vAlign w:val="center"/>
          </w:tcPr>
          <w:p w14:paraId="64F4C5D8" w14:textId="77777777" w:rsidR="00D34C6F" w:rsidRPr="00CD1278" w:rsidRDefault="00D34C6F" w:rsidP="008277E3">
            <w:pPr>
              <w:spacing w:after="60"/>
              <w:rPr>
                <w:color w:val="auto"/>
                <w:sz w:val="10"/>
                <w:szCs w:val="10"/>
              </w:rPr>
            </w:pPr>
            <w:r w:rsidRPr="00CD1278">
              <w:rPr>
                <w:color w:val="auto"/>
                <w:sz w:val="10"/>
                <w:szCs w:val="10"/>
              </w:rPr>
              <w:t>14.800</w:t>
            </w:r>
          </w:p>
        </w:tc>
        <w:tc>
          <w:tcPr>
            <w:tcW w:w="567" w:type="dxa"/>
            <w:shd w:val="clear" w:color="auto" w:fill="auto"/>
            <w:vAlign w:val="center"/>
          </w:tcPr>
          <w:p w14:paraId="1D56D214" w14:textId="77777777" w:rsidR="00D34C6F" w:rsidRPr="00CD1278" w:rsidRDefault="00D34C6F" w:rsidP="008277E3">
            <w:pPr>
              <w:spacing w:after="60"/>
              <w:rPr>
                <w:color w:val="auto"/>
                <w:sz w:val="10"/>
                <w:szCs w:val="10"/>
              </w:rPr>
            </w:pPr>
            <w:r w:rsidRPr="00CD1278">
              <w:rPr>
                <w:color w:val="auto"/>
                <w:sz w:val="10"/>
                <w:szCs w:val="10"/>
              </w:rPr>
              <w:t>14.800</w:t>
            </w:r>
          </w:p>
        </w:tc>
        <w:tc>
          <w:tcPr>
            <w:tcW w:w="709" w:type="dxa"/>
            <w:shd w:val="clear" w:color="auto" w:fill="auto"/>
            <w:vAlign w:val="center"/>
          </w:tcPr>
          <w:p w14:paraId="26C5FE3E" w14:textId="77777777" w:rsidR="00D34C6F" w:rsidRPr="00CD1278" w:rsidRDefault="00D34C6F" w:rsidP="008277E3">
            <w:pPr>
              <w:spacing w:after="60"/>
              <w:rPr>
                <w:color w:val="auto"/>
                <w:sz w:val="10"/>
                <w:szCs w:val="10"/>
              </w:rPr>
            </w:pPr>
            <w:r w:rsidRPr="00CD1278">
              <w:rPr>
                <w:color w:val="auto"/>
                <w:sz w:val="10"/>
                <w:szCs w:val="10"/>
              </w:rPr>
              <w:t>12.900</w:t>
            </w:r>
          </w:p>
        </w:tc>
        <w:tc>
          <w:tcPr>
            <w:tcW w:w="567" w:type="dxa"/>
            <w:shd w:val="clear" w:color="auto" w:fill="auto"/>
            <w:vAlign w:val="center"/>
          </w:tcPr>
          <w:p w14:paraId="14B7541D" w14:textId="77777777" w:rsidR="00D34C6F" w:rsidRPr="00CD1278" w:rsidRDefault="00D34C6F" w:rsidP="008277E3">
            <w:pPr>
              <w:spacing w:after="60"/>
              <w:rPr>
                <w:color w:val="auto"/>
                <w:sz w:val="10"/>
                <w:szCs w:val="10"/>
              </w:rPr>
            </w:pPr>
            <w:r w:rsidRPr="00CD1278">
              <w:rPr>
                <w:color w:val="auto"/>
                <w:sz w:val="10"/>
                <w:szCs w:val="10"/>
              </w:rPr>
              <w:t>8.300</w:t>
            </w:r>
          </w:p>
        </w:tc>
        <w:tc>
          <w:tcPr>
            <w:tcW w:w="708" w:type="dxa"/>
            <w:shd w:val="clear" w:color="auto" w:fill="auto"/>
            <w:vAlign w:val="center"/>
          </w:tcPr>
          <w:p w14:paraId="582289DE" w14:textId="77777777" w:rsidR="00D34C6F" w:rsidRPr="00CD1278" w:rsidRDefault="00D34C6F" w:rsidP="008277E3">
            <w:pPr>
              <w:spacing w:after="60"/>
              <w:rPr>
                <w:color w:val="auto"/>
                <w:sz w:val="10"/>
                <w:szCs w:val="10"/>
              </w:rPr>
            </w:pPr>
            <w:r w:rsidRPr="00CD1278">
              <w:rPr>
                <w:color w:val="auto"/>
                <w:sz w:val="10"/>
                <w:szCs w:val="10"/>
              </w:rPr>
              <w:t>7.770</w:t>
            </w:r>
          </w:p>
        </w:tc>
        <w:tc>
          <w:tcPr>
            <w:tcW w:w="567" w:type="dxa"/>
            <w:shd w:val="clear" w:color="auto" w:fill="auto"/>
            <w:vAlign w:val="center"/>
          </w:tcPr>
          <w:p w14:paraId="400FDF5E" w14:textId="77777777" w:rsidR="00D34C6F" w:rsidRPr="00CD1278" w:rsidRDefault="00D34C6F" w:rsidP="008277E3">
            <w:pPr>
              <w:spacing w:after="60"/>
              <w:rPr>
                <w:color w:val="auto"/>
                <w:sz w:val="10"/>
                <w:szCs w:val="10"/>
              </w:rPr>
            </w:pPr>
            <w:r w:rsidRPr="00CD1278">
              <w:rPr>
                <w:color w:val="auto"/>
                <w:sz w:val="10"/>
                <w:szCs w:val="10"/>
              </w:rPr>
              <w:t>6.558</w:t>
            </w:r>
          </w:p>
        </w:tc>
        <w:tc>
          <w:tcPr>
            <w:tcW w:w="567" w:type="dxa"/>
            <w:shd w:val="clear" w:color="auto" w:fill="auto"/>
            <w:vAlign w:val="center"/>
          </w:tcPr>
          <w:p w14:paraId="3BF8EB32"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5763B308" w14:textId="77777777" w:rsidR="00D34C6F" w:rsidRPr="00CD1278" w:rsidRDefault="00D34C6F" w:rsidP="008277E3">
            <w:pPr>
              <w:spacing w:after="60"/>
              <w:rPr>
                <w:color w:val="auto"/>
                <w:sz w:val="10"/>
                <w:szCs w:val="10"/>
              </w:rPr>
            </w:pPr>
          </w:p>
        </w:tc>
        <w:tc>
          <w:tcPr>
            <w:tcW w:w="567" w:type="dxa"/>
          </w:tcPr>
          <w:p w14:paraId="26D819E4" w14:textId="77777777" w:rsidR="00D34C6F" w:rsidRPr="00CD1278" w:rsidRDefault="00D34C6F" w:rsidP="008277E3">
            <w:pPr>
              <w:spacing w:after="60"/>
              <w:jc w:val="center"/>
              <w:rPr>
                <w:color w:val="auto"/>
                <w:sz w:val="10"/>
                <w:szCs w:val="10"/>
              </w:rPr>
            </w:pPr>
          </w:p>
        </w:tc>
        <w:tc>
          <w:tcPr>
            <w:tcW w:w="567" w:type="dxa"/>
          </w:tcPr>
          <w:p w14:paraId="4B660D74"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51EFBE0" w14:textId="77777777" w:rsidR="00D34C6F" w:rsidRPr="00CD1278" w:rsidRDefault="00D34C6F" w:rsidP="008277E3">
            <w:pPr>
              <w:spacing w:after="60"/>
              <w:rPr>
                <w:color w:val="auto"/>
                <w:sz w:val="10"/>
                <w:szCs w:val="10"/>
              </w:rPr>
            </w:pPr>
            <w:r w:rsidRPr="00CD1278">
              <w:rPr>
                <w:color w:val="auto"/>
                <w:sz w:val="10"/>
                <w:szCs w:val="10"/>
              </w:rPr>
              <w:t>22.900</w:t>
            </w:r>
          </w:p>
        </w:tc>
        <w:tc>
          <w:tcPr>
            <w:tcW w:w="709" w:type="dxa"/>
            <w:shd w:val="clear" w:color="auto" w:fill="auto"/>
            <w:vAlign w:val="center"/>
          </w:tcPr>
          <w:p w14:paraId="30B186F5" w14:textId="77777777" w:rsidR="00D34C6F" w:rsidRPr="00CD1278" w:rsidRDefault="00D34C6F" w:rsidP="008277E3">
            <w:pPr>
              <w:spacing w:after="60"/>
              <w:rPr>
                <w:color w:val="auto"/>
                <w:sz w:val="10"/>
                <w:szCs w:val="10"/>
              </w:rPr>
            </w:pPr>
            <w:r w:rsidRPr="00CD1278">
              <w:rPr>
                <w:color w:val="auto"/>
                <w:sz w:val="10"/>
                <w:szCs w:val="10"/>
              </w:rPr>
              <w:t>22.900</w:t>
            </w:r>
          </w:p>
        </w:tc>
        <w:tc>
          <w:tcPr>
            <w:tcW w:w="708" w:type="dxa"/>
            <w:shd w:val="clear" w:color="auto" w:fill="auto"/>
            <w:vAlign w:val="center"/>
          </w:tcPr>
          <w:p w14:paraId="259342E4" w14:textId="77777777" w:rsidR="00D34C6F" w:rsidRPr="00CD1278" w:rsidRDefault="00D34C6F" w:rsidP="008277E3">
            <w:pPr>
              <w:spacing w:after="60"/>
              <w:rPr>
                <w:color w:val="auto"/>
                <w:sz w:val="10"/>
                <w:szCs w:val="10"/>
              </w:rPr>
            </w:pPr>
            <w:r w:rsidRPr="00CD1278">
              <w:rPr>
                <w:color w:val="auto"/>
                <w:sz w:val="10"/>
                <w:szCs w:val="10"/>
              </w:rPr>
              <w:t>14.471</w:t>
            </w:r>
          </w:p>
        </w:tc>
        <w:tc>
          <w:tcPr>
            <w:tcW w:w="709" w:type="dxa"/>
            <w:shd w:val="clear" w:color="auto" w:fill="auto"/>
            <w:vAlign w:val="center"/>
          </w:tcPr>
          <w:p w14:paraId="1D79EF29" w14:textId="77777777" w:rsidR="00D34C6F" w:rsidRPr="00CD1278" w:rsidRDefault="00D34C6F" w:rsidP="008277E3">
            <w:pPr>
              <w:spacing w:after="60"/>
              <w:rPr>
                <w:color w:val="auto"/>
                <w:sz w:val="10"/>
                <w:szCs w:val="10"/>
              </w:rPr>
            </w:pPr>
            <w:r w:rsidRPr="00CD1278">
              <w:rPr>
                <w:color w:val="auto"/>
                <w:sz w:val="10"/>
                <w:szCs w:val="10"/>
              </w:rPr>
              <w:t>11.100</w:t>
            </w:r>
          </w:p>
        </w:tc>
        <w:tc>
          <w:tcPr>
            <w:tcW w:w="567" w:type="dxa"/>
            <w:shd w:val="clear" w:color="auto" w:fill="auto"/>
            <w:vAlign w:val="center"/>
          </w:tcPr>
          <w:p w14:paraId="69D8B290" w14:textId="77777777" w:rsidR="00D34C6F" w:rsidRPr="00CD1278" w:rsidRDefault="00D34C6F" w:rsidP="008277E3">
            <w:pPr>
              <w:spacing w:after="60"/>
              <w:rPr>
                <w:color w:val="auto"/>
                <w:sz w:val="10"/>
                <w:szCs w:val="10"/>
              </w:rPr>
            </w:pPr>
            <w:r w:rsidRPr="00CD1278">
              <w:rPr>
                <w:color w:val="auto"/>
                <w:sz w:val="10"/>
                <w:szCs w:val="10"/>
              </w:rPr>
              <w:t>8.325</w:t>
            </w:r>
          </w:p>
        </w:tc>
        <w:tc>
          <w:tcPr>
            <w:tcW w:w="647" w:type="dxa"/>
            <w:shd w:val="clear" w:color="auto" w:fill="auto"/>
            <w:vAlign w:val="center"/>
          </w:tcPr>
          <w:p w14:paraId="394720C5" w14:textId="77777777" w:rsidR="00D34C6F" w:rsidRPr="00CD1278" w:rsidRDefault="00D34C6F" w:rsidP="008277E3">
            <w:pPr>
              <w:spacing w:after="60"/>
              <w:rPr>
                <w:color w:val="auto"/>
                <w:sz w:val="10"/>
                <w:szCs w:val="10"/>
              </w:rPr>
            </w:pPr>
            <w:r w:rsidRPr="00CD1278">
              <w:rPr>
                <w:color w:val="auto"/>
                <w:sz w:val="10"/>
                <w:szCs w:val="10"/>
              </w:rPr>
              <w:t>8.300</w:t>
            </w:r>
          </w:p>
        </w:tc>
        <w:tc>
          <w:tcPr>
            <w:tcW w:w="567" w:type="dxa"/>
            <w:shd w:val="clear" w:color="auto" w:fill="auto"/>
            <w:vAlign w:val="center"/>
          </w:tcPr>
          <w:p w14:paraId="78C0F2F7" w14:textId="77777777" w:rsidR="00D34C6F" w:rsidRPr="00CD1278" w:rsidRDefault="00D34C6F" w:rsidP="008277E3">
            <w:pPr>
              <w:spacing w:after="60"/>
              <w:rPr>
                <w:color w:val="auto"/>
                <w:sz w:val="10"/>
                <w:szCs w:val="10"/>
              </w:rPr>
            </w:pPr>
            <w:r w:rsidRPr="00CD1278">
              <w:rPr>
                <w:color w:val="auto"/>
                <w:sz w:val="10"/>
                <w:szCs w:val="10"/>
              </w:rPr>
              <w:t>7.036</w:t>
            </w:r>
          </w:p>
        </w:tc>
        <w:tc>
          <w:tcPr>
            <w:tcW w:w="567" w:type="dxa"/>
            <w:shd w:val="clear" w:color="auto" w:fill="auto"/>
            <w:noWrap/>
            <w:vAlign w:val="center"/>
          </w:tcPr>
          <w:p w14:paraId="1D35DFEC"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36DC33AE" w14:textId="77777777" w:rsidR="00D34C6F" w:rsidRPr="00CD1278" w:rsidRDefault="00D34C6F" w:rsidP="008277E3">
            <w:pPr>
              <w:spacing w:after="60"/>
              <w:rPr>
                <w:b/>
                <w:color w:val="auto"/>
                <w:sz w:val="10"/>
                <w:szCs w:val="10"/>
              </w:rPr>
            </w:pPr>
          </w:p>
        </w:tc>
        <w:tc>
          <w:tcPr>
            <w:tcW w:w="567" w:type="dxa"/>
          </w:tcPr>
          <w:p w14:paraId="38B776F9" w14:textId="77777777" w:rsidR="00D34C6F" w:rsidRPr="00CD1278" w:rsidRDefault="00D34C6F" w:rsidP="008277E3">
            <w:pPr>
              <w:spacing w:after="60"/>
              <w:jc w:val="center"/>
              <w:rPr>
                <w:b/>
                <w:color w:val="auto"/>
                <w:sz w:val="10"/>
                <w:szCs w:val="10"/>
              </w:rPr>
            </w:pPr>
          </w:p>
        </w:tc>
        <w:tc>
          <w:tcPr>
            <w:tcW w:w="567" w:type="dxa"/>
          </w:tcPr>
          <w:p w14:paraId="715C0359" w14:textId="77777777" w:rsidR="00D34C6F" w:rsidRPr="00CD1278" w:rsidRDefault="00D34C6F" w:rsidP="008277E3">
            <w:pPr>
              <w:spacing w:after="60"/>
              <w:jc w:val="center"/>
              <w:rPr>
                <w:b/>
                <w:color w:val="auto"/>
                <w:sz w:val="10"/>
                <w:szCs w:val="10"/>
              </w:rPr>
            </w:pPr>
          </w:p>
        </w:tc>
        <w:tc>
          <w:tcPr>
            <w:tcW w:w="567" w:type="dxa"/>
          </w:tcPr>
          <w:p w14:paraId="71F965D0" w14:textId="77777777" w:rsidR="00D34C6F" w:rsidRPr="00CD1278" w:rsidRDefault="00D34C6F" w:rsidP="008277E3">
            <w:pPr>
              <w:spacing w:after="60"/>
              <w:jc w:val="center"/>
              <w:rPr>
                <w:b/>
                <w:color w:val="auto"/>
                <w:sz w:val="10"/>
                <w:szCs w:val="10"/>
              </w:rPr>
            </w:pPr>
          </w:p>
        </w:tc>
      </w:tr>
      <w:tr w:rsidR="003C102E" w:rsidRPr="00CD1278" w14:paraId="564F7895" w14:textId="77777777" w:rsidTr="008277E3">
        <w:trPr>
          <w:trHeight w:val="270"/>
          <w:jc w:val="center"/>
        </w:trPr>
        <w:tc>
          <w:tcPr>
            <w:tcW w:w="662" w:type="dxa"/>
            <w:shd w:val="clear" w:color="auto" w:fill="auto"/>
            <w:vAlign w:val="center"/>
          </w:tcPr>
          <w:p w14:paraId="006C17C8" w14:textId="77777777" w:rsidR="00D34C6F" w:rsidRPr="00CD1278" w:rsidRDefault="00D34C6F" w:rsidP="008277E3">
            <w:pPr>
              <w:spacing w:after="60"/>
              <w:rPr>
                <w:color w:val="auto"/>
                <w:sz w:val="12"/>
                <w:szCs w:val="12"/>
              </w:rPr>
            </w:pPr>
            <w:r w:rsidRPr="00CD1278">
              <w:rPr>
                <w:color w:val="auto"/>
                <w:sz w:val="12"/>
                <w:szCs w:val="12"/>
              </w:rPr>
              <w:t>Japan</w:t>
            </w:r>
          </w:p>
        </w:tc>
        <w:tc>
          <w:tcPr>
            <w:tcW w:w="824" w:type="dxa"/>
            <w:shd w:val="clear" w:color="auto" w:fill="auto"/>
            <w:vAlign w:val="center"/>
          </w:tcPr>
          <w:p w14:paraId="4DD90243" w14:textId="77777777" w:rsidR="00D34C6F" w:rsidRPr="00CD1278" w:rsidRDefault="00D34C6F" w:rsidP="00D1371C">
            <w:pPr>
              <w:spacing w:after="60"/>
              <w:ind w:left="-87"/>
              <w:rPr>
                <w:color w:val="auto"/>
                <w:sz w:val="12"/>
                <w:szCs w:val="12"/>
              </w:rPr>
            </w:pPr>
            <w:r w:rsidRPr="00CD1278">
              <w:rPr>
                <w:color w:val="auto"/>
                <w:sz w:val="12"/>
                <w:szCs w:val="12"/>
              </w:rPr>
              <w:t>Melon</w:t>
            </w:r>
          </w:p>
        </w:tc>
        <w:tc>
          <w:tcPr>
            <w:tcW w:w="770" w:type="dxa"/>
            <w:shd w:val="clear" w:color="auto" w:fill="auto"/>
            <w:vAlign w:val="center"/>
          </w:tcPr>
          <w:p w14:paraId="19389D6F" w14:textId="77777777" w:rsidR="00D34C6F" w:rsidRPr="00CD1278" w:rsidRDefault="00D34C6F" w:rsidP="008277E3">
            <w:pPr>
              <w:spacing w:after="60"/>
              <w:rPr>
                <w:color w:val="auto"/>
                <w:sz w:val="10"/>
                <w:szCs w:val="10"/>
              </w:rPr>
            </w:pPr>
            <w:r w:rsidRPr="00CD1278">
              <w:rPr>
                <w:color w:val="auto"/>
                <w:sz w:val="10"/>
                <w:szCs w:val="10"/>
              </w:rPr>
              <w:t>194.100</w:t>
            </w:r>
          </w:p>
        </w:tc>
        <w:tc>
          <w:tcPr>
            <w:tcW w:w="647" w:type="dxa"/>
            <w:shd w:val="clear" w:color="auto" w:fill="auto"/>
            <w:vAlign w:val="center"/>
          </w:tcPr>
          <w:p w14:paraId="2BFC6924" w14:textId="77777777" w:rsidR="00D34C6F" w:rsidRPr="00CD1278" w:rsidRDefault="00D34C6F" w:rsidP="008277E3">
            <w:pPr>
              <w:spacing w:after="60"/>
              <w:rPr>
                <w:color w:val="auto"/>
                <w:sz w:val="10"/>
                <w:szCs w:val="10"/>
              </w:rPr>
            </w:pPr>
            <w:r w:rsidRPr="00CD1278">
              <w:rPr>
                <w:color w:val="auto"/>
                <w:sz w:val="10"/>
                <w:szCs w:val="10"/>
              </w:rPr>
              <w:t>203.900</w:t>
            </w:r>
          </w:p>
        </w:tc>
        <w:tc>
          <w:tcPr>
            <w:tcW w:w="709" w:type="dxa"/>
            <w:shd w:val="clear" w:color="auto" w:fill="auto"/>
            <w:vAlign w:val="center"/>
          </w:tcPr>
          <w:p w14:paraId="0D5A5E4D" w14:textId="77777777" w:rsidR="00D34C6F" w:rsidRPr="00CD1278" w:rsidRDefault="00D34C6F" w:rsidP="008277E3">
            <w:pPr>
              <w:spacing w:after="60"/>
              <w:rPr>
                <w:color w:val="auto"/>
                <w:sz w:val="10"/>
                <w:szCs w:val="10"/>
              </w:rPr>
            </w:pPr>
            <w:r w:rsidRPr="00CD1278">
              <w:rPr>
                <w:color w:val="auto"/>
                <w:sz w:val="10"/>
                <w:szCs w:val="10"/>
              </w:rPr>
              <w:t>182.200</w:t>
            </w:r>
          </w:p>
        </w:tc>
        <w:tc>
          <w:tcPr>
            <w:tcW w:w="567" w:type="dxa"/>
            <w:shd w:val="clear" w:color="auto" w:fill="auto"/>
            <w:vAlign w:val="center"/>
          </w:tcPr>
          <w:p w14:paraId="5EE069BE" w14:textId="77777777" w:rsidR="00D34C6F" w:rsidRPr="00CD1278" w:rsidRDefault="00D34C6F" w:rsidP="008277E3">
            <w:pPr>
              <w:spacing w:after="60"/>
              <w:rPr>
                <w:color w:val="auto"/>
                <w:sz w:val="10"/>
                <w:szCs w:val="10"/>
              </w:rPr>
            </w:pPr>
            <w:r w:rsidRPr="00CD1278">
              <w:rPr>
                <w:color w:val="auto"/>
                <w:sz w:val="10"/>
                <w:szCs w:val="10"/>
              </w:rPr>
              <w:t>182.200</w:t>
            </w:r>
          </w:p>
        </w:tc>
        <w:tc>
          <w:tcPr>
            <w:tcW w:w="709" w:type="dxa"/>
            <w:shd w:val="clear" w:color="auto" w:fill="auto"/>
            <w:vAlign w:val="center"/>
          </w:tcPr>
          <w:p w14:paraId="62457996" w14:textId="77777777" w:rsidR="00D34C6F" w:rsidRPr="00CD1278" w:rsidRDefault="00D34C6F" w:rsidP="008277E3">
            <w:pPr>
              <w:spacing w:after="60"/>
              <w:rPr>
                <w:color w:val="auto"/>
                <w:sz w:val="10"/>
                <w:szCs w:val="10"/>
              </w:rPr>
            </w:pPr>
            <w:r w:rsidRPr="00CD1278">
              <w:rPr>
                <w:color w:val="auto"/>
                <w:sz w:val="10"/>
                <w:szCs w:val="10"/>
              </w:rPr>
              <w:t>168.000</w:t>
            </w:r>
          </w:p>
        </w:tc>
        <w:tc>
          <w:tcPr>
            <w:tcW w:w="567" w:type="dxa"/>
            <w:shd w:val="clear" w:color="auto" w:fill="auto"/>
            <w:vAlign w:val="center"/>
          </w:tcPr>
          <w:p w14:paraId="1E5647FC" w14:textId="77777777" w:rsidR="00D34C6F" w:rsidRPr="00CD1278" w:rsidRDefault="00D34C6F" w:rsidP="008277E3">
            <w:pPr>
              <w:spacing w:after="60"/>
              <w:rPr>
                <w:color w:val="auto"/>
                <w:sz w:val="10"/>
                <w:szCs w:val="10"/>
              </w:rPr>
            </w:pPr>
            <w:r w:rsidRPr="00CD1278">
              <w:rPr>
                <w:color w:val="auto"/>
                <w:sz w:val="10"/>
                <w:szCs w:val="10"/>
              </w:rPr>
              <w:t>90.800</w:t>
            </w:r>
          </w:p>
        </w:tc>
        <w:tc>
          <w:tcPr>
            <w:tcW w:w="708" w:type="dxa"/>
            <w:shd w:val="clear" w:color="auto" w:fill="auto"/>
            <w:vAlign w:val="center"/>
          </w:tcPr>
          <w:p w14:paraId="6F1455E0" w14:textId="77777777" w:rsidR="00D34C6F" w:rsidRPr="00CD1278" w:rsidRDefault="00D34C6F" w:rsidP="008277E3">
            <w:pPr>
              <w:spacing w:after="60"/>
              <w:rPr>
                <w:color w:val="auto"/>
                <w:sz w:val="10"/>
                <w:szCs w:val="10"/>
              </w:rPr>
            </w:pPr>
            <w:r w:rsidRPr="00CD1278">
              <w:rPr>
                <w:color w:val="auto"/>
                <w:sz w:val="10"/>
                <w:szCs w:val="10"/>
              </w:rPr>
              <w:t>77.600</w:t>
            </w:r>
          </w:p>
        </w:tc>
        <w:tc>
          <w:tcPr>
            <w:tcW w:w="567" w:type="dxa"/>
            <w:shd w:val="clear" w:color="auto" w:fill="auto"/>
            <w:vAlign w:val="center"/>
          </w:tcPr>
          <w:p w14:paraId="7A2F6F94" w14:textId="77777777" w:rsidR="00D34C6F" w:rsidRPr="00CD1278" w:rsidRDefault="00D34C6F" w:rsidP="008277E3">
            <w:pPr>
              <w:spacing w:after="60"/>
              <w:rPr>
                <w:color w:val="auto"/>
                <w:sz w:val="10"/>
                <w:szCs w:val="10"/>
              </w:rPr>
            </w:pPr>
            <w:r w:rsidRPr="00CD1278">
              <w:rPr>
                <w:color w:val="auto"/>
                <w:sz w:val="10"/>
                <w:szCs w:val="10"/>
              </w:rPr>
              <w:t>67.936</w:t>
            </w:r>
          </w:p>
        </w:tc>
        <w:tc>
          <w:tcPr>
            <w:tcW w:w="567" w:type="dxa"/>
            <w:shd w:val="clear" w:color="auto" w:fill="auto"/>
            <w:vAlign w:val="center"/>
          </w:tcPr>
          <w:p w14:paraId="08D86EB0"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21B1B65" w14:textId="77777777" w:rsidR="00D34C6F" w:rsidRPr="00CD1278" w:rsidRDefault="00D34C6F" w:rsidP="008277E3">
            <w:pPr>
              <w:spacing w:after="60"/>
              <w:rPr>
                <w:color w:val="auto"/>
                <w:sz w:val="10"/>
                <w:szCs w:val="10"/>
              </w:rPr>
            </w:pPr>
          </w:p>
        </w:tc>
        <w:tc>
          <w:tcPr>
            <w:tcW w:w="567" w:type="dxa"/>
          </w:tcPr>
          <w:p w14:paraId="14F6DA25" w14:textId="77777777" w:rsidR="00D34C6F" w:rsidRPr="00CD1278" w:rsidRDefault="00D34C6F" w:rsidP="008277E3">
            <w:pPr>
              <w:spacing w:after="60"/>
              <w:jc w:val="center"/>
              <w:rPr>
                <w:color w:val="auto"/>
                <w:sz w:val="10"/>
                <w:szCs w:val="10"/>
              </w:rPr>
            </w:pPr>
          </w:p>
        </w:tc>
        <w:tc>
          <w:tcPr>
            <w:tcW w:w="567" w:type="dxa"/>
          </w:tcPr>
          <w:p w14:paraId="5D1B7902"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1FE2B14" w14:textId="77777777" w:rsidR="00D34C6F" w:rsidRPr="00CD1278" w:rsidRDefault="00D34C6F" w:rsidP="008277E3">
            <w:pPr>
              <w:spacing w:after="60"/>
              <w:rPr>
                <w:color w:val="auto"/>
                <w:sz w:val="10"/>
                <w:szCs w:val="10"/>
              </w:rPr>
            </w:pPr>
            <w:r w:rsidRPr="00CD1278">
              <w:rPr>
                <w:color w:val="auto"/>
                <w:sz w:val="10"/>
                <w:szCs w:val="10"/>
              </w:rPr>
              <w:t>194.100</w:t>
            </w:r>
          </w:p>
        </w:tc>
        <w:tc>
          <w:tcPr>
            <w:tcW w:w="709" w:type="dxa"/>
            <w:shd w:val="clear" w:color="auto" w:fill="auto"/>
            <w:vAlign w:val="center"/>
          </w:tcPr>
          <w:p w14:paraId="0EC76095" w14:textId="77777777" w:rsidR="00D34C6F" w:rsidRPr="00CD1278" w:rsidRDefault="00D34C6F" w:rsidP="008277E3">
            <w:pPr>
              <w:spacing w:after="60"/>
              <w:rPr>
                <w:color w:val="auto"/>
                <w:sz w:val="10"/>
                <w:szCs w:val="10"/>
              </w:rPr>
            </w:pPr>
            <w:r w:rsidRPr="00CD1278">
              <w:rPr>
                <w:color w:val="auto"/>
                <w:sz w:val="10"/>
                <w:szCs w:val="10"/>
              </w:rPr>
              <w:t>203.900</w:t>
            </w:r>
          </w:p>
        </w:tc>
        <w:tc>
          <w:tcPr>
            <w:tcW w:w="708" w:type="dxa"/>
            <w:shd w:val="clear" w:color="auto" w:fill="auto"/>
            <w:vAlign w:val="center"/>
          </w:tcPr>
          <w:p w14:paraId="11D0DE18" w14:textId="77777777" w:rsidR="00D34C6F" w:rsidRPr="00CD1278" w:rsidRDefault="00D34C6F" w:rsidP="008277E3">
            <w:pPr>
              <w:spacing w:after="60"/>
              <w:rPr>
                <w:color w:val="auto"/>
                <w:sz w:val="10"/>
                <w:szCs w:val="10"/>
              </w:rPr>
            </w:pPr>
            <w:r w:rsidRPr="00CD1278">
              <w:rPr>
                <w:color w:val="auto"/>
                <w:sz w:val="10"/>
                <w:szCs w:val="10"/>
              </w:rPr>
              <w:t>182.200</w:t>
            </w:r>
          </w:p>
        </w:tc>
        <w:tc>
          <w:tcPr>
            <w:tcW w:w="709" w:type="dxa"/>
            <w:shd w:val="clear" w:color="auto" w:fill="auto"/>
            <w:vAlign w:val="center"/>
          </w:tcPr>
          <w:p w14:paraId="14E4FE69" w14:textId="77777777" w:rsidR="00D34C6F" w:rsidRPr="00CD1278" w:rsidRDefault="00D34C6F" w:rsidP="008277E3">
            <w:pPr>
              <w:spacing w:after="60"/>
              <w:rPr>
                <w:color w:val="auto"/>
                <w:sz w:val="10"/>
                <w:szCs w:val="10"/>
              </w:rPr>
            </w:pPr>
            <w:r w:rsidRPr="00CD1278">
              <w:rPr>
                <w:color w:val="auto"/>
                <w:sz w:val="10"/>
                <w:szCs w:val="10"/>
              </w:rPr>
              <w:t>136.650</w:t>
            </w:r>
          </w:p>
        </w:tc>
        <w:tc>
          <w:tcPr>
            <w:tcW w:w="567" w:type="dxa"/>
            <w:shd w:val="clear" w:color="auto" w:fill="auto"/>
            <w:vAlign w:val="center"/>
          </w:tcPr>
          <w:p w14:paraId="3000C4C2" w14:textId="77777777" w:rsidR="00D34C6F" w:rsidRPr="00CD1278" w:rsidRDefault="00D34C6F" w:rsidP="008277E3">
            <w:pPr>
              <w:spacing w:after="60"/>
              <w:rPr>
                <w:color w:val="auto"/>
                <w:sz w:val="10"/>
                <w:szCs w:val="10"/>
              </w:rPr>
            </w:pPr>
            <w:r w:rsidRPr="00CD1278">
              <w:rPr>
                <w:color w:val="auto"/>
                <w:sz w:val="10"/>
                <w:szCs w:val="10"/>
              </w:rPr>
              <w:t>91.100</w:t>
            </w:r>
          </w:p>
        </w:tc>
        <w:tc>
          <w:tcPr>
            <w:tcW w:w="647" w:type="dxa"/>
            <w:shd w:val="clear" w:color="auto" w:fill="auto"/>
            <w:vAlign w:val="center"/>
          </w:tcPr>
          <w:p w14:paraId="28890C50" w14:textId="77777777" w:rsidR="00D34C6F" w:rsidRPr="00CD1278" w:rsidRDefault="00D34C6F" w:rsidP="008277E3">
            <w:pPr>
              <w:spacing w:after="60"/>
              <w:rPr>
                <w:color w:val="auto"/>
                <w:sz w:val="10"/>
                <w:szCs w:val="10"/>
              </w:rPr>
            </w:pPr>
            <w:r w:rsidRPr="00CD1278">
              <w:rPr>
                <w:color w:val="auto"/>
                <w:sz w:val="10"/>
                <w:szCs w:val="10"/>
              </w:rPr>
              <w:t>81.720</w:t>
            </w:r>
          </w:p>
        </w:tc>
        <w:tc>
          <w:tcPr>
            <w:tcW w:w="567" w:type="dxa"/>
            <w:shd w:val="clear" w:color="auto" w:fill="auto"/>
            <w:vAlign w:val="center"/>
          </w:tcPr>
          <w:p w14:paraId="2CAA17A1" w14:textId="77777777" w:rsidR="00D34C6F" w:rsidRPr="00CD1278" w:rsidRDefault="00D34C6F" w:rsidP="008277E3">
            <w:pPr>
              <w:spacing w:after="60"/>
              <w:rPr>
                <w:color w:val="auto"/>
                <w:sz w:val="10"/>
                <w:szCs w:val="10"/>
              </w:rPr>
            </w:pPr>
            <w:r w:rsidRPr="00CD1278">
              <w:rPr>
                <w:color w:val="auto"/>
                <w:sz w:val="10"/>
                <w:szCs w:val="10"/>
              </w:rPr>
              <w:t>73.548</w:t>
            </w:r>
          </w:p>
        </w:tc>
        <w:tc>
          <w:tcPr>
            <w:tcW w:w="567" w:type="dxa"/>
            <w:shd w:val="clear" w:color="auto" w:fill="auto"/>
            <w:noWrap/>
            <w:vAlign w:val="center"/>
          </w:tcPr>
          <w:p w14:paraId="145948AB"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40457F0B" w14:textId="77777777" w:rsidR="00D34C6F" w:rsidRPr="00CD1278" w:rsidRDefault="00D34C6F" w:rsidP="008277E3">
            <w:pPr>
              <w:spacing w:after="60"/>
              <w:rPr>
                <w:b/>
                <w:color w:val="auto"/>
                <w:sz w:val="10"/>
                <w:szCs w:val="10"/>
              </w:rPr>
            </w:pPr>
          </w:p>
        </w:tc>
        <w:tc>
          <w:tcPr>
            <w:tcW w:w="567" w:type="dxa"/>
          </w:tcPr>
          <w:p w14:paraId="4527A84E" w14:textId="77777777" w:rsidR="00D34C6F" w:rsidRPr="00CD1278" w:rsidRDefault="00D34C6F" w:rsidP="008277E3">
            <w:pPr>
              <w:spacing w:after="60"/>
              <w:jc w:val="center"/>
              <w:rPr>
                <w:b/>
                <w:color w:val="auto"/>
                <w:sz w:val="10"/>
                <w:szCs w:val="10"/>
              </w:rPr>
            </w:pPr>
          </w:p>
        </w:tc>
        <w:tc>
          <w:tcPr>
            <w:tcW w:w="567" w:type="dxa"/>
          </w:tcPr>
          <w:p w14:paraId="1D7093FA" w14:textId="77777777" w:rsidR="00D34C6F" w:rsidRPr="00CD1278" w:rsidRDefault="00D34C6F" w:rsidP="008277E3">
            <w:pPr>
              <w:spacing w:after="60"/>
              <w:jc w:val="center"/>
              <w:rPr>
                <w:b/>
                <w:color w:val="auto"/>
                <w:sz w:val="10"/>
                <w:szCs w:val="10"/>
              </w:rPr>
            </w:pPr>
          </w:p>
        </w:tc>
        <w:tc>
          <w:tcPr>
            <w:tcW w:w="567" w:type="dxa"/>
          </w:tcPr>
          <w:p w14:paraId="02E996EB" w14:textId="77777777" w:rsidR="00D34C6F" w:rsidRPr="00CD1278" w:rsidRDefault="00D34C6F" w:rsidP="008277E3">
            <w:pPr>
              <w:spacing w:after="60"/>
              <w:jc w:val="center"/>
              <w:rPr>
                <w:b/>
                <w:color w:val="auto"/>
                <w:sz w:val="10"/>
                <w:szCs w:val="10"/>
              </w:rPr>
            </w:pPr>
          </w:p>
        </w:tc>
      </w:tr>
      <w:tr w:rsidR="003C102E" w:rsidRPr="00CD1278" w14:paraId="7D10E974" w14:textId="77777777" w:rsidTr="00F97A8E">
        <w:trPr>
          <w:trHeight w:val="548"/>
          <w:jc w:val="center"/>
        </w:trPr>
        <w:tc>
          <w:tcPr>
            <w:tcW w:w="662" w:type="dxa"/>
            <w:shd w:val="clear" w:color="auto" w:fill="auto"/>
            <w:vAlign w:val="center"/>
          </w:tcPr>
          <w:p w14:paraId="41D1C359" w14:textId="77777777" w:rsidR="00D34C6F" w:rsidRPr="00CD1278" w:rsidRDefault="00D34C6F" w:rsidP="008277E3">
            <w:pPr>
              <w:spacing w:after="60"/>
              <w:rPr>
                <w:color w:val="auto"/>
                <w:sz w:val="12"/>
                <w:szCs w:val="12"/>
              </w:rPr>
            </w:pPr>
            <w:r w:rsidRPr="00CD1278">
              <w:rPr>
                <w:color w:val="auto"/>
                <w:sz w:val="12"/>
                <w:szCs w:val="12"/>
              </w:rPr>
              <w:t>Japan</w:t>
            </w:r>
          </w:p>
        </w:tc>
        <w:tc>
          <w:tcPr>
            <w:tcW w:w="824" w:type="dxa"/>
            <w:shd w:val="clear" w:color="auto" w:fill="auto"/>
            <w:vAlign w:val="center"/>
          </w:tcPr>
          <w:p w14:paraId="2740084C" w14:textId="77777777" w:rsidR="00D34C6F" w:rsidRPr="00CD1278" w:rsidRDefault="00D34C6F" w:rsidP="00D1371C">
            <w:pPr>
              <w:spacing w:after="60"/>
              <w:ind w:left="-87"/>
              <w:rPr>
                <w:color w:val="auto"/>
                <w:sz w:val="12"/>
                <w:szCs w:val="12"/>
              </w:rPr>
            </w:pPr>
            <w:r w:rsidRPr="00CD1278">
              <w:rPr>
                <w:color w:val="auto"/>
                <w:sz w:val="12"/>
                <w:szCs w:val="12"/>
              </w:rPr>
              <w:t>Peppers (green and hot)</w:t>
            </w:r>
          </w:p>
        </w:tc>
        <w:tc>
          <w:tcPr>
            <w:tcW w:w="770" w:type="dxa"/>
            <w:shd w:val="clear" w:color="auto" w:fill="auto"/>
            <w:vAlign w:val="center"/>
          </w:tcPr>
          <w:p w14:paraId="5E8B12B7" w14:textId="77777777" w:rsidR="00D34C6F" w:rsidRPr="00CD1278" w:rsidRDefault="00D34C6F" w:rsidP="008277E3">
            <w:pPr>
              <w:spacing w:after="60"/>
              <w:rPr>
                <w:color w:val="auto"/>
                <w:sz w:val="10"/>
                <w:szCs w:val="10"/>
              </w:rPr>
            </w:pPr>
            <w:r w:rsidRPr="00CD1278">
              <w:rPr>
                <w:color w:val="auto"/>
                <w:sz w:val="10"/>
                <w:szCs w:val="10"/>
              </w:rPr>
              <w:t>189.900</w:t>
            </w:r>
          </w:p>
        </w:tc>
        <w:tc>
          <w:tcPr>
            <w:tcW w:w="647" w:type="dxa"/>
            <w:shd w:val="clear" w:color="auto" w:fill="auto"/>
            <w:vAlign w:val="center"/>
          </w:tcPr>
          <w:p w14:paraId="1859DEC9" w14:textId="77777777" w:rsidR="00D34C6F" w:rsidRPr="00CD1278" w:rsidRDefault="00D34C6F" w:rsidP="008277E3">
            <w:pPr>
              <w:spacing w:after="60"/>
              <w:rPr>
                <w:color w:val="auto"/>
                <w:sz w:val="10"/>
                <w:szCs w:val="10"/>
              </w:rPr>
            </w:pPr>
            <w:r w:rsidRPr="00CD1278">
              <w:rPr>
                <w:color w:val="auto"/>
                <w:sz w:val="10"/>
                <w:szCs w:val="10"/>
              </w:rPr>
              <w:t>200.700</w:t>
            </w:r>
          </w:p>
        </w:tc>
        <w:tc>
          <w:tcPr>
            <w:tcW w:w="709" w:type="dxa"/>
            <w:shd w:val="clear" w:color="auto" w:fill="auto"/>
            <w:vAlign w:val="center"/>
          </w:tcPr>
          <w:p w14:paraId="4AC47280" w14:textId="77777777" w:rsidR="00D34C6F" w:rsidRPr="00CD1278" w:rsidRDefault="00D34C6F" w:rsidP="008277E3">
            <w:pPr>
              <w:spacing w:after="60"/>
              <w:rPr>
                <w:color w:val="auto"/>
                <w:sz w:val="10"/>
                <w:szCs w:val="10"/>
              </w:rPr>
            </w:pPr>
            <w:r w:rsidRPr="00CD1278">
              <w:rPr>
                <w:color w:val="auto"/>
                <w:sz w:val="10"/>
                <w:szCs w:val="10"/>
              </w:rPr>
              <w:t>169.400</w:t>
            </w:r>
          </w:p>
        </w:tc>
        <w:tc>
          <w:tcPr>
            <w:tcW w:w="567" w:type="dxa"/>
            <w:shd w:val="clear" w:color="auto" w:fill="auto"/>
            <w:vAlign w:val="center"/>
          </w:tcPr>
          <w:p w14:paraId="6D697C27" w14:textId="77777777" w:rsidR="00D34C6F" w:rsidRPr="00CD1278" w:rsidRDefault="00D34C6F" w:rsidP="008277E3">
            <w:pPr>
              <w:spacing w:after="60"/>
              <w:rPr>
                <w:color w:val="auto"/>
                <w:sz w:val="10"/>
                <w:szCs w:val="10"/>
              </w:rPr>
            </w:pPr>
            <w:r w:rsidRPr="00CD1278">
              <w:rPr>
                <w:color w:val="auto"/>
                <w:sz w:val="10"/>
                <w:szCs w:val="10"/>
              </w:rPr>
              <w:t>162.300</w:t>
            </w:r>
          </w:p>
        </w:tc>
        <w:tc>
          <w:tcPr>
            <w:tcW w:w="709" w:type="dxa"/>
            <w:shd w:val="clear" w:color="auto" w:fill="auto"/>
            <w:vAlign w:val="center"/>
          </w:tcPr>
          <w:p w14:paraId="02CCD457" w14:textId="77777777" w:rsidR="00D34C6F" w:rsidRPr="00CD1278" w:rsidRDefault="00D34C6F" w:rsidP="008277E3">
            <w:pPr>
              <w:spacing w:after="60"/>
              <w:rPr>
                <w:color w:val="auto"/>
                <w:sz w:val="10"/>
                <w:szCs w:val="10"/>
              </w:rPr>
            </w:pPr>
            <w:r w:rsidRPr="00CD1278">
              <w:rPr>
                <w:color w:val="auto"/>
                <w:sz w:val="10"/>
                <w:szCs w:val="10"/>
              </w:rPr>
              <w:t>134.400</w:t>
            </w:r>
          </w:p>
        </w:tc>
        <w:tc>
          <w:tcPr>
            <w:tcW w:w="567" w:type="dxa"/>
            <w:shd w:val="clear" w:color="auto" w:fill="auto"/>
            <w:vAlign w:val="center"/>
          </w:tcPr>
          <w:p w14:paraId="06FABDF0" w14:textId="77777777" w:rsidR="00D34C6F" w:rsidRPr="00CD1278" w:rsidRDefault="00D34C6F" w:rsidP="008277E3">
            <w:pPr>
              <w:spacing w:after="60"/>
              <w:rPr>
                <w:color w:val="auto"/>
                <w:sz w:val="10"/>
                <w:szCs w:val="10"/>
              </w:rPr>
            </w:pPr>
            <w:r w:rsidRPr="00CD1278">
              <w:rPr>
                <w:color w:val="auto"/>
                <w:sz w:val="10"/>
                <w:szCs w:val="10"/>
              </w:rPr>
              <w:t>81.100</w:t>
            </w:r>
          </w:p>
        </w:tc>
        <w:tc>
          <w:tcPr>
            <w:tcW w:w="708" w:type="dxa"/>
            <w:shd w:val="clear" w:color="auto" w:fill="auto"/>
            <w:vAlign w:val="center"/>
          </w:tcPr>
          <w:p w14:paraId="5C5559BC" w14:textId="77777777" w:rsidR="00D34C6F" w:rsidRPr="00CD1278" w:rsidRDefault="00D34C6F" w:rsidP="008277E3">
            <w:pPr>
              <w:spacing w:after="60"/>
              <w:rPr>
                <w:color w:val="auto"/>
                <w:sz w:val="10"/>
                <w:szCs w:val="10"/>
              </w:rPr>
            </w:pPr>
            <w:r w:rsidRPr="00CD1278">
              <w:rPr>
                <w:color w:val="auto"/>
                <w:sz w:val="10"/>
                <w:szCs w:val="10"/>
              </w:rPr>
              <w:t>68.260</w:t>
            </w:r>
          </w:p>
        </w:tc>
        <w:tc>
          <w:tcPr>
            <w:tcW w:w="567" w:type="dxa"/>
            <w:shd w:val="clear" w:color="auto" w:fill="auto"/>
            <w:vAlign w:val="center"/>
          </w:tcPr>
          <w:p w14:paraId="51605EF2" w14:textId="77777777" w:rsidR="00D34C6F" w:rsidRPr="00CD1278" w:rsidRDefault="00D34C6F" w:rsidP="008277E3">
            <w:pPr>
              <w:spacing w:after="60"/>
              <w:rPr>
                <w:color w:val="auto"/>
                <w:sz w:val="10"/>
                <w:szCs w:val="10"/>
              </w:rPr>
            </w:pPr>
            <w:r w:rsidRPr="00CD1278">
              <w:rPr>
                <w:color w:val="auto"/>
                <w:sz w:val="10"/>
                <w:szCs w:val="10"/>
              </w:rPr>
              <w:t>61.101</w:t>
            </w:r>
          </w:p>
        </w:tc>
        <w:tc>
          <w:tcPr>
            <w:tcW w:w="567" w:type="dxa"/>
            <w:shd w:val="clear" w:color="auto" w:fill="auto"/>
            <w:vAlign w:val="center"/>
          </w:tcPr>
          <w:p w14:paraId="79275CC7"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61F2996" w14:textId="77777777" w:rsidR="00D34C6F" w:rsidRPr="00CD1278" w:rsidRDefault="00D34C6F" w:rsidP="008277E3">
            <w:pPr>
              <w:spacing w:after="60"/>
              <w:rPr>
                <w:color w:val="auto"/>
                <w:sz w:val="10"/>
                <w:szCs w:val="10"/>
              </w:rPr>
            </w:pPr>
          </w:p>
        </w:tc>
        <w:tc>
          <w:tcPr>
            <w:tcW w:w="567" w:type="dxa"/>
          </w:tcPr>
          <w:p w14:paraId="248B63E4" w14:textId="77777777" w:rsidR="00D34C6F" w:rsidRPr="00CD1278" w:rsidRDefault="00D34C6F" w:rsidP="008277E3">
            <w:pPr>
              <w:spacing w:after="60"/>
              <w:jc w:val="center"/>
              <w:rPr>
                <w:color w:val="auto"/>
                <w:sz w:val="10"/>
                <w:szCs w:val="10"/>
              </w:rPr>
            </w:pPr>
          </w:p>
        </w:tc>
        <w:tc>
          <w:tcPr>
            <w:tcW w:w="567" w:type="dxa"/>
          </w:tcPr>
          <w:p w14:paraId="1283FA2C"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6C212361" w14:textId="77777777" w:rsidR="00D34C6F" w:rsidRPr="00CD1278" w:rsidRDefault="00D34C6F" w:rsidP="008277E3">
            <w:pPr>
              <w:spacing w:after="60"/>
              <w:rPr>
                <w:color w:val="auto"/>
                <w:sz w:val="10"/>
                <w:szCs w:val="10"/>
              </w:rPr>
            </w:pPr>
            <w:r w:rsidRPr="00CD1278">
              <w:rPr>
                <w:color w:val="auto"/>
                <w:sz w:val="10"/>
                <w:szCs w:val="10"/>
              </w:rPr>
              <w:t>187.200</w:t>
            </w:r>
          </w:p>
        </w:tc>
        <w:tc>
          <w:tcPr>
            <w:tcW w:w="709" w:type="dxa"/>
            <w:shd w:val="clear" w:color="auto" w:fill="auto"/>
            <w:vAlign w:val="center"/>
          </w:tcPr>
          <w:p w14:paraId="4E571F52" w14:textId="77777777" w:rsidR="00D34C6F" w:rsidRPr="00CD1278" w:rsidRDefault="00D34C6F" w:rsidP="008277E3">
            <w:pPr>
              <w:spacing w:after="60"/>
              <w:rPr>
                <w:color w:val="auto"/>
                <w:sz w:val="10"/>
                <w:szCs w:val="10"/>
              </w:rPr>
            </w:pPr>
            <w:r w:rsidRPr="00CD1278">
              <w:rPr>
                <w:color w:val="auto"/>
                <w:sz w:val="10"/>
                <w:szCs w:val="10"/>
              </w:rPr>
              <w:t>200.700</w:t>
            </w:r>
          </w:p>
        </w:tc>
        <w:tc>
          <w:tcPr>
            <w:tcW w:w="708" w:type="dxa"/>
            <w:shd w:val="clear" w:color="auto" w:fill="auto"/>
            <w:vAlign w:val="center"/>
          </w:tcPr>
          <w:p w14:paraId="7F5979F5" w14:textId="77777777" w:rsidR="00D34C6F" w:rsidRPr="00CD1278" w:rsidRDefault="00D34C6F" w:rsidP="008277E3">
            <w:pPr>
              <w:spacing w:after="60"/>
              <w:rPr>
                <w:color w:val="auto"/>
                <w:sz w:val="10"/>
                <w:szCs w:val="10"/>
              </w:rPr>
            </w:pPr>
            <w:r w:rsidRPr="00CD1278">
              <w:rPr>
                <w:color w:val="auto"/>
                <w:sz w:val="10"/>
                <w:szCs w:val="10"/>
              </w:rPr>
              <w:t>156.700</w:t>
            </w:r>
          </w:p>
        </w:tc>
        <w:tc>
          <w:tcPr>
            <w:tcW w:w="709" w:type="dxa"/>
            <w:shd w:val="clear" w:color="auto" w:fill="auto"/>
            <w:vAlign w:val="center"/>
          </w:tcPr>
          <w:p w14:paraId="26A89ECC" w14:textId="77777777" w:rsidR="00D34C6F" w:rsidRPr="00CD1278" w:rsidRDefault="00D34C6F" w:rsidP="008277E3">
            <w:pPr>
              <w:spacing w:after="60"/>
              <w:rPr>
                <w:color w:val="auto"/>
                <w:sz w:val="10"/>
                <w:szCs w:val="10"/>
              </w:rPr>
            </w:pPr>
            <w:r w:rsidRPr="00CD1278">
              <w:rPr>
                <w:color w:val="auto"/>
                <w:sz w:val="10"/>
                <w:szCs w:val="10"/>
              </w:rPr>
              <w:t>121.725</w:t>
            </w:r>
          </w:p>
        </w:tc>
        <w:tc>
          <w:tcPr>
            <w:tcW w:w="567" w:type="dxa"/>
            <w:shd w:val="clear" w:color="auto" w:fill="auto"/>
            <w:vAlign w:val="center"/>
          </w:tcPr>
          <w:p w14:paraId="2DE0B614" w14:textId="77777777" w:rsidR="00D34C6F" w:rsidRPr="00CD1278" w:rsidRDefault="00D34C6F" w:rsidP="008277E3">
            <w:pPr>
              <w:spacing w:after="60"/>
              <w:rPr>
                <w:color w:val="auto"/>
                <w:sz w:val="10"/>
                <w:szCs w:val="10"/>
              </w:rPr>
            </w:pPr>
            <w:r w:rsidRPr="00CD1278">
              <w:rPr>
                <w:color w:val="auto"/>
                <w:sz w:val="10"/>
                <w:szCs w:val="10"/>
              </w:rPr>
              <w:t>81.149</w:t>
            </w:r>
          </w:p>
        </w:tc>
        <w:tc>
          <w:tcPr>
            <w:tcW w:w="647" w:type="dxa"/>
            <w:shd w:val="clear" w:color="auto" w:fill="auto"/>
            <w:vAlign w:val="center"/>
          </w:tcPr>
          <w:p w14:paraId="20B5D910" w14:textId="77777777" w:rsidR="00D34C6F" w:rsidRPr="00CD1278" w:rsidRDefault="00D34C6F" w:rsidP="008277E3">
            <w:pPr>
              <w:spacing w:after="60"/>
              <w:rPr>
                <w:color w:val="auto"/>
                <w:sz w:val="10"/>
                <w:szCs w:val="10"/>
              </w:rPr>
            </w:pPr>
            <w:r w:rsidRPr="00CD1278">
              <w:rPr>
                <w:color w:val="auto"/>
                <w:sz w:val="10"/>
                <w:szCs w:val="10"/>
              </w:rPr>
              <w:t>72.990</w:t>
            </w:r>
          </w:p>
        </w:tc>
        <w:tc>
          <w:tcPr>
            <w:tcW w:w="567" w:type="dxa"/>
            <w:shd w:val="clear" w:color="auto" w:fill="auto"/>
            <w:vAlign w:val="center"/>
          </w:tcPr>
          <w:p w14:paraId="7B54EC56" w14:textId="77777777" w:rsidR="00D34C6F" w:rsidRPr="00CD1278" w:rsidRDefault="00D34C6F" w:rsidP="008277E3">
            <w:pPr>
              <w:spacing w:after="60"/>
              <w:rPr>
                <w:color w:val="auto"/>
                <w:sz w:val="10"/>
                <w:szCs w:val="10"/>
              </w:rPr>
            </w:pPr>
            <w:r w:rsidRPr="00CD1278">
              <w:rPr>
                <w:color w:val="auto"/>
                <w:sz w:val="10"/>
                <w:szCs w:val="10"/>
              </w:rPr>
              <w:t>65.691</w:t>
            </w:r>
          </w:p>
        </w:tc>
        <w:tc>
          <w:tcPr>
            <w:tcW w:w="567" w:type="dxa"/>
            <w:shd w:val="clear" w:color="auto" w:fill="auto"/>
            <w:noWrap/>
            <w:vAlign w:val="center"/>
          </w:tcPr>
          <w:p w14:paraId="03FBA1EC"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677F85D1" w14:textId="77777777" w:rsidR="00D34C6F" w:rsidRPr="00CD1278" w:rsidRDefault="00D34C6F" w:rsidP="008277E3">
            <w:pPr>
              <w:spacing w:after="60"/>
              <w:rPr>
                <w:b/>
                <w:color w:val="auto"/>
                <w:sz w:val="10"/>
                <w:szCs w:val="10"/>
              </w:rPr>
            </w:pPr>
          </w:p>
        </w:tc>
        <w:tc>
          <w:tcPr>
            <w:tcW w:w="567" w:type="dxa"/>
          </w:tcPr>
          <w:p w14:paraId="223D8DC7" w14:textId="77777777" w:rsidR="00D34C6F" w:rsidRPr="00CD1278" w:rsidRDefault="00D34C6F" w:rsidP="008277E3">
            <w:pPr>
              <w:spacing w:after="60"/>
              <w:jc w:val="center"/>
              <w:rPr>
                <w:b/>
                <w:color w:val="auto"/>
                <w:sz w:val="10"/>
                <w:szCs w:val="10"/>
              </w:rPr>
            </w:pPr>
          </w:p>
        </w:tc>
        <w:tc>
          <w:tcPr>
            <w:tcW w:w="567" w:type="dxa"/>
          </w:tcPr>
          <w:p w14:paraId="2E74BF85" w14:textId="77777777" w:rsidR="00D34C6F" w:rsidRPr="00CD1278" w:rsidRDefault="00D34C6F" w:rsidP="008277E3">
            <w:pPr>
              <w:spacing w:after="60"/>
              <w:jc w:val="center"/>
              <w:rPr>
                <w:b/>
                <w:color w:val="auto"/>
                <w:sz w:val="10"/>
                <w:szCs w:val="10"/>
              </w:rPr>
            </w:pPr>
          </w:p>
        </w:tc>
        <w:tc>
          <w:tcPr>
            <w:tcW w:w="567" w:type="dxa"/>
          </w:tcPr>
          <w:p w14:paraId="4FE41BF2" w14:textId="77777777" w:rsidR="00D34C6F" w:rsidRPr="00CD1278" w:rsidRDefault="00D34C6F" w:rsidP="008277E3">
            <w:pPr>
              <w:spacing w:after="60"/>
              <w:jc w:val="center"/>
              <w:rPr>
                <w:b/>
                <w:color w:val="auto"/>
                <w:sz w:val="10"/>
                <w:szCs w:val="10"/>
              </w:rPr>
            </w:pPr>
          </w:p>
        </w:tc>
      </w:tr>
      <w:tr w:rsidR="003C102E" w:rsidRPr="00CD1278" w14:paraId="3CDB2811" w14:textId="77777777" w:rsidTr="008277E3">
        <w:trPr>
          <w:trHeight w:val="465"/>
          <w:jc w:val="center"/>
        </w:trPr>
        <w:tc>
          <w:tcPr>
            <w:tcW w:w="662" w:type="dxa"/>
            <w:shd w:val="clear" w:color="auto" w:fill="auto"/>
            <w:vAlign w:val="center"/>
          </w:tcPr>
          <w:p w14:paraId="0CD8FF7B" w14:textId="77777777" w:rsidR="00D34C6F" w:rsidRPr="00CD1278" w:rsidRDefault="00D34C6F" w:rsidP="008277E3">
            <w:pPr>
              <w:spacing w:after="60"/>
              <w:rPr>
                <w:color w:val="auto"/>
                <w:sz w:val="12"/>
                <w:szCs w:val="12"/>
              </w:rPr>
            </w:pPr>
            <w:r w:rsidRPr="00CD1278">
              <w:rPr>
                <w:color w:val="auto"/>
                <w:sz w:val="12"/>
                <w:szCs w:val="12"/>
              </w:rPr>
              <w:t>Japan</w:t>
            </w:r>
          </w:p>
        </w:tc>
        <w:tc>
          <w:tcPr>
            <w:tcW w:w="824" w:type="dxa"/>
            <w:shd w:val="clear" w:color="auto" w:fill="auto"/>
            <w:vAlign w:val="center"/>
          </w:tcPr>
          <w:p w14:paraId="7BCDBA5E" w14:textId="77777777" w:rsidR="00D34C6F" w:rsidRPr="00CD1278" w:rsidRDefault="00D34C6F" w:rsidP="00D1371C">
            <w:pPr>
              <w:spacing w:after="60"/>
              <w:ind w:left="-87"/>
              <w:rPr>
                <w:color w:val="auto"/>
                <w:sz w:val="12"/>
                <w:szCs w:val="12"/>
              </w:rPr>
            </w:pPr>
            <w:r w:rsidRPr="00CD1278">
              <w:rPr>
                <w:color w:val="auto"/>
                <w:sz w:val="12"/>
                <w:szCs w:val="12"/>
              </w:rPr>
              <w:t>Watermelon</w:t>
            </w:r>
          </w:p>
        </w:tc>
        <w:tc>
          <w:tcPr>
            <w:tcW w:w="770" w:type="dxa"/>
            <w:shd w:val="clear" w:color="auto" w:fill="auto"/>
            <w:vAlign w:val="center"/>
          </w:tcPr>
          <w:p w14:paraId="1E739A31" w14:textId="77777777" w:rsidR="00D34C6F" w:rsidRPr="00CD1278" w:rsidRDefault="00D34C6F" w:rsidP="008277E3">
            <w:pPr>
              <w:spacing w:after="60"/>
              <w:rPr>
                <w:color w:val="auto"/>
                <w:sz w:val="10"/>
                <w:szCs w:val="10"/>
              </w:rPr>
            </w:pPr>
            <w:r w:rsidRPr="00CD1278">
              <w:rPr>
                <w:color w:val="auto"/>
                <w:sz w:val="10"/>
                <w:szCs w:val="10"/>
              </w:rPr>
              <w:t>126.300</w:t>
            </w:r>
          </w:p>
        </w:tc>
        <w:tc>
          <w:tcPr>
            <w:tcW w:w="647" w:type="dxa"/>
            <w:shd w:val="clear" w:color="auto" w:fill="auto"/>
            <w:vAlign w:val="center"/>
          </w:tcPr>
          <w:p w14:paraId="53EF0EF5" w14:textId="77777777" w:rsidR="00D34C6F" w:rsidRPr="00CD1278" w:rsidRDefault="00D34C6F" w:rsidP="008277E3">
            <w:pPr>
              <w:spacing w:after="60"/>
              <w:rPr>
                <w:color w:val="auto"/>
                <w:sz w:val="10"/>
                <w:szCs w:val="10"/>
              </w:rPr>
            </w:pPr>
            <w:r w:rsidRPr="00CD1278">
              <w:rPr>
                <w:color w:val="auto"/>
                <w:sz w:val="10"/>
                <w:szCs w:val="10"/>
              </w:rPr>
              <w:t>96.200</w:t>
            </w:r>
          </w:p>
        </w:tc>
        <w:tc>
          <w:tcPr>
            <w:tcW w:w="709" w:type="dxa"/>
            <w:shd w:val="clear" w:color="auto" w:fill="auto"/>
            <w:vAlign w:val="center"/>
          </w:tcPr>
          <w:p w14:paraId="151DBFF2" w14:textId="77777777" w:rsidR="00D34C6F" w:rsidRPr="00CD1278" w:rsidRDefault="00D34C6F" w:rsidP="008277E3">
            <w:pPr>
              <w:spacing w:after="60"/>
              <w:rPr>
                <w:color w:val="auto"/>
                <w:sz w:val="10"/>
                <w:szCs w:val="10"/>
              </w:rPr>
            </w:pPr>
            <w:r w:rsidRPr="00CD1278">
              <w:rPr>
                <w:color w:val="auto"/>
                <w:sz w:val="10"/>
                <w:szCs w:val="10"/>
              </w:rPr>
              <w:t>94.200</w:t>
            </w:r>
          </w:p>
        </w:tc>
        <w:tc>
          <w:tcPr>
            <w:tcW w:w="567" w:type="dxa"/>
            <w:shd w:val="clear" w:color="auto" w:fill="auto"/>
            <w:vAlign w:val="center"/>
          </w:tcPr>
          <w:p w14:paraId="315972D1" w14:textId="77777777" w:rsidR="00D34C6F" w:rsidRPr="00CD1278" w:rsidRDefault="00D34C6F" w:rsidP="008277E3">
            <w:pPr>
              <w:spacing w:after="60"/>
              <w:rPr>
                <w:color w:val="auto"/>
                <w:sz w:val="10"/>
                <w:szCs w:val="10"/>
              </w:rPr>
            </w:pPr>
            <w:r w:rsidRPr="00CD1278">
              <w:rPr>
                <w:color w:val="auto"/>
                <w:sz w:val="10"/>
                <w:szCs w:val="10"/>
              </w:rPr>
              <w:t>43.300</w:t>
            </w:r>
          </w:p>
        </w:tc>
        <w:tc>
          <w:tcPr>
            <w:tcW w:w="709" w:type="dxa"/>
            <w:shd w:val="clear" w:color="auto" w:fill="auto"/>
            <w:vAlign w:val="center"/>
          </w:tcPr>
          <w:p w14:paraId="4F9695D7" w14:textId="77777777" w:rsidR="00D34C6F" w:rsidRPr="00CD1278" w:rsidRDefault="00D34C6F" w:rsidP="008277E3">
            <w:pPr>
              <w:spacing w:after="60"/>
              <w:rPr>
                <w:color w:val="auto"/>
                <w:sz w:val="10"/>
                <w:szCs w:val="10"/>
              </w:rPr>
            </w:pPr>
            <w:r w:rsidRPr="00CD1278">
              <w:rPr>
                <w:color w:val="auto"/>
                <w:sz w:val="10"/>
                <w:szCs w:val="10"/>
              </w:rPr>
              <w:t>23.700</w:t>
            </w:r>
          </w:p>
        </w:tc>
        <w:tc>
          <w:tcPr>
            <w:tcW w:w="567" w:type="dxa"/>
            <w:shd w:val="clear" w:color="auto" w:fill="auto"/>
            <w:vAlign w:val="center"/>
          </w:tcPr>
          <w:p w14:paraId="5EFF31BE" w14:textId="77777777" w:rsidR="00D34C6F" w:rsidRPr="00CD1278" w:rsidRDefault="00D34C6F" w:rsidP="008277E3">
            <w:pPr>
              <w:spacing w:after="60"/>
              <w:rPr>
                <w:color w:val="auto"/>
                <w:sz w:val="10"/>
                <w:szCs w:val="10"/>
              </w:rPr>
            </w:pPr>
            <w:r w:rsidRPr="00CD1278">
              <w:rPr>
                <w:color w:val="auto"/>
                <w:sz w:val="10"/>
                <w:szCs w:val="10"/>
              </w:rPr>
              <w:t>15.400</w:t>
            </w:r>
          </w:p>
        </w:tc>
        <w:tc>
          <w:tcPr>
            <w:tcW w:w="708" w:type="dxa"/>
            <w:shd w:val="clear" w:color="auto" w:fill="auto"/>
            <w:vAlign w:val="center"/>
          </w:tcPr>
          <w:p w14:paraId="7F2441A7" w14:textId="77777777" w:rsidR="00D34C6F" w:rsidRPr="00CD1278" w:rsidRDefault="00D34C6F" w:rsidP="008277E3">
            <w:pPr>
              <w:spacing w:after="60"/>
              <w:rPr>
                <w:color w:val="auto"/>
                <w:sz w:val="10"/>
                <w:szCs w:val="10"/>
              </w:rPr>
            </w:pPr>
            <w:r w:rsidRPr="00CD1278">
              <w:rPr>
                <w:color w:val="auto"/>
                <w:sz w:val="10"/>
                <w:szCs w:val="10"/>
              </w:rPr>
              <w:t>13.870</w:t>
            </w:r>
          </w:p>
        </w:tc>
        <w:tc>
          <w:tcPr>
            <w:tcW w:w="567" w:type="dxa"/>
            <w:shd w:val="clear" w:color="auto" w:fill="auto"/>
            <w:vAlign w:val="center"/>
          </w:tcPr>
          <w:p w14:paraId="2CF798A2" w14:textId="77777777" w:rsidR="00D34C6F" w:rsidRPr="00CD1278" w:rsidRDefault="00D34C6F" w:rsidP="008277E3">
            <w:pPr>
              <w:spacing w:after="60"/>
              <w:rPr>
                <w:color w:val="auto"/>
                <w:sz w:val="10"/>
                <w:szCs w:val="10"/>
              </w:rPr>
            </w:pPr>
            <w:r w:rsidRPr="00CD1278">
              <w:rPr>
                <w:color w:val="auto"/>
                <w:sz w:val="10"/>
                <w:szCs w:val="10"/>
              </w:rPr>
              <w:t>12.075</w:t>
            </w:r>
          </w:p>
        </w:tc>
        <w:tc>
          <w:tcPr>
            <w:tcW w:w="567" w:type="dxa"/>
            <w:shd w:val="clear" w:color="auto" w:fill="auto"/>
            <w:vAlign w:val="center"/>
          </w:tcPr>
          <w:p w14:paraId="31A74729"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961AE3B" w14:textId="77777777" w:rsidR="00D34C6F" w:rsidRPr="00CD1278" w:rsidRDefault="00D34C6F" w:rsidP="008277E3">
            <w:pPr>
              <w:spacing w:after="60"/>
              <w:rPr>
                <w:color w:val="auto"/>
                <w:sz w:val="10"/>
                <w:szCs w:val="10"/>
              </w:rPr>
            </w:pPr>
          </w:p>
        </w:tc>
        <w:tc>
          <w:tcPr>
            <w:tcW w:w="567" w:type="dxa"/>
          </w:tcPr>
          <w:p w14:paraId="3366126F" w14:textId="77777777" w:rsidR="00D34C6F" w:rsidRPr="00CD1278" w:rsidRDefault="00D34C6F" w:rsidP="008277E3">
            <w:pPr>
              <w:spacing w:after="60"/>
              <w:jc w:val="center"/>
              <w:rPr>
                <w:color w:val="auto"/>
                <w:sz w:val="10"/>
                <w:szCs w:val="10"/>
              </w:rPr>
            </w:pPr>
          </w:p>
        </w:tc>
        <w:tc>
          <w:tcPr>
            <w:tcW w:w="567" w:type="dxa"/>
          </w:tcPr>
          <w:p w14:paraId="6DDDEFAF"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7640F1B9" w14:textId="77777777" w:rsidR="00D34C6F" w:rsidRPr="00CD1278" w:rsidRDefault="00D34C6F" w:rsidP="008277E3">
            <w:pPr>
              <w:spacing w:after="60"/>
              <w:rPr>
                <w:color w:val="auto"/>
                <w:sz w:val="10"/>
                <w:szCs w:val="10"/>
              </w:rPr>
            </w:pPr>
            <w:r w:rsidRPr="00CD1278">
              <w:rPr>
                <w:color w:val="auto"/>
                <w:sz w:val="10"/>
                <w:szCs w:val="10"/>
              </w:rPr>
              <w:t>129.000</w:t>
            </w:r>
          </w:p>
        </w:tc>
        <w:tc>
          <w:tcPr>
            <w:tcW w:w="709" w:type="dxa"/>
            <w:shd w:val="clear" w:color="auto" w:fill="auto"/>
            <w:vAlign w:val="center"/>
          </w:tcPr>
          <w:p w14:paraId="34864ECD" w14:textId="77777777" w:rsidR="00D34C6F" w:rsidRPr="00CD1278" w:rsidRDefault="00D34C6F" w:rsidP="008277E3">
            <w:pPr>
              <w:spacing w:after="60"/>
              <w:rPr>
                <w:color w:val="auto"/>
                <w:sz w:val="10"/>
                <w:szCs w:val="10"/>
              </w:rPr>
            </w:pPr>
            <w:r w:rsidRPr="00CD1278">
              <w:rPr>
                <w:color w:val="auto"/>
                <w:sz w:val="10"/>
                <w:szCs w:val="10"/>
              </w:rPr>
              <w:t>98.900</w:t>
            </w:r>
          </w:p>
        </w:tc>
        <w:tc>
          <w:tcPr>
            <w:tcW w:w="708" w:type="dxa"/>
            <w:shd w:val="clear" w:color="auto" w:fill="auto"/>
            <w:vAlign w:val="center"/>
          </w:tcPr>
          <w:p w14:paraId="1F89ED69" w14:textId="77777777" w:rsidR="00D34C6F" w:rsidRPr="00CD1278" w:rsidRDefault="00D34C6F" w:rsidP="008277E3">
            <w:pPr>
              <w:spacing w:after="60"/>
              <w:rPr>
                <w:color w:val="auto"/>
                <w:sz w:val="10"/>
                <w:szCs w:val="10"/>
              </w:rPr>
            </w:pPr>
            <w:r w:rsidRPr="00CD1278">
              <w:rPr>
                <w:color w:val="auto"/>
                <w:sz w:val="10"/>
                <w:szCs w:val="10"/>
              </w:rPr>
              <w:t>94.200</w:t>
            </w:r>
          </w:p>
        </w:tc>
        <w:tc>
          <w:tcPr>
            <w:tcW w:w="709" w:type="dxa"/>
            <w:shd w:val="clear" w:color="auto" w:fill="auto"/>
            <w:vAlign w:val="center"/>
          </w:tcPr>
          <w:p w14:paraId="09658DF2" w14:textId="77777777" w:rsidR="00D34C6F" w:rsidRPr="00CD1278" w:rsidRDefault="00D34C6F" w:rsidP="008277E3">
            <w:pPr>
              <w:spacing w:after="60"/>
              <w:rPr>
                <w:color w:val="auto"/>
                <w:sz w:val="10"/>
                <w:szCs w:val="10"/>
              </w:rPr>
            </w:pPr>
            <w:r w:rsidRPr="00CD1278">
              <w:rPr>
                <w:color w:val="auto"/>
                <w:sz w:val="10"/>
                <w:szCs w:val="10"/>
              </w:rPr>
              <w:t>32.475</w:t>
            </w:r>
          </w:p>
        </w:tc>
        <w:tc>
          <w:tcPr>
            <w:tcW w:w="567" w:type="dxa"/>
            <w:shd w:val="clear" w:color="auto" w:fill="auto"/>
            <w:vAlign w:val="center"/>
          </w:tcPr>
          <w:p w14:paraId="18032441" w14:textId="77777777" w:rsidR="00D34C6F" w:rsidRPr="00CD1278" w:rsidRDefault="00D34C6F" w:rsidP="008277E3">
            <w:pPr>
              <w:spacing w:after="60"/>
              <w:rPr>
                <w:color w:val="auto"/>
                <w:sz w:val="10"/>
                <w:szCs w:val="10"/>
              </w:rPr>
            </w:pPr>
            <w:r w:rsidRPr="00CD1278">
              <w:rPr>
                <w:color w:val="auto"/>
                <w:sz w:val="10"/>
                <w:szCs w:val="10"/>
              </w:rPr>
              <w:t>21.650</w:t>
            </w:r>
          </w:p>
        </w:tc>
        <w:tc>
          <w:tcPr>
            <w:tcW w:w="647" w:type="dxa"/>
            <w:shd w:val="clear" w:color="auto" w:fill="auto"/>
            <w:vAlign w:val="center"/>
          </w:tcPr>
          <w:p w14:paraId="4B9292F3" w14:textId="77777777" w:rsidR="00D34C6F" w:rsidRPr="00CD1278" w:rsidRDefault="00D34C6F" w:rsidP="008277E3">
            <w:pPr>
              <w:spacing w:after="60"/>
              <w:rPr>
                <w:color w:val="auto"/>
                <w:sz w:val="10"/>
                <w:szCs w:val="10"/>
              </w:rPr>
            </w:pPr>
            <w:r w:rsidRPr="00CD1278">
              <w:rPr>
                <w:color w:val="auto"/>
                <w:sz w:val="10"/>
                <w:szCs w:val="10"/>
              </w:rPr>
              <w:t>14.500</w:t>
            </w:r>
          </w:p>
        </w:tc>
        <w:tc>
          <w:tcPr>
            <w:tcW w:w="567" w:type="dxa"/>
            <w:shd w:val="clear" w:color="auto" w:fill="auto"/>
            <w:vAlign w:val="center"/>
          </w:tcPr>
          <w:p w14:paraId="511C5D1A" w14:textId="77777777" w:rsidR="00D34C6F" w:rsidRPr="00CD1278" w:rsidRDefault="00D34C6F" w:rsidP="008277E3">
            <w:pPr>
              <w:spacing w:after="60"/>
              <w:rPr>
                <w:color w:val="auto"/>
                <w:sz w:val="10"/>
                <w:szCs w:val="10"/>
              </w:rPr>
            </w:pPr>
            <w:r w:rsidRPr="00CD1278">
              <w:rPr>
                <w:color w:val="auto"/>
                <w:sz w:val="10"/>
                <w:szCs w:val="10"/>
              </w:rPr>
              <w:t>13.050</w:t>
            </w:r>
          </w:p>
        </w:tc>
        <w:tc>
          <w:tcPr>
            <w:tcW w:w="567" w:type="dxa"/>
            <w:shd w:val="clear" w:color="auto" w:fill="auto"/>
            <w:noWrap/>
            <w:vAlign w:val="center"/>
          </w:tcPr>
          <w:p w14:paraId="482C8CB4"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701EC28F" w14:textId="77777777" w:rsidR="00D34C6F" w:rsidRPr="00CD1278" w:rsidRDefault="00D34C6F" w:rsidP="008277E3">
            <w:pPr>
              <w:spacing w:after="60"/>
              <w:rPr>
                <w:b/>
                <w:color w:val="auto"/>
                <w:sz w:val="10"/>
                <w:szCs w:val="10"/>
              </w:rPr>
            </w:pPr>
          </w:p>
        </w:tc>
        <w:tc>
          <w:tcPr>
            <w:tcW w:w="567" w:type="dxa"/>
          </w:tcPr>
          <w:p w14:paraId="671ADABD" w14:textId="77777777" w:rsidR="00D34C6F" w:rsidRPr="00CD1278" w:rsidRDefault="00D34C6F" w:rsidP="008277E3">
            <w:pPr>
              <w:spacing w:after="60"/>
              <w:jc w:val="center"/>
              <w:rPr>
                <w:b/>
                <w:color w:val="auto"/>
                <w:sz w:val="10"/>
                <w:szCs w:val="10"/>
              </w:rPr>
            </w:pPr>
          </w:p>
        </w:tc>
        <w:tc>
          <w:tcPr>
            <w:tcW w:w="567" w:type="dxa"/>
          </w:tcPr>
          <w:p w14:paraId="0C4668FE" w14:textId="77777777" w:rsidR="00D34C6F" w:rsidRPr="00CD1278" w:rsidRDefault="00D34C6F" w:rsidP="008277E3">
            <w:pPr>
              <w:spacing w:after="60"/>
              <w:jc w:val="center"/>
              <w:rPr>
                <w:b/>
                <w:color w:val="auto"/>
                <w:sz w:val="10"/>
                <w:szCs w:val="10"/>
              </w:rPr>
            </w:pPr>
          </w:p>
        </w:tc>
        <w:tc>
          <w:tcPr>
            <w:tcW w:w="567" w:type="dxa"/>
          </w:tcPr>
          <w:p w14:paraId="04369412" w14:textId="77777777" w:rsidR="00D34C6F" w:rsidRPr="00CD1278" w:rsidRDefault="00D34C6F" w:rsidP="008277E3">
            <w:pPr>
              <w:spacing w:after="60"/>
              <w:jc w:val="center"/>
              <w:rPr>
                <w:b/>
                <w:color w:val="auto"/>
                <w:sz w:val="10"/>
                <w:szCs w:val="10"/>
              </w:rPr>
            </w:pPr>
          </w:p>
        </w:tc>
      </w:tr>
      <w:tr w:rsidR="003C102E" w:rsidRPr="00CD1278" w14:paraId="7B996FD7" w14:textId="77777777" w:rsidTr="008277E3">
        <w:trPr>
          <w:trHeight w:val="270"/>
          <w:jc w:val="center"/>
        </w:trPr>
        <w:tc>
          <w:tcPr>
            <w:tcW w:w="662" w:type="dxa"/>
            <w:shd w:val="clear" w:color="auto" w:fill="auto"/>
            <w:vAlign w:val="center"/>
          </w:tcPr>
          <w:p w14:paraId="3E9CF07D" w14:textId="77777777" w:rsidR="00D34C6F" w:rsidRPr="00CD1278" w:rsidRDefault="00D34C6F" w:rsidP="008277E3">
            <w:pPr>
              <w:spacing w:after="60"/>
              <w:rPr>
                <w:color w:val="auto"/>
                <w:sz w:val="12"/>
                <w:szCs w:val="12"/>
              </w:rPr>
            </w:pPr>
            <w:r w:rsidRPr="00CD1278">
              <w:rPr>
                <w:color w:val="auto"/>
                <w:sz w:val="12"/>
                <w:szCs w:val="12"/>
              </w:rPr>
              <w:t>Malta</w:t>
            </w:r>
          </w:p>
        </w:tc>
        <w:tc>
          <w:tcPr>
            <w:tcW w:w="824" w:type="dxa"/>
            <w:shd w:val="clear" w:color="auto" w:fill="auto"/>
            <w:vAlign w:val="center"/>
          </w:tcPr>
          <w:p w14:paraId="25C2BCDC" w14:textId="77777777" w:rsidR="00D34C6F" w:rsidRPr="00CD1278" w:rsidRDefault="00D34C6F" w:rsidP="00D1371C">
            <w:pPr>
              <w:spacing w:after="60"/>
              <w:ind w:left="-87"/>
              <w:rPr>
                <w:color w:val="auto"/>
                <w:sz w:val="12"/>
                <w:szCs w:val="12"/>
              </w:rPr>
            </w:pPr>
            <w:r w:rsidRPr="00CD1278">
              <w:rPr>
                <w:color w:val="auto"/>
                <w:sz w:val="12"/>
                <w:szCs w:val="12"/>
              </w:rPr>
              <w:t>Cucumber</w:t>
            </w:r>
          </w:p>
        </w:tc>
        <w:tc>
          <w:tcPr>
            <w:tcW w:w="770" w:type="dxa"/>
            <w:shd w:val="clear" w:color="auto" w:fill="auto"/>
            <w:vAlign w:val="center"/>
          </w:tcPr>
          <w:p w14:paraId="3AD40868"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7353585E" w14:textId="77777777" w:rsidR="00D34C6F" w:rsidRPr="00CD1278" w:rsidRDefault="00D34C6F" w:rsidP="008277E3">
            <w:pPr>
              <w:spacing w:after="60"/>
              <w:rPr>
                <w:color w:val="auto"/>
                <w:sz w:val="10"/>
                <w:szCs w:val="10"/>
              </w:rPr>
            </w:pPr>
            <w:r w:rsidRPr="00CD1278">
              <w:rPr>
                <w:color w:val="auto"/>
                <w:sz w:val="10"/>
                <w:szCs w:val="10"/>
              </w:rPr>
              <w:t>0.096</w:t>
            </w:r>
          </w:p>
        </w:tc>
        <w:tc>
          <w:tcPr>
            <w:tcW w:w="709" w:type="dxa"/>
            <w:shd w:val="clear" w:color="auto" w:fill="auto"/>
            <w:vAlign w:val="center"/>
          </w:tcPr>
          <w:p w14:paraId="5F71FF2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355DE9F"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04A4BB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D483A32"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16ED744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E9256B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F1516DA"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71A6C68" w14:textId="77777777" w:rsidR="00D34C6F" w:rsidRPr="00CD1278" w:rsidRDefault="00D34C6F" w:rsidP="008277E3">
            <w:pPr>
              <w:spacing w:after="60"/>
              <w:rPr>
                <w:color w:val="auto"/>
                <w:sz w:val="10"/>
                <w:szCs w:val="10"/>
              </w:rPr>
            </w:pPr>
          </w:p>
        </w:tc>
        <w:tc>
          <w:tcPr>
            <w:tcW w:w="567" w:type="dxa"/>
          </w:tcPr>
          <w:p w14:paraId="3BBDA900" w14:textId="77777777" w:rsidR="00D34C6F" w:rsidRPr="00CD1278" w:rsidRDefault="00D34C6F" w:rsidP="008277E3">
            <w:pPr>
              <w:spacing w:after="60"/>
              <w:jc w:val="center"/>
              <w:rPr>
                <w:color w:val="auto"/>
                <w:sz w:val="10"/>
                <w:szCs w:val="10"/>
              </w:rPr>
            </w:pPr>
          </w:p>
        </w:tc>
        <w:tc>
          <w:tcPr>
            <w:tcW w:w="567" w:type="dxa"/>
          </w:tcPr>
          <w:p w14:paraId="760928F5"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5875358A"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393D6C3" w14:textId="77777777" w:rsidR="00D34C6F" w:rsidRPr="00CD1278" w:rsidRDefault="00D34C6F" w:rsidP="008277E3">
            <w:pPr>
              <w:spacing w:after="60"/>
              <w:rPr>
                <w:color w:val="auto"/>
                <w:sz w:val="10"/>
                <w:szCs w:val="10"/>
              </w:rPr>
            </w:pPr>
            <w:r w:rsidRPr="00CD1278">
              <w:rPr>
                <w:color w:val="auto"/>
                <w:sz w:val="10"/>
                <w:szCs w:val="10"/>
              </w:rPr>
              <w:t>0.127</w:t>
            </w:r>
          </w:p>
        </w:tc>
        <w:tc>
          <w:tcPr>
            <w:tcW w:w="708" w:type="dxa"/>
            <w:shd w:val="clear" w:color="auto" w:fill="auto"/>
            <w:vAlign w:val="center"/>
          </w:tcPr>
          <w:p w14:paraId="79A2B254"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1A0494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D2755D9"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9153CD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ECB401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7665CF13"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3AC5F241" w14:textId="77777777" w:rsidR="00D34C6F" w:rsidRPr="00CD1278" w:rsidRDefault="00D34C6F" w:rsidP="008277E3">
            <w:pPr>
              <w:spacing w:after="60"/>
              <w:rPr>
                <w:b/>
                <w:color w:val="auto"/>
                <w:sz w:val="10"/>
                <w:szCs w:val="10"/>
              </w:rPr>
            </w:pPr>
          </w:p>
        </w:tc>
        <w:tc>
          <w:tcPr>
            <w:tcW w:w="567" w:type="dxa"/>
          </w:tcPr>
          <w:p w14:paraId="56EB863F" w14:textId="77777777" w:rsidR="00D34C6F" w:rsidRPr="00CD1278" w:rsidRDefault="00D34C6F" w:rsidP="008277E3">
            <w:pPr>
              <w:spacing w:after="60"/>
              <w:jc w:val="center"/>
              <w:rPr>
                <w:b/>
                <w:color w:val="auto"/>
                <w:sz w:val="10"/>
                <w:szCs w:val="10"/>
              </w:rPr>
            </w:pPr>
          </w:p>
        </w:tc>
        <w:tc>
          <w:tcPr>
            <w:tcW w:w="567" w:type="dxa"/>
          </w:tcPr>
          <w:p w14:paraId="248A088A" w14:textId="77777777" w:rsidR="00D34C6F" w:rsidRPr="00CD1278" w:rsidRDefault="00D34C6F" w:rsidP="008277E3">
            <w:pPr>
              <w:spacing w:after="60"/>
              <w:jc w:val="center"/>
              <w:rPr>
                <w:b/>
                <w:color w:val="auto"/>
                <w:sz w:val="10"/>
                <w:szCs w:val="10"/>
              </w:rPr>
            </w:pPr>
          </w:p>
        </w:tc>
        <w:tc>
          <w:tcPr>
            <w:tcW w:w="567" w:type="dxa"/>
          </w:tcPr>
          <w:p w14:paraId="5E764DF4" w14:textId="77777777" w:rsidR="00D34C6F" w:rsidRPr="00CD1278" w:rsidRDefault="00D34C6F" w:rsidP="008277E3">
            <w:pPr>
              <w:spacing w:after="60"/>
              <w:jc w:val="center"/>
              <w:rPr>
                <w:b/>
                <w:color w:val="auto"/>
                <w:sz w:val="10"/>
                <w:szCs w:val="10"/>
              </w:rPr>
            </w:pPr>
          </w:p>
        </w:tc>
      </w:tr>
      <w:tr w:rsidR="003C102E" w:rsidRPr="00CD1278" w14:paraId="60D7C4C0" w14:textId="77777777" w:rsidTr="008277E3">
        <w:trPr>
          <w:trHeight w:val="270"/>
          <w:jc w:val="center"/>
        </w:trPr>
        <w:tc>
          <w:tcPr>
            <w:tcW w:w="662" w:type="dxa"/>
            <w:shd w:val="clear" w:color="auto" w:fill="auto"/>
            <w:vAlign w:val="center"/>
          </w:tcPr>
          <w:p w14:paraId="48648204" w14:textId="77777777" w:rsidR="00D34C6F" w:rsidRPr="00CD1278" w:rsidRDefault="00D34C6F" w:rsidP="008277E3">
            <w:pPr>
              <w:spacing w:after="60"/>
              <w:rPr>
                <w:color w:val="auto"/>
                <w:sz w:val="12"/>
                <w:szCs w:val="12"/>
              </w:rPr>
            </w:pPr>
            <w:r w:rsidRPr="00CD1278">
              <w:rPr>
                <w:color w:val="auto"/>
                <w:sz w:val="12"/>
                <w:szCs w:val="12"/>
              </w:rPr>
              <w:t>Malta</w:t>
            </w:r>
          </w:p>
        </w:tc>
        <w:tc>
          <w:tcPr>
            <w:tcW w:w="824" w:type="dxa"/>
            <w:shd w:val="clear" w:color="auto" w:fill="auto"/>
            <w:vAlign w:val="center"/>
          </w:tcPr>
          <w:p w14:paraId="52DCB77B" w14:textId="77777777" w:rsidR="00D34C6F" w:rsidRPr="00CD1278" w:rsidRDefault="00D34C6F" w:rsidP="00D1371C">
            <w:pPr>
              <w:spacing w:after="60"/>
              <w:ind w:left="-87"/>
              <w:rPr>
                <w:color w:val="auto"/>
                <w:sz w:val="12"/>
                <w:szCs w:val="12"/>
              </w:rPr>
            </w:pPr>
            <w:r w:rsidRPr="00CD1278">
              <w:rPr>
                <w:color w:val="auto"/>
                <w:sz w:val="12"/>
                <w:szCs w:val="12"/>
              </w:rPr>
              <w:t>Eggplant</w:t>
            </w:r>
          </w:p>
        </w:tc>
        <w:tc>
          <w:tcPr>
            <w:tcW w:w="770" w:type="dxa"/>
            <w:shd w:val="clear" w:color="auto" w:fill="auto"/>
            <w:vAlign w:val="center"/>
          </w:tcPr>
          <w:p w14:paraId="7877D654"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28663CE4" w14:textId="77777777" w:rsidR="00D34C6F" w:rsidRPr="00CD1278" w:rsidRDefault="00D34C6F" w:rsidP="008277E3">
            <w:pPr>
              <w:spacing w:after="60"/>
              <w:rPr>
                <w:color w:val="auto"/>
                <w:sz w:val="10"/>
                <w:szCs w:val="10"/>
              </w:rPr>
            </w:pPr>
            <w:r w:rsidRPr="00CD1278">
              <w:rPr>
                <w:color w:val="auto"/>
                <w:sz w:val="10"/>
                <w:szCs w:val="10"/>
              </w:rPr>
              <w:t>0.128</w:t>
            </w:r>
          </w:p>
        </w:tc>
        <w:tc>
          <w:tcPr>
            <w:tcW w:w="709" w:type="dxa"/>
            <w:shd w:val="clear" w:color="auto" w:fill="auto"/>
            <w:vAlign w:val="center"/>
          </w:tcPr>
          <w:p w14:paraId="753AD1B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C8C3FFB"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B7F6C9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27649DB"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4EFC1E5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924C9E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3622B4F"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8245CB9" w14:textId="77777777" w:rsidR="00D34C6F" w:rsidRPr="00CD1278" w:rsidRDefault="00D34C6F" w:rsidP="008277E3">
            <w:pPr>
              <w:spacing w:after="60"/>
              <w:rPr>
                <w:color w:val="auto"/>
                <w:sz w:val="10"/>
                <w:szCs w:val="10"/>
              </w:rPr>
            </w:pPr>
          </w:p>
        </w:tc>
        <w:tc>
          <w:tcPr>
            <w:tcW w:w="567" w:type="dxa"/>
          </w:tcPr>
          <w:p w14:paraId="26061C0C" w14:textId="77777777" w:rsidR="00D34C6F" w:rsidRPr="00CD1278" w:rsidRDefault="00D34C6F" w:rsidP="008277E3">
            <w:pPr>
              <w:spacing w:after="60"/>
              <w:jc w:val="center"/>
              <w:rPr>
                <w:color w:val="auto"/>
                <w:sz w:val="10"/>
                <w:szCs w:val="10"/>
              </w:rPr>
            </w:pPr>
          </w:p>
        </w:tc>
        <w:tc>
          <w:tcPr>
            <w:tcW w:w="567" w:type="dxa"/>
          </w:tcPr>
          <w:p w14:paraId="536EAF22"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58417CB9"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35AA916" w14:textId="77777777" w:rsidR="00D34C6F" w:rsidRPr="00CD1278" w:rsidRDefault="00D34C6F" w:rsidP="008277E3">
            <w:pPr>
              <w:spacing w:after="60"/>
              <w:rPr>
                <w:color w:val="auto"/>
                <w:sz w:val="10"/>
                <w:szCs w:val="10"/>
              </w:rPr>
            </w:pPr>
            <w:r w:rsidRPr="00CD1278">
              <w:rPr>
                <w:color w:val="auto"/>
                <w:sz w:val="10"/>
                <w:szCs w:val="10"/>
              </w:rPr>
              <w:t>0.170</w:t>
            </w:r>
          </w:p>
        </w:tc>
        <w:tc>
          <w:tcPr>
            <w:tcW w:w="708" w:type="dxa"/>
            <w:shd w:val="clear" w:color="auto" w:fill="auto"/>
            <w:vAlign w:val="center"/>
          </w:tcPr>
          <w:p w14:paraId="28158FB4"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E36B6A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409B201"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32FEB6F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0BD08A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F01C4FD"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21EEDAFB" w14:textId="77777777" w:rsidR="00D34C6F" w:rsidRPr="00CD1278" w:rsidRDefault="00D34C6F" w:rsidP="008277E3">
            <w:pPr>
              <w:spacing w:after="60"/>
              <w:rPr>
                <w:b/>
                <w:color w:val="auto"/>
                <w:sz w:val="10"/>
                <w:szCs w:val="10"/>
              </w:rPr>
            </w:pPr>
          </w:p>
        </w:tc>
        <w:tc>
          <w:tcPr>
            <w:tcW w:w="567" w:type="dxa"/>
          </w:tcPr>
          <w:p w14:paraId="63538415" w14:textId="77777777" w:rsidR="00D34C6F" w:rsidRPr="00CD1278" w:rsidRDefault="00D34C6F" w:rsidP="008277E3">
            <w:pPr>
              <w:spacing w:after="60"/>
              <w:jc w:val="center"/>
              <w:rPr>
                <w:b/>
                <w:color w:val="auto"/>
                <w:sz w:val="10"/>
                <w:szCs w:val="10"/>
              </w:rPr>
            </w:pPr>
          </w:p>
        </w:tc>
        <w:tc>
          <w:tcPr>
            <w:tcW w:w="567" w:type="dxa"/>
          </w:tcPr>
          <w:p w14:paraId="15FEFC9D" w14:textId="77777777" w:rsidR="00D34C6F" w:rsidRPr="00CD1278" w:rsidRDefault="00D34C6F" w:rsidP="008277E3">
            <w:pPr>
              <w:spacing w:after="60"/>
              <w:jc w:val="center"/>
              <w:rPr>
                <w:b/>
                <w:color w:val="auto"/>
                <w:sz w:val="10"/>
                <w:szCs w:val="10"/>
              </w:rPr>
            </w:pPr>
          </w:p>
        </w:tc>
        <w:tc>
          <w:tcPr>
            <w:tcW w:w="567" w:type="dxa"/>
          </w:tcPr>
          <w:p w14:paraId="722DC47C" w14:textId="77777777" w:rsidR="00D34C6F" w:rsidRPr="00CD1278" w:rsidRDefault="00D34C6F" w:rsidP="008277E3">
            <w:pPr>
              <w:spacing w:after="60"/>
              <w:jc w:val="center"/>
              <w:rPr>
                <w:b/>
                <w:color w:val="auto"/>
                <w:sz w:val="10"/>
                <w:szCs w:val="10"/>
              </w:rPr>
            </w:pPr>
          </w:p>
        </w:tc>
      </w:tr>
      <w:tr w:rsidR="003C102E" w:rsidRPr="00CD1278" w14:paraId="111D12AC" w14:textId="77777777" w:rsidTr="008277E3">
        <w:trPr>
          <w:trHeight w:val="270"/>
          <w:jc w:val="center"/>
        </w:trPr>
        <w:tc>
          <w:tcPr>
            <w:tcW w:w="662" w:type="dxa"/>
            <w:shd w:val="clear" w:color="auto" w:fill="auto"/>
            <w:vAlign w:val="center"/>
          </w:tcPr>
          <w:p w14:paraId="50A3F5C1" w14:textId="77777777" w:rsidR="00D34C6F" w:rsidRPr="00CD1278" w:rsidRDefault="00D34C6F" w:rsidP="008277E3">
            <w:pPr>
              <w:spacing w:after="60"/>
              <w:rPr>
                <w:color w:val="auto"/>
                <w:sz w:val="12"/>
                <w:szCs w:val="12"/>
              </w:rPr>
            </w:pPr>
            <w:r w:rsidRPr="00CD1278">
              <w:rPr>
                <w:color w:val="auto"/>
                <w:sz w:val="12"/>
                <w:szCs w:val="12"/>
              </w:rPr>
              <w:t>Malta</w:t>
            </w:r>
          </w:p>
        </w:tc>
        <w:tc>
          <w:tcPr>
            <w:tcW w:w="824" w:type="dxa"/>
            <w:shd w:val="clear" w:color="auto" w:fill="auto"/>
            <w:vAlign w:val="center"/>
          </w:tcPr>
          <w:p w14:paraId="3D17DE8E" w14:textId="77777777" w:rsidR="00D34C6F" w:rsidRPr="00CD1278" w:rsidRDefault="00D34C6F" w:rsidP="00D1371C">
            <w:pPr>
              <w:spacing w:after="60"/>
              <w:ind w:left="-87"/>
              <w:rPr>
                <w:color w:val="auto"/>
                <w:sz w:val="12"/>
                <w:szCs w:val="12"/>
              </w:rPr>
            </w:pPr>
            <w:r w:rsidRPr="00CD1278">
              <w:rPr>
                <w:color w:val="auto"/>
                <w:sz w:val="12"/>
                <w:szCs w:val="12"/>
              </w:rPr>
              <w:t>Strawberry</w:t>
            </w:r>
          </w:p>
        </w:tc>
        <w:tc>
          <w:tcPr>
            <w:tcW w:w="770" w:type="dxa"/>
            <w:shd w:val="clear" w:color="auto" w:fill="auto"/>
            <w:vAlign w:val="center"/>
          </w:tcPr>
          <w:p w14:paraId="57C1C793"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40123203" w14:textId="77777777" w:rsidR="00D34C6F" w:rsidRPr="00CD1278" w:rsidRDefault="00D34C6F" w:rsidP="008277E3">
            <w:pPr>
              <w:spacing w:after="60"/>
              <w:rPr>
                <w:color w:val="auto"/>
                <w:sz w:val="10"/>
                <w:szCs w:val="10"/>
              </w:rPr>
            </w:pPr>
            <w:r w:rsidRPr="00CD1278">
              <w:rPr>
                <w:color w:val="auto"/>
                <w:sz w:val="10"/>
                <w:szCs w:val="10"/>
              </w:rPr>
              <w:t>0.160</w:t>
            </w:r>
          </w:p>
        </w:tc>
        <w:tc>
          <w:tcPr>
            <w:tcW w:w="709" w:type="dxa"/>
            <w:shd w:val="clear" w:color="auto" w:fill="auto"/>
            <w:vAlign w:val="center"/>
          </w:tcPr>
          <w:p w14:paraId="15156E3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232E922"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626A86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41826CE"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1D95721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945F01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B1843C6"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4CECDD38" w14:textId="77777777" w:rsidR="00D34C6F" w:rsidRPr="00CD1278" w:rsidRDefault="00D34C6F" w:rsidP="008277E3">
            <w:pPr>
              <w:spacing w:after="60"/>
              <w:rPr>
                <w:color w:val="auto"/>
                <w:sz w:val="10"/>
                <w:szCs w:val="10"/>
              </w:rPr>
            </w:pPr>
          </w:p>
        </w:tc>
        <w:tc>
          <w:tcPr>
            <w:tcW w:w="567" w:type="dxa"/>
          </w:tcPr>
          <w:p w14:paraId="35EF8277" w14:textId="77777777" w:rsidR="00D34C6F" w:rsidRPr="00CD1278" w:rsidRDefault="00D34C6F" w:rsidP="008277E3">
            <w:pPr>
              <w:spacing w:after="60"/>
              <w:jc w:val="center"/>
              <w:rPr>
                <w:color w:val="auto"/>
                <w:sz w:val="10"/>
                <w:szCs w:val="10"/>
              </w:rPr>
            </w:pPr>
          </w:p>
        </w:tc>
        <w:tc>
          <w:tcPr>
            <w:tcW w:w="567" w:type="dxa"/>
          </w:tcPr>
          <w:p w14:paraId="406CCFE5"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97054AB"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56CDABE" w14:textId="77777777" w:rsidR="00D34C6F" w:rsidRPr="00CD1278" w:rsidRDefault="00D34C6F" w:rsidP="008277E3">
            <w:pPr>
              <w:spacing w:after="60"/>
              <w:rPr>
                <w:color w:val="auto"/>
                <w:sz w:val="10"/>
                <w:szCs w:val="10"/>
              </w:rPr>
            </w:pPr>
            <w:r w:rsidRPr="00CD1278">
              <w:rPr>
                <w:color w:val="auto"/>
                <w:sz w:val="10"/>
                <w:szCs w:val="10"/>
              </w:rPr>
              <w:t>0.212</w:t>
            </w:r>
          </w:p>
        </w:tc>
        <w:tc>
          <w:tcPr>
            <w:tcW w:w="708" w:type="dxa"/>
            <w:shd w:val="clear" w:color="auto" w:fill="auto"/>
            <w:vAlign w:val="center"/>
          </w:tcPr>
          <w:p w14:paraId="4C1094D2"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32A286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35D221A"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6F2371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538E3C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287CC8C"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7EBEDC9D" w14:textId="77777777" w:rsidR="00D34C6F" w:rsidRPr="00CD1278" w:rsidRDefault="00D34C6F" w:rsidP="008277E3">
            <w:pPr>
              <w:spacing w:after="60"/>
              <w:rPr>
                <w:b/>
                <w:color w:val="auto"/>
                <w:sz w:val="10"/>
                <w:szCs w:val="10"/>
              </w:rPr>
            </w:pPr>
          </w:p>
        </w:tc>
        <w:tc>
          <w:tcPr>
            <w:tcW w:w="567" w:type="dxa"/>
          </w:tcPr>
          <w:p w14:paraId="7B22775B" w14:textId="77777777" w:rsidR="00D34C6F" w:rsidRPr="00CD1278" w:rsidRDefault="00D34C6F" w:rsidP="008277E3">
            <w:pPr>
              <w:spacing w:after="60"/>
              <w:jc w:val="center"/>
              <w:rPr>
                <w:b/>
                <w:color w:val="auto"/>
                <w:sz w:val="10"/>
                <w:szCs w:val="10"/>
              </w:rPr>
            </w:pPr>
          </w:p>
        </w:tc>
        <w:tc>
          <w:tcPr>
            <w:tcW w:w="567" w:type="dxa"/>
          </w:tcPr>
          <w:p w14:paraId="7449D5DE" w14:textId="77777777" w:rsidR="00D34C6F" w:rsidRPr="00CD1278" w:rsidRDefault="00D34C6F" w:rsidP="008277E3">
            <w:pPr>
              <w:spacing w:after="60"/>
              <w:jc w:val="center"/>
              <w:rPr>
                <w:b/>
                <w:color w:val="auto"/>
                <w:sz w:val="10"/>
                <w:szCs w:val="10"/>
              </w:rPr>
            </w:pPr>
          </w:p>
        </w:tc>
        <w:tc>
          <w:tcPr>
            <w:tcW w:w="567" w:type="dxa"/>
          </w:tcPr>
          <w:p w14:paraId="4F9E9092" w14:textId="77777777" w:rsidR="00D34C6F" w:rsidRPr="00CD1278" w:rsidRDefault="00D34C6F" w:rsidP="008277E3">
            <w:pPr>
              <w:spacing w:after="60"/>
              <w:jc w:val="center"/>
              <w:rPr>
                <w:b/>
                <w:color w:val="auto"/>
                <w:sz w:val="10"/>
                <w:szCs w:val="10"/>
              </w:rPr>
            </w:pPr>
          </w:p>
        </w:tc>
      </w:tr>
      <w:tr w:rsidR="003C102E" w:rsidRPr="00CD1278" w14:paraId="5201D682" w14:textId="77777777" w:rsidTr="008277E3">
        <w:trPr>
          <w:trHeight w:val="270"/>
          <w:jc w:val="center"/>
        </w:trPr>
        <w:tc>
          <w:tcPr>
            <w:tcW w:w="662" w:type="dxa"/>
            <w:shd w:val="clear" w:color="auto" w:fill="auto"/>
            <w:vAlign w:val="center"/>
          </w:tcPr>
          <w:p w14:paraId="23621DF6" w14:textId="77777777" w:rsidR="00D34C6F" w:rsidRPr="00CD1278" w:rsidRDefault="00D34C6F" w:rsidP="008277E3">
            <w:pPr>
              <w:spacing w:after="60"/>
              <w:rPr>
                <w:color w:val="auto"/>
                <w:sz w:val="12"/>
                <w:szCs w:val="12"/>
              </w:rPr>
            </w:pPr>
            <w:r w:rsidRPr="00CD1278">
              <w:rPr>
                <w:color w:val="auto"/>
                <w:sz w:val="12"/>
                <w:szCs w:val="12"/>
              </w:rPr>
              <w:t>Malta</w:t>
            </w:r>
          </w:p>
        </w:tc>
        <w:tc>
          <w:tcPr>
            <w:tcW w:w="824" w:type="dxa"/>
            <w:shd w:val="clear" w:color="auto" w:fill="auto"/>
            <w:vAlign w:val="center"/>
          </w:tcPr>
          <w:p w14:paraId="0624392B" w14:textId="77777777" w:rsidR="00D34C6F" w:rsidRPr="00CD1278" w:rsidRDefault="00D34C6F" w:rsidP="00D1371C">
            <w:pPr>
              <w:spacing w:after="60"/>
              <w:ind w:left="-87"/>
              <w:rPr>
                <w:color w:val="auto"/>
                <w:sz w:val="12"/>
                <w:szCs w:val="12"/>
              </w:rPr>
            </w:pPr>
            <w:r w:rsidRPr="00CD1278">
              <w:rPr>
                <w:color w:val="auto"/>
                <w:sz w:val="12"/>
                <w:szCs w:val="12"/>
              </w:rPr>
              <w:t>Tomatoes</w:t>
            </w:r>
          </w:p>
        </w:tc>
        <w:tc>
          <w:tcPr>
            <w:tcW w:w="770" w:type="dxa"/>
            <w:shd w:val="clear" w:color="auto" w:fill="auto"/>
            <w:vAlign w:val="center"/>
          </w:tcPr>
          <w:p w14:paraId="36B1CF15"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E6235C3" w14:textId="77777777" w:rsidR="00D34C6F" w:rsidRPr="00CD1278" w:rsidRDefault="00D34C6F" w:rsidP="008277E3">
            <w:pPr>
              <w:spacing w:after="60"/>
              <w:rPr>
                <w:color w:val="auto"/>
                <w:sz w:val="10"/>
                <w:szCs w:val="10"/>
              </w:rPr>
            </w:pPr>
            <w:r w:rsidRPr="00CD1278">
              <w:rPr>
                <w:color w:val="auto"/>
                <w:sz w:val="10"/>
                <w:szCs w:val="10"/>
              </w:rPr>
              <w:t>0.475</w:t>
            </w:r>
          </w:p>
        </w:tc>
        <w:tc>
          <w:tcPr>
            <w:tcW w:w="709" w:type="dxa"/>
            <w:shd w:val="clear" w:color="auto" w:fill="auto"/>
            <w:vAlign w:val="center"/>
          </w:tcPr>
          <w:p w14:paraId="78B5719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3D2F848"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F8BC0F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F75AEC6"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0BEB7E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FA0CCF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6E3E93C"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30778F68" w14:textId="77777777" w:rsidR="00D34C6F" w:rsidRPr="00CD1278" w:rsidRDefault="00D34C6F" w:rsidP="008277E3">
            <w:pPr>
              <w:spacing w:after="60"/>
              <w:rPr>
                <w:color w:val="auto"/>
                <w:sz w:val="10"/>
                <w:szCs w:val="10"/>
              </w:rPr>
            </w:pPr>
          </w:p>
        </w:tc>
        <w:tc>
          <w:tcPr>
            <w:tcW w:w="567" w:type="dxa"/>
          </w:tcPr>
          <w:p w14:paraId="75C55A73" w14:textId="77777777" w:rsidR="00D34C6F" w:rsidRPr="00CD1278" w:rsidRDefault="00D34C6F" w:rsidP="008277E3">
            <w:pPr>
              <w:spacing w:after="60"/>
              <w:jc w:val="center"/>
              <w:rPr>
                <w:color w:val="auto"/>
                <w:sz w:val="10"/>
                <w:szCs w:val="10"/>
              </w:rPr>
            </w:pPr>
          </w:p>
        </w:tc>
        <w:tc>
          <w:tcPr>
            <w:tcW w:w="567" w:type="dxa"/>
          </w:tcPr>
          <w:p w14:paraId="2F2BED88"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434448B5"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DA61A7A" w14:textId="77777777" w:rsidR="00D34C6F" w:rsidRPr="00CD1278" w:rsidRDefault="00D34C6F" w:rsidP="008277E3">
            <w:pPr>
              <w:spacing w:after="60"/>
              <w:rPr>
                <w:color w:val="auto"/>
                <w:sz w:val="10"/>
                <w:szCs w:val="10"/>
              </w:rPr>
            </w:pPr>
            <w:r w:rsidRPr="00CD1278">
              <w:rPr>
                <w:color w:val="auto"/>
                <w:sz w:val="10"/>
                <w:szCs w:val="10"/>
              </w:rPr>
              <w:t>0.594</w:t>
            </w:r>
          </w:p>
        </w:tc>
        <w:tc>
          <w:tcPr>
            <w:tcW w:w="708" w:type="dxa"/>
            <w:shd w:val="clear" w:color="auto" w:fill="auto"/>
            <w:vAlign w:val="center"/>
          </w:tcPr>
          <w:p w14:paraId="5852822D"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058D99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BA0E04F"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5C9F7D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034BA7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71E2EB4E"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2969FB62" w14:textId="77777777" w:rsidR="00D34C6F" w:rsidRPr="00CD1278" w:rsidRDefault="00D34C6F" w:rsidP="008277E3">
            <w:pPr>
              <w:spacing w:after="60"/>
              <w:rPr>
                <w:b/>
                <w:color w:val="auto"/>
                <w:sz w:val="10"/>
                <w:szCs w:val="10"/>
              </w:rPr>
            </w:pPr>
          </w:p>
        </w:tc>
        <w:tc>
          <w:tcPr>
            <w:tcW w:w="567" w:type="dxa"/>
          </w:tcPr>
          <w:p w14:paraId="61DDB5BE" w14:textId="77777777" w:rsidR="00D34C6F" w:rsidRPr="00CD1278" w:rsidRDefault="00D34C6F" w:rsidP="008277E3">
            <w:pPr>
              <w:spacing w:after="60"/>
              <w:jc w:val="center"/>
              <w:rPr>
                <w:b/>
                <w:color w:val="auto"/>
                <w:sz w:val="10"/>
                <w:szCs w:val="10"/>
              </w:rPr>
            </w:pPr>
          </w:p>
        </w:tc>
        <w:tc>
          <w:tcPr>
            <w:tcW w:w="567" w:type="dxa"/>
          </w:tcPr>
          <w:p w14:paraId="11921D62" w14:textId="77777777" w:rsidR="00D34C6F" w:rsidRPr="00CD1278" w:rsidRDefault="00D34C6F" w:rsidP="008277E3">
            <w:pPr>
              <w:spacing w:after="60"/>
              <w:jc w:val="center"/>
              <w:rPr>
                <w:b/>
                <w:color w:val="auto"/>
                <w:sz w:val="10"/>
                <w:szCs w:val="10"/>
              </w:rPr>
            </w:pPr>
          </w:p>
        </w:tc>
        <w:tc>
          <w:tcPr>
            <w:tcW w:w="567" w:type="dxa"/>
          </w:tcPr>
          <w:p w14:paraId="2D7DE689" w14:textId="77777777" w:rsidR="00D34C6F" w:rsidRPr="00CD1278" w:rsidRDefault="00D34C6F" w:rsidP="008277E3">
            <w:pPr>
              <w:spacing w:after="60"/>
              <w:jc w:val="center"/>
              <w:rPr>
                <w:b/>
                <w:color w:val="auto"/>
                <w:sz w:val="10"/>
                <w:szCs w:val="10"/>
              </w:rPr>
            </w:pPr>
          </w:p>
        </w:tc>
      </w:tr>
      <w:tr w:rsidR="003C102E" w:rsidRPr="00CD1278" w14:paraId="20A6A1E0" w14:textId="77777777" w:rsidTr="008277E3">
        <w:trPr>
          <w:trHeight w:val="465"/>
          <w:jc w:val="center"/>
        </w:trPr>
        <w:tc>
          <w:tcPr>
            <w:tcW w:w="662" w:type="dxa"/>
            <w:shd w:val="clear" w:color="auto" w:fill="auto"/>
            <w:vAlign w:val="center"/>
          </w:tcPr>
          <w:p w14:paraId="2B8F10AB" w14:textId="77777777" w:rsidR="00D34C6F" w:rsidRPr="00CD1278" w:rsidRDefault="00D34C6F" w:rsidP="008277E3">
            <w:pPr>
              <w:spacing w:after="60"/>
              <w:rPr>
                <w:color w:val="auto"/>
                <w:sz w:val="12"/>
                <w:szCs w:val="12"/>
              </w:rPr>
            </w:pPr>
            <w:r w:rsidRPr="00CD1278">
              <w:rPr>
                <w:color w:val="auto"/>
                <w:sz w:val="12"/>
                <w:szCs w:val="12"/>
              </w:rPr>
              <w:t>New Zealand</w:t>
            </w:r>
          </w:p>
        </w:tc>
        <w:tc>
          <w:tcPr>
            <w:tcW w:w="824" w:type="dxa"/>
            <w:shd w:val="clear" w:color="auto" w:fill="auto"/>
            <w:vAlign w:val="center"/>
          </w:tcPr>
          <w:p w14:paraId="2A7F48FD" w14:textId="77777777" w:rsidR="00D34C6F" w:rsidRPr="00CD1278" w:rsidRDefault="00D34C6F" w:rsidP="00D1371C">
            <w:pPr>
              <w:spacing w:after="60"/>
              <w:ind w:left="-87"/>
              <w:rPr>
                <w:color w:val="auto"/>
                <w:sz w:val="12"/>
                <w:szCs w:val="12"/>
              </w:rPr>
            </w:pPr>
            <w:r w:rsidRPr="00CD1278">
              <w:rPr>
                <w:color w:val="auto"/>
                <w:sz w:val="12"/>
                <w:szCs w:val="12"/>
              </w:rPr>
              <w:t>Nursery material</w:t>
            </w:r>
          </w:p>
        </w:tc>
        <w:tc>
          <w:tcPr>
            <w:tcW w:w="770" w:type="dxa"/>
            <w:shd w:val="clear" w:color="auto" w:fill="auto"/>
            <w:vAlign w:val="center"/>
          </w:tcPr>
          <w:p w14:paraId="701FD5B8" w14:textId="77777777" w:rsidR="00D34C6F" w:rsidRPr="00CD1278" w:rsidRDefault="00D34C6F" w:rsidP="008277E3">
            <w:pPr>
              <w:spacing w:after="60"/>
              <w:rPr>
                <w:color w:val="auto"/>
                <w:sz w:val="10"/>
                <w:szCs w:val="10"/>
              </w:rPr>
            </w:pPr>
            <w:r w:rsidRPr="00CD1278">
              <w:rPr>
                <w:color w:val="auto"/>
                <w:sz w:val="10"/>
                <w:szCs w:val="10"/>
              </w:rPr>
              <w:t>1.085</w:t>
            </w:r>
          </w:p>
        </w:tc>
        <w:tc>
          <w:tcPr>
            <w:tcW w:w="647" w:type="dxa"/>
            <w:shd w:val="clear" w:color="auto" w:fill="auto"/>
            <w:vAlign w:val="center"/>
          </w:tcPr>
          <w:p w14:paraId="1056DC72" w14:textId="77777777" w:rsidR="00D34C6F" w:rsidRPr="00CD1278" w:rsidRDefault="00D34C6F" w:rsidP="008277E3">
            <w:pPr>
              <w:spacing w:after="60"/>
              <w:rPr>
                <w:color w:val="auto"/>
                <w:sz w:val="10"/>
                <w:szCs w:val="10"/>
              </w:rPr>
            </w:pPr>
            <w:r w:rsidRPr="00CD1278">
              <w:rPr>
                <w:color w:val="auto"/>
                <w:sz w:val="10"/>
                <w:szCs w:val="10"/>
              </w:rPr>
              <w:t>1.085</w:t>
            </w:r>
          </w:p>
        </w:tc>
        <w:tc>
          <w:tcPr>
            <w:tcW w:w="709" w:type="dxa"/>
            <w:shd w:val="clear" w:color="auto" w:fill="auto"/>
            <w:vAlign w:val="center"/>
          </w:tcPr>
          <w:p w14:paraId="6F53CAC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C96BABC"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D86B01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31F1F13"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BF8143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72D373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CABDE4C"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587BCE9E" w14:textId="77777777" w:rsidR="00D34C6F" w:rsidRPr="00CD1278" w:rsidRDefault="00D34C6F" w:rsidP="008277E3">
            <w:pPr>
              <w:spacing w:after="60"/>
              <w:rPr>
                <w:color w:val="auto"/>
                <w:sz w:val="10"/>
                <w:szCs w:val="10"/>
              </w:rPr>
            </w:pPr>
          </w:p>
        </w:tc>
        <w:tc>
          <w:tcPr>
            <w:tcW w:w="567" w:type="dxa"/>
          </w:tcPr>
          <w:p w14:paraId="20B26867" w14:textId="77777777" w:rsidR="00D34C6F" w:rsidRPr="00CD1278" w:rsidRDefault="00D34C6F" w:rsidP="008277E3">
            <w:pPr>
              <w:spacing w:after="60"/>
              <w:jc w:val="center"/>
              <w:rPr>
                <w:color w:val="auto"/>
                <w:sz w:val="10"/>
                <w:szCs w:val="10"/>
              </w:rPr>
            </w:pPr>
          </w:p>
        </w:tc>
        <w:tc>
          <w:tcPr>
            <w:tcW w:w="567" w:type="dxa"/>
          </w:tcPr>
          <w:p w14:paraId="775C0B8F"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1346C7B"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3326427" w14:textId="77777777" w:rsidR="00D34C6F" w:rsidRPr="00CD1278" w:rsidRDefault="00D34C6F" w:rsidP="008277E3">
            <w:pPr>
              <w:spacing w:after="60"/>
              <w:rPr>
                <w:color w:val="auto"/>
                <w:sz w:val="10"/>
                <w:szCs w:val="10"/>
              </w:rPr>
            </w:pPr>
            <w:r w:rsidRPr="00CD1278">
              <w:rPr>
                <w:color w:val="auto"/>
                <w:sz w:val="10"/>
                <w:szCs w:val="10"/>
              </w:rPr>
              <w:t>0</w:t>
            </w:r>
          </w:p>
        </w:tc>
        <w:tc>
          <w:tcPr>
            <w:tcW w:w="708" w:type="dxa"/>
            <w:shd w:val="clear" w:color="auto" w:fill="auto"/>
            <w:vAlign w:val="center"/>
          </w:tcPr>
          <w:p w14:paraId="6F391238"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B7CD77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F62EA6F"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10C8AE6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DD80FB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64DFDF4E"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7B86AF0A" w14:textId="77777777" w:rsidR="00D34C6F" w:rsidRPr="00CD1278" w:rsidRDefault="00D34C6F" w:rsidP="008277E3">
            <w:pPr>
              <w:spacing w:after="60"/>
              <w:rPr>
                <w:b/>
                <w:color w:val="auto"/>
                <w:sz w:val="10"/>
                <w:szCs w:val="10"/>
              </w:rPr>
            </w:pPr>
          </w:p>
        </w:tc>
        <w:tc>
          <w:tcPr>
            <w:tcW w:w="567" w:type="dxa"/>
          </w:tcPr>
          <w:p w14:paraId="78F60E90" w14:textId="77777777" w:rsidR="00D34C6F" w:rsidRPr="00CD1278" w:rsidRDefault="00D34C6F" w:rsidP="008277E3">
            <w:pPr>
              <w:spacing w:after="60"/>
              <w:jc w:val="center"/>
              <w:rPr>
                <w:b/>
                <w:color w:val="auto"/>
                <w:sz w:val="10"/>
                <w:szCs w:val="10"/>
              </w:rPr>
            </w:pPr>
          </w:p>
        </w:tc>
        <w:tc>
          <w:tcPr>
            <w:tcW w:w="567" w:type="dxa"/>
          </w:tcPr>
          <w:p w14:paraId="129994F0" w14:textId="77777777" w:rsidR="00D34C6F" w:rsidRPr="00CD1278" w:rsidRDefault="00D34C6F" w:rsidP="008277E3">
            <w:pPr>
              <w:spacing w:after="60"/>
              <w:jc w:val="center"/>
              <w:rPr>
                <w:b/>
                <w:color w:val="auto"/>
                <w:sz w:val="10"/>
                <w:szCs w:val="10"/>
              </w:rPr>
            </w:pPr>
          </w:p>
        </w:tc>
        <w:tc>
          <w:tcPr>
            <w:tcW w:w="567" w:type="dxa"/>
          </w:tcPr>
          <w:p w14:paraId="28F380F3" w14:textId="77777777" w:rsidR="00D34C6F" w:rsidRPr="00CD1278" w:rsidRDefault="00D34C6F" w:rsidP="008277E3">
            <w:pPr>
              <w:spacing w:after="60"/>
              <w:jc w:val="center"/>
              <w:rPr>
                <w:b/>
                <w:color w:val="auto"/>
                <w:sz w:val="10"/>
                <w:szCs w:val="10"/>
              </w:rPr>
            </w:pPr>
          </w:p>
        </w:tc>
      </w:tr>
      <w:tr w:rsidR="003C102E" w:rsidRPr="00CD1278" w14:paraId="6F4B3316" w14:textId="77777777" w:rsidTr="008277E3">
        <w:trPr>
          <w:trHeight w:val="465"/>
          <w:jc w:val="center"/>
        </w:trPr>
        <w:tc>
          <w:tcPr>
            <w:tcW w:w="662" w:type="dxa"/>
            <w:shd w:val="clear" w:color="auto" w:fill="auto"/>
            <w:vAlign w:val="center"/>
          </w:tcPr>
          <w:p w14:paraId="339CDFAC" w14:textId="77777777" w:rsidR="00D34C6F" w:rsidRPr="00CD1278" w:rsidRDefault="00D34C6F" w:rsidP="008277E3">
            <w:pPr>
              <w:spacing w:after="60"/>
              <w:rPr>
                <w:color w:val="auto"/>
                <w:sz w:val="12"/>
                <w:szCs w:val="12"/>
              </w:rPr>
            </w:pPr>
            <w:r w:rsidRPr="00CD1278">
              <w:rPr>
                <w:color w:val="auto"/>
                <w:sz w:val="12"/>
                <w:szCs w:val="12"/>
              </w:rPr>
              <w:t>New Zealand</w:t>
            </w:r>
          </w:p>
        </w:tc>
        <w:tc>
          <w:tcPr>
            <w:tcW w:w="824" w:type="dxa"/>
            <w:shd w:val="clear" w:color="auto" w:fill="auto"/>
            <w:vAlign w:val="center"/>
          </w:tcPr>
          <w:p w14:paraId="243DA666" w14:textId="77777777" w:rsidR="00D34C6F" w:rsidRPr="00CD1278" w:rsidRDefault="00D34C6F" w:rsidP="00D1371C">
            <w:pPr>
              <w:spacing w:after="60"/>
              <w:ind w:left="-87"/>
              <w:rPr>
                <w:color w:val="auto"/>
                <w:sz w:val="12"/>
                <w:szCs w:val="12"/>
              </w:rPr>
            </w:pPr>
            <w:r w:rsidRPr="00CD1278">
              <w:rPr>
                <w:color w:val="auto"/>
                <w:sz w:val="12"/>
                <w:szCs w:val="12"/>
              </w:rPr>
              <w:t>Strawberry fruit</w:t>
            </w:r>
          </w:p>
        </w:tc>
        <w:tc>
          <w:tcPr>
            <w:tcW w:w="770" w:type="dxa"/>
            <w:shd w:val="clear" w:color="auto" w:fill="auto"/>
            <w:vAlign w:val="center"/>
          </w:tcPr>
          <w:p w14:paraId="6C255385" w14:textId="77777777" w:rsidR="00D34C6F" w:rsidRPr="00CD1278" w:rsidRDefault="00D34C6F" w:rsidP="008277E3">
            <w:pPr>
              <w:spacing w:after="60"/>
              <w:rPr>
                <w:color w:val="auto"/>
                <w:sz w:val="10"/>
                <w:szCs w:val="10"/>
              </w:rPr>
            </w:pPr>
            <w:r w:rsidRPr="00CD1278">
              <w:rPr>
                <w:color w:val="auto"/>
                <w:sz w:val="10"/>
                <w:szCs w:val="10"/>
              </w:rPr>
              <w:t>42.000</w:t>
            </w:r>
          </w:p>
        </w:tc>
        <w:tc>
          <w:tcPr>
            <w:tcW w:w="647" w:type="dxa"/>
            <w:shd w:val="clear" w:color="auto" w:fill="auto"/>
            <w:vAlign w:val="center"/>
          </w:tcPr>
          <w:p w14:paraId="6F02058E" w14:textId="77777777" w:rsidR="00D34C6F" w:rsidRPr="00CD1278" w:rsidRDefault="00D34C6F" w:rsidP="008277E3">
            <w:pPr>
              <w:spacing w:after="60"/>
              <w:rPr>
                <w:color w:val="auto"/>
                <w:sz w:val="10"/>
                <w:szCs w:val="10"/>
              </w:rPr>
            </w:pPr>
            <w:r w:rsidRPr="00CD1278">
              <w:rPr>
                <w:color w:val="auto"/>
                <w:sz w:val="10"/>
                <w:szCs w:val="10"/>
              </w:rPr>
              <w:t>42.000</w:t>
            </w:r>
          </w:p>
        </w:tc>
        <w:tc>
          <w:tcPr>
            <w:tcW w:w="709" w:type="dxa"/>
            <w:shd w:val="clear" w:color="auto" w:fill="auto"/>
            <w:vAlign w:val="center"/>
          </w:tcPr>
          <w:p w14:paraId="3B9C1CAF" w14:textId="77777777" w:rsidR="00D34C6F" w:rsidRPr="00CD1278" w:rsidRDefault="00D34C6F" w:rsidP="008277E3">
            <w:pPr>
              <w:spacing w:after="60"/>
              <w:rPr>
                <w:color w:val="auto"/>
                <w:sz w:val="10"/>
                <w:szCs w:val="10"/>
              </w:rPr>
            </w:pPr>
            <w:r w:rsidRPr="00CD1278">
              <w:rPr>
                <w:color w:val="auto"/>
                <w:sz w:val="10"/>
                <w:szCs w:val="10"/>
              </w:rPr>
              <w:t>24.78</w:t>
            </w:r>
          </w:p>
        </w:tc>
        <w:tc>
          <w:tcPr>
            <w:tcW w:w="567" w:type="dxa"/>
            <w:shd w:val="clear" w:color="auto" w:fill="auto"/>
            <w:vAlign w:val="center"/>
          </w:tcPr>
          <w:p w14:paraId="6F054867"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8B787A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3DC3C21"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62FBA0B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A52827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A633F0E"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4C76EEA7" w14:textId="77777777" w:rsidR="00D34C6F" w:rsidRPr="00CD1278" w:rsidRDefault="00D34C6F" w:rsidP="008277E3">
            <w:pPr>
              <w:spacing w:after="60"/>
              <w:rPr>
                <w:color w:val="auto"/>
                <w:sz w:val="10"/>
                <w:szCs w:val="10"/>
              </w:rPr>
            </w:pPr>
          </w:p>
        </w:tc>
        <w:tc>
          <w:tcPr>
            <w:tcW w:w="567" w:type="dxa"/>
          </w:tcPr>
          <w:p w14:paraId="09AE4C2C" w14:textId="77777777" w:rsidR="00D34C6F" w:rsidRPr="00CD1278" w:rsidRDefault="00D34C6F" w:rsidP="008277E3">
            <w:pPr>
              <w:spacing w:after="60"/>
              <w:jc w:val="center"/>
              <w:rPr>
                <w:color w:val="auto"/>
                <w:sz w:val="10"/>
                <w:szCs w:val="10"/>
              </w:rPr>
            </w:pPr>
          </w:p>
        </w:tc>
        <w:tc>
          <w:tcPr>
            <w:tcW w:w="567" w:type="dxa"/>
          </w:tcPr>
          <w:p w14:paraId="7EACDCBE"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489D5E08" w14:textId="77777777" w:rsidR="00D34C6F" w:rsidRPr="00CD1278" w:rsidRDefault="00D34C6F" w:rsidP="008277E3">
            <w:pPr>
              <w:spacing w:after="60"/>
              <w:rPr>
                <w:color w:val="auto"/>
                <w:sz w:val="10"/>
                <w:szCs w:val="10"/>
              </w:rPr>
            </w:pPr>
            <w:r w:rsidRPr="00CD1278">
              <w:rPr>
                <w:color w:val="auto"/>
                <w:sz w:val="10"/>
                <w:szCs w:val="10"/>
              </w:rPr>
              <w:t>42.000</w:t>
            </w:r>
          </w:p>
        </w:tc>
        <w:tc>
          <w:tcPr>
            <w:tcW w:w="709" w:type="dxa"/>
            <w:shd w:val="clear" w:color="auto" w:fill="auto"/>
            <w:vAlign w:val="center"/>
          </w:tcPr>
          <w:p w14:paraId="582D403B" w14:textId="77777777" w:rsidR="00D34C6F" w:rsidRPr="00CD1278" w:rsidRDefault="00D34C6F" w:rsidP="008277E3">
            <w:pPr>
              <w:spacing w:after="60"/>
              <w:rPr>
                <w:color w:val="auto"/>
                <w:sz w:val="10"/>
                <w:szCs w:val="10"/>
              </w:rPr>
            </w:pPr>
            <w:r w:rsidRPr="00CD1278">
              <w:rPr>
                <w:color w:val="auto"/>
                <w:sz w:val="10"/>
                <w:szCs w:val="10"/>
              </w:rPr>
              <w:t>34.000</w:t>
            </w:r>
          </w:p>
        </w:tc>
        <w:tc>
          <w:tcPr>
            <w:tcW w:w="708" w:type="dxa"/>
            <w:shd w:val="clear" w:color="auto" w:fill="auto"/>
            <w:vAlign w:val="center"/>
          </w:tcPr>
          <w:p w14:paraId="5B0603C7" w14:textId="77777777" w:rsidR="00D34C6F" w:rsidRPr="00CD1278" w:rsidRDefault="00D34C6F" w:rsidP="008277E3">
            <w:pPr>
              <w:spacing w:after="60"/>
              <w:rPr>
                <w:color w:val="auto"/>
                <w:sz w:val="10"/>
                <w:szCs w:val="10"/>
              </w:rPr>
            </w:pPr>
            <w:r w:rsidRPr="00CD1278">
              <w:rPr>
                <w:color w:val="auto"/>
                <w:sz w:val="10"/>
                <w:szCs w:val="10"/>
              </w:rPr>
              <w:t>12.000</w:t>
            </w:r>
          </w:p>
        </w:tc>
        <w:tc>
          <w:tcPr>
            <w:tcW w:w="709" w:type="dxa"/>
            <w:shd w:val="clear" w:color="auto" w:fill="auto"/>
            <w:vAlign w:val="center"/>
          </w:tcPr>
          <w:p w14:paraId="10CBDC2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7C9D5D3"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151D040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5313F1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D4D2893"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341A4820" w14:textId="77777777" w:rsidR="00D34C6F" w:rsidRPr="00CD1278" w:rsidRDefault="00D34C6F" w:rsidP="008277E3">
            <w:pPr>
              <w:spacing w:after="60"/>
              <w:rPr>
                <w:b/>
                <w:color w:val="auto"/>
                <w:sz w:val="10"/>
                <w:szCs w:val="10"/>
              </w:rPr>
            </w:pPr>
          </w:p>
        </w:tc>
        <w:tc>
          <w:tcPr>
            <w:tcW w:w="567" w:type="dxa"/>
          </w:tcPr>
          <w:p w14:paraId="6F4DBA5B" w14:textId="77777777" w:rsidR="00D34C6F" w:rsidRPr="00CD1278" w:rsidRDefault="00D34C6F" w:rsidP="008277E3">
            <w:pPr>
              <w:spacing w:after="60"/>
              <w:jc w:val="center"/>
              <w:rPr>
                <w:b/>
                <w:color w:val="auto"/>
                <w:sz w:val="10"/>
                <w:szCs w:val="10"/>
              </w:rPr>
            </w:pPr>
          </w:p>
        </w:tc>
        <w:tc>
          <w:tcPr>
            <w:tcW w:w="567" w:type="dxa"/>
          </w:tcPr>
          <w:p w14:paraId="13F320E2" w14:textId="77777777" w:rsidR="00D34C6F" w:rsidRPr="00CD1278" w:rsidRDefault="00D34C6F" w:rsidP="008277E3">
            <w:pPr>
              <w:spacing w:after="60"/>
              <w:jc w:val="center"/>
              <w:rPr>
                <w:b/>
                <w:color w:val="auto"/>
                <w:sz w:val="10"/>
                <w:szCs w:val="10"/>
              </w:rPr>
            </w:pPr>
          </w:p>
        </w:tc>
        <w:tc>
          <w:tcPr>
            <w:tcW w:w="567" w:type="dxa"/>
          </w:tcPr>
          <w:p w14:paraId="71414043" w14:textId="77777777" w:rsidR="00D34C6F" w:rsidRPr="00CD1278" w:rsidRDefault="00D34C6F" w:rsidP="008277E3">
            <w:pPr>
              <w:spacing w:after="60"/>
              <w:jc w:val="center"/>
              <w:rPr>
                <w:b/>
                <w:color w:val="auto"/>
                <w:sz w:val="10"/>
                <w:szCs w:val="10"/>
              </w:rPr>
            </w:pPr>
          </w:p>
        </w:tc>
      </w:tr>
      <w:tr w:rsidR="003C102E" w:rsidRPr="00CD1278" w14:paraId="63AB9ADC" w14:textId="77777777" w:rsidTr="008277E3">
        <w:trPr>
          <w:trHeight w:val="465"/>
          <w:jc w:val="center"/>
        </w:trPr>
        <w:tc>
          <w:tcPr>
            <w:tcW w:w="662" w:type="dxa"/>
            <w:shd w:val="clear" w:color="auto" w:fill="auto"/>
            <w:vAlign w:val="center"/>
          </w:tcPr>
          <w:p w14:paraId="32F3D0CC" w14:textId="77777777" w:rsidR="00D34C6F" w:rsidRPr="00CD1278" w:rsidRDefault="00D34C6F" w:rsidP="008277E3">
            <w:pPr>
              <w:spacing w:after="60"/>
              <w:rPr>
                <w:color w:val="auto"/>
                <w:sz w:val="12"/>
                <w:szCs w:val="12"/>
              </w:rPr>
            </w:pPr>
            <w:r w:rsidRPr="00CD1278">
              <w:rPr>
                <w:color w:val="auto"/>
                <w:sz w:val="12"/>
                <w:szCs w:val="12"/>
              </w:rPr>
              <w:t>New Zealand</w:t>
            </w:r>
          </w:p>
        </w:tc>
        <w:tc>
          <w:tcPr>
            <w:tcW w:w="824" w:type="dxa"/>
            <w:shd w:val="clear" w:color="auto" w:fill="auto"/>
            <w:vAlign w:val="center"/>
          </w:tcPr>
          <w:p w14:paraId="4E9DFB0C" w14:textId="77777777" w:rsidR="00D34C6F" w:rsidRPr="00CD1278" w:rsidRDefault="00D34C6F" w:rsidP="00D1371C">
            <w:pPr>
              <w:spacing w:after="60"/>
              <w:ind w:left="-87"/>
              <w:rPr>
                <w:color w:val="auto"/>
                <w:sz w:val="12"/>
                <w:szCs w:val="12"/>
              </w:rPr>
            </w:pPr>
            <w:r w:rsidRPr="00CD1278">
              <w:rPr>
                <w:color w:val="auto"/>
                <w:sz w:val="12"/>
                <w:szCs w:val="12"/>
              </w:rPr>
              <w:t>Strawberry runners</w:t>
            </w:r>
          </w:p>
        </w:tc>
        <w:tc>
          <w:tcPr>
            <w:tcW w:w="770" w:type="dxa"/>
            <w:shd w:val="clear" w:color="auto" w:fill="auto"/>
            <w:vAlign w:val="center"/>
          </w:tcPr>
          <w:p w14:paraId="1DB4EC81" w14:textId="77777777" w:rsidR="00D34C6F" w:rsidRPr="00CD1278" w:rsidRDefault="00D34C6F" w:rsidP="008277E3">
            <w:pPr>
              <w:spacing w:after="60"/>
              <w:rPr>
                <w:color w:val="auto"/>
                <w:sz w:val="10"/>
                <w:szCs w:val="10"/>
              </w:rPr>
            </w:pPr>
            <w:r w:rsidRPr="00CD1278">
              <w:rPr>
                <w:color w:val="auto"/>
                <w:sz w:val="10"/>
                <w:szCs w:val="10"/>
              </w:rPr>
              <w:t>10.000</w:t>
            </w:r>
          </w:p>
        </w:tc>
        <w:tc>
          <w:tcPr>
            <w:tcW w:w="647" w:type="dxa"/>
            <w:shd w:val="clear" w:color="auto" w:fill="auto"/>
            <w:vAlign w:val="center"/>
          </w:tcPr>
          <w:p w14:paraId="40E1CEFB" w14:textId="77777777" w:rsidR="00D34C6F" w:rsidRPr="00CD1278" w:rsidRDefault="00D34C6F" w:rsidP="008277E3">
            <w:pPr>
              <w:spacing w:after="60"/>
              <w:rPr>
                <w:color w:val="auto"/>
                <w:sz w:val="10"/>
                <w:szCs w:val="10"/>
              </w:rPr>
            </w:pPr>
            <w:r w:rsidRPr="00CD1278">
              <w:rPr>
                <w:color w:val="auto"/>
                <w:sz w:val="10"/>
                <w:szCs w:val="10"/>
              </w:rPr>
              <w:t>10.000</w:t>
            </w:r>
          </w:p>
        </w:tc>
        <w:tc>
          <w:tcPr>
            <w:tcW w:w="709" w:type="dxa"/>
            <w:shd w:val="clear" w:color="auto" w:fill="auto"/>
            <w:vAlign w:val="center"/>
          </w:tcPr>
          <w:p w14:paraId="31CE3CEA" w14:textId="77777777" w:rsidR="00D34C6F" w:rsidRPr="00CD1278" w:rsidRDefault="00D34C6F" w:rsidP="008277E3">
            <w:pPr>
              <w:spacing w:after="60"/>
              <w:rPr>
                <w:color w:val="auto"/>
                <w:sz w:val="10"/>
                <w:szCs w:val="10"/>
              </w:rPr>
            </w:pPr>
            <w:r w:rsidRPr="00CD1278">
              <w:rPr>
                <w:color w:val="auto"/>
                <w:sz w:val="10"/>
                <w:szCs w:val="10"/>
              </w:rPr>
              <w:t>5.720</w:t>
            </w:r>
          </w:p>
        </w:tc>
        <w:tc>
          <w:tcPr>
            <w:tcW w:w="567" w:type="dxa"/>
            <w:shd w:val="clear" w:color="auto" w:fill="auto"/>
            <w:vAlign w:val="center"/>
          </w:tcPr>
          <w:p w14:paraId="5003ACA8"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803861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A3C111F"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6D69BA4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C1B7AA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53E0CB3"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0879FE4E" w14:textId="77777777" w:rsidR="00D34C6F" w:rsidRPr="00CD1278" w:rsidRDefault="00D34C6F" w:rsidP="008277E3">
            <w:pPr>
              <w:spacing w:after="60"/>
              <w:rPr>
                <w:color w:val="auto"/>
                <w:sz w:val="10"/>
                <w:szCs w:val="10"/>
              </w:rPr>
            </w:pPr>
          </w:p>
        </w:tc>
        <w:tc>
          <w:tcPr>
            <w:tcW w:w="567" w:type="dxa"/>
          </w:tcPr>
          <w:p w14:paraId="4B1DB08E" w14:textId="77777777" w:rsidR="00D34C6F" w:rsidRPr="00CD1278" w:rsidRDefault="00D34C6F" w:rsidP="008277E3">
            <w:pPr>
              <w:spacing w:after="60"/>
              <w:jc w:val="center"/>
              <w:rPr>
                <w:color w:val="auto"/>
                <w:sz w:val="10"/>
                <w:szCs w:val="10"/>
              </w:rPr>
            </w:pPr>
          </w:p>
        </w:tc>
        <w:tc>
          <w:tcPr>
            <w:tcW w:w="567" w:type="dxa"/>
          </w:tcPr>
          <w:p w14:paraId="4D0B1698"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3D6EAB59" w14:textId="77777777" w:rsidR="00D34C6F" w:rsidRPr="00CD1278" w:rsidRDefault="00D34C6F" w:rsidP="008277E3">
            <w:pPr>
              <w:spacing w:after="60"/>
              <w:rPr>
                <w:color w:val="auto"/>
                <w:sz w:val="10"/>
                <w:szCs w:val="10"/>
              </w:rPr>
            </w:pPr>
            <w:r w:rsidRPr="00CD1278">
              <w:rPr>
                <w:color w:val="auto"/>
                <w:sz w:val="10"/>
                <w:szCs w:val="10"/>
              </w:rPr>
              <w:t>8.000</w:t>
            </w:r>
          </w:p>
        </w:tc>
        <w:tc>
          <w:tcPr>
            <w:tcW w:w="709" w:type="dxa"/>
            <w:shd w:val="clear" w:color="auto" w:fill="auto"/>
            <w:vAlign w:val="center"/>
          </w:tcPr>
          <w:p w14:paraId="59B03EE9" w14:textId="77777777" w:rsidR="00D34C6F" w:rsidRPr="00CD1278" w:rsidRDefault="00D34C6F" w:rsidP="008277E3">
            <w:pPr>
              <w:spacing w:after="60"/>
              <w:rPr>
                <w:color w:val="auto"/>
                <w:sz w:val="10"/>
                <w:szCs w:val="10"/>
              </w:rPr>
            </w:pPr>
            <w:r w:rsidRPr="00CD1278">
              <w:rPr>
                <w:color w:val="auto"/>
                <w:sz w:val="10"/>
                <w:szCs w:val="10"/>
              </w:rPr>
              <w:t>8.000</w:t>
            </w:r>
          </w:p>
        </w:tc>
        <w:tc>
          <w:tcPr>
            <w:tcW w:w="708" w:type="dxa"/>
            <w:shd w:val="clear" w:color="auto" w:fill="auto"/>
            <w:vAlign w:val="center"/>
          </w:tcPr>
          <w:p w14:paraId="596A58B8" w14:textId="77777777" w:rsidR="00D34C6F" w:rsidRPr="00CD1278" w:rsidRDefault="00D34C6F" w:rsidP="008277E3">
            <w:pPr>
              <w:spacing w:after="60"/>
              <w:rPr>
                <w:color w:val="auto"/>
                <w:sz w:val="10"/>
                <w:szCs w:val="10"/>
              </w:rPr>
            </w:pPr>
            <w:r w:rsidRPr="00CD1278">
              <w:rPr>
                <w:color w:val="auto"/>
                <w:sz w:val="10"/>
                <w:szCs w:val="10"/>
              </w:rPr>
              <w:t>6.234</w:t>
            </w:r>
          </w:p>
        </w:tc>
        <w:tc>
          <w:tcPr>
            <w:tcW w:w="709" w:type="dxa"/>
            <w:shd w:val="clear" w:color="auto" w:fill="auto"/>
            <w:vAlign w:val="center"/>
          </w:tcPr>
          <w:p w14:paraId="5FDA702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A0D2B75"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4649168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CF2DA0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0BA3A207"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1F8BABB4" w14:textId="77777777" w:rsidR="00D34C6F" w:rsidRPr="00CD1278" w:rsidRDefault="00D34C6F" w:rsidP="008277E3">
            <w:pPr>
              <w:spacing w:after="60"/>
              <w:rPr>
                <w:b/>
                <w:color w:val="auto"/>
                <w:sz w:val="10"/>
                <w:szCs w:val="10"/>
              </w:rPr>
            </w:pPr>
          </w:p>
        </w:tc>
        <w:tc>
          <w:tcPr>
            <w:tcW w:w="567" w:type="dxa"/>
          </w:tcPr>
          <w:p w14:paraId="4C46E4F8" w14:textId="77777777" w:rsidR="00D34C6F" w:rsidRPr="00CD1278" w:rsidRDefault="00D34C6F" w:rsidP="008277E3">
            <w:pPr>
              <w:spacing w:after="60"/>
              <w:jc w:val="center"/>
              <w:rPr>
                <w:b/>
                <w:color w:val="auto"/>
                <w:sz w:val="10"/>
                <w:szCs w:val="10"/>
              </w:rPr>
            </w:pPr>
          </w:p>
        </w:tc>
        <w:tc>
          <w:tcPr>
            <w:tcW w:w="567" w:type="dxa"/>
          </w:tcPr>
          <w:p w14:paraId="56CAC9FF" w14:textId="77777777" w:rsidR="00D34C6F" w:rsidRPr="00CD1278" w:rsidRDefault="00D34C6F" w:rsidP="008277E3">
            <w:pPr>
              <w:spacing w:after="60"/>
              <w:jc w:val="center"/>
              <w:rPr>
                <w:b/>
                <w:color w:val="auto"/>
                <w:sz w:val="10"/>
                <w:szCs w:val="10"/>
              </w:rPr>
            </w:pPr>
          </w:p>
        </w:tc>
        <w:tc>
          <w:tcPr>
            <w:tcW w:w="567" w:type="dxa"/>
          </w:tcPr>
          <w:p w14:paraId="3CB4158D" w14:textId="77777777" w:rsidR="00D34C6F" w:rsidRPr="00CD1278" w:rsidRDefault="00D34C6F" w:rsidP="008277E3">
            <w:pPr>
              <w:spacing w:after="60"/>
              <w:jc w:val="center"/>
              <w:rPr>
                <w:b/>
                <w:color w:val="auto"/>
                <w:sz w:val="10"/>
                <w:szCs w:val="10"/>
              </w:rPr>
            </w:pPr>
          </w:p>
        </w:tc>
      </w:tr>
      <w:tr w:rsidR="003C102E" w:rsidRPr="00CD1278" w14:paraId="0478C157" w14:textId="77777777" w:rsidTr="008277E3">
        <w:trPr>
          <w:trHeight w:val="465"/>
          <w:jc w:val="center"/>
        </w:trPr>
        <w:tc>
          <w:tcPr>
            <w:tcW w:w="662" w:type="dxa"/>
            <w:shd w:val="clear" w:color="auto" w:fill="auto"/>
            <w:vAlign w:val="center"/>
          </w:tcPr>
          <w:p w14:paraId="4960E58E" w14:textId="77777777" w:rsidR="00D34C6F" w:rsidRPr="00CD1278" w:rsidRDefault="00D34C6F" w:rsidP="008277E3">
            <w:pPr>
              <w:spacing w:after="60"/>
              <w:rPr>
                <w:color w:val="auto"/>
                <w:sz w:val="12"/>
                <w:szCs w:val="12"/>
              </w:rPr>
            </w:pPr>
            <w:r w:rsidRPr="00CD1278">
              <w:rPr>
                <w:color w:val="auto"/>
                <w:sz w:val="12"/>
                <w:szCs w:val="12"/>
              </w:rPr>
              <w:t>Poland</w:t>
            </w:r>
          </w:p>
        </w:tc>
        <w:tc>
          <w:tcPr>
            <w:tcW w:w="824" w:type="dxa"/>
            <w:shd w:val="clear" w:color="auto" w:fill="auto"/>
            <w:vAlign w:val="center"/>
          </w:tcPr>
          <w:p w14:paraId="25534730" w14:textId="77777777" w:rsidR="00D34C6F" w:rsidRPr="00CD1278" w:rsidRDefault="00D34C6F" w:rsidP="00D1371C">
            <w:pPr>
              <w:spacing w:after="60"/>
              <w:ind w:left="-87"/>
              <w:rPr>
                <w:color w:val="auto"/>
                <w:sz w:val="12"/>
                <w:szCs w:val="12"/>
              </w:rPr>
            </w:pPr>
            <w:r w:rsidRPr="00CD1278">
              <w:rPr>
                <w:color w:val="auto"/>
                <w:sz w:val="12"/>
                <w:szCs w:val="12"/>
              </w:rPr>
              <w:t>Strawberry Runners</w:t>
            </w:r>
          </w:p>
        </w:tc>
        <w:tc>
          <w:tcPr>
            <w:tcW w:w="770" w:type="dxa"/>
            <w:shd w:val="clear" w:color="auto" w:fill="auto"/>
            <w:vAlign w:val="center"/>
          </w:tcPr>
          <w:p w14:paraId="06DEC4AC" w14:textId="77777777" w:rsidR="00D34C6F" w:rsidRPr="00CD1278" w:rsidRDefault="00D34C6F" w:rsidP="008277E3">
            <w:pPr>
              <w:spacing w:after="60"/>
              <w:rPr>
                <w:color w:val="auto"/>
                <w:sz w:val="10"/>
                <w:szCs w:val="10"/>
              </w:rPr>
            </w:pPr>
            <w:r w:rsidRPr="00CD1278">
              <w:rPr>
                <w:color w:val="auto"/>
                <w:sz w:val="10"/>
                <w:szCs w:val="10"/>
              </w:rPr>
              <w:t>40.000</w:t>
            </w:r>
          </w:p>
        </w:tc>
        <w:tc>
          <w:tcPr>
            <w:tcW w:w="647" w:type="dxa"/>
            <w:shd w:val="clear" w:color="auto" w:fill="auto"/>
            <w:vAlign w:val="center"/>
          </w:tcPr>
          <w:p w14:paraId="2B2BB1DC" w14:textId="77777777" w:rsidR="00D34C6F" w:rsidRPr="00CD1278" w:rsidRDefault="00D34C6F" w:rsidP="008277E3">
            <w:pPr>
              <w:spacing w:after="60"/>
              <w:rPr>
                <w:color w:val="auto"/>
                <w:sz w:val="10"/>
                <w:szCs w:val="10"/>
              </w:rPr>
            </w:pPr>
            <w:r w:rsidRPr="00CD1278">
              <w:rPr>
                <w:color w:val="auto"/>
                <w:sz w:val="10"/>
                <w:szCs w:val="10"/>
              </w:rPr>
              <w:t>40.000</w:t>
            </w:r>
          </w:p>
        </w:tc>
        <w:tc>
          <w:tcPr>
            <w:tcW w:w="709" w:type="dxa"/>
            <w:shd w:val="clear" w:color="auto" w:fill="auto"/>
            <w:vAlign w:val="center"/>
          </w:tcPr>
          <w:p w14:paraId="46530150" w14:textId="77777777" w:rsidR="00D34C6F" w:rsidRPr="00CD1278" w:rsidRDefault="00D34C6F" w:rsidP="008277E3">
            <w:pPr>
              <w:spacing w:after="60"/>
              <w:rPr>
                <w:color w:val="auto"/>
                <w:sz w:val="10"/>
                <w:szCs w:val="10"/>
              </w:rPr>
            </w:pPr>
            <w:r w:rsidRPr="00CD1278">
              <w:rPr>
                <w:color w:val="auto"/>
                <w:sz w:val="10"/>
                <w:szCs w:val="10"/>
              </w:rPr>
              <w:t>25.000</w:t>
            </w:r>
          </w:p>
        </w:tc>
        <w:tc>
          <w:tcPr>
            <w:tcW w:w="567" w:type="dxa"/>
            <w:shd w:val="clear" w:color="auto" w:fill="auto"/>
            <w:vAlign w:val="center"/>
          </w:tcPr>
          <w:p w14:paraId="79664355" w14:textId="77777777" w:rsidR="00D34C6F" w:rsidRPr="00CD1278" w:rsidRDefault="00D34C6F" w:rsidP="008277E3">
            <w:pPr>
              <w:spacing w:after="60"/>
              <w:rPr>
                <w:color w:val="auto"/>
                <w:sz w:val="10"/>
                <w:szCs w:val="10"/>
              </w:rPr>
            </w:pPr>
            <w:r w:rsidRPr="00CD1278">
              <w:rPr>
                <w:color w:val="auto"/>
                <w:sz w:val="10"/>
                <w:szCs w:val="10"/>
              </w:rPr>
              <w:t>12.000</w:t>
            </w:r>
          </w:p>
        </w:tc>
        <w:tc>
          <w:tcPr>
            <w:tcW w:w="709" w:type="dxa"/>
            <w:shd w:val="clear" w:color="auto" w:fill="auto"/>
            <w:vAlign w:val="center"/>
          </w:tcPr>
          <w:p w14:paraId="63321BF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4670DB9"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508640E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973ED4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F637C95"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6AF69A0" w14:textId="77777777" w:rsidR="00D34C6F" w:rsidRPr="00CD1278" w:rsidRDefault="00D34C6F" w:rsidP="008277E3">
            <w:pPr>
              <w:spacing w:after="60"/>
              <w:rPr>
                <w:color w:val="auto"/>
                <w:sz w:val="10"/>
                <w:szCs w:val="10"/>
              </w:rPr>
            </w:pPr>
          </w:p>
        </w:tc>
        <w:tc>
          <w:tcPr>
            <w:tcW w:w="567" w:type="dxa"/>
          </w:tcPr>
          <w:p w14:paraId="3273DE97" w14:textId="77777777" w:rsidR="00D34C6F" w:rsidRPr="00CD1278" w:rsidRDefault="00D34C6F" w:rsidP="008277E3">
            <w:pPr>
              <w:spacing w:after="60"/>
              <w:jc w:val="center"/>
              <w:rPr>
                <w:color w:val="auto"/>
                <w:sz w:val="10"/>
                <w:szCs w:val="10"/>
              </w:rPr>
            </w:pPr>
          </w:p>
        </w:tc>
        <w:tc>
          <w:tcPr>
            <w:tcW w:w="567" w:type="dxa"/>
          </w:tcPr>
          <w:p w14:paraId="222F1AED"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428C84C" w14:textId="77777777" w:rsidR="00D34C6F" w:rsidRPr="00CD1278" w:rsidRDefault="00D34C6F" w:rsidP="008277E3">
            <w:pPr>
              <w:spacing w:after="60"/>
              <w:rPr>
                <w:color w:val="auto"/>
                <w:sz w:val="10"/>
                <w:szCs w:val="10"/>
              </w:rPr>
            </w:pPr>
            <w:r w:rsidRPr="00CD1278">
              <w:rPr>
                <w:color w:val="auto"/>
                <w:sz w:val="10"/>
                <w:szCs w:val="10"/>
              </w:rPr>
              <w:t>40.000</w:t>
            </w:r>
          </w:p>
        </w:tc>
        <w:tc>
          <w:tcPr>
            <w:tcW w:w="709" w:type="dxa"/>
            <w:shd w:val="clear" w:color="auto" w:fill="auto"/>
            <w:vAlign w:val="center"/>
          </w:tcPr>
          <w:p w14:paraId="2B98C90D" w14:textId="77777777" w:rsidR="00D34C6F" w:rsidRPr="00CD1278" w:rsidRDefault="00D34C6F" w:rsidP="008277E3">
            <w:pPr>
              <w:spacing w:after="60"/>
              <w:rPr>
                <w:color w:val="auto"/>
                <w:sz w:val="10"/>
                <w:szCs w:val="10"/>
              </w:rPr>
            </w:pPr>
            <w:r w:rsidRPr="00CD1278">
              <w:rPr>
                <w:color w:val="auto"/>
                <w:sz w:val="10"/>
                <w:szCs w:val="10"/>
              </w:rPr>
              <w:t>40.000</w:t>
            </w:r>
          </w:p>
        </w:tc>
        <w:tc>
          <w:tcPr>
            <w:tcW w:w="708" w:type="dxa"/>
            <w:shd w:val="clear" w:color="auto" w:fill="auto"/>
            <w:vAlign w:val="center"/>
          </w:tcPr>
          <w:p w14:paraId="1F65CF77" w14:textId="77777777" w:rsidR="00D34C6F" w:rsidRPr="00CD1278" w:rsidRDefault="00D34C6F" w:rsidP="008277E3">
            <w:pPr>
              <w:spacing w:after="60"/>
              <w:rPr>
                <w:color w:val="auto"/>
                <w:sz w:val="10"/>
                <w:szCs w:val="10"/>
              </w:rPr>
            </w:pPr>
            <w:r w:rsidRPr="00CD1278">
              <w:rPr>
                <w:color w:val="auto"/>
                <w:sz w:val="10"/>
                <w:szCs w:val="10"/>
              </w:rPr>
              <w:t>24.500</w:t>
            </w:r>
          </w:p>
        </w:tc>
        <w:tc>
          <w:tcPr>
            <w:tcW w:w="709" w:type="dxa"/>
            <w:shd w:val="clear" w:color="auto" w:fill="auto"/>
            <w:vAlign w:val="center"/>
          </w:tcPr>
          <w:p w14:paraId="1FD4D69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339D1FF"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1C3A0DB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A2DC6E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493565F0"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20947B23" w14:textId="77777777" w:rsidR="00D34C6F" w:rsidRPr="00CD1278" w:rsidRDefault="00D34C6F" w:rsidP="008277E3">
            <w:pPr>
              <w:spacing w:after="60"/>
              <w:rPr>
                <w:b/>
                <w:color w:val="auto"/>
                <w:sz w:val="10"/>
                <w:szCs w:val="10"/>
              </w:rPr>
            </w:pPr>
          </w:p>
        </w:tc>
        <w:tc>
          <w:tcPr>
            <w:tcW w:w="567" w:type="dxa"/>
          </w:tcPr>
          <w:p w14:paraId="7B44A41C" w14:textId="77777777" w:rsidR="00D34C6F" w:rsidRPr="00CD1278" w:rsidRDefault="00D34C6F" w:rsidP="008277E3">
            <w:pPr>
              <w:spacing w:after="60"/>
              <w:jc w:val="center"/>
              <w:rPr>
                <w:b/>
                <w:color w:val="auto"/>
                <w:sz w:val="10"/>
                <w:szCs w:val="10"/>
              </w:rPr>
            </w:pPr>
          </w:p>
        </w:tc>
        <w:tc>
          <w:tcPr>
            <w:tcW w:w="567" w:type="dxa"/>
          </w:tcPr>
          <w:p w14:paraId="1358C16F" w14:textId="77777777" w:rsidR="00D34C6F" w:rsidRPr="00CD1278" w:rsidRDefault="00D34C6F" w:rsidP="008277E3">
            <w:pPr>
              <w:spacing w:after="60"/>
              <w:jc w:val="center"/>
              <w:rPr>
                <w:b/>
                <w:color w:val="auto"/>
                <w:sz w:val="10"/>
                <w:szCs w:val="10"/>
              </w:rPr>
            </w:pPr>
          </w:p>
        </w:tc>
        <w:tc>
          <w:tcPr>
            <w:tcW w:w="567" w:type="dxa"/>
          </w:tcPr>
          <w:p w14:paraId="4F016B28" w14:textId="77777777" w:rsidR="00D34C6F" w:rsidRPr="00CD1278" w:rsidRDefault="00D34C6F" w:rsidP="008277E3">
            <w:pPr>
              <w:spacing w:after="60"/>
              <w:jc w:val="center"/>
              <w:rPr>
                <w:b/>
                <w:color w:val="auto"/>
                <w:sz w:val="10"/>
                <w:szCs w:val="10"/>
              </w:rPr>
            </w:pPr>
          </w:p>
        </w:tc>
      </w:tr>
      <w:tr w:rsidR="003C102E" w:rsidRPr="00CD1278" w14:paraId="0D59A961" w14:textId="77777777" w:rsidTr="008277E3">
        <w:trPr>
          <w:trHeight w:val="270"/>
          <w:jc w:val="center"/>
        </w:trPr>
        <w:tc>
          <w:tcPr>
            <w:tcW w:w="662" w:type="dxa"/>
            <w:shd w:val="clear" w:color="auto" w:fill="auto"/>
            <w:vAlign w:val="center"/>
          </w:tcPr>
          <w:p w14:paraId="279DD7FC" w14:textId="77777777" w:rsidR="00D34C6F" w:rsidRPr="00CD1278" w:rsidRDefault="00D34C6F" w:rsidP="008277E3">
            <w:pPr>
              <w:spacing w:after="60"/>
              <w:rPr>
                <w:color w:val="auto"/>
                <w:sz w:val="12"/>
                <w:szCs w:val="12"/>
              </w:rPr>
            </w:pPr>
            <w:r w:rsidRPr="00CD1278">
              <w:rPr>
                <w:color w:val="auto"/>
                <w:sz w:val="12"/>
                <w:szCs w:val="12"/>
              </w:rPr>
              <w:t>Portugal</w:t>
            </w:r>
          </w:p>
        </w:tc>
        <w:tc>
          <w:tcPr>
            <w:tcW w:w="824" w:type="dxa"/>
            <w:shd w:val="clear" w:color="auto" w:fill="auto"/>
            <w:vAlign w:val="center"/>
          </w:tcPr>
          <w:p w14:paraId="6D73ACEB" w14:textId="77777777" w:rsidR="00D34C6F" w:rsidRPr="00CD1278" w:rsidRDefault="00D34C6F" w:rsidP="00D1371C">
            <w:pPr>
              <w:spacing w:after="60"/>
              <w:ind w:left="-87"/>
              <w:rPr>
                <w:color w:val="auto"/>
                <w:sz w:val="12"/>
                <w:szCs w:val="12"/>
              </w:rPr>
            </w:pPr>
            <w:r w:rsidRPr="00CD1278">
              <w:rPr>
                <w:color w:val="auto"/>
                <w:sz w:val="12"/>
                <w:szCs w:val="12"/>
              </w:rPr>
              <w:t>Cut flowers</w:t>
            </w:r>
          </w:p>
        </w:tc>
        <w:tc>
          <w:tcPr>
            <w:tcW w:w="770" w:type="dxa"/>
            <w:shd w:val="clear" w:color="auto" w:fill="auto"/>
            <w:vAlign w:val="center"/>
          </w:tcPr>
          <w:p w14:paraId="09BDB36D" w14:textId="77777777" w:rsidR="00D34C6F" w:rsidRPr="00CD1278" w:rsidRDefault="00D34C6F" w:rsidP="008277E3">
            <w:pPr>
              <w:spacing w:after="60"/>
              <w:rPr>
                <w:color w:val="auto"/>
                <w:sz w:val="10"/>
                <w:szCs w:val="10"/>
              </w:rPr>
            </w:pPr>
            <w:r w:rsidRPr="00CD1278">
              <w:rPr>
                <w:color w:val="auto"/>
                <w:sz w:val="10"/>
                <w:szCs w:val="10"/>
              </w:rPr>
              <w:t>130.000</w:t>
            </w:r>
          </w:p>
        </w:tc>
        <w:tc>
          <w:tcPr>
            <w:tcW w:w="647" w:type="dxa"/>
            <w:shd w:val="clear" w:color="auto" w:fill="auto"/>
            <w:vAlign w:val="center"/>
          </w:tcPr>
          <w:p w14:paraId="4D992068" w14:textId="77777777" w:rsidR="00D34C6F" w:rsidRPr="00CD1278" w:rsidRDefault="00D34C6F" w:rsidP="008277E3">
            <w:pPr>
              <w:spacing w:after="60"/>
              <w:rPr>
                <w:color w:val="auto"/>
                <w:sz w:val="10"/>
                <w:szCs w:val="10"/>
              </w:rPr>
            </w:pPr>
            <w:r w:rsidRPr="00CD1278">
              <w:rPr>
                <w:color w:val="auto"/>
                <w:sz w:val="10"/>
                <w:szCs w:val="10"/>
              </w:rPr>
              <w:t>8.750</w:t>
            </w:r>
          </w:p>
        </w:tc>
        <w:tc>
          <w:tcPr>
            <w:tcW w:w="709" w:type="dxa"/>
            <w:shd w:val="clear" w:color="auto" w:fill="auto"/>
            <w:vAlign w:val="center"/>
          </w:tcPr>
          <w:p w14:paraId="067D1E6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9035EF6"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15EB02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89979A8"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2DCC43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A5FABC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34D9D33"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0394AF4F" w14:textId="77777777" w:rsidR="00D34C6F" w:rsidRPr="00CD1278" w:rsidRDefault="00D34C6F" w:rsidP="008277E3">
            <w:pPr>
              <w:spacing w:after="60"/>
              <w:rPr>
                <w:color w:val="auto"/>
                <w:sz w:val="10"/>
                <w:szCs w:val="10"/>
              </w:rPr>
            </w:pPr>
          </w:p>
        </w:tc>
        <w:tc>
          <w:tcPr>
            <w:tcW w:w="567" w:type="dxa"/>
          </w:tcPr>
          <w:p w14:paraId="7A160DE3" w14:textId="77777777" w:rsidR="00D34C6F" w:rsidRPr="00CD1278" w:rsidRDefault="00D34C6F" w:rsidP="008277E3">
            <w:pPr>
              <w:spacing w:after="60"/>
              <w:jc w:val="center"/>
              <w:rPr>
                <w:color w:val="auto"/>
                <w:sz w:val="10"/>
                <w:szCs w:val="10"/>
              </w:rPr>
            </w:pPr>
          </w:p>
        </w:tc>
        <w:tc>
          <w:tcPr>
            <w:tcW w:w="567" w:type="dxa"/>
          </w:tcPr>
          <w:p w14:paraId="3B1FB367"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4A324CA9" w14:textId="77777777" w:rsidR="00D34C6F" w:rsidRPr="00CD1278" w:rsidRDefault="00D34C6F" w:rsidP="008277E3">
            <w:pPr>
              <w:spacing w:after="60"/>
              <w:rPr>
                <w:color w:val="auto"/>
                <w:sz w:val="10"/>
                <w:szCs w:val="10"/>
              </w:rPr>
            </w:pPr>
            <w:r w:rsidRPr="00CD1278">
              <w:rPr>
                <w:color w:val="auto"/>
                <w:sz w:val="10"/>
                <w:szCs w:val="10"/>
              </w:rPr>
              <w:t>50.000</w:t>
            </w:r>
          </w:p>
        </w:tc>
        <w:tc>
          <w:tcPr>
            <w:tcW w:w="709" w:type="dxa"/>
            <w:shd w:val="clear" w:color="auto" w:fill="auto"/>
            <w:vAlign w:val="center"/>
          </w:tcPr>
          <w:p w14:paraId="06B3CBDC" w14:textId="77777777" w:rsidR="00D34C6F" w:rsidRPr="00CD1278" w:rsidRDefault="00D34C6F" w:rsidP="008277E3">
            <w:pPr>
              <w:spacing w:after="60"/>
              <w:rPr>
                <w:color w:val="auto"/>
                <w:sz w:val="10"/>
                <w:szCs w:val="10"/>
              </w:rPr>
            </w:pPr>
            <w:r w:rsidRPr="00CD1278">
              <w:rPr>
                <w:color w:val="auto"/>
                <w:sz w:val="10"/>
                <w:szCs w:val="10"/>
              </w:rPr>
              <w:t>8.750</w:t>
            </w:r>
          </w:p>
        </w:tc>
        <w:tc>
          <w:tcPr>
            <w:tcW w:w="708" w:type="dxa"/>
            <w:shd w:val="clear" w:color="auto" w:fill="auto"/>
            <w:vAlign w:val="center"/>
          </w:tcPr>
          <w:p w14:paraId="3AA06FF1"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7F3532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CCA00DF"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3C902E9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258774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6E4B484"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5EEDD7A3" w14:textId="77777777" w:rsidR="00D34C6F" w:rsidRPr="00CD1278" w:rsidRDefault="00D34C6F" w:rsidP="008277E3">
            <w:pPr>
              <w:spacing w:after="60"/>
              <w:rPr>
                <w:b/>
                <w:color w:val="auto"/>
                <w:sz w:val="10"/>
                <w:szCs w:val="10"/>
              </w:rPr>
            </w:pPr>
          </w:p>
        </w:tc>
        <w:tc>
          <w:tcPr>
            <w:tcW w:w="567" w:type="dxa"/>
          </w:tcPr>
          <w:p w14:paraId="65767515" w14:textId="77777777" w:rsidR="00D34C6F" w:rsidRPr="00CD1278" w:rsidRDefault="00D34C6F" w:rsidP="008277E3">
            <w:pPr>
              <w:spacing w:after="60"/>
              <w:jc w:val="center"/>
              <w:rPr>
                <w:b/>
                <w:color w:val="auto"/>
                <w:sz w:val="10"/>
                <w:szCs w:val="10"/>
              </w:rPr>
            </w:pPr>
          </w:p>
        </w:tc>
        <w:tc>
          <w:tcPr>
            <w:tcW w:w="567" w:type="dxa"/>
          </w:tcPr>
          <w:p w14:paraId="0C76A3EA" w14:textId="77777777" w:rsidR="00D34C6F" w:rsidRPr="00CD1278" w:rsidRDefault="00D34C6F" w:rsidP="008277E3">
            <w:pPr>
              <w:spacing w:after="60"/>
              <w:jc w:val="center"/>
              <w:rPr>
                <w:b/>
                <w:color w:val="auto"/>
                <w:sz w:val="10"/>
                <w:szCs w:val="10"/>
              </w:rPr>
            </w:pPr>
          </w:p>
        </w:tc>
        <w:tc>
          <w:tcPr>
            <w:tcW w:w="567" w:type="dxa"/>
          </w:tcPr>
          <w:p w14:paraId="3E7AF018" w14:textId="77777777" w:rsidR="00D34C6F" w:rsidRPr="00CD1278" w:rsidRDefault="00D34C6F" w:rsidP="008277E3">
            <w:pPr>
              <w:spacing w:after="60"/>
              <w:jc w:val="center"/>
              <w:rPr>
                <w:b/>
                <w:color w:val="auto"/>
                <w:sz w:val="10"/>
                <w:szCs w:val="10"/>
              </w:rPr>
            </w:pPr>
          </w:p>
        </w:tc>
      </w:tr>
      <w:tr w:rsidR="003C102E" w:rsidRPr="00CD1278" w14:paraId="3349DBEF" w14:textId="77777777" w:rsidTr="008277E3">
        <w:trPr>
          <w:trHeight w:val="465"/>
          <w:jc w:val="center"/>
        </w:trPr>
        <w:tc>
          <w:tcPr>
            <w:tcW w:w="662" w:type="dxa"/>
            <w:shd w:val="clear" w:color="auto" w:fill="auto"/>
            <w:vAlign w:val="center"/>
          </w:tcPr>
          <w:p w14:paraId="43C3ADDA" w14:textId="77777777" w:rsidR="00D34C6F" w:rsidRPr="00CD1278" w:rsidRDefault="00D34C6F" w:rsidP="008277E3">
            <w:pPr>
              <w:spacing w:after="60"/>
              <w:rPr>
                <w:color w:val="auto"/>
                <w:sz w:val="12"/>
                <w:szCs w:val="12"/>
              </w:rPr>
            </w:pPr>
            <w:r w:rsidRPr="00CD1278">
              <w:rPr>
                <w:color w:val="auto"/>
                <w:sz w:val="12"/>
                <w:szCs w:val="12"/>
              </w:rPr>
              <w:t>Spain</w:t>
            </w:r>
          </w:p>
        </w:tc>
        <w:tc>
          <w:tcPr>
            <w:tcW w:w="824" w:type="dxa"/>
            <w:shd w:val="clear" w:color="auto" w:fill="auto"/>
            <w:vAlign w:val="center"/>
          </w:tcPr>
          <w:p w14:paraId="44F16634" w14:textId="77777777" w:rsidR="00D34C6F" w:rsidRPr="00CD1278" w:rsidRDefault="00D34C6F" w:rsidP="00D1371C">
            <w:pPr>
              <w:spacing w:after="60"/>
              <w:ind w:left="-87"/>
              <w:rPr>
                <w:color w:val="auto"/>
                <w:sz w:val="12"/>
                <w:szCs w:val="12"/>
              </w:rPr>
            </w:pPr>
            <w:r w:rsidRPr="00CD1278">
              <w:rPr>
                <w:color w:val="auto"/>
                <w:sz w:val="12"/>
                <w:szCs w:val="12"/>
              </w:rPr>
              <w:t>Cut Flowers – Cadiz</w:t>
            </w:r>
          </w:p>
        </w:tc>
        <w:tc>
          <w:tcPr>
            <w:tcW w:w="770" w:type="dxa"/>
            <w:shd w:val="clear" w:color="auto" w:fill="auto"/>
            <w:vAlign w:val="center"/>
          </w:tcPr>
          <w:p w14:paraId="7BEAA2D7" w14:textId="77777777" w:rsidR="00D34C6F" w:rsidRPr="00CD1278" w:rsidRDefault="00D34C6F" w:rsidP="008277E3">
            <w:pPr>
              <w:spacing w:after="60"/>
              <w:rPr>
                <w:color w:val="auto"/>
                <w:sz w:val="10"/>
                <w:szCs w:val="10"/>
              </w:rPr>
            </w:pPr>
            <w:r w:rsidRPr="00CD1278">
              <w:rPr>
                <w:color w:val="auto"/>
                <w:sz w:val="10"/>
                <w:szCs w:val="10"/>
              </w:rPr>
              <w:t>53.000</w:t>
            </w:r>
          </w:p>
        </w:tc>
        <w:tc>
          <w:tcPr>
            <w:tcW w:w="647" w:type="dxa"/>
            <w:shd w:val="clear" w:color="auto" w:fill="auto"/>
            <w:vAlign w:val="center"/>
          </w:tcPr>
          <w:p w14:paraId="73761D05" w14:textId="77777777" w:rsidR="00D34C6F" w:rsidRPr="00CD1278" w:rsidRDefault="00D34C6F" w:rsidP="008277E3">
            <w:pPr>
              <w:spacing w:after="60"/>
              <w:rPr>
                <w:color w:val="auto"/>
                <w:sz w:val="10"/>
                <w:szCs w:val="10"/>
              </w:rPr>
            </w:pPr>
            <w:r w:rsidRPr="00CD1278">
              <w:rPr>
                <w:color w:val="auto"/>
                <w:sz w:val="10"/>
                <w:szCs w:val="10"/>
              </w:rPr>
              <w:t>53.000</w:t>
            </w:r>
          </w:p>
        </w:tc>
        <w:tc>
          <w:tcPr>
            <w:tcW w:w="709" w:type="dxa"/>
            <w:shd w:val="clear" w:color="auto" w:fill="auto"/>
            <w:vAlign w:val="center"/>
          </w:tcPr>
          <w:p w14:paraId="15444008" w14:textId="77777777" w:rsidR="00D34C6F" w:rsidRPr="00CD1278" w:rsidRDefault="00D34C6F" w:rsidP="008277E3">
            <w:pPr>
              <w:spacing w:after="60"/>
              <w:rPr>
                <w:color w:val="auto"/>
                <w:sz w:val="10"/>
                <w:szCs w:val="10"/>
              </w:rPr>
            </w:pPr>
            <w:r w:rsidRPr="00CD1278">
              <w:rPr>
                <w:color w:val="auto"/>
                <w:sz w:val="10"/>
                <w:szCs w:val="10"/>
              </w:rPr>
              <w:t>35.000</w:t>
            </w:r>
          </w:p>
        </w:tc>
        <w:tc>
          <w:tcPr>
            <w:tcW w:w="567" w:type="dxa"/>
            <w:shd w:val="clear" w:color="auto" w:fill="auto"/>
            <w:vAlign w:val="center"/>
          </w:tcPr>
          <w:p w14:paraId="76592614"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516CFC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72E6267"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79820A7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CD7890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3B00A96"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5392F5CE" w14:textId="77777777" w:rsidR="00D34C6F" w:rsidRPr="00CD1278" w:rsidRDefault="00D34C6F" w:rsidP="008277E3">
            <w:pPr>
              <w:spacing w:after="60"/>
              <w:rPr>
                <w:color w:val="auto"/>
                <w:sz w:val="10"/>
                <w:szCs w:val="10"/>
              </w:rPr>
            </w:pPr>
          </w:p>
        </w:tc>
        <w:tc>
          <w:tcPr>
            <w:tcW w:w="567" w:type="dxa"/>
          </w:tcPr>
          <w:p w14:paraId="47ECCD75" w14:textId="77777777" w:rsidR="00D34C6F" w:rsidRPr="00CD1278" w:rsidRDefault="00D34C6F" w:rsidP="008277E3">
            <w:pPr>
              <w:spacing w:after="60"/>
              <w:jc w:val="center"/>
              <w:rPr>
                <w:color w:val="auto"/>
                <w:sz w:val="10"/>
                <w:szCs w:val="10"/>
              </w:rPr>
            </w:pPr>
          </w:p>
        </w:tc>
        <w:tc>
          <w:tcPr>
            <w:tcW w:w="567" w:type="dxa"/>
          </w:tcPr>
          <w:p w14:paraId="6292D160"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357741D8" w14:textId="77777777" w:rsidR="00D34C6F" w:rsidRPr="00CD1278" w:rsidRDefault="00D34C6F" w:rsidP="008277E3">
            <w:pPr>
              <w:spacing w:after="60"/>
              <w:rPr>
                <w:color w:val="auto"/>
                <w:sz w:val="10"/>
                <w:szCs w:val="10"/>
              </w:rPr>
            </w:pPr>
            <w:r w:rsidRPr="00CD1278">
              <w:rPr>
                <w:color w:val="auto"/>
                <w:sz w:val="10"/>
                <w:szCs w:val="10"/>
              </w:rPr>
              <w:t>53.000</w:t>
            </w:r>
          </w:p>
        </w:tc>
        <w:tc>
          <w:tcPr>
            <w:tcW w:w="709" w:type="dxa"/>
            <w:shd w:val="clear" w:color="auto" w:fill="auto"/>
            <w:vAlign w:val="center"/>
          </w:tcPr>
          <w:p w14:paraId="3B25B983" w14:textId="77777777" w:rsidR="00D34C6F" w:rsidRPr="00CD1278" w:rsidRDefault="00D34C6F" w:rsidP="008277E3">
            <w:pPr>
              <w:spacing w:after="60"/>
              <w:rPr>
                <w:color w:val="auto"/>
                <w:sz w:val="10"/>
                <w:szCs w:val="10"/>
              </w:rPr>
            </w:pPr>
            <w:r w:rsidRPr="00CD1278">
              <w:rPr>
                <w:color w:val="auto"/>
                <w:sz w:val="10"/>
                <w:szCs w:val="10"/>
              </w:rPr>
              <w:t>42.000</w:t>
            </w:r>
          </w:p>
        </w:tc>
        <w:tc>
          <w:tcPr>
            <w:tcW w:w="708" w:type="dxa"/>
            <w:shd w:val="clear" w:color="auto" w:fill="auto"/>
            <w:vAlign w:val="center"/>
          </w:tcPr>
          <w:p w14:paraId="314A995A"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5E9E57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914E2EB"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41521F4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6877CD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6CD93A9"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67A6736A" w14:textId="77777777" w:rsidR="00D34C6F" w:rsidRPr="00CD1278" w:rsidRDefault="00D34C6F" w:rsidP="008277E3">
            <w:pPr>
              <w:spacing w:after="60"/>
              <w:rPr>
                <w:b/>
                <w:color w:val="auto"/>
                <w:sz w:val="10"/>
                <w:szCs w:val="10"/>
              </w:rPr>
            </w:pPr>
          </w:p>
        </w:tc>
        <w:tc>
          <w:tcPr>
            <w:tcW w:w="567" w:type="dxa"/>
          </w:tcPr>
          <w:p w14:paraId="77A68C1C" w14:textId="77777777" w:rsidR="00D34C6F" w:rsidRPr="00CD1278" w:rsidRDefault="00D34C6F" w:rsidP="008277E3">
            <w:pPr>
              <w:spacing w:after="60"/>
              <w:jc w:val="center"/>
              <w:rPr>
                <w:b/>
                <w:color w:val="auto"/>
                <w:sz w:val="10"/>
                <w:szCs w:val="10"/>
              </w:rPr>
            </w:pPr>
          </w:p>
        </w:tc>
        <w:tc>
          <w:tcPr>
            <w:tcW w:w="567" w:type="dxa"/>
          </w:tcPr>
          <w:p w14:paraId="4B5A0FDF" w14:textId="77777777" w:rsidR="00D34C6F" w:rsidRPr="00CD1278" w:rsidRDefault="00D34C6F" w:rsidP="008277E3">
            <w:pPr>
              <w:spacing w:after="60"/>
              <w:jc w:val="center"/>
              <w:rPr>
                <w:b/>
                <w:color w:val="auto"/>
                <w:sz w:val="10"/>
                <w:szCs w:val="10"/>
              </w:rPr>
            </w:pPr>
          </w:p>
        </w:tc>
        <w:tc>
          <w:tcPr>
            <w:tcW w:w="567" w:type="dxa"/>
          </w:tcPr>
          <w:p w14:paraId="591FC809" w14:textId="77777777" w:rsidR="00D34C6F" w:rsidRPr="00CD1278" w:rsidRDefault="00D34C6F" w:rsidP="008277E3">
            <w:pPr>
              <w:spacing w:after="60"/>
              <w:jc w:val="center"/>
              <w:rPr>
                <w:b/>
                <w:color w:val="auto"/>
                <w:sz w:val="10"/>
                <w:szCs w:val="10"/>
              </w:rPr>
            </w:pPr>
          </w:p>
        </w:tc>
      </w:tr>
      <w:tr w:rsidR="003C102E" w:rsidRPr="00CD1278" w14:paraId="6181F65C" w14:textId="77777777" w:rsidTr="008277E3">
        <w:trPr>
          <w:trHeight w:val="270"/>
          <w:jc w:val="center"/>
        </w:trPr>
        <w:tc>
          <w:tcPr>
            <w:tcW w:w="662" w:type="dxa"/>
            <w:vMerge w:val="restart"/>
            <w:shd w:val="clear" w:color="auto" w:fill="auto"/>
            <w:vAlign w:val="center"/>
          </w:tcPr>
          <w:p w14:paraId="3387316C" w14:textId="77777777" w:rsidR="00D34C6F" w:rsidRPr="00CD1278" w:rsidRDefault="00D34C6F" w:rsidP="008277E3">
            <w:pPr>
              <w:spacing w:after="60"/>
              <w:rPr>
                <w:color w:val="auto"/>
                <w:sz w:val="12"/>
                <w:szCs w:val="12"/>
              </w:rPr>
            </w:pPr>
            <w:r w:rsidRPr="00CD1278">
              <w:rPr>
                <w:color w:val="auto"/>
                <w:sz w:val="12"/>
                <w:szCs w:val="12"/>
              </w:rPr>
              <w:t>Spain</w:t>
            </w:r>
          </w:p>
        </w:tc>
        <w:tc>
          <w:tcPr>
            <w:tcW w:w="824" w:type="dxa"/>
            <w:vMerge w:val="restart"/>
            <w:shd w:val="clear" w:color="auto" w:fill="auto"/>
            <w:vAlign w:val="center"/>
          </w:tcPr>
          <w:p w14:paraId="647FCEA7" w14:textId="77777777" w:rsidR="00D34C6F" w:rsidRPr="00CD1278" w:rsidRDefault="00D34C6F" w:rsidP="00D1371C">
            <w:pPr>
              <w:spacing w:after="60"/>
              <w:ind w:left="-87"/>
              <w:rPr>
                <w:color w:val="auto"/>
                <w:sz w:val="12"/>
                <w:szCs w:val="12"/>
              </w:rPr>
            </w:pPr>
            <w:r w:rsidRPr="00CD1278">
              <w:rPr>
                <w:color w:val="auto"/>
                <w:sz w:val="12"/>
                <w:szCs w:val="12"/>
              </w:rPr>
              <w:t>Cut Flowers – Catalonia</w:t>
            </w:r>
          </w:p>
        </w:tc>
        <w:tc>
          <w:tcPr>
            <w:tcW w:w="770" w:type="dxa"/>
            <w:vMerge w:val="restart"/>
            <w:shd w:val="clear" w:color="auto" w:fill="auto"/>
            <w:vAlign w:val="center"/>
          </w:tcPr>
          <w:p w14:paraId="1627D561" w14:textId="77777777" w:rsidR="00D34C6F" w:rsidRPr="00CD1278" w:rsidRDefault="00D34C6F" w:rsidP="008277E3">
            <w:pPr>
              <w:spacing w:after="60"/>
              <w:rPr>
                <w:color w:val="auto"/>
                <w:sz w:val="10"/>
                <w:szCs w:val="10"/>
              </w:rPr>
            </w:pPr>
            <w:r w:rsidRPr="00CD1278">
              <w:rPr>
                <w:color w:val="auto"/>
                <w:sz w:val="10"/>
                <w:szCs w:val="10"/>
              </w:rPr>
              <w:t>20.000</w:t>
            </w:r>
          </w:p>
        </w:tc>
        <w:tc>
          <w:tcPr>
            <w:tcW w:w="647" w:type="dxa"/>
            <w:vMerge w:val="restart"/>
            <w:shd w:val="clear" w:color="auto" w:fill="auto"/>
            <w:vAlign w:val="center"/>
          </w:tcPr>
          <w:p w14:paraId="1131B59F" w14:textId="77777777" w:rsidR="00D34C6F" w:rsidRPr="00CD1278" w:rsidRDefault="00D34C6F" w:rsidP="008277E3">
            <w:pPr>
              <w:spacing w:after="60"/>
              <w:rPr>
                <w:color w:val="auto"/>
                <w:sz w:val="10"/>
                <w:szCs w:val="10"/>
              </w:rPr>
            </w:pPr>
            <w:r w:rsidRPr="00CD1278">
              <w:rPr>
                <w:color w:val="auto"/>
                <w:sz w:val="10"/>
                <w:szCs w:val="10"/>
              </w:rPr>
              <w:t>18.600</w:t>
            </w:r>
          </w:p>
        </w:tc>
        <w:tc>
          <w:tcPr>
            <w:tcW w:w="709" w:type="dxa"/>
            <w:vMerge w:val="restart"/>
            <w:shd w:val="clear" w:color="auto" w:fill="auto"/>
            <w:vAlign w:val="center"/>
          </w:tcPr>
          <w:p w14:paraId="3B113DE6" w14:textId="77777777" w:rsidR="00D34C6F" w:rsidRPr="00CD1278" w:rsidRDefault="00D34C6F" w:rsidP="008277E3">
            <w:pPr>
              <w:spacing w:after="60"/>
              <w:rPr>
                <w:color w:val="auto"/>
                <w:sz w:val="10"/>
                <w:szCs w:val="10"/>
              </w:rPr>
            </w:pPr>
            <w:r w:rsidRPr="00CD1278">
              <w:rPr>
                <w:color w:val="auto"/>
                <w:sz w:val="10"/>
                <w:szCs w:val="10"/>
              </w:rPr>
              <w:t>12.840</w:t>
            </w:r>
          </w:p>
        </w:tc>
        <w:tc>
          <w:tcPr>
            <w:tcW w:w="567" w:type="dxa"/>
            <w:shd w:val="clear" w:color="auto" w:fill="auto"/>
            <w:vAlign w:val="center"/>
          </w:tcPr>
          <w:p w14:paraId="1F806FAE" w14:textId="77777777" w:rsidR="00D34C6F" w:rsidRPr="00CD1278" w:rsidRDefault="00D34C6F" w:rsidP="008277E3">
            <w:pPr>
              <w:spacing w:after="60"/>
              <w:rPr>
                <w:color w:val="auto"/>
                <w:sz w:val="10"/>
                <w:szCs w:val="10"/>
              </w:rPr>
            </w:pPr>
            <w:r w:rsidRPr="00CD1278">
              <w:rPr>
                <w:color w:val="auto"/>
                <w:sz w:val="10"/>
                <w:szCs w:val="10"/>
              </w:rPr>
              <w:t>17</w:t>
            </w:r>
          </w:p>
        </w:tc>
        <w:tc>
          <w:tcPr>
            <w:tcW w:w="709" w:type="dxa"/>
            <w:vMerge w:val="restart"/>
            <w:shd w:val="clear" w:color="auto" w:fill="auto"/>
            <w:vAlign w:val="center"/>
          </w:tcPr>
          <w:p w14:paraId="1D4938D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vMerge w:val="restart"/>
            <w:shd w:val="clear" w:color="auto" w:fill="auto"/>
            <w:vAlign w:val="center"/>
          </w:tcPr>
          <w:p w14:paraId="1D1710D0"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18ECBA9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vMerge w:val="restart"/>
            <w:shd w:val="clear" w:color="auto" w:fill="auto"/>
            <w:vAlign w:val="center"/>
          </w:tcPr>
          <w:p w14:paraId="4CBE906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5B610E3"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4B2B605" w14:textId="77777777" w:rsidR="00D34C6F" w:rsidRPr="00CD1278" w:rsidRDefault="00D34C6F" w:rsidP="008277E3">
            <w:pPr>
              <w:spacing w:after="60"/>
              <w:rPr>
                <w:color w:val="auto"/>
                <w:sz w:val="10"/>
                <w:szCs w:val="10"/>
              </w:rPr>
            </w:pPr>
          </w:p>
        </w:tc>
        <w:tc>
          <w:tcPr>
            <w:tcW w:w="567" w:type="dxa"/>
          </w:tcPr>
          <w:p w14:paraId="06FDCAB1" w14:textId="77777777" w:rsidR="00D34C6F" w:rsidRPr="00CD1278" w:rsidRDefault="00D34C6F" w:rsidP="008277E3">
            <w:pPr>
              <w:spacing w:after="60"/>
              <w:jc w:val="center"/>
              <w:rPr>
                <w:color w:val="auto"/>
                <w:sz w:val="10"/>
                <w:szCs w:val="10"/>
              </w:rPr>
            </w:pPr>
          </w:p>
        </w:tc>
        <w:tc>
          <w:tcPr>
            <w:tcW w:w="567" w:type="dxa"/>
          </w:tcPr>
          <w:p w14:paraId="515598EE" w14:textId="77777777" w:rsidR="00D34C6F" w:rsidRPr="00CD1278" w:rsidRDefault="00D34C6F" w:rsidP="008277E3">
            <w:pPr>
              <w:spacing w:after="60"/>
              <w:jc w:val="center"/>
              <w:rPr>
                <w:color w:val="auto"/>
                <w:sz w:val="10"/>
                <w:szCs w:val="10"/>
              </w:rPr>
            </w:pPr>
          </w:p>
        </w:tc>
        <w:tc>
          <w:tcPr>
            <w:tcW w:w="709" w:type="dxa"/>
            <w:vMerge w:val="restart"/>
            <w:shd w:val="clear" w:color="auto" w:fill="auto"/>
            <w:vAlign w:val="center"/>
          </w:tcPr>
          <w:p w14:paraId="5BD8B7E1" w14:textId="77777777" w:rsidR="00D34C6F" w:rsidRPr="00CD1278" w:rsidRDefault="00D34C6F" w:rsidP="008277E3">
            <w:pPr>
              <w:spacing w:after="60"/>
              <w:rPr>
                <w:color w:val="auto"/>
                <w:sz w:val="10"/>
                <w:szCs w:val="10"/>
              </w:rPr>
            </w:pPr>
            <w:r w:rsidRPr="00CD1278">
              <w:rPr>
                <w:color w:val="auto"/>
                <w:sz w:val="10"/>
                <w:szCs w:val="10"/>
              </w:rPr>
              <w:t>20.000</w:t>
            </w:r>
          </w:p>
        </w:tc>
        <w:tc>
          <w:tcPr>
            <w:tcW w:w="709" w:type="dxa"/>
            <w:shd w:val="clear" w:color="auto" w:fill="auto"/>
            <w:vAlign w:val="center"/>
          </w:tcPr>
          <w:p w14:paraId="24130F47" w14:textId="77777777" w:rsidR="00D34C6F" w:rsidRPr="00CD1278" w:rsidRDefault="00D34C6F" w:rsidP="008277E3">
            <w:pPr>
              <w:spacing w:after="60"/>
              <w:rPr>
                <w:color w:val="auto"/>
                <w:sz w:val="10"/>
                <w:szCs w:val="10"/>
              </w:rPr>
            </w:pPr>
            <w:r w:rsidRPr="00CD1278">
              <w:rPr>
                <w:color w:val="auto"/>
                <w:sz w:val="10"/>
                <w:szCs w:val="10"/>
              </w:rPr>
              <w:t>15.000</w:t>
            </w:r>
          </w:p>
        </w:tc>
        <w:tc>
          <w:tcPr>
            <w:tcW w:w="708" w:type="dxa"/>
            <w:shd w:val="clear" w:color="auto" w:fill="auto"/>
            <w:vAlign w:val="center"/>
          </w:tcPr>
          <w:p w14:paraId="0A3DD6C9" w14:textId="77777777" w:rsidR="00D34C6F" w:rsidRPr="00CD1278" w:rsidRDefault="00D34C6F" w:rsidP="008277E3">
            <w:pPr>
              <w:spacing w:after="60"/>
              <w:rPr>
                <w:color w:val="auto"/>
                <w:sz w:val="10"/>
                <w:szCs w:val="10"/>
              </w:rPr>
            </w:pPr>
            <w:r w:rsidRPr="00CD1278">
              <w:rPr>
                <w:color w:val="auto"/>
                <w:sz w:val="10"/>
                <w:szCs w:val="10"/>
              </w:rPr>
              <w:t>43.490</w:t>
            </w:r>
          </w:p>
        </w:tc>
        <w:tc>
          <w:tcPr>
            <w:tcW w:w="709" w:type="dxa"/>
            <w:shd w:val="clear" w:color="auto" w:fill="auto"/>
            <w:vAlign w:val="center"/>
          </w:tcPr>
          <w:p w14:paraId="0165952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11761CB"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vMerge w:val="restart"/>
            <w:shd w:val="clear" w:color="auto" w:fill="auto"/>
            <w:vAlign w:val="center"/>
          </w:tcPr>
          <w:p w14:paraId="690F68C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vMerge w:val="restart"/>
            <w:shd w:val="clear" w:color="auto" w:fill="auto"/>
            <w:vAlign w:val="center"/>
          </w:tcPr>
          <w:p w14:paraId="0F34BE2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756FC45E"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5BCD410F" w14:textId="77777777" w:rsidR="00D34C6F" w:rsidRPr="00CD1278" w:rsidRDefault="00D34C6F" w:rsidP="008277E3">
            <w:pPr>
              <w:spacing w:after="60"/>
              <w:rPr>
                <w:b/>
                <w:color w:val="auto"/>
                <w:sz w:val="10"/>
                <w:szCs w:val="10"/>
              </w:rPr>
            </w:pPr>
          </w:p>
        </w:tc>
        <w:tc>
          <w:tcPr>
            <w:tcW w:w="567" w:type="dxa"/>
          </w:tcPr>
          <w:p w14:paraId="6C45C07A" w14:textId="77777777" w:rsidR="00D34C6F" w:rsidRPr="00CD1278" w:rsidRDefault="00D34C6F" w:rsidP="008277E3">
            <w:pPr>
              <w:spacing w:after="60"/>
              <w:jc w:val="center"/>
              <w:rPr>
                <w:b/>
                <w:color w:val="auto"/>
                <w:sz w:val="10"/>
                <w:szCs w:val="10"/>
              </w:rPr>
            </w:pPr>
          </w:p>
        </w:tc>
        <w:tc>
          <w:tcPr>
            <w:tcW w:w="567" w:type="dxa"/>
          </w:tcPr>
          <w:p w14:paraId="4AF5F4F7" w14:textId="77777777" w:rsidR="00D34C6F" w:rsidRPr="00CD1278" w:rsidRDefault="00D34C6F" w:rsidP="008277E3">
            <w:pPr>
              <w:spacing w:after="60"/>
              <w:jc w:val="center"/>
              <w:rPr>
                <w:b/>
                <w:color w:val="auto"/>
                <w:sz w:val="10"/>
                <w:szCs w:val="10"/>
              </w:rPr>
            </w:pPr>
          </w:p>
        </w:tc>
        <w:tc>
          <w:tcPr>
            <w:tcW w:w="567" w:type="dxa"/>
          </w:tcPr>
          <w:p w14:paraId="58C39041" w14:textId="77777777" w:rsidR="00D34C6F" w:rsidRPr="00CD1278" w:rsidRDefault="00D34C6F" w:rsidP="008277E3">
            <w:pPr>
              <w:spacing w:after="60"/>
              <w:jc w:val="center"/>
              <w:rPr>
                <w:b/>
                <w:color w:val="auto"/>
                <w:sz w:val="10"/>
                <w:szCs w:val="10"/>
              </w:rPr>
            </w:pPr>
          </w:p>
        </w:tc>
      </w:tr>
      <w:tr w:rsidR="003C102E" w:rsidRPr="00CD1278" w14:paraId="0FF5D2A2" w14:textId="77777777" w:rsidTr="008277E3">
        <w:trPr>
          <w:trHeight w:val="465"/>
          <w:jc w:val="center"/>
        </w:trPr>
        <w:tc>
          <w:tcPr>
            <w:tcW w:w="662" w:type="dxa"/>
            <w:vMerge/>
            <w:shd w:val="clear" w:color="auto" w:fill="auto"/>
            <w:vAlign w:val="center"/>
          </w:tcPr>
          <w:p w14:paraId="51D52513" w14:textId="77777777" w:rsidR="00D34C6F" w:rsidRPr="00CD1278" w:rsidRDefault="00D34C6F" w:rsidP="008277E3">
            <w:pPr>
              <w:spacing w:after="60"/>
              <w:rPr>
                <w:color w:val="auto"/>
                <w:sz w:val="12"/>
                <w:szCs w:val="12"/>
              </w:rPr>
            </w:pPr>
          </w:p>
        </w:tc>
        <w:tc>
          <w:tcPr>
            <w:tcW w:w="824" w:type="dxa"/>
            <w:vMerge/>
            <w:shd w:val="clear" w:color="auto" w:fill="auto"/>
            <w:vAlign w:val="center"/>
          </w:tcPr>
          <w:p w14:paraId="78FC3B31" w14:textId="77777777" w:rsidR="00D34C6F" w:rsidRPr="00CD1278" w:rsidRDefault="00D34C6F" w:rsidP="00D1371C">
            <w:pPr>
              <w:spacing w:after="60"/>
              <w:ind w:left="-87"/>
              <w:rPr>
                <w:color w:val="auto"/>
                <w:sz w:val="12"/>
                <w:szCs w:val="12"/>
              </w:rPr>
            </w:pPr>
          </w:p>
        </w:tc>
        <w:tc>
          <w:tcPr>
            <w:tcW w:w="770" w:type="dxa"/>
            <w:vMerge/>
            <w:shd w:val="clear" w:color="auto" w:fill="auto"/>
            <w:vAlign w:val="center"/>
          </w:tcPr>
          <w:p w14:paraId="7F77B936" w14:textId="77777777" w:rsidR="00D34C6F" w:rsidRPr="00CD1278" w:rsidRDefault="00D34C6F" w:rsidP="008277E3">
            <w:pPr>
              <w:spacing w:after="60"/>
              <w:rPr>
                <w:color w:val="auto"/>
                <w:sz w:val="10"/>
                <w:szCs w:val="10"/>
              </w:rPr>
            </w:pPr>
          </w:p>
        </w:tc>
        <w:tc>
          <w:tcPr>
            <w:tcW w:w="647" w:type="dxa"/>
            <w:vMerge/>
            <w:shd w:val="clear" w:color="auto" w:fill="auto"/>
            <w:vAlign w:val="center"/>
          </w:tcPr>
          <w:p w14:paraId="2F095AE8" w14:textId="77777777" w:rsidR="00D34C6F" w:rsidRPr="00CD1278" w:rsidRDefault="00D34C6F" w:rsidP="008277E3">
            <w:pPr>
              <w:spacing w:after="60"/>
              <w:rPr>
                <w:color w:val="auto"/>
                <w:sz w:val="10"/>
                <w:szCs w:val="10"/>
              </w:rPr>
            </w:pPr>
          </w:p>
        </w:tc>
        <w:tc>
          <w:tcPr>
            <w:tcW w:w="709" w:type="dxa"/>
            <w:vMerge/>
            <w:shd w:val="clear" w:color="auto" w:fill="auto"/>
            <w:vAlign w:val="center"/>
          </w:tcPr>
          <w:p w14:paraId="14F14DBA" w14:textId="77777777" w:rsidR="00D34C6F" w:rsidRPr="00CD1278" w:rsidRDefault="00D34C6F" w:rsidP="008277E3">
            <w:pPr>
              <w:spacing w:after="60"/>
              <w:rPr>
                <w:color w:val="auto"/>
                <w:sz w:val="10"/>
                <w:szCs w:val="10"/>
              </w:rPr>
            </w:pPr>
          </w:p>
        </w:tc>
        <w:tc>
          <w:tcPr>
            <w:tcW w:w="567" w:type="dxa"/>
            <w:shd w:val="clear" w:color="auto" w:fill="auto"/>
            <w:vAlign w:val="center"/>
          </w:tcPr>
          <w:p w14:paraId="083F8B13" w14:textId="77777777" w:rsidR="00D34C6F" w:rsidRPr="00CD1278" w:rsidRDefault="00D34C6F" w:rsidP="008277E3">
            <w:pPr>
              <w:spacing w:after="60"/>
              <w:rPr>
                <w:color w:val="auto"/>
                <w:sz w:val="10"/>
                <w:szCs w:val="10"/>
              </w:rPr>
            </w:pPr>
            <w:r w:rsidRPr="00CD1278">
              <w:rPr>
                <w:color w:val="auto"/>
                <w:sz w:val="10"/>
                <w:szCs w:val="10"/>
              </w:rPr>
              <w:t>(+Andalucia)</w:t>
            </w:r>
          </w:p>
        </w:tc>
        <w:tc>
          <w:tcPr>
            <w:tcW w:w="709" w:type="dxa"/>
            <w:vMerge/>
            <w:shd w:val="clear" w:color="auto" w:fill="auto"/>
            <w:vAlign w:val="center"/>
          </w:tcPr>
          <w:p w14:paraId="08C71BB7" w14:textId="77777777" w:rsidR="00D34C6F" w:rsidRPr="00CD1278" w:rsidRDefault="00D34C6F" w:rsidP="008277E3">
            <w:pPr>
              <w:spacing w:after="60"/>
              <w:rPr>
                <w:color w:val="auto"/>
                <w:sz w:val="10"/>
                <w:szCs w:val="10"/>
              </w:rPr>
            </w:pPr>
          </w:p>
        </w:tc>
        <w:tc>
          <w:tcPr>
            <w:tcW w:w="567" w:type="dxa"/>
            <w:vMerge/>
            <w:shd w:val="clear" w:color="auto" w:fill="auto"/>
            <w:vAlign w:val="center"/>
          </w:tcPr>
          <w:p w14:paraId="597EFDB7" w14:textId="77777777" w:rsidR="00D34C6F" w:rsidRPr="00CD1278" w:rsidRDefault="00D34C6F" w:rsidP="008277E3">
            <w:pPr>
              <w:spacing w:after="60"/>
              <w:rPr>
                <w:color w:val="auto"/>
                <w:sz w:val="10"/>
                <w:szCs w:val="10"/>
              </w:rPr>
            </w:pPr>
          </w:p>
        </w:tc>
        <w:tc>
          <w:tcPr>
            <w:tcW w:w="708" w:type="dxa"/>
            <w:shd w:val="clear" w:color="auto" w:fill="auto"/>
            <w:vAlign w:val="center"/>
          </w:tcPr>
          <w:p w14:paraId="77D8453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vMerge/>
            <w:shd w:val="clear" w:color="auto" w:fill="auto"/>
            <w:vAlign w:val="center"/>
          </w:tcPr>
          <w:p w14:paraId="3EE388B3" w14:textId="77777777" w:rsidR="00D34C6F" w:rsidRPr="00CD1278" w:rsidRDefault="00D34C6F" w:rsidP="008277E3">
            <w:pPr>
              <w:spacing w:after="60"/>
              <w:rPr>
                <w:color w:val="auto"/>
                <w:sz w:val="10"/>
                <w:szCs w:val="10"/>
              </w:rPr>
            </w:pPr>
          </w:p>
        </w:tc>
        <w:tc>
          <w:tcPr>
            <w:tcW w:w="567" w:type="dxa"/>
            <w:shd w:val="clear" w:color="auto" w:fill="auto"/>
            <w:vAlign w:val="center"/>
          </w:tcPr>
          <w:p w14:paraId="3A00067B"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E057327" w14:textId="77777777" w:rsidR="00D34C6F" w:rsidRPr="00CD1278" w:rsidRDefault="00D34C6F" w:rsidP="008277E3">
            <w:pPr>
              <w:spacing w:after="60"/>
              <w:rPr>
                <w:color w:val="auto"/>
                <w:sz w:val="10"/>
                <w:szCs w:val="10"/>
              </w:rPr>
            </w:pPr>
          </w:p>
        </w:tc>
        <w:tc>
          <w:tcPr>
            <w:tcW w:w="567" w:type="dxa"/>
          </w:tcPr>
          <w:p w14:paraId="221F6A2C" w14:textId="77777777" w:rsidR="00D34C6F" w:rsidRPr="00CD1278" w:rsidRDefault="00D34C6F" w:rsidP="008277E3">
            <w:pPr>
              <w:spacing w:after="60"/>
              <w:jc w:val="center"/>
              <w:rPr>
                <w:color w:val="auto"/>
                <w:sz w:val="10"/>
                <w:szCs w:val="10"/>
              </w:rPr>
            </w:pPr>
          </w:p>
        </w:tc>
        <w:tc>
          <w:tcPr>
            <w:tcW w:w="567" w:type="dxa"/>
          </w:tcPr>
          <w:p w14:paraId="2A38ED02" w14:textId="77777777" w:rsidR="00D34C6F" w:rsidRPr="00CD1278" w:rsidRDefault="00D34C6F" w:rsidP="008277E3">
            <w:pPr>
              <w:spacing w:after="60"/>
              <w:jc w:val="center"/>
              <w:rPr>
                <w:color w:val="auto"/>
                <w:sz w:val="10"/>
                <w:szCs w:val="10"/>
              </w:rPr>
            </w:pPr>
          </w:p>
        </w:tc>
        <w:tc>
          <w:tcPr>
            <w:tcW w:w="709" w:type="dxa"/>
            <w:vMerge/>
            <w:shd w:val="clear" w:color="auto" w:fill="auto"/>
            <w:vAlign w:val="center"/>
          </w:tcPr>
          <w:p w14:paraId="64E92317" w14:textId="77777777" w:rsidR="00D34C6F" w:rsidRPr="00CD1278" w:rsidRDefault="00D34C6F" w:rsidP="008277E3">
            <w:pPr>
              <w:spacing w:after="60"/>
              <w:rPr>
                <w:color w:val="auto"/>
                <w:sz w:val="10"/>
                <w:szCs w:val="10"/>
              </w:rPr>
            </w:pPr>
          </w:p>
        </w:tc>
        <w:tc>
          <w:tcPr>
            <w:tcW w:w="709" w:type="dxa"/>
            <w:shd w:val="clear" w:color="auto" w:fill="auto"/>
            <w:vAlign w:val="center"/>
          </w:tcPr>
          <w:p w14:paraId="5EF4207D"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568F5445" w14:textId="77777777" w:rsidR="00D34C6F" w:rsidRPr="00CD1278" w:rsidRDefault="00D34C6F" w:rsidP="008277E3">
            <w:pPr>
              <w:spacing w:after="60"/>
              <w:rPr>
                <w:color w:val="auto"/>
                <w:sz w:val="10"/>
                <w:szCs w:val="10"/>
              </w:rPr>
            </w:pPr>
            <w:r w:rsidRPr="00CD1278">
              <w:rPr>
                <w:color w:val="auto"/>
                <w:sz w:val="10"/>
                <w:szCs w:val="10"/>
              </w:rPr>
              <w:t>(+Andalucia)</w:t>
            </w:r>
          </w:p>
        </w:tc>
        <w:tc>
          <w:tcPr>
            <w:tcW w:w="709" w:type="dxa"/>
            <w:shd w:val="clear" w:color="auto" w:fill="auto"/>
            <w:vAlign w:val="center"/>
          </w:tcPr>
          <w:p w14:paraId="53A0B46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734DADB"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vMerge/>
            <w:shd w:val="clear" w:color="auto" w:fill="auto"/>
            <w:vAlign w:val="center"/>
          </w:tcPr>
          <w:p w14:paraId="21BCF9CC" w14:textId="77777777" w:rsidR="00D34C6F" w:rsidRPr="00CD1278" w:rsidRDefault="00D34C6F" w:rsidP="008277E3">
            <w:pPr>
              <w:spacing w:after="60"/>
              <w:rPr>
                <w:color w:val="auto"/>
                <w:sz w:val="10"/>
                <w:szCs w:val="10"/>
              </w:rPr>
            </w:pPr>
          </w:p>
        </w:tc>
        <w:tc>
          <w:tcPr>
            <w:tcW w:w="567" w:type="dxa"/>
            <w:vMerge/>
            <w:shd w:val="clear" w:color="auto" w:fill="auto"/>
            <w:vAlign w:val="center"/>
          </w:tcPr>
          <w:p w14:paraId="69C7D2B6" w14:textId="77777777" w:rsidR="00D34C6F" w:rsidRPr="00CD1278" w:rsidRDefault="00D34C6F" w:rsidP="008277E3">
            <w:pPr>
              <w:spacing w:after="60"/>
              <w:rPr>
                <w:color w:val="auto"/>
                <w:sz w:val="10"/>
                <w:szCs w:val="10"/>
              </w:rPr>
            </w:pPr>
          </w:p>
        </w:tc>
        <w:tc>
          <w:tcPr>
            <w:tcW w:w="567" w:type="dxa"/>
            <w:shd w:val="clear" w:color="auto" w:fill="auto"/>
            <w:noWrap/>
            <w:vAlign w:val="center"/>
          </w:tcPr>
          <w:p w14:paraId="31EB7486"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30E1FB71" w14:textId="77777777" w:rsidR="00D34C6F" w:rsidRPr="00CD1278" w:rsidRDefault="00D34C6F" w:rsidP="008277E3">
            <w:pPr>
              <w:spacing w:after="60"/>
              <w:rPr>
                <w:b/>
                <w:color w:val="auto"/>
                <w:sz w:val="10"/>
                <w:szCs w:val="10"/>
              </w:rPr>
            </w:pPr>
          </w:p>
        </w:tc>
        <w:tc>
          <w:tcPr>
            <w:tcW w:w="567" w:type="dxa"/>
          </w:tcPr>
          <w:p w14:paraId="6877F1D2" w14:textId="77777777" w:rsidR="00D34C6F" w:rsidRPr="00CD1278" w:rsidRDefault="00D34C6F" w:rsidP="008277E3">
            <w:pPr>
              <w:spacing w:after="60"/>
              <w:jc w:val="center"/>
              <w:rPr>
                <w:b/>
                <w:color w:val="auto"/>
                <w:sz w:val="10"/>
                <w:szCs w:val="10"/>
              </w:rPr>
            </w:pPr>
          </w:p>
        </w:tc>
        <w:tc>
          <w:tcPr>
            <w:tcW w:w="567" w:type="dxa"/>
          </w:tcPr>
          <w:p w14:paraId="5C84E1F9" w14:textId="77777777" w:rsidR="00D34C6F" w:rsidRPr="00CD1278" w:rsidRDefault="00D34C6F" w:rsidP="008277E3">
            <w:pPr>
              <w:spacing w:after="60"/>
              <w:jc w:val="center"/>
              <w:rPr>
                <w:b/>
                <w:color w:val="auto"/>
                <w:sz w:val="10"/>
                <w:szCs w:val="10"/>
              </w:rPr>
            </w:pPr>
          </w:p>
        </w:tc>
        <w:tc>
          <w:tcPr>
            <w:tcW w:w="567" w:type="dxa"/>
          </w:tcPr>
          <w:p w14:paraId="70DE01BE" w14:textId="77777777" w:rsidR="00D34C6F" w:rsidRPr="00CD1278" w:rsidRDefault="00D34C6F" w:rsidP="008277E3">
            <w:pPr>
              <w:spacing w:after="60"/>
              <w:jc w:val="center"/>
              <w:rPr>
                <w:b/>
                <w:color w:val="auto"/>
                <w:sz w:val="10"/>
                <w:szCs w:val="10"/>
              </w:rPr>
            </w:pPr>
          </w:p>
        </w:tc>
      </w:tr>
      <w:tr w:rsidR="003C102E" w:rsidRPr="00CD1278" w14:paraId="250C13C8" w14:textId="77777777" w:rsidTr="008277E3">
        <w:trPr>
          <w:trHeight w:val="270"/>
          <w:jc w:val="center"/>
        </w:trPr>
        <w:tc>
          <w:tcPr>
            <w:tcW w:w="662" w:type="dxa"/>
            <w:shd w:val="clear" w:color="auto" w:fill="auto"/>
            <w:vAlign w:val="center"/>
          </w:tcPr>
          <w:p w14:paraId="649E4706" w14:textId="77777777" w:rsidR="00D34C6F" w:rsidRPr="00CD1278" w:rsidRDefault="00D34C6F" w:rsidP="008277E3">
            <w:pPr>
              <w:spacing w:after="60"/>
              <w:rPr>
                <w:color w:val="auto"/>
                <w:sz w:val="12"/>
                <w:szCs w:val="12"/>
              </w:rPr>
            </w:pPr>
            <w:r w:rsidRPr="00CD1278">
              <w:rPr>
                <w:color w:val="auto"/>
                <w:sz w:val="12"/>
                <w:szCs w:val="12"/>
              </w:rPr>
              <w:t>Spain</w:t>
            </w:r>
          </w:p>
        </w:tc>
        <w:tc>
          <w:tcPr>
            <w:tcW w:w="824" w:type="dxa"/>
            <w:shd w:val="clear" w:color="auto" w:fill="auto"/>
            <w:vAlign w:val="center"/>
          </w:tcPr>
          <w:p w14:paraId="27179789" w14:textId="77777777" w:rsidR="00D34C6F" w:rsidRPr="00CD1278" w:rsidRDefault="00D34C6F" w:rsidP="00D1371C">
            <w:pPr>
              <w:spacing w:after="60"/>
              <w:ind w:left="-87"/>
              <w:rPr>
                <w:color w:val="auto"/>
                <w:sz w:val="12"/>
                <w:szCs w:val="12"/>
              </w:rPr>
            </w:pPr>
            <w:r w:rsidRPr="00CD1278">
              <w:rPr>
                <w:color w:val="auto"/>
                <w:sz w:val="12"/>
                <w:szCs w:val="12"/>
              </w:rPr>
              <w:t>Pepper</w:t>
            </w:r>
          </w:p>
        </w:tc>
        <w:tc>
          <w:tcPr>
            <w:tcW w:w="770" w:type="dxa"/>
            <w:shd w:val="clear" w:color="auto" w:fill="auto"/>
            <w:vAlign w:val="center"/>
          </w:tcPr>
          <w:p w14:paraId="4F1D1AE4" w14:textId="77777777" w:rsidR="00D34C6F" w:rsidRPr="00CD1278" w:rsidRDefault="00D34C6F" w:rsidP="008277E3">
            <w:pPr>
              <w:spacing w:after="60"/>
              <w:rPr>
                <w:color w:val="auto"/>
                <w:sz w:val="10"/>
                <w:szCs w:val="10"/>
              </w:rPr>
            </w:pPr>
            <w:r w:rsidRPr="00CD1278">
              <w:rPr>
                <w:color w:val="auto"/>
                <w:sz w:val="10"/>
                <w:szCs w:val="10"/>
              </w:rPr>
              <w:t>200.000</w:t>
            </w:r>
          </w:p>
        </w:tc>
        <w:tc>
          <w:tcPr>
            <w:tcW w:w="647" w:type="dxa"/>
            <w:shd w:val="clear" w:color="auto" w:fill="auto"/>
            <w:vAlign w:val="center"/>
          </w:tcPr>
          <w:p w14:paraId="2A9D788B" w14:textId="77777777" w:rsidR="00D34C6F" w:rsidRPr="00CD1278" w:rsidRDefault="00D34C6F" w:rsidP="008277E3">
            <w:pPr>
              <w:spacing w:after="60"/>
              <w:rPr>
                <w:color w:val="auto"/>
                <w:sz w:val="10"/>
                <w:szCs w:val="10"/>
              </w:rPr>
            </w:pPr>
            <w:r w:rsidRPr="00CD1278">
              <w:rPr>
                <w:color w:val="auto"/>
                <w:sz w:val="10"/>
                <w:szCs w:val="10"/>
              </w:rPr>
              <w:t>155.000</w:t>
            </w:r>
          </w:p>
        </w:tc>
        <w:tc>
          <w:tcPr>
            <w:tcW w:w="709" w:type="dxa"/>
            <w:shd w:val="clear" w:color="auto" w:fill="auto"/>
            <w:vAlign w:val="center"/>
          </w:tcPr>
          <w:p w14:paraId="76262C8F" w14:textId="77777777" w:rsidR="00D34C6F" w:rsidRPr="00CD1278" w:rsidRDefault="00D34C6F" w:rsidP="008277E3">
            <w:pPr>
              <w:spacing w:after="60"/>
              <w:rPr>
                <w:color w:val="auto"/>
                <w:sz w:val="10"/>
                <w:szCs w:val="10"/>
              </w:rPr>
            </w:pPr>
            <w:r w:rsidRPr="00CD1278">
              <w:rPr>
                <w:color w:val="auto"/>
                <w:sz w:val="10"/>
                <w:szCs w:val="10"/>
              </w:rPr>
              <w:t>45.000</w:t>
            </w:r>
          </w:p>
        </w:tc>
        <w:tc>
          <w:tcPr>
            <w:tcW w:w="567" w:type="dxa"/>
            <w:shd w:val="clear" w:color="auto" w:fill="auto"/>
            <w:vAlign w:val="center"/>
          </w:tcPr>
          <w:p w14:paraId="31884F67"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555AFA2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E3BC546"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760BC1C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C14F33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AC34041"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7F84A4B9" w14:textId="77777777" w:rsidR="00D34C6F" w:rsidRPr="00CD1278" w:rsidRDefault="00D34C6F" w:rsidP="008277E3">
            <w:pPr>
              <w:spacing w:after="60"/>
              <w:rPr>
                <w:color w:val="auto"/>
                <w:sz w:val="10"/>
                <w:szCs w:val="10"/>
              </w:rPr>
            </w:pPr>
          </w:p>
        </w:tc>
        <w:tc>
          <w:tcPr>
            <w:tcW w:w="567" w:type="dxa"/>
          </w:tcPr>
          <w:p w14:paraId="1EB0465E" w14:textId="77777777" w:rsidR="00D34C6F" w:rsidRPr="00CD1278" w:rsidRDefault="00D34C6F" w:rsidP="008277E3">
            <w:pPr>
              <w:spacing w:after="60"/>
              <w:jc w:val="center"/>
              <w:rPr>
                <w:color w:val="auto"/>
                <w:sz w:val="10"/>
                <w:szCs w:val="10"/>
              </w:rPr>
            </w:pPr>
          </w:p>
        </w:tc>
        <w:tc>
          <w:tcPr>
            <w:tcW w:w="567" w:type="dxa"/>
          </w:tcPr>
          <w:p w14:paraId="6B88530C"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67E6D776" w14:textId="77777777" w:rsidR="00D34C6F" w:rsidRPr="00CD1278" w:rsidRDefault="00D34C6F" w:rsidP="008277E3">
            <w:pPr>
              <w:spacing w:after="60"/>
              <w:rPr>
                <w:color w:val="auto"/>
                <w:sz w:val="10"/>
                <w:szCs w:val="10"/>
              </w:rPr>
            </w:pPr>
            <w:r w:rsidRPr="00CD1278">
              <w:rPr>
                <w:color w:val="auto"/>
                <w:sz w:val="10"/>
                <w:szCs w:val="10"/>
              </w:rPr>
              <w:t>200.000</w:t>
            </w:r>
          </w:p>
        </w:tc>
        <w:tc>
          <w:tcPr>
            <w:tcW w:w="709" w:type="dxa"/>
            <w:shd w:val="clear" w:color="auto" w:fill="auto"/>
            <w:vAlign w:val="center"/>
          </w:tcPr>
          <w:p w14:paraId="1DE4BD7C" w14:textId="77777777" w:rsidR="00D34C6F" w:rsidRPr="00CD1278" w:rsidRDefault="00D34C6F" w:rsidP="008277E3">
            <w:pPr>
              <w:spacing w:after="60"/>
              <w:rPr>
                <w:color w:val="auto"/>
                <w:sz w:val="10"/>
                <w:szCs w:val="10"/>
              </w:rPr>
            </w:pPr>
            <w:r w:rsidRPr="00CD1278">
              <w:rPr>
                <w:color w:val="auto"/>
                <w:sz w:val="10"/>
                <w:szCs w:val="10"/>
              </w:rPr>
              <w:t>155.000</w:t>
            </w:r>
          </w:p>
        </w:tc>
        <w:tc>
          <w:tcPr>
            <w:tcW w:w="708" w:type="dxa"/>
            <w:shd w:val="clear" w:color="auto" w:fill="auto"/>
            <w:vAlign w:val="center"/>
          </w:tcPr>
          <w:p w14:paraId="6B45FBEF" w14:textId="77777777" w:rsidR="00D34C6F" w:rsidRPr="00CD1278" w:rsidRDefault="00D34C6F" w:rsidP="008277E3">
            <w:pPr>
              <w:spacing w:after="60"/>
              <w:rPr>
                <w:color w:val="auto"/>
                <w:sz w:val="10"/>
                <w:szCs w:val="10"/>
              </w:rPr>
            </w:pPr>
            <w:r w:rsidRPr="00CD1278">
              <w:rPr>
                <w:color w:val="auto"/>
                <w:sz w:val="10"/>
                <w:szCs w:val="10"/>
              </w:rPr>
              <w:t>45.000</w:t>
            </w:r>
          </w:p>
        </w:tc>
        <w:tc>
          <w:tcPr>
            <w:tcW w:w="709" w:type="dxa"/>
            <w:shd w:val="clear" w:color="auto" w:fill="auto"/>
            <w:vAlign w:val="center"/>
          </w:tcPr>
          <w:p w14:paraId="76DF015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4449BF6"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37200F5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3F9A12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7AA80425"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1AB3FB60" w14:textId="77777777" w:rsidR="00D34C6F" w:rsidRPr="00CD1278" w:rsidRDefault="00D34C6F" w:rsidP="008277E3">
            <w:pPr>
              <w:spacing w:after="60"/>
              <w:rPr>
                <w:b/>
                <w:color w:val="auto"/>
                <w:sz w:val="10"/>
                <w:szCs w:val="10"/>
              </w:rPr>
            </w:pPr>
          </w:p>
        </w:tc>
        <w:tc>
          <w:tcPr>
            <w:tcW w:w="567" w:type="dxa"/>
          </w:tcPr>
          <w:p w14:paraId="05BF5623" w14:textId="77777777" w:rsidR="00D34C6F" w:rsidRPr="00CD1278" w:rsidRDefault="00D34C6F" w:rsidP="008277E3">
            <w:pPr>
              <w:spacing w:after="60"/>
              <w:jc w:val="center"/>
              <w:rPr>
                <w:b/>
                <w:color w:val="auto"/>
                <w:sz w:val="10"/>
                <w:szCs w:val="10"/>
              </w:rPr>
            </w:pPr>
          </w:p>
        </w:tc>
        <w:tc>
          <w:tcPr>
            <w:tcW w:w="567" w:type="dxa"/>
          </w:tcPr>
          <w:p w14:paraId="18584267" w14:textId="77777777" w:rsidR="00D34C6F" w:rsidRPr="00CD1278" w:rsidRDefault="00D34C6F" w:rsidP="008277E3">
            <w:pPr>
              <w:spacing w:after="60"/>
              <w:jc w:val="center"/>
              <w:rPr>
                <w:b/>
                <w:color w:val="auto"/>
                <w:sz w:val="10"/>
                <w:szCs w:val="10"/>
              </w:rPr>
            </w:pPr>
          </w:p>
        </w:tc>
        <w:tc>
          <w:tcPr>
            <w:tcW w:w="567" w:type="dxa"/>
          </w:tcPr>
          <w:p w14:paraId="0CF81A0D" w14:textId="77777777" w:rsidR="00D34C6F" w:rsidRPr="00CD1278" w:rsidRDefault="00D34C6F" w:rsidP="008277E3">
            <w:pPr>
              <w:spacing w:after="60"/>
              <w:jc w:val="center"/>
              <w:rPr>
                <w:b/>
                <w:color w:val="auto"/>
                <w:sz w:val="10"/>
                <w:szCs w:val="10"/>
              </w:rPr>
            </w:pPr>
          </w:p>
        </w:tc>
      </w:tr>
      <w:tr w:rsidR="003C102E" w:rsidRPr="00CD1278" w14:paraId="64BBE8BF" w14:textId="77777777" w:rsidTr="008277E3">
        <w:trPr>
          <w:trHeight w:val="465"/>
          <w:jc w:val="center"/>
        </w:trPr>
        <w:tc>
          <w:tcPr>
            <w:tcW w:w="662" w:type="dxa"/>
            <w:shd w:val="clear" w:color="auto" w:fill="auto"/>
            <w:vAlign w:val="center"/>
          </w:tcPr>
          <w:p w14:paraId="5B5F95D4" w14:textId="77777777" w:rsidR="00D34C6F" w:rsidRPr="00CD1278" w:rsidRDefault="00D34C6F" w:rsidP="008277E3">
            <w:pPr>
              <w:spacing w:after="60"/>
              <w:rPr>
                <w:color w:val="auto"/>
                <w:sz w:val="12"/>
                <w:szCs w:val="12"/>
              </w:rPr>
            </w:pPr>
            <w:r w:rsidRPr="00CD1278">
              <w:rPr>
                <w:color w:val="auto"/>
                <w:sz w:val="12"/>
                <w:szCs w:val="12"/>
              </w:rPr>
              <w:t>Spain</w:t>
            </w:r>
          </w:p>
        </w:tc>
        <w:tc>
          <w:tcPr>
            <w:tcW w:w="824" w:type="dxa"/>
            <w:shd w:val="clear" w:color="auto" w:fill="auto"/>
            <w:vAlign w:val="center"/>
          </w:tcPr>
          <w:p w14:paraId="7D03CC5D" w14:textId="77777777" w:rsidR="00D34C6F" w:rsidRPr="00CD1278" w:rsidRDefault="00D34C6F" w:rsidP="00D1371C">
            <w:pPr>
              <w:spacing w:after="60"/>
              <w:ind w:left="-87"/>
              <w:rPr>
                <w:color w:val="auto"/>
                <w:sz w:val="12"/>
                <w:szCs w:val="12"/>
              </w:rPr>
            </w:pPr>
            <w:r w:rsidRPr="00CD1278">
              <w:rPr>
                <w:color w:val="auto"/>
                <w:sz w:val="12"/>
                <w:szCs w:val="12"/>
              </w:rPr>
              <w:t>Strawberry Fruit</w:t>
            </w:r>
          </w:p>
        </w:tc>
        <w:tc>
          <w:tcPr>
            <w:tcW w:w="770" w:type="dxa"/>
            <w:shd w:val="clear" w:color="auto" w:fill="auto"/>
            <w:vAlign w:val="center"/>
          </w:tcPr>
          <w:p w14:paraId="15C410A3" w14:textId="77777777" w:rsidR="00D34C6F" w:rsidRPr="00CD1278" w:rsidRDefault="00D34C6F" w:rsidP="008277E3">
            <w:pPr>
              <w:spacing w:after="60"/>
              <w:rPr>
                <w:color w:val="auto"/>
                <w:sz w:val="10"/>
                <w:szCs w:val="10"/>
              </w:rPr>
            </w:pPr>
            <w:r w:rsidRPr="00CD1278">
              <w:rPr>
                <w:color w:val="auto"/>
                <w:sz w:val="10"/>
                <w:szCs w:val="10"/>
              </w:rPr>
              <w:t>556.000</w:t>
            </w:r>
          </w:p>
        </w:tc>
        <w:tc>
          <w:tcPr>
            <w:tcW w:w="647" w:type="dxa"/>
            <w:shd w:val="clear" w:color="auto" w:fill="auto"/>
            <w:vAlign w:val="center"/>
          </w:tcPr>
          <w:p w14:paraId="1DBEF2A4" w14:textId="77777777" w:rsidR="00D34C6F" w:rsidRPr="00CD1278" w:rsidRDefault="00D34C6F" w:rsidP="008277E3">
            <w:pPr>
              <w:spacing w:after="60"/>
              <w:rPr>
                <w:color w:val="auto"/>
                <w:sz w:val="10"/>
                <w:szCs w:val="10"/>
              </w:rPr>
            </w:pPr>
            <w:r w:rsidRPr="00CD1278">
              <w:rPr>
                <w:color w:val="auto"/>
                <w:sz w:val="10"/>
                <w:szCs w:val="10"/>
              </w:rPr>
              <w:t>499.290</w:t>
            </w:r>
          </w:p>
        </w:tc>
        <w:tc>
          <w:tcPr>
            <w:tcW w:w="709" w:type="dxa"/>
            <w:shd w:val="clear" w:color="auto" w:fill="auto"/>
            <w:vAlign w:val="center"/>
          </w:tcPr>
          <w:p w14:paraId="416F449C" w14:textId="77777777" w:rsidR="00D34C6F" w:rsidRPr="00CD1278" w:rsidRDefault="00D34C6F" w:rsidP="008277E3">
            <w:pPr>
              <w:spacing w:after="60"/>
              <w:rPr>
                <w:color w:val="auto"/>
                <w:sz w:val="10"/>
                <w:szCs w:val="10"/>
              </w:rPr>
            </w:pPr>
            <w:r w:rsidRPr="00CD1278">
              <w:rPr>
                <w:color w:val="auto"/>
                <w:sz w:val="10"/>
                <w:szCs w:val="10"/>
              </w:rPr>
              <w:t>80.000</w:t>
            </w:r>
          </w:p>
        </w:tc>
        <w:tc>
          <w:tcPr>
            <w:tcW w:w="567" w:type="dxa"/>
            <w:shd w:val="clear" w:color="auto" w:fill="auto"/>
            <w:vAlign w:val="center"/>
          </w:tcPr>
          <w:p w14:paraId="64A7F600"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A955C5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F03E5CB"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0393907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F18DD8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7F81AEE"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542DD27C" w14:textId="77777777" w:rsidR="00D34C6F" w:rsidRPr="00CD1278" w:rsidRDefault="00D34C6F" w:rsidP="008277E3">
            <w:pPr>
              <w:spacing w:after="60"/>
              <w:rPr>
                <w:color w:val="auto"/>
                <w:sz w:val="10"/>
                <w:szCs w:val="10"/>
              </w:rPr>
            </w:pPr>
          </w:p>
        </w:tc>
        <w:tc>
          <w:tcPr>
            <w:tcW w:w="567" w:type="dxa"/>
          </w:tcPr>
          <w:p w14:paraId="7CF0B775" w14:textId="77777777" w:rsidR="00D34C6F" w:rsidRPr="00CD1278" w:rsidRDefault="00D34C6F" w:rsidP="008277E3">
            <w:pPr>
              <w:spacing w:after="60"/>
              <w:jc w:val="center"/>
              <w:rPr>
                <w:color w:val="auto"/>
                <w:sz w:val="10"/>
                <w:szCs w:val="10"/>
              </w:rPr>
            </w:pPr>
          </w:p>
        </w:tc>
        <w:tc>
          <w:tcPr>
            <w:tcW w:w="567" w:type="dxa"/>
          </w:tcPr>
          <w:p w14:paraId="39BB1098"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58787241" w14:textId="77777777" w:rsidR="00D34C6F" w:rsidRPr="00CD1278" w:rsidRDefault="00D34C6F" w:rsidP="008277E3">
            <w:pPr>
              <w:spacing w:after="60"/>
              <w:rPr>
                <w:color w:val="auto"/>
                <w:sz w:val="10"/>
                <w:szCs w:val="10"/>
              </w:rPr>
            </w:pPr>
            <w:r w:rsidRPr="00CD1278">
              <w:rPr>
                <w:color w:val="auto"/>
                <w:sz w:val="10"/>
                <w:szCs w:val="10"/>
              </w:rPr>
              <w:t>556.000</w:t>
            </w:r>
          </w:p>
        </w:tc>
        <w:tc>
          <w:tcPr>
            <w:tcW w:w="709" w:type="dxa"/>
            <w:shd w:val="clear" w:color="auto" w:fill="auto"/>
            <w:vAlign w:val="center"/>
          </w:tcPr>
          <w:p w14:paraId="1FC41C0E" w14:textId="77777777" w:rsidR="00D34C6F" w:rsidRPr="00CD1278" w:rsidRDefault="00D34C6F" w:rsidP="008277E3">
            <w:pPr>
              <w:spacing w:after="60"/>
              <w:rPr>
                <w:color w:val="auto"/>
                <w:sz w:val="10"/>
                <w:szCs w:val="10"/>
              </w:rPr>
            </w:pPr>
            <w:r w:rsidRPr="00CD1278">
              <w:rPr>
                <w:color w:val="auto"/>
                <w:sz w:val="10"/>
                <w:szCs w:val="10"/>
              </w:rPr>
              <w:t>499.290</w:t>
            </w:r>
          </w:p>
        </w:tc>
        <w:tc>
          <w:tcPr>
            <w:tcW w:w="708" w:type="dxa"/>
            <w:shd w:val="clear" w:color="auto" w:fill="auto"/>
            <w:vAlign w:val="center"/>
          </w:tcPr>
          <w:p w14:paraId="417502E7" w14:textId="77777777" w:rsidR="00D34C6F" w:rsidRPr="00CD1278" w:rsidRDefault="00D34C6F" w:rsidP="008277E3">
            <w:pPr>
              <w:spacing w:after="60"/>
              <w:rPr>
                <w:color w:val="auto"/>
                <w:sz w:val="10"/>
                <w:szCs w:val="10"/>
              </w:rPr>
            </w:pPr>
            <w:r w:rsidRPr="00CD1278">
              <w:rPr>
                <w:color w:val="auto"/>
                <w:sz w:val="10"/>
                <w:szCs w:val="10"/>
              </w:rPr>
              <w:t>0.0796</w:t>
            </w:r>
          </w:p>
        </w:tc>
        <w:tc>
          <w:tcPr>
            <w:tcW w:w="709" w:type="dxa"/>
            <w:shd w:val="clear" w:color="auto" w:fill="auto"/>
            <w:vAlign w:val="center"/>
          </w:tcPr>
          <w:p w14:paraId="40FD2C2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B931AD9"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6579D26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D89452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662FE367"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5633E39F" w14:textId="77777777" w:rsidR="00D34C6F" w:rsidRPr="00CD1278" w:rsidRDefault="00D34C6F" w:rsidP="008277E3">
            <w:pPr>
              <w:spacing w:after="60"/>
              <w:rPr>
                <w:b/>
                <w:color w:val="auto"/>
                <w:sz w:val="10"/>
                <w:szCs w:val="10"/>
              </w:rPr>
            </w:pPr>
          </w:p>
        </w:tc>
        <w:tc>
          <w:tcPr>
            <w:tcW w:w="567" w:type="dxa"/>
          </w:tcPr>
          <w:p w14:paraId="1FB0389C" w14:textId="77777777" w:rsidR="00D34C6F" w:rsidRPr="00CD1278" w:rsidRDefault="00D34C6F" w:rsidP="008277E3">
            <w:pPr>
              <w:spacing w:after="60"/>
              <w:jc w:val="center"/>
              <w:rPr>
                <w:b/>
                <w:color w:val="auto"/>
                <w:sz w:val="10"/>
                <w:szCs w:val="10"/>
              </w:rPr>
            </w:pPr>
          </w:p>
        </w:tc>
        <w:tc>
          <w:tcPr>
            <w:tcW w:w="567" w:type="dxa"/>
          </w:tcPr>
          <w:p w14:paraId="46787716" w14:textId="77777777" w:rsidR="00D34C6F" w:rsidRPr="00CD1278" w:rsidRDefault="00D34C6F" w:rsidP="008277E3">
            <w:pPr>
              <w:spacing w:after="60"/>
              <w:jc w:val="center"/>
              <w:rPr>
                <w:b/>
                <w:color w:val="auto"/>
                <w:sz w:val="10"/>
                <w:szCs w:val="10"/>
              </w:rPr>
            </w:pPr>
          </w:p>
        </w:tc>
        <w:tc>
          <w:tcPr>
            <w:tcW w:w="567" w:type="dxa"/>
          </w:tcPr>
          <w:p w14:paraId="167D6C99" w14:textId="77777777" w:rsidR="00D34C6F" w:rsidRPr="00CD1278" w:rsidRDefault="00D34C6F" w:rsidP="008277E3">
            <w:pPr>
              <w:spacing w:after="60"/>
              <w:jc w:val="center"/>
              <w:rPr>
                <w:b/>
                <w:color w:val="auto"/>
                <w:sz w:val="10"/>
                <w:szCs w:val="10"/>
              </w:rPr>
            </w:pPr>
          </w:p>
        </w:tc>
      </w:tr>
      <w:tr w:rsidR="003C102E" w:rsidRPr="00CD1278" w14:paraId="5A9034AF" w14:textId="77777777" w:rsidTr="008277E3">
        <w:trPr>
          <w:trHeight w:val="465"/>
          <w:jc w:val="center"/>
        </w:trPr>
        <w:tc>
          <w:tcPr>
            <w:tcW w:w="662" w:type="dxa"/>
            <w:shd w:val="clear" w:color="auto" w:fill="auto"/>
            <w:vAlign w:val="center"/>
          </w:tcPr>
          <w:p w14:paraId="17DCC5F3" w14:textId="77777777" w:rsidR="00D34C6F" w:rsidRPr="00CD1278" w:rsidRDefault="00D34C6F" w:rsidP="008277E3">
            <w:pPr>
              <w:spacing w:after="60"/>
              <w:rPr>
                <w:color w:val="auto"/>
                <w:sz w:val="12"/>
                <w:szCs w:val="12"/>
              </w:rPr>
            </w:pPr>
            <w:r w:rsidRPr="00CD1278">
              <w:rPr>
                <w:color w:val="auto"/>
                <w:sz w:val="12"/>
                <w:szCs w:val="12"/>
              </w:rPr>
              <w:t>Spain</w:t>
            </w:r>
          </w:p>
        </w:tc>
        <w:tc>
          <w:tcPr>
            <w:tcW w:w="824" w:type="dxa"/>
            <w:shd w:val="clear" w:color="auto" w:fill="auto"/>
            <w:vAlign w:val="center"/>
          </w:tcPr>
          <w:p w14:paraId="0BA2B799" w14:textId="77777777" w:rsidR="00D34C6F" w:rsidRPr="00CD1278" w:rsidRDefault="00D34C6F" w:rsidP="00D1371C">
            <w:pPr>
              <w:spacing w:after="60"/>
              <w:ind w:left="-87"/>
              <w:rPr>
                <w:color w:val="auto"/>
                <w:sz w:val="12"/>
                <w:szCs w:val="12"/>
              </w:rPr>
            </w:pPr>
            <w:r w:rsidRPr="00CD1278">
              <w:rPr>
                <w:color w:val="auto"/>
                <w:sz w:val="12"/>
                <w:szCs w:val="12"/>
              </w:rPr>
              <w:t>Strawberry Runners</w:t>
            </w:r>
          </w:p>
        </w:tc>
        <w:tc>
          <w:tcPr>
            <w:tcW w:w="770" w:type="dxa"/>
            <w:shd w:val="clear" w:color="auto" w:fill="auto"/>
            <w:vAlign w:val="center"/>
          </w:tcPr>
          <w:p w14:paraId="7C6A2485" w14:textId="77777777" w:rsidR="00D34C6F" w:rsidRPr="00CD1278" w:rsidRDefault="00D34C6F" w:rsidP="008277E3">
            <w:pPr>
              <w:spacing w:after="60"/>
              <w:rPr>
                <w:color w:val="auto"/>
                <w:sz w:val="10"/>
                <w:szCs w:val="10"/>
              </w:rPr>
            </w:pPr>
            <w:r w:rsidRPr="00CD1278">
              <w:rPr>
                <w:color w:val="auto"/>
                <w:sz w:val="10"/>
                <w:szCs w:val="10"/>
              </w:rPr>
              <w:t>230.000</w:t>
            </w:r>
          </w:p>
        </w:tc>
        <w:tc>
          <w:tcPr>
            <w:tcW w:w="647" w:type="dxa"/>
            <w:shd w:val="clear" w:color="auto" w:fill="auto"/>
            <w:vAlign w:val="center"/>
          </w:tcPr>
          <w:p w14:paraId="0F080E83" w14:textId="77777777" w:rsidR="00D34C6F" w:rsidRPr="00CD1278" w:rsidRDefault="00D34C6F" w:rsidP="008277E3">
            <w:pPr>
              <w:spacing w:after="60"/>
              <w:rPr>
                <w:color w:val="auto"/>
                <w:sz w:val="10"/>
                <w:szCs w:val="10"/>
              </w:rPr>
            </w:pPr>
            <w:r w:rsidRPr="00CD1278">
              <w:rPr>
                <w:color w:val="auto"/>
                <w:sz w:val="10"/>
                <w:szCs w:val="10"/>
              </w:rPr>
              <w:t>230.000</w:t>
            </w:r>
          </w:p>
        </w:tc>
        <w:tc>
          <w:tcPr>
            <w:tcW w:w="709" w:type="dxa"/>
            <w:shd w:val="clear" w:color="auto" w:fill="auto"/>
            <w:vAlign w:val="center"/>
          </w:tcPr>
          <w:p w14:paraId="4321655F" w14:textId="77777777" w:rsidR="00D34C6F" w:rsidRPr="00CD1278" w:rsidRDefault="00D34C6F" w:rsidP="008277E3">
            <w:pPr>
              <w:spacing w:after="60"/>
              <w:rPr>
                <w:color w:val="auto"/>
                <w:sz w:val="10"/>
                <w:szCs w:val="10"/>
              </w:rPr>
            </w:pPr>
            <w:r w:rsidRPr="00CD1278">
              <w:rPr>
                <w:color w:val="auto"/>
                <w:sz w:val="10"/>
                <w:szCs w:val="10"/>
              </w:rPr>
              <w:t>230.000</w:t>
            </w:r>
          </w:p>
        </w:tc>
        <w:tc>
          <w:tcPr>
            <w:tcW w:w="567" w:type="dxa"/>
            <w:shd w:val="clear" w:color="auto" w:fill="auto"/>
            <w:vAlign w:val="center"/>
          </w:tcPr>
          <w:p w14:paraId="733AC6AC" w14:textId="77777777" w:rsidR="00D34C6F" w:rsidRPr="00CD1278" w:rsidRDefault="00D34C6F" w:rsidP="008277E3">
            <w:pPr>
              <w:spacing w:after="60"/>
              <w:rPr>
                <w:color w:val="auto"/>
                <w:sz w:val="10"/>
                <w:szCs w:val="10"/>
              </w:rPr>
            </w:pPr>
            <w:r w:rsidRPr="00CD1278">
              <w:rPr>
                <w:color w:val="auto"/>
                <w:sz w:val="10"/>
                <w:szCs w:val="10"/>
              </w:rPr>
              <w:t>215.000</w:t>
            </w:r>
          </w:p>
        </w:tc>
        <w:tc>
          <w:tcPr>
            <w:tcW w:w="709" w:type="dxa"/>
            <w:shd w:val="clear" w:color="auto" w:fill="auto"/>
            <w:vAlign w:val="center"/>
          </w:tcPr>
          <w:p w14:paraId="30E4BA88"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1D4CB99"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6B937E6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4651CB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60C9173"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B3495E3" w14:textId="77777777" w:rsidR="00D34C6F" w:rsidRPr="00CD1278" w:rsidRDefault="00D34C6F" w:rsidP="008277E3">
            <w:pPr>
              <w:spacing w:after="60"/>
              <w:rPr>
                <w:color w:val="auto"/>
                <w:sz w:val="10"/>
                <w:szCs w:val="10"/>
              </w:rPr>
            </w:pPr>
          </w:p>
        </w:tc>
        <w:tc>
          <w:tcPr>
            <w:tcW w:w="567" w:type="dxa"/>
          </w:tcPr>
          <w:p w14:paraId="1B66E648" w14:textId="77777777" w:rsidR="00D34C6F" w:rsidRPr="00CD1278" w:rsidRDefault="00D34C6F" w:rsidP="008277E3">
            <w:pPr>
              <w:spacing w:after="60"/>
              <w:jc w:val="center"/>
              <w:rPr>
                <w:color w:val="auto"/>
                <w:sz w:val="10"/>
                <w:szCs w:val="10"/>
              </w:rPr>
            </w:pPr>
          </w:p>
        </w:tc>
        <w:tc>
          <w:tcPr>
            <w:tcW w:w="567" w:type="dxa"/>
          </w:tcPr>
          <w:p w14:paraId="559D1034"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5836FA3" w14:textId="77777777" w:rsidR="00D34C6F" w:rsidRPr="00CD1278" w:rsidRDefault="00D34C6F" w:rsidP="008277E3">
            <w:pPr>
              <w:spacing w:after="60"/>
              <w:rPr>
                <w:color w:val="auto"/>
                <w:sz w:val="10"/>
                <w:szCs w:val="10"/>
              </w:rPr>
            </w:pPr>
            <w:r w:rsidRPr="00CD1278">
              <w:rPr>
                <w:color w:val="auto"/>
                <w:sz w:val="10"/>
                <w:szCs w:val="10"/>
              </w:rPr>
              <w:t>230.000</w:t>
            </w:r>
          </w:p>
        </w:tc>
        <w:tc>
          <w:tcPr>
            <w:tcW w:w="709" w:type="dxa"/>
            <w:shd w:val="clear" w:color="auto" w:fill="auto"/>
            <w:vAlign w:val="center"/>
          </w:tcPr>
          <w:p w14:paraId="1E5E8467" w14:textId="77777777" w:rsidR="00D34C6F" w:rsidRPr="00CD1278" w:rsidRDefault="00D34C6F" w:rsidP="008277E3">
            <w:pPr>
              <w:spacing w:after="60"/>
              <w:rPr>
                <w:color w:val="auto"/>
                <w:sz w:val="10"/>
                <w:szCs w:val="10"/>
              </w:rPr>
            </w:pPr>
            <w:r w:rsidRPr="00CD1278">
              <w:rPr>
                <w:color w:val="auto"/>
                <w:sz w:val="10"/>
                <w:szCs w:val="10"/>
              </w:rPr>
              <w:t>230.000</w:t>
            </w:r>
          </w:p>
        </w:tc>
        <w:tc>
          <w:tcPr>
            <w:tcW w:w="708" w:type="dxa"/>
            <w:shd w:val="clear" w:color="auto" w:fill="auto"/>
            <w:vAlign w:val="center"/>
          </w:tcPr>
          <w:p w14:paraId="2B0A2222" w14:textId="77777777" w:rsidR="00D34C6F" w:rsidRPr="00CD1278" w:rsidRDefault="00D34C6F" w:rsidP="008277E3">
            <w:pPr>
              <w:spacing w:after="60"/>
              <w:rPr>
                <w:color w:val="auto"/>
                <w:sz w:val="10"/>
                <w:szCs w:val="10"/>
              </w:rPr>
            </w:pPr>
            <w:r w:rsidRPr="00CD1278">
              <w:rPr>
                <w:color w:val="auto"/>
                <w:sz w:val="10"/>
                <w:szCs w:val="10"/>
              </w:rPr>
              <w:t>230.000</w:t>
            </w:r>
          </w:p>
        </w:tc>
        <w:tc>
          <w:tcPr>
            <w:tcW w:w="709" w:type="dxa"/>
            <w:shd w:val="clear" w:color="auto" w:fill="auto"/>
            <w:vAlign w:val="center"/>
          </w:tcPr>
          <w:p w14:paraId="3ECC4D7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EC4A346"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18B8947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C25540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3F1486FA"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118AEBC8" w14:textId="77777777" w:rsidR="00D34C6F" w:rsidRPr="00CD1278" w:rsidRDefault="00D34C6F" w:rsidP="008277E3">
            <w:pPr>
              <w:spacing w:after="60"/>
              <w:rPr>
                <w:b/>
                <w:color w:val="auto"/>
                <w:sz w:val="10"/>
                <w:szCs w:val="10"/>
              </w:rPr>
            </w:pPr>
          </w:p>
        </w:tc>
        <w:tc>
          <w:tcPr>
            <w:tcW w:w="567" w:type="dxa"/>
          </w:tcPr>
          <w:p w14:paraId="19840BA9" w14:textId="77777777" w:rsidR="00D34C6F" w:rsidRPr="00CD1278" w:rsidRDefault="00D34C6F" w:rsidP="008277E3">
            <w:pPr>
              <w:spacing w:after="60"/>
              <w:jc w:val="center"/>
              <w:rPr>
                <w:b/>
                <w:color w:val="auto"/>
                <w:sz w:val="10"/>
                <w:szCs w:val="10"/>
              </w:rPr>
            </w:pPr>
          </w:p>
        </w:tc>
        <w:tc>
          <w:tcPr>
            <w:tcW w:w="567" w:type="dxa"/>
          </w:tcPr>
          <w:p w14:paraId="79C0081D" w14:textId="77777777" w:rsidR="00D34C6F" w:rsidRPr="00CD1278" w:rsidRDefault="00D34C6F" w:rsidP="008277E3">
            <w:pPr>
              <w:spacing w:after="60"/>
              <w:jc w:val="center"/>
              <w:rPr>
                <w:b/>
                <w:color w:val="auto"/>
                <w:sz w:val="10"/>
                <w:szCs w:val="10"/>
              </w:rPr>
            </w:pPr>
          </w:p>
        </w:tc>
        <w:tc>
          <w:tcPr>
            <w:tcW w:w="567" w:type="dxa"/>
          </w:tcPr>
          <w:p w14:paraId="570449CD" w14:textId="77777777" w:rsidR="00D34C6F" w:rsidRPr="00CD1278" w:rsidRDefault="00D34C6F" w:rsidP="008277E3">
            <w:pPr>
              <w:spacing w:after="60"/>
              <w:jc w:val="center"/>
              <w:rPr>
                <w:b/>
                <w:color w:val="auto"/>
                <w:sz w:val="10"/>
                <w:szCs w:val="10"/>
              </w:rPr>
            </w:pPr>
          </w:p>
        </w:tc>
      </w:tr>
      <w:tr w:rsidR="003C102E" w:rsidRPr="00CD1278" w14:paraId="2C990DA9" w14:textId="77777777" w:rsidTr="008277E3">
        <w:trPr>
          <w:trHeight w:val="270"/>
          <w:jc w:val="center"/>
        </w:trPr>
        <w:tc>
          <w:tcPr>
            <w:tcW w:w="662" w:type="dxa"/>
            <w:shd w:val="clear" w:color="auto" w:fill="auto"/>
            <w:vAlign w:val="center"/>
          </w:tcPr>
          <w:p w14:paraId="6941F709" w14:textId="77777777" w:rsidR="00D34C6F" w:rsidRPr="00CD1278" w:rsidRDefault="00D34C6F" w:rsidP="008277E3">
            <w:pPr>
              <w:spacing w:after="60"/>
              <w:rPr>
                <w:color w:val="auto"/>
                <w:sz w:val="12"/>
                <w:szCs w:val="12"/>
              </w:rPr>
            </w:pPr>
            <w:r w:rsidRPr="00CD1278">
              <w:rPr>
                <w:color w:val="auto"/>
                <w:sz w:val="12"/>
                <w:szCs w:val="12"/>
              </w:rPr>
              <w:t>UK</w:t>
            </w:r>
          </w:p>
        </w:tc>
        <w:tc>
          <w:tcPr>
            <w:tcW w:w="824" w:type="dxa"/>
            <w:shd w:val="clear" w:color="auto" w:fill="auto"/>
            <w:vAlign w:val="center"/>
          </w:tcPr>
          <w:p w14:paraId="22AF0FD4" w14:textId="77777777" w:rsidR="00D34C6F" w:rsidRPr="00CD1278" w:rsidRDefault="00D34C6F" w:rsidP="00D1371C">
            <w:pPr>
              <w:spacing w:after="60"/>
              <w:ind w:left="-87"/>
              <w:rPr>
                <w:color w:val="auto"/>
                <w:sz w:val="12"/>
                <w:szCs w:val="12"/>
              </w:rPr>
            </w:pPr>
            <w:r w:rsidRPr="00CD1278">
              <w:rPr>
                <w:color w:val="auto"/>
                <w:sz w:val="12"/>
                <w:szCs w:val="12"/>
              </w:rPr>
              <w:t>Cut flowers</w:t>
            </w:r>
          </w:p>
        </w:tc>
        <w:tc>
          <w:tcPr>
            <w:tcW w:w="770" w:type="dxa"/>
            <w:shd w:val="clear" w:color="auto" w:fill="auto"/>
            <w:vAlign w:val="center"/>
          </w:tcPr>
          <w:p w14:paraId="30FEFFA6"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41A24FA8" w14:textId="77777777" w:rsidR="00D34C6F" w:rsidRPr="00CD1278" w:rsidRDefault="00D34C6F" w:rsidP="008277E3">
            <w:pPr>
              <w:spacing w:after="60"/>
              <w:rPr>
                <w:color w:val="auto"/>
                <w:sz w:val="10"/>
                <w:szCs w:val="10"/>
              </w:rPr>
            </w:pPr>
            <w:r w:rsidRPr="00CD1278">
              <w:rPr>
                <w:color w:val="auto"/>
                <w:sz w:val="10"/>
                <w:szCs w:val="10"/>
              </w:rPr>
              <w:t>7.560</w:t>
            </w:r>
          </w:p>
        </w:tc>
        <w:tc>
          <w:tcPr>
            <w:tcW w:w="709" w:type="dxa"/>
            <w:shd w:val="clear" w:color="auto" w:fill="auto"/>
            <w:vAlign w:val="center"/>
          </w:tcPr>
          <w:p w14:paraId="0AD6BD6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B2C8B9A"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26F490D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F64CE7D"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2952511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5FE150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F7AA649"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6F49FD15" w14:textId="77777777" w:rsidR="00D34C6F" w:rsidRPr="00CD1278" w:rsidRDefault="00D34C6F" w:rsidP="008277E3">
            <w:pPr>
              <w:spacing w:after="60"/>
              <w:rPr>
                <w:color w:val="auto"/>
                <w:sz w:val="10"/>
                <w:szCs w:val="10"/>
              </w:rPr>
            </w:pPr>
          </w:p>
        </w:tc>
        <w:tc>
          <w:tcPr>
            <w:tcW w:w="567" w:type="dxa"/>
          </w:tcPr>
          <w:p w14:paraId="047F022C" w14:textId="77777777" w:rsidR="00D34C6F" w:rsidRPr="00CD1278" w:rsidRDefault="00D34C6F" w:rsidP="008277E3">
            <w:pPr>
              <w:spacing w:after="60"/>
              <w:jc w:val="center"/>
              <w:rPr>
                <w:color w:val="auto"/>
                <w:sz w:val="10"/>
                <w:szCs w:val="10"/>
              </w:rPr>
            </w:pPr>
          </w:p>
        </w:tc>
        <w:tc>
          <w:tcPr>
            <w:tcW w:w="567" w:type="dxa"/>
          </w:tcPr>
          <w:p w14:paraId="1783090F"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18FF4B56"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4F9CF47" w14:textId="77777777" w:rsidR="00D34C6F" w:rsidRPr="00CD1278" w:rsidRDefault="00D34C6F" w:rsidP="008277E3">
            <w:pPr>
              <w:spacing w:after="60"/>
              <w:rPr>
                <w:color w:val="auto"/>
                <w:sz w:val="10"/>
                <w:szCs w:val="10"/>
              </w:rPr>
            </w:pPr>
            <w:r w:rsidRPr="00CD1278">
              <w:rPr>
                <w:color w:val="auto"/>
                <w:sz w:val="10"/>
                <w:szCs w:val="10"/>
              </w:rPr>
              <w:t>6.050</w:t>
            </w:r>
          </w:p>
        </w:tc>
        <w:tc>
          <w:tcPr>
            <w:tcW w:w="708" w:type="dxa"/>
            <w:shd w:val="clear" w:color="auto" w:fill="auto"/>
            <w:vAlign w:val="center"/>
          </w:tcPr>
          <w:p w14:paraId="4E9190A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41669FB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90B36C2"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5E40782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A4F766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057DD9EF"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481E661D" w14:textId="77777777" w:rsidR="00D34C6F" w:rsidRPr="00CD1278" w:rsidRDefault="00D34C6F" w:rsidP="008277E3">
            <w:pPr>
              <w:spacing w:after="60"/>
              <w:rPr>
                <w:b/>
                <w:color w:val="auto"/>
                <w:sz w:val="10"/>
                <w:szCs w:val="10"/>
              </w:rPr>
            </w:pPr>
          </w:p>
        </w:tc>
        <w:tc>
          <w:tcPr>
            <w:tcW w:w="567" w:type="dxa"/>
          </w:tcPr>
          <w:p w14:paraId="51403A87" w14:textId="77777777" w:rsidR="00D34C6F" w:rsidRPr="00CD1278" w:rsidRDefault="00D34C6F" w:rsidP="008277E3">
            <w:pPr>
              <w:spacing w:after="60"/>
              <w:jc w:val="center"/>
              <w:rPr>
                <w:b/>
                <w:color w:val="auto"/>
                <w:sz w:val="10"/>
                <w:szCs w:val="10"/>
              </w:rPr>
            </w:pPr>
          </w:p>
        </w:tc>
        <w:tc>
          <w:tcPr>
            <w:tcW w:w="567" w:type="dxa"/>
          </w:tcPr>
          <w:p w14:paraId="28123EA3" w14:textId="77777777" w:rsidR="00D34C6F" w:rsidRPr="00CD1278" w:rsidRDefault="00D34C6F" w:rsidP="008277E3">
            <w:pPr>
              <w:spacing w:after="60"/>
              <w:jc w:val="center"/>
              <w:rPr>
                <w:b/>
                <w:color w:val="auto"/>
                <w:sz w:val="10"/>
                <w:szCs w:val="10"/>
              </w:rPr>
            </w:pPr>
          </w:p>
        </w:tc>
        <w:tc>
          <w:tcPr>
            <w:tcW w:w="567" w:type="dxa"/>
          </w:tcPr>
          <w:p w14:paraId="5EF9B4C7" w14:textId="77777777" w:rsidR="00D34C6F" w:rsidRPr="00CD1278" w:rsidRDefault="00D34C6F" w:rsidP="008277E3">
            <w:pPr>
              <w:spacing w:after="60"/>
              <w:jc w:val="center"/>
              <w:rPr>
                <w:b/>
                <w:color w:val="auto"/>
                <w:sz w:val="10"/>
                <w:szCs w:val="10"/>
              </w:rPr>
            </w:pPr>
          </w:p>
        </w:tc>
      </w:tr>
      <w:tr w:rsidR="003C102E" w:rsidRPr="00CD1278" w14:paraId="363D877B" w14:textId="77777777" w:rsidTr="008277E3">
        <w:trPr>
          <w:trHeight w:val="465"/>
          <w:jc w:val="center"/>
        </w:trPr>
        <w:tc>
          <w:tcPr>
            <w:tcW w:w="662" w:type="dxa"/>
            <w:shd w:val="clear" w:color="auto" w:fill="auto"/>
            <w:vAlign w:val="center"/>
          </w:tcPr>
          <w:p w14:paraId="06ADDE4C" w14:textId="77777777" w:rsidR="00D34C6F" w:rsidRPr="00CD1278" w:rsidRDefault="00D34C6F" w:rsidP="008277E3">
            <w:pPr>
              <w:spacing w:after="60"/>
              <w:rPr>
                <w:color w:val="auto"/>
                <w:sz w:val="12"/>
                <w:szCs w:val="12"/>
              </w:rPr>
            </w:pPr>
            <w:r w:rsidRPr="00CD1278">
              <w:rPr>
                <w:color w:val="auto"/>
                <w:sz w:val="12"/>
                <w:szCs w:val="12"/>
              </w:rPr>
              <w:t>UK</w:t>
            </w:r>
          </w:p>
        </w:tc>
        <w:tc>
          <w:tcPr>
            <w:tcW w:w="824" w:type="dxa"/>
            <w:shd w:val="clear" w:color="auto" w:fill="auto"/>
            <w:vAlign w:val="center"/>
          </w:tcPr>
          <w:p w14:paraId="5735AB2D" w14:textId="77777777" w:rsidR="00D34C6F" w:rsidRPr="00CD1278" w:rsidRDefault="00D34C6F" w:rsidP="00D1371C">
            <w:pPr>
              <w:spacing w:after="60"/>
              <w:ind w:left="-87"/>
              <w:rPr>
                <w:color w:val="auto"/>
                <w:sz w:val="12"/>
                <w:szCs w:val="12"/>
              </w:rPr>
            </w:pPr>
            <w:r w:rsidRPr="00CD1278">
              <w:rPr>
                <w:color w:val="auto"/>
                <w:sz w:val="12"/>
                <w:szCs w:val="12"/>
              </w:rPr>
              <w:t>Ornamental tree nursery</w:t>
            </w:r>
          </w:p>
        </w:tc>
        <w:tc>
          <w:tcPr>
            <w:tcW w:w="770" w:type="dxa"/>
            <w:shd w:val="clear" w:color="auto" w:fill="auto"/>
            <w:vAlign w:val="center"/>
          </w:tcPr>
          <w:p w14:paraId="40F4C593" w14:textId="77777777" w:rsidR="00D34C6F" w:rsidRPr="00CD1278" w:rsidRDefault="00D34C6F" w:rsidP="008277E3">
            <w:pPr>
              <w:spacing w:after="60"/>
              <w:rPr>
                <w:color w:val="auto"/>
                <w:sz w:val="10"/>
                <w:szCs w:val="10"/>
              </w:rPr>
            </w:pPr>
            <w:r w:rsidRPr="00CD1278">
              <w:rPr>
                <w:color w:val="auto"/>
                <w:sz w:val="10"/>
                <w:szCs w:val="10"/>
              </w:rPr>
              <w:t>12.000</w:t>
            </w:r>
          </w:p>
        </w:tc>
        <w:tc>
          <w:tcPr>
            <w:tcW w:w="647" w:type="dxa"/>
            <w:shd w:val="clear" w:color="auto" w:fill="auto"/>
            <w:vAlign w:val="center"/>
          </w:tcPr>
          <w:p w14:paraId="094C6548" w14:textId="77777777" w:rsidR="00D34C6F" w:rsidRPr="00CD1278" w:rsidRDefault="00D34C6F" w:rsidP="008277E3">
            <w:pPr>
              <w:spacing w:after="60"/>
              <w:rPr>
                <w:color w:val="auto"/>
                <w:sz w:val="10"/>
                <w:szCs w:val="10"/>
              </w:rPr>
            </w:pPr>
            <w:r w:rsidRPr="00CD1278">
              <w:rPr>
                <w:color w:val="auto"/>
                <w:sz w:val="10"/>
                <w:szCs w:val="10"/>
              </w:rPr>
              <w:t>6.000</w:t>
            </w:r>
          </w:p>
        </w:tc>
        <w:tc>
          <w:tcPr>
            <w:tcW w:w="709" w:type="dxa"/>
            <w:shd w:val="clear" w:color="auto" w:fill="auto"/>
            <w:vAlign w:val="center"/>
          </w:tcPr>
          <w:p w14:paraId="52D63C9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FDE7677"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473B3BC"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5C2FA8E"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1412E97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4931F7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B2B2300"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10EA79C4" w14:textId="77777777" w:rsidR="00D34C6F" w:rsidRPr="00CD1278" w:rsidRDefault="00D34C6F" w:rsidP="008277E3">
            <w:pPr>
              <w:spacing w:after="60"/>
              <w:rPr>
                <w:color w:val="auto"/>
                <w:sz w:val="10"/>
                <w:szCs w:val="10"/>
              </w:rPr>
            </w:pPr>
          </w:p>
        </w:tc>
        <w:tc>
          <w:tcPr>
            <w:tcW w:w="567" w:type="dxa"/>
          </w:tcPr>
          <w:p w14:paraId="0E4E019D" w14:textId="77777777" w:rsidR="00D34C6F" w:rsidRPr="00CD1278" w:rsidRDefault="00D34C6F" w:rsidP="008277E3">
            <w:pPr>
              <w:spacing w:after="60"/>
              <w:jc w:val="center"/>
              <w:rPr>
                <w:color w:val="auto"/>
                <w:sz w:val="10"/>
                <w:szCs w:val="10"/>
              </w:rPr>
            </w:pPr>
          </w:p>
        </w:tc>
        <w:tc>
          <w:tcPr>
            <w:tcW w:w="567" w:type="dxa"/>
          </w:tcPr>
          <w:p w14:paraId="61A09A5B"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694E8958" w14:textId="77777777" w:rsidR="00D34C6F" w:rsidRPr="00CD1278" w:rsidRDefault="00D34C6F" w:rsidP="008277E3">
            <w:pPr>
              <w:spacing w:after="60"/>
              <w:rPr>
                <w:color w:val="auto"/>
                <w:sz w:val="10"/>
                <w:szCs w:val="10"/>
              </w:rPr>
            </w:pPr>
            <w:r w:rsidRPr="00CD1278">
              <w:rPr>
                <w:color w:val="auto"/>
                <w:sz w:val="10"/>
                <w:szCs w:val="10"/>
              </w:rPr>
              <w:t>6.000</w:t>
            </w:r>
          </w:p>
        </w:tc>
        <w:tc>
          <w:tcPr>
            <w:tcW w:w="709" w:type="dxa"/>
            <w:shd w:val="clear" w:color="auto" w:fill="auto"/>
            <w:vAlign w:val="center"/>
          </w:tcPr>
          <w:p w14:paraId="04F7F194" w14:textId="77777777" w:rsidR="00D34C6F" w:rsidRPr="00CD1278" w:rsidRDefault="00D34C6F" w:rsidP="008277E3">
            <w:pPr>
              <w:spacing w:after="60"/>
              <w:rPr>
                <w:color w:val="auto"/>
                <w:sz w:val="10"/>
                <w:szCs w:val="10"/>
              </w:rPr>
            </w:pPr>
            <w:r w:rsidRPr="00CD1278">
              <w:rPr>
                <w:color w:val="auto"/>
                <w:sz w:val="10"/>
                <w:szCs w:val="10"/>
              </w:rPr>
              <w:t>6.000</w:t>
            </w:r>
          </w:p>
        </w:tc>
        <w:tc>
          <w:tcPr>
            <w:tcW w:w="708" w:type="dxa"/>
            <w:shd w:val="clear" w:color="auto" w:fill="auto"/>
            <w:vAlign w:val="center"/>
          </w:tcPr>
          <w:p w14:paraId="36FB70DD"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725ADA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B845BBA"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FBFC9E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BB1B33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7B35B220"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55FF71B5" w14:textId="77777777" w:rsidR="00D34C6F" w:rsidRPr="00CD1278" w:rsidRDefault="00D34C6F" w:rsidP="008277E3">
            <w:pPr>
              <w:spacing w:after="60"/>
              <w:rPr>
                <w:b/>
                <w:color w:val="auto"/>
                <w:sz w:val="10"/>
                <w:szCs w:val="10"/>
              </w:rPr>
            </w:pPr>
          </w:p>
        </w:tc>
        <w:tc>
          <w:tcPr>
            <w:tcW w:w="567" w:type="dxa"/>
          </w:tcPr>
          <w:p w14:paraId="43B9FECD" w14:textId="77777777" w:rsidR="00D34C6F" w:rsidRPr="00CD1278" w:rsidRDefault="00D34C6F" w:rsidP="008277E3">
            <w:pPr>
              <w:spacing w:after="60"/>
              <w:jc w:val="center"/>
              <w:rPr>
                <w:b/>
                <w:color w:val="auto"/>
                <w:sz w:val="10"/>
                <w:szCs w:val="10"/>
              </w:rPr>
            </w:pPr>
          </w:p>
        </w:tc>
        <w:tc>
          <w:tcPr>
            <w:tcW w:w="567" w:type="dxa"/>
          </w:tcPr>
          <w:p w14:paraId="5170D457" w14:textId="77777777" w:rsidR="00D34C6F" w:rsidRPr="00CD1278" w:rsidRDefault="00D34C6F" w:rsidP="008277E3">
            <w:pPr>
              <w:spacing w:after="60"/>
              <w:jc w:val="center"/>
              <w:rPr>
                <w:b/>
                <w:color w:val="auto"/>
                <w:sz w:val="10"/>
                <w:szCs w:val="10"/>
              </w:rPr>
            </w:pPr>
          </w:p>
        </w:tc>
        <w:tc>
          <w:tcPr>
            <w:tcW w:w="567" w:type="dxa"/>
          </w:tcPr>
          <w:p w14:paraId="708EED96" w14:textId="77777777" w:rsidR="00D34C6F" w:rsidRPr="00CD1278" w:rsidRDefault="00D34C6F" w:rsidP="008277E3">
            <w:pPr>
              <w:spacing w:after="60"/>
              <w:jc w:val="center"/>
              <w:rPr>
                <w:b/>
                <w:color w:val="auto"/>
                <w:sz w:val="10"/>
                <w:szCs w:val="10"/>
              </w:rPr>
            </w:pPr>
          </w:p>
        </w:tc>
      </w:tr>
      <w:tr w:rsidR="003C102E" w:rsidRPr="00CD1278" w14:paraId="4F12A305" w14:textId="77777777" w:rsidTr="008277E3">
        <w:trPr>
          <w:trHeight w:val="915"/>
          <w:jc w:val="center"/>
        </w:trPr>
        <w:tc>
          <w:tcPr>
            <w:tcW w:w="662" w:type="dxa"/>
            <w:shd w:val="clear" w:color="auto" w:fill="auto"/>
            <w:vAlign w:val="center"/>
          </w:tcPr>
          <w:p w14:paraId="71835A6A" w14:textId="77777777" w:rsidR="00D34C6F" w:rsidRPr="00CD1278" w:rsidRDefault="00D34C6F" w:rsidP="008277E3">
            <w:pPr>
              <w:spacing w:after="60"/>
              <w:rPr>
                <w:color w:val="auto"/>
                <w:sz w:val="12"/>
                <w:szCs w:val="12"/>
              </w:rPr>
            </w:pPr>
            <w:r w:rsidRPr="00CD1278">
              <w:rPr>
                <w:color w:val="auto"/>
                <w:sz w:val="12"/>
                <w:szCs w:val="12"/>
              </w:rPr>
              <w:t>UK</w:t>
            </w:r>
          </w:p>
        </w:tc>
        <w:tc>
          <w:tcPr>
            <w:tcW w:w="824" w:type="dxa"/>
            <w:shd w:val="clear" w:color="auto" w:fill="auto"/>
            <w:vAlign w:val="center"/>
          </w:tcPr>
          <w:p w14:paraId="57308174" w14:textId="77777777" w:rsidR="00D34C6F" w:rsidRPr="00CD1278" w:rsidRDefault="00D34C6F" w:rsidP="00D1371C">
            <w:pPr>
              <w:spacing w:after="60"/>
              <w:ind w:left="-87"/>
              <w:rPr>
                <w:color w:val="auto"/>
                <w:sz w:val="12"/>
                <w:szCs w:val="12"/>
              </w:rPr>
            </w:pPr>
            <w:r w:rsidRPr="00CD1278">
              <w:rPr>
                <w:color w:val="auto"/>
                <w:sz w:val="12"/>
                <w:szCs w:val="12"/>
              </w:rPr>
              <w:t>Strawberry (&amp; raspberry in 2005)</w:t>
            </w:r>
          </w:p>
        </w:tc>
        <w:tc>
          <w:tcPr>
            <w:tcW w:w="770" w:type="dxa"/>
            <w:shd w:val="clear" w:color="auto" w:fill="auto"/>
            <w:vAlign w:val="center"/>
          </w:tcPr>
          <w:p w14:paraId="7AE31D2C" w14:textId="77777777" w:rsidR="00D34C6F" w:rsidRPr="00CD1278" w:rsidRDefault="00D34C6F" w:rsidP="008277E3">
            <w:pPr>
              <w:spacing w:after="60"/>
              <w:rPr>
                <w:color w:val="auto"/>
                <w:sz w:val="10"/>
                <w:szCs w:val="10"/>
              </w:rPr>
            </w:pPr>
            <w:r w:rsidRPr="00CD1278">
              <w:rPr>
                <w:color w:val="auto"/>
                <w:sz w:val="10"/>
                <w:szCs w:val="10"/>
              </w:rPr>
              <w:t>80.000</w:t>
            </w:r>
          </w:p>
        </w:tc>
        <w:tc>
          <w:tcPr>
            <w:tcW w:w="647" w:type="dxa"/>
            <w:shd w:val="clear" w:color="auto" w:fill="auto"/>
            <w:vAlign w:val="center"/>
          </w:tcPr>
          <w:p w14:paraId="75E31F9C" w14:textId="77777777" w:rsidR="00D34C6F" w:rsidRPr="00CD1278" w:rsidRDefault="00D34C6F" w:rsidP="008277E3">
            <w:pPr>
              <w:spacing w:after="60"/>
              <w:rPr>
                <w:color w:val="auto"/>
                <w:sz w:val="10"/>
                <w:szCs w:val="10"/>
              </w:rPr>
            </w:pPr>
            <w:r w:rsidRPr="00CD1278">
              <w:rPr>
                <w:color w:val="auto"/>
                <w:sz w:val="10"/>
                <w:szCs w:val="10"/>
              </w:rPr>
              <w:t>63.600</w:t>
            </w:r>
          </w:p>
        </w:tc>
        <w:tc>
          <w:tcPr>
            <w:tcW w:w="709" w:type="dxa"/>
            <w:shd w:val="clear" w:color="auto" w:fill="auto"/>
            <w:vAlign w:val="center"/>
          </w:tcPr>
          <w:p w14:paraId="2540A2F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BB91BAD"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476780E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68CA166E"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2BCB705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6A1DFD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B164A2C"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12863DC" w14:textId="77777777" w:rsidR="00D34C6F" w:rsidRPr="00CD1278" w:rsidRDefault="00D34C6F" w:rsidP="008277E3">
            <w:pPr>
              <w:spacing w:after="60"/>
              <w:rPr>
                <w:color w:val="auto"/>
                <w:sz w:val="10"/>
                <w:szCs w:val="10"/>
              </w:rPr>
            </w:pPr>
          </w:p>
        </w:tc>
        <w:tc>
          <w:tcPr>
            <w:tcW w:w="567" w:type="dxa"/>
          </w:tcPr>
          <w:p w14:paraId="258BBBBA" w14:textId="77777777" w:rsidR="00D34C6F" w:rsidRPr="00CD1278" w:rsidRDefault="00D34C6F" w:rsidP="008277E3">
            <w:pPr>
              <w:spacing w:after="60"/>
              <w:jc w:val="center"/>
              <w:rPr>
                <w:color w:val="auto"/>
                <w:sz w:val="10"/>
                <w:szCs w:val="10"/>
              </w:rPr>
            </w:pPr>
          </w:p>
        </w:tc>
        <w:tc>
          <w:tcPr>
            <w:tcW w:w="567" w:type="dxa"/>
          </w:tcPr>
          <w:p w14:paraId="7CAD8903"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86E2C01" w14:textId="77777777" w:rsidR="00D34C6F" w:rsidRPr="00CD1278" w:rsidRDefault="00D34C6F" w:rsidP="008277E3">
            <w:pPr>
              <w:spacing w:after="60"/>
              <w:rPr>
                <w:color w:val="auto"/>
                <w:sz w:val="10"/>
                <w:szCs w:val="10"/>
              </w:rPr>
            </w:pPr>
            <w:r w:rsidRPr="00CD1278">
              <w:rPr>
                <w:color w:val="auto"/>
                <w:sz w:val="10"/>
                <w:szCs w:val="10"/>
              </w:rPr>
              <w:t>68.000</w:t>
            </w:r>
          </w:p>
        </w:tc>
        <w:tc>
          <w:tcPr>
            <w:tcW w:w="709" w:type="dxa"/>
            <w:shd w:val="clear" w:color="auto" w:fill="auto"/>
            <w:vAlign w:val="center"/>
          </w:tcPr>
          <w:p w14:paraId="259AFC34" w14:textId="77777777" w:rsidR="00D34C6F" w:rsidRPr="00CD1278" w:rsidRDefault="00D34C6F" w:rsidP="008277E3">
            <w:pPr>
              <w:spacing w:after="60"/>
              <w:rPr>
                <w:color w:val="auto"/>
                <w:sz w:val="10"/>
                <w:szCs w:val="10"/>
              </w:rPr>
            </w:pPr>
            <w:r w:rsidRPr="00CD1278">
              <w:rPr>
                <w:color w:val="auto"/>
                <w:sz w:val="10"/>
                <w:szCs w:val="10"/>
              </w:rPr>
              <w:t>54.500</w:t>
            </w:r>
          </w:p>
        </w:tc>
        <w:tc>
          <w:tcPr>
            <w:tcW w:w="708" w:type="dxa"/>
            <w:shd w:val="clear" w:color="auto" w:fill="auto"/>
            <w:vAlign w:val="center"/>
          </w:tcPr>
          <w:p w14:paraId="45CA2890"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7782F5B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618C89D"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2FD5212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E65A13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3BE6C932"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1FC15390" w14:textId="77777777" w:rsidR="00D34C6F" w:rsidRPr="00CD1278" w:rsidRDefault="00D34C6F" w:rsidP="008277E3">
            <w:pPr>
              <w:spacing w:after="60"/>
              <w:rPr>
                <w:b/>
                <w:color w:val="auto"/>
                <w:sz w:val="10"/>
                <w:szCs w:val="10"/>
              </w:rPr>
            </w:pPr>
          </w:p>
        </w:tc>
        <w:tc>
          <w:tcPr>
            <w:tcW w:w="567" w:type="dxa"/>
          </w:tcPr>
          <w:p w14:paraId="56AF9154" w14:textId="77777777" w:rsidR="00D34C6F" w:rsidRPr="00CD1278" w:rsidRDefault="00D34C6F" w:rsidP="008277E3">
            <w:pPr>
              <w:spacing w:after="60"/>
              <w:jc w:val="center"/>
              <w:rPr>
                <w:b/>
                <w:color w:val="auto"/>
                <w:sz w:val="10"/>
                <w:szCs w:val="10"/>
              </w:rPr>
            </w:pPr>
          </w:p>
        </w:tc>
        <w:tc>
          <w:tcPr>
            <w:tcW w:w="567" w:type="dxa"/>
          </w:tcPr>
          <w:p w14:paraId="28673170" w14:textId="77777777" w:rsidR="00D34C6F" w:rsidRPr="00CD1278" w:rsidRDefault="00D34C6F" w:rsidP="008277E3">
            <w:pPr>
              <w:spacing w:after="60"/>
              <w:jc w:val="center"/>
              <w:rPr>
                <w:b/>
                <w:color w:val="auto"/>
                <w:sz w:val="10"/>
                <w:szCs w:val="10"/>
              </w:rPr>
            </w:pPr>
          </w:p>
        </w:tc>
        <w:tc>
          <w:tcPr>
            <w:tcW w:w="567" w:type="dxa"/>
          </w:tcPr>
          <w:p w14:paraId="19E05B13" w14:textId="77777777" w:rsidR="00D34C6F" w:rsidRPr="00CD1278" w:rsidRDefault="00D34C6F" w:rsidP="008277E3">
            <w:pPr>
              <w:spacing w:after="60"/>
              <w:jc w:val="center"/>
              <w:rPr>
                <w:b/>
                <w:color w:val="auto"/>
                <w:sz w:val="10"/>
                <w:szCs w:val="10"/>
              </w:rPr>
            </w:pPr>
          </w:p>
        </w:tc>
      </w:tr>
      <w:tr w:rsidR="003C102E" w:rsidRPr="00CD1278" w14:paraId="647EE719" w14:textId="77777777" w:rsidTr="008277E3">
        <w:trPr>
          <w:trHeight w:val="465"/>
          <w:jc w:val="center"/>
        </w:trPr>
        <w:tc>
          <w:tcPr>
            <w:tcW w:w="662" w:type="dxa"/>
            <w:shd w:val="clear" w:color="auto" w:fill="auto"/>
            <w:vAlign w:val="center"/>
          </w:tcPr>
          <w:p w14:paraId="1904DCB9" w14:textId="77777777" w:rsidR="00D34C6F" w:rsidRPr="00CD1278" w:rsidRDefault="00D34C6F" w:rsidP="008277E3">
            <w:pPr>
              <w:spacing w:after="60"/>
              <w:rPr>
                <w:color w:val="auto"/>
                <w:sz w:val="12"/>
                <w:szCs w:val="12"/>
              </w:rPr>
            </w:pPr>
            <w:r w:rsidRPr="00CD1278">
              <w:rPr>
                <w:color w:val="auto"/>
                <w:sz w:val="12"/>
                <w:szCs w:val="12"/>
              </w:rPr>
              <w:t>UK</w:t>
            </w:r>
          </w:p>
        </w:tc>
        <w:tc>
          <w:tcPr>
            <w:tcW w:w="824" w:type="dxa"/>
            <w:shd w:val="clear" w:color="auto" w:fill="auto"/>
            <w:vAlign w:val="center"/>
          </w:tcPr>
          <w:p w14:paraId="6A9459E1" w14:textId="77777777" w:rsidR="00D34C6F" w:rsidRPr="00CD1278" w:rsidRDefault="00D34C6F" w:rsidP="00D1371C">
            <w:pPr>
              <w:spacing w:after="60"/>
              <w:ind w:left="-87"/>
              <w:rPr>
                <w:color w:val="auto"/>
                <w:sz w:val="12"/>
                <w:szCs w:val="12"/>
              </w:rPr>
            </w:pPr>
            <w:r w:rsidRPr="00CD1278">
              <w:rPr>
                <w:color w:val="auto"/>
                <w:sz w:val="12"/>
                <w:szCs w:val="12"/>
              </w:rPr>
              <w:t>Raspberry nursery</w:t>
            </w:r>
          </w:p>
        </w:tc>
        <w:tc>
          <w:tcPr>
            <w:tcW w:w="770" w:type="dxa"/>
            <w:shd w:val="clear" w:color="auto" w:fill="auto"/>
            <w:vAlign w:val="center"/>
          </w:tcPr>
          <w:p w14:paraId="5849012D"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03BEFF88" w14:textId="77777777" w:rsidR="00D34C6F" w:rsidRPr="00CD1278" w:rsidRDefault="00D34C6F" w:rsidP="008277E3">
            <w:pPr>
              <w:spacing w:after="60"/>
              <w:rPr>
                <w:color w:val="auto"/>
                <w:sz w:val="10"/>
                <w:szCs w:val="10"/>
              </w:rPr>
            </w:pPr>
            <w:r w:rsidRPr="00CD1278">
              <w:rPr>
                <w:color w:val="auto"/>
                <w:sz w:val="10"/>
                <w:szCs w:val="10"/>
              </w:rPr>
              <w:t>4.400</w:t>
            </w:r>
          </w:p>
        </w:tc>
        <w:tc>
          <w:tcPr>
            <w:tcW w:w="709" w:type="dxa"/>
            <w:shd w:val="clear" w:color="auto" w:fill="auto"/>
            <w:vAlign w:val="center"/>
          </w:tcPr>
          <w:p w14:paraId="515DB243"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28C947A"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628C18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494E3CE"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6EF4438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BCF8F4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4B751CE"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17CA3796" w14:textId="77777777" w:rsidR="00D34C6F" w:rsidRPr="00CD1278" w:rsidRDefault="00D34C6F" w:rsidP="008277E3">
            <w:pPr>
              <w:spacing w:after="60"/>
              <w:rPr>
                <w:color w:val="auto"/>
                <w:sz w:val="10"/>
                <w:szCs w:val="10"/>
              </w:rPr>
            </w:pPr>
          </w:p>
        </w:tc>
        <w:tc>
          <w:tcPr>
            <w:tcW w:w="567" w:type="dxa"/>
          </w:tcPr>
          <w:p w14:paraId="43C3309C" w14:textId="77777777" w:rsidR="00D34C6F" w:rsidRPr="00CD1278" w:rsidRDefault="00D34C6F" w:rsidP="008277E3">
            <w:pPr>
              <w:spacing w:after="60"/>
              <w:jc w:val="center"/>
              <w:rPr>
                <w:color w:val="auto"/>
                <w:sz w:val="10"/>
                <w:szCs w:val="10"/>
              </w:rPr>
            </w:pPr>
          </w:p>
        </w:tc>
        <w:tc>
          <w:tcPr>
            <w:tcW w:w="567" w:type="dxa"/>
          </w:tcPr>
          <w:p w14:paraId="322CB693"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78650070" w14:textId="77777777" w:rsidR="00D34C6F" w:rsidRPr="00CD1278" w:rsidRDefault="00D34C6F" w:rsidP="008277E3">
            <w:pPr>
              <w:spacing w:after="60"/>
              <w:rPr>
                <w:color w:val="auto"/>
                <w:sz w:val="10"/>
                <w:szCs w:val="10"/>
              </w:rPr>
            </w:pPr>
            <w:r w:rsidRPr="00CD1278">
              <w:rPr>
                <w:color w:val="auto"/>
                <w:sz w:val="10"/>
                <w:szCs w:val="10"/>
              </w:rPr>
              <w:t>4.400</w:t>
            </w:r>
          </w:p>
        </w:tc>
        <w:tc>
          <w:tcPr>
            <w:tcW w:w="709" w:type="dxa"/>
            <w:shd w:val="clear" w:color="auto" w:fill="auto"/>
            <w:vAlign w:val="center"/>
          </w:tcPr>
          <w:p w14:paraId="55CEBD20" w14:textId="77777777" w:rsidR="00D34C6F" w:rsidRPr="00CD1278" w:rsidRDefault="00D34C6F" w:rsidP="008277E3">
            <w:pPr>
              <w:spacing w:after="60"/>
              <w:rPr>
                <w:color w:val="auto"/>
                <w:sz w:val="10"/>
                <w:szCs w:val="10"/>
              </w:rPr>
            </w:pPr>
            <w:r w:rsidRPr="00CD1278">
              <w:rPr>
                <w:color w:val="auto"/>
                <w:sz w:val="10"/>
                <w:szCs w:val="10"/>
              </w:rPr>
              <w:t>54.500</w:t>
            </w:r>
          </w:p>
        </w:tc>
        <w:tc>
          <w:tcPr>
            <w:tcW w:w="708" w:type="dxa"/>
            <w:shd w:val="clear" w:color="auto" w:fill="auto"/>
            <w:vAlign w:val="center"/>
          </w:tcPr>
          <w:p w14:paraId="773A58F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4736ACD"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AD4EC27"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4574580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B62DA4B"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3A5D347B"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24B3263B" w14:textId="77777777" w:rsidR="00D34C6F" w:rsidRPr="00CD1278" w:rsidRDefault="00D34C6F" w:rsidP="008277E3">
            <w:pPr>
              <w:spacing w:after="60"/>
              <w:rPr>
                <w:b/>
                <w:color w:val="auto"/>
                <w:sz w:val="10"/>
                <w:szCs w:val="10"/>
              </w:rPr>
            </w:pPr>
          </w:p>
        </w:tc>
        <w:tc>
          <w:tcPr>
            <w:tcW w:w="567" w:type="dxa"/>
          </w:tcPr>
          <w:p w14:paraId="07CE6D38" w14:textId="77777777" w:rsidR="00D34C6F" w:rsidRPr="00CD1278" w:rsidRDefault="00D34C6F" w:rsidP="008277E3">
            <w:pPr>
              <w:spacing w:after="60"/>
              <w:jc w:val="center"/>
              <w:rPr>
                <w:b/>
                <w:color w:val="auto"/>
                <w:sz w:val="10"/>
                <w:szCs w:val="10"/>
              </w:rPr>
            </w:pPr>
          </w:p>
        </w:tc>
        <w:tc>
          <w:tcPr>
            <w:tcW w:w="567" w:type="dxa"/>
          </w:tcPr>
          <w:p w14:paraId="1540B146" w14:textId="77777777" w:rsidR="00D34C6F" w:rsidRPr="00CD1278" w:rsidRDefault="00D34C6F" w:rsidP="008277E3">
            <w:pPr>
              <w:spacing w:after="60"/>
              <w:jc w:val="center"/>
              <w:rPr>
                <w:b/>
                <w:color w:val="auto"/>
                <w:sz w:val="10"/>
                <w:szCs w:val="10"/>
              </w:rPr>
            </w:pPr>
          </w:p>
        </w:tc>
        <w:tc>
          <w:tcPr>
            <w:tcW w:w="567" w:type="dxa"/>
          </w:tcPr>
          <w:p w14:paraId="6DDD792F" w14:textId="77777777" w:rsidR="00D34C6F" w:rsidRPr="00CD1278" w:rsidRDefault="00D34C6F" w:rsidP="008277E3">
            <w:pPr>
              <w:spacing w:after="60"/>
              <w:jc w:val="center"/>
              <w:rPr>
                <w:b/>
                <w:color w:val="auto"/>
                <w:sz w:val="10"/>
                <w:szCs w:val="10"/>
              </w:rPr>
            </w:pPr>
          </w:p>
        </w:tc>
      </w:tr>
      <w:tr w:rsidR="003C102E" w:rsidRPr="00CD1278" w14:paraId="170D76BD" w14:textId="77777777" w:rsidTr="008277E3">
        <w:trPr>
          <w:trHeight w:val="690"/>
          <w:jc w:val="center"/>
        </w:trPr>
        <w:tc>
          <w:tcPr>
            <w:tcW w:w="662" w:type="dxa"/>
            <w:shd w:val="clear" w:color="auto" w:fill="auto"/>
            <w:vAlign w:val="center"/>
          </w:tcPr>
          <w:p w14:paraId="7374A0FE"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5C51143A" w14:textId="77777777" w:rsidR="00D34C6F" w:rsidRPr="00CD1278" w:rsidRDefault="00D34C6F" w:rsidP="00D1371C">
            <w:pPr>
              <w:spacing w:after="60"/>
              <w:ind w:left="-87"/>
              <w:rPr>
                <w:color w:val="auto"/>
                <w:sz w:val="12"/>
                <w:szCs w:val="12"/>
              </w:rPr>
            </w:pPr>
            <w:r w:rsidRPr="00CD1278">
              <w:rPr>
                <w:color w:val="auto"/>
                <w:sz w:val="12"/>
                <w:szCs w:val="12"/>
              </w:rPr>
              <w:t>Chrys. Cuttings/roses</w:t>
            </w:r>
          </w:p>
        </w:tc>
        <w:tc>
          <w:tcPr>
            <w:tcW w:w="770" w:type="dxa"/>
            <w:shd w:val="clear" w:color="auto" w:fill="auto"/>
            <w:vAlign w:val="center"/>
          </w:tcPr>
          <w:p w14:paraId="2D81DAE6" w14:textId="77777777" w:rsidR="00D34C6F" w:rsidRPr="00CD1278" w:rsidRDefault="00D34C6F" w:rsidP="008277E3">
            <w:pPr>
              <w:spacing w:after="60"/>
              <w:rPr>
                <w:color w:val="auto"/>
                <w:sz w:val="10"/>
                <w:szCs w:val="10"/>
              </w:rPr>
            </w:pPr>
            <w:r w:rsidRPr="00CD1278">
              <w:rPr>
                <w:color w:val="auto"/>
                <w:sz w:val="10"/>
                <w:szCs w:val="10"/>
              </w:rPr>
              <w:t>29.412</w:t>
            </w:r>
          </w:p>
        </w:tc>
        <w:tc>
          <w:tcPr>
            <w:tcW w:w="647" w:type="dxa"/>
            <w:shd w:val="clear" w:color="auto" w:fill="auto"/>
            <w:vAlign w:val="center"/>
          </w:tcPr>
          <w:p w14:paraId="69B77D9F"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3F5B355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9196E98"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4FB494F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DC36FBE"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2DA2A5B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3BC2137"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3531C9C"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567D8083" w14:textId="77777777" w:rsidR="00D34C6F" w:rsidRPr="00CD1278" w:rsidRDefault="00D34C6F" w:rsidP="008277E3">
            <w:pPr>
              <w:spacing w:after="60"/>
              <w:rPr>
                <w:color w:val="auto"/>
                <w:sz w:val="10"/>
                <w:szCs w:val="10"/>
              </w:rPr>
            </w:pPr>
          </w:p>
        </w:tc>
        <w:tc>
          <w:tcPr>
            <w:tcW w:w="567" w:type="dxa"/>
          </w:tcPr>
          <w:p w14:paraId="27B7F48A" w14:textId="77777777" w:rsidR="00D34C6F" w:rsidRPr="00CD1278" w:rsidRDefault="00D34C6F" w:rsidP="008277E3">
            <w:pPr>
              <w:spacing w:after="60"/>
              <w:jc w:val="center"/>
              <w:rPr>
                <w:color w:val="auto"/>
                <w:sz w:val="10"/>
                <w:szCs w:val="10"/>
              </w:rPr>
            </w:pPr>
          </w:p>
        </w:tc>
        <w:tc>
          <w:tcPr>
            <w:tcW w:w="567" w:type="dxa"/>
          </w:tcPr>
          <w:p w14:paraId="572D0888"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75AD1E4C" w14:textId="77777777" w:rsidR="00D34C6F" w:rsidRPr="00CD1278" w:rsidRDefault="00D34C6F" w:rsidP="008277E3">
            <w:pPr>
              <w:spacing w:after="60"/>
              <w:rPr>
                <w:color w:val="auto"/>
                <w:sz w:val="10"/>
                <w:szCs w:val="10"/>
              </w:rPr>
            </w:pPr>
            <w:r w:rsidRPr="00CD1278">
              <w:rPr>
                <w:color w:val="auto"/>
                <w:sz w:val="10"/>
                <w:szCs w:val="10"/>
              </w:rPr>
              <w:t>29.412</w:t>
            </w:r>
          </w:p>
        </w:tc>
        <w:tc>
          <w:tcPr>
            <w:tcW w:w="709" w:type="dxa"/>
            <w:shd w:val="clear" w:color="auto" w:fill="auto"/>
            <w:vAlign w:val="center"/>
          </w:tcPr>
          <w:p w14:paraId="0D704219" w14:textId="77777777" w:rsidR="00D34C6F" w:rsidRPr="00CD1278" w:rsidRDefault="00D34C6F" w:rsidP="008277E3">
            <w:pPr>
              <w:spacing w:after="60"/>
              <w:rPr>
                <w:color w:val="auto"/>
                <w:sz w:val="10"/>
                <w:szCs w:val="10"/>
              </w:rPr>
            </w:pPr>
            <w:r w:rsidRPr="00CD1278">
              <w:rPr>
                <w:color w:val="auto"/>
                <w:sz w:val="10"/>
                <w:szCs w:val="10"/>
              </w:rPr>
              <w:t>0</w:t>
            </w:r>
          </w:p>
        </w:tc>
        <w:tc>
          <w:tcPr>
            <w:tcW w:w="708" w:type="dxa"/>
            <w:shd w:val="clear" w:color="auto" w:fill="auto"/>
            <w:vAlign w:val="center"/>
          </w:tcPr>
          <w:p w14:paraId="26A46F8F"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D587674"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5C4E7C8"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3DFC9A8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1EC01F35"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4B79EDA6"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1F9ED864" w14:textId="77777777" w:rsidR="00D34C6F" w:rsidRPr="00CD1278" w:rsidRDefault="00D34C6F" w:rsidP="008277E3">
            <w:pPr>
              <w:spacing w:after="60"/>
              <w:rPr>
                <w:b/>
                <w:color w:val="auto"/>
                <w:sz w:val="10"/>
                <w:szCs w:val="10"/>
              </w:rPr>
            </w:pPr>
          </w:p>
        </w:tc>
        <w:tc>
          <w:tcPr>
            <w:tcW w:w="567" w:type="dxa"/>
          </w:tcPr>
          <w:p w14:paraId="2BE03B10" w14:textId="77777777" w:rsidR="00D34C6F" w:rsidRPr="00CD1278" w:rsidRDefault="00D34C6F" w:rsidP="008277E3">
            <w:pPr>
              <w:spacing w:after="60"/>
              <w:jc w:val="center"/>
              <w:rPr>
                <w:b/>
                <w:color w:val="auto"/>
                <w:sz w:val="10"/>
                <w:szCs w:val="10"/>
              </w:rPr>
            </w:pPr>
          </w:p>
        </w:tc>
        <w:tc>
          <w:tcPr>
            <w:tcW w:w="567" w:type="dxa"/>
          </w:tcPr>
          <w:p w14:paraId="54469A45" w14:textId="77777777" w:rsidR="00D34C6F" w:rsidRPr="00CD1278" w:rsidRDefault="00D34C6F" w:rsidP="008277E3">
            <w:pPr>
              <w:spacing w:after="60"/>
              <w:jc w:val="center"/>
              <w:rPr>
                <w:b/>
                <w:color w:val="auto"/>
                <w:sz w:val="10"/>
                <w:szCs w:val="10"/>
              </w:rPr>
            </w:pPr>
          </w:p>
        </w:tc>
        <w:tc>
          <w:tcPr>
            <w:tcW w:w="567" w:type="dxa"/>
          </w:tcPr>
          <w:p w14:paraId="33993184" w14:textId="77777777" w:rsidR="00D34C6F" w:rsidRPr="00CD1278" w:rsidRDefault="00D34C6F" w:rsidP="008277E3">
            <w:pPr>
              <w:spacing w:after="60"/>
              <w:jc w:val="center"/>
              <w:rPr>
                <w:b/>
                <w:color w:val="auto"/>
                <w:sz w:val="10"/>
                <w:szCs w:val="10"/>
              </w:rPr>
            </w:pPr>
          </w:p>
        </w:tc>
      </w:tr>
      <w:tr w:rsidR="003C102E" w:rsidRPr="00CD1278" w14:paraId="7FF37BE6" w14:textId="77777777" w:rsidTr="008277E3">
        <w:trPr>
          <w:trHeight w:val="465"/>
          <w:jc w:val="center"/>
        </w:trPr>
        <w:tc>
          <w:tcPr>
            <w:tcW w:w="662" w:type="dxa"/>
            <w:shd w:val="clear" w:color="auto" w:fill="auto"/>
            <w:vAlign w:val="center"/>
          </w:tcPr>
          <w:p w14:paraId="7A90E5B5"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23C941AC" w14:textId="77777777" w:rsidR="00D34C6F" w:rsidRPr="00CD1278" w:rsidRDefault="00D34C6F" w:rsidP="00D1371C">
            <w:pPr>
              <w:spacing w:after="60"/>
              <w:ind w:left="-87"/>
              <w:rPr>
                <w:color w:val="auto"/>
                <w:sz w:val="12"/>
                <w:szCs w:val="12"/>
              </w:rPr>
            </w:pPr>
            <w:r w:rsidRPr="00CD1278">
              <w:rPr>
                <w:color w:val="auto"/>
                <w:sz w:val="12"/>
                <w:szCs w:val="12"/>
              </w:rPr>
              <w:t>Cucurbits – field</w:t>
            </w:r>
          </w:p>
        </w:tc>
        <w:tc>
          <w:tcPr>
            <w:tcW w:w="770" w:type="dxa"/>
            <w:shd w:val="clear" w:color="auto" w:fill="auto"/>
            <w:vAlign w:val="center"/>
          </w:tcPr>
          <w:p w14:paraId="7AE93321" w14:textId="77777777" w:rsidR="00D34C6F" w:rsidRPr="00CD1278" w:rsidRDefault="00D34C6F" w:rsidP="008277E3">
            <w:pPr>
              <w:spacing w:after="60"/>
              <w:rPr>
                <w:color w:val="auto"/>
                <w:sz w:val="10"/>
                <w:szCs w:val="10"/>
              </w:rPr>
            </w:pPr>
            <w:r w:rsidRPr="00CD1278">
              <w:rPr>
                <w:color w:val="auto"/>
                <w:sz w:val="10"/>
                <w:szCs w:val="10"/>
              </w:rPr>
              <w:t>1187.8</w:t>
            </w:r>
          </w:p>
        </w:tc>
        <w:tc>
          <w:tcPr>
            <w:tcW w:w="647" w:type="dxa"/>
            <w:shd w:val="clear" w:color="auto" w:fill="auto"/>
            <w:vAlign w:val="center"/>
          </w:tcPr>
          <w:p w14:paraId="5F5B7C69" w14:textId="77777777" w:rsidR="00D34C6F" w:rsidRPr="00CD1278" w:rsidRDefault="00D34C6F" w:rsidP="008277E3">
            <w:pPr>
              <w:spacing w:after="60"/>
              <w:rPr>
                <w:color w:val="auto"/>
                <w:sz w:val="10"/>
                <w:szCs w:val="10"/>
              </w:rPr>
            </w:pPr>
            <w:r w:rsidRPr="00CD1278">
              <w:rPr>
                <w:color w:val="auto"/>
                <w:sz w:val="10"/>
                <w:szCs w:val="10"/>
              </w:rPr>
              <w:t>747.839</w:t>
            </w:r>
          </w:p>
        </w:tc>
        <w:tc>
          <w:tcPr>
            <w:tcW w:w="709" w:type="dxa"/>
            <w:shd w:val="clear" w:color="auto" w:fill="auto"/>
            <w:vAlign w:val="center"/>
          </w:tcPr>
          <w:p w14:paraId="53C0B910" w14:textId="77777777" w:rsidR="00D34C6F" w:rsidRPr="00CD1278" w:rsidRDefault="00D34C6F" w:rsidP="008277E3">
            <w:pPr>
              <w:spacing w:after="60"/>
              <w:rPr>
                <w:color w:val="auto"/>
                <w:sz w:val="10"/>
                <w:szCs w:val="10"/>
              </w:rPr>
            </w:pPr>
            <w:r w:rsidRPr="00CD1278">
              <w:rPr>
                <w:color w:val="auto"/>
                <w:sz w:val="10"/>
                <w:szCs w:val="10"/>
              </w:rPr>
              <w:t>598.927</w:t>
            </w:r>
          </w:p>
        </w:tc>
        <w:tc>
          <w:tcPr>
            <w:tcW w:w="567" w:type="dxa"/>
            <w:shd w:val="clear" w:color="auto" w:fill="auto"/>
            <w:vAlign w:val="center"/>
          </w:tcPr>
          <w:p w14:paraId="23886A63" w14:textId="77777777" w:rsidR="00D34C6F" w:rsidRPr="00CD1278" w:rsidRDefault="00D34C6F" w:rsidP="008277E3">
            <w:pPr>
              <w:spacing w:after="60"/>
              <w:rPr>
                <w:color w:val="auto"/>
                <w:sz w:val="10"/>
                <w:szCs w:val="10"/>
              </w:rPr>
            </w:pPr>
            <w:r w:rsidRPr="00CD1278">
              <w:rPr>
                <w:color w:val="auto"/>
                <w:sz w:val="10"/>
                <w:szCs w:val="10"/>
              </w:rPr>
              <w:t>588.949</w:t>
            </w:r>
          </w:p>
        </w:tc>
        <w:tc>
          <w:tcPr>
            <w:tcW w:w="709" w:type="dxa"/>
            <w:shd w:val="clear" w:color="auto" w:fill="auto"/>
            <w:vAlign w:val="center"/>
          </w:tcPr>
          <w:p w14:paraId="43662E0F" w14:textId="77777777" w:rsidR="00D34C6F" w:rsidRPr="00CD1278" w:rsidRDefault="00D34C6F" w:rsidP="008277E3">
            <w:pPr>
              <w:spacing w:after="60"/>
              <w:rPr>
                <w:color w:val="auto"/>
                <w:sz w:val="10"/>
                <w:szCs w:val="10"/>
              </w:rPr>
            </w:pPr>
            <w:r w:rsidRPr="00CD1278">
              <w:rPr>
                <w:color w:val="auto"/>
                <w:sz w:val="10"/>
                <w:szCs w:val="10"/>
              </w:rPr>
              <w:t>411.757</w:t>
            </w:r>
          </w:p>
        </w:tc>
        <w:tc>
          <w:tcPr>
            <w:tcW w:w="567" w:type="dxa"/>
            <w:shd w:val="clear" w:color="auto" w:fill="auto"/>
            <w:vAlign w:val="center"/>
          </w:tcPr>
          <w:p w14:paraId="4201C3F9" w14:textId="77777777" w:rsidR="00D34C6F" w:rsidRPr="00CD1278" w:rsidRDefault="00D34C6F" w:rsidP="008277E3">
            <w:pPr>
              <w:spacing w:after="60"/>
              <w:rPr>
                <w:color w:val="auto"/>
                <w:sz w:val="10"/>
                <w:szCs w:val="10"/>
              </w:rPr>
            </w:pPr>
            <w:r w:rsidRPr="00CD1278">
              <w:rPr>
                <w:color w:val="auto"/>
                <w:sz w:val="10"/>
                <w:szCs w:val="10"/>
              </w:rPr>
              <w:t>340.405</w:t>
            </w:r>
          </w:p>
        </w:tc>
        <w:tc>
          <w:tcPr>
            <w:tcW w:w="708" w:type="dxa"/>
            <w:shd w:val="clear" w:color="auto" w:fill="auto"/>
            <w:vAlign w:val="center"/>
          </w:tcPr>
          <w:p w14:paraId="58C80F15" w14:textId="77777777" w:rsidR="00D34C6F" w:rsidRPr="00CD1278" w:rsidRDefault="00D34C6F" w:rsidP="008277E3">
            <w:pPr>
              <w:spacing w:after="60"/>
              <w:rPr>
                <w:color w:val="auto"/>
                <w:sz w:val="10"/>
                <w:szCs w:val="10"/>
              </w:rPr>
            </w:pPr>
            <w:r w:rsidRPr="00CD1278">
              <w:rPr>
                <w:color w:val="auto"/>
                <w:sz w:val="10"/>
                <w:szCs w:val="10"/>
              </w:rPr>
              <w:t>218.032</w:t>
            </w:r>
          </w:p>
        </w:tc>
        <w:tc>
          <w:tcPr>
            <w:tcW w:w="567" w:type="dxa"/>
            <w:shd w:val="clear" w:color="auto" w:fill="auto"/>
            <w:vAlign w:val="center"/>
          </w:tcPr>
          <w:p w14:paraId="0DF77A7D" w14:textId="77777777" w:rsidR="00D34C6F" w:rsidRPr="00CD1278" w:rsidRDefault="00D34C6F" w:rsidP="008277E3">
            <w:pPr>
              <w:spacing w:after="60"/>
              <w:rPr>
                <w:color w:val="auto"/>
                <w:sz w:val="10"/>
                <w:szCs w:val="10"/>
              </w:rPr>
            </w:pPr>
            <w:r w:rsidRPr="00CD1278">
              <w:rPr>
                <w:color w:val="auto"/>
                <w:sz w:val="10"/>
                <w:szCs w:val="10"/>
              </w:rPr>
              <w:t>59.500 </w:t>
            </w:r>
          </w:p>
        </w:tc>
        <w:tc>
          <w:tcPr>
            <w:tcW w:w="567" w:type="dxa"/>
            <w:shd w:val="clear" w:color="auto" w:fill="auto"/>
            <w:vAlign w:val="center"/>
          </w:tcPr>
          <w:p w14:paraId="6A22C96D" w14:textId="77777777" w:rsidR="00D34C6F" w:rsidRPr="00CD1278" w:rsidRDefault="00D34C6F" w:rsidP="008277E3">
            <w:pPr>
              <w:spacing w:after="60"/>
              <w:rPr>
                <w:color w:val="auto"/>
                <w:sz w:val="10"/>
                <w:szCs w:val="10"/>
              </w:rPr>
            </w:pPr>
            <w:r w:rsidRPr="00CD1278">
              <w:rPr>
                <w:color w:val="auto"/>
                <w:sz w:val="10"/>
                <w:szCs w:val="10"/>
              </w:rPr>
              <w:t>11.899</w:t>
            </w:r>
          </w:p>
        </w:tc>
        <w:tc>
          <w:tcPr>
            <w:tcW w:w="629" w:type="dxa"/>
          </w:tcPr>
          <w:p w14:paraId="53964765" w14:textId="77777777" w:rsidR="00D34C6F" w:rsidRPr="00CD1278" w:rsidRDefault="00D34C6F" w:rsidP="008277E3">
            <w:pPr>
              <w:spacing w:after="60"/>
              <w:rPr>
                <w:color w:val="auto"/>
                <w:sz w:val="10"/>
                <w:szCs w:val="10"/>
              </w:rPr>
            </w:pPr>
          </w:p>
        </w:tc>
        <w:tc>
          <w:tcPr>
            <w:tcW w:w="567" w:type="dxa"/>
          </w:tcPr>
          <w:p w14:paraId="473DBDA4" w14:textId="77777777" w:rsidR="00D34C6F" w:rsidRPr="00CD1278" w:rsidRDefault="00D34C6F" w:rsidP="008277E3">
            <w:pPr>
              <w:spacing w:after="60"/>
              <w:jc w:val="center"/>
              <w:rPr>
                <w:color w:val="auto"/>
                <w:sz w:val="10"/>
                <w:szCs w:val="10"/>
              </w:rPr>
            </w:pPr>
          </w:p>
        </w:tc>
        <w:tc>
          <w:tcPr>
            <w:tcW w:w="567" w:type="dxa"/>
          </w:tcPr>
          <w:p w14:paraId="26A10F27"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BCF0517" w14:textId="77777777" w:rsidR="00D34C6F" w:rsidRPr="00CD1278" w:rsidRDefault="00D34C6F" w:rsidP="008277E3">
            <w:pPr>
              <w:spacing w:after="60"/>
              <w:rPr>
                <w:color w:val="auto"/>
                <w:sz w:val="10"/>
                <w:szCs w:val="10"/>
              </w:rPr>
            </w:pPr>
            <w:r w:rsidRPr="00CD1278">
              <w:rPr>
                <w:color w:val="auto"/>
                <w:sz w:val="10"/>
                <w:szCs w:val="10"/>
              </w:rPr>
              <w:t>1187.800</w:t>
            </w:r>
          </w:p>
        </w:tc>
        <w:tc>
          <w:tcPr>
            <w:tcW w:w="709" w:type="dxa"/>
            <w:shd w:val="clear" w:color="auto" w:fill="auto"/>
            <w:vAlign w:val="center"/>
          </w:tcPr>
          <w:p w14:paraId="2003067E" w14:textId="77777777" w:rsidR="00D34C6F" w:rsidRPr="00CD1278" w:rsidRDefault="00D34C6F" w:rsidP="008277E3">
            <w:pPr>
              <w:spacing w:after="60"/>
              <w:rPr>
                <w:color w:val="auto"/>
                <w:sz w:val="10"/>
                <w:szCs w:val="10"/>
              </w:rPr>
            </w:pPr>
            <w:r w:rsidRPr="00CD1278">
              <w:rPr>
                <w:color w:val="auto"/>
                <w:sz w:val="10"/>
                <w:szCs w:val="10"/>
              </w:rPr>
              <w:t>747.839</w:t>
            </w:r>
          </w:p>
        </w:tc>
        <w:tc>
          <w:tcPr>
            <w:tcW w:w="708" w:type="dxa"/>
            <w:shd w:val="clear" w:color="auto" w:fill="auto"/>
            <w:vAlign w:val="center"/>
          </w:tcPr>
          <w:p w14:paraId="2F1CE006" w14:textId="77777777" w:rsidR="00D34C6F" w:rsidRPr="00CD1278" w:rsidRDefault="00D34C6F" w:rsidP="008277E3">
            <w:pPr>
              <w:spacing w:after="60"/>
              <w:rPr>
                <w:color w:val="auto"/>
                <w:sz w:val="10"/>
                <w:szCs w:val="10"/>
              </w:rPr>
            </w:pPr>
            <w:r w:rsidRPr="00CD1278">
              <w:rPr>
                <w:color w:val="auto"/>
                <w:sz w:val="10"/>
                <w:szCs w:val="10"/>
              </w:rPr>
              <w:t> 592.891</w:t>
            </w:r>
          </w:p>
        </w:tc>
        <w:tc>
          <w:tcPr>
            <w:tcW w:w="709" w:type="dxa"/>
            <w:shd w:val="clear" w:color="auto" w:fill="auto"/>
            <w:vAlign w:val="center"/>
          </w:tcPr>
          <w:p w14:paraId="01CB0E44" w14:textId="77777777" w:rsidR="00D34C6F" w:rsidRPr="00CD1278" w:rsidRDefault="00D34C6F" w:rsidP="008277E3">
            <w:pPr>
              <w:spacing w:after="60"/>
              <w:rPr>
                <w:color w:val="auto"/>
                <w:sz w:val="10"/>
                <w:szCs w:val="10"/>
              </w:rPr>
            </w:pPr>
            <w:r w:rsidRPr="00CD1278">
              <w:rPr>
                <w:color w:val="auto"/>
                <w:sz w:val="10"/>
                <w:szCs w:val="10"/>
              </w:rPr>
              <w:t>486.757</w:t>
            </w:r>
          </w:p>
        </w:tc>
        <w:tc>
          <w:tcPr>
            <w:tcW w:w="567" w:type="dxa"/>
            <w:shd w:val="clear" w:color="auto" w:fill="auto"/>
            <w:vAlign w:val="center"/>
          </w:tcPr>
          <w:p w14:paraId="65EEF023" w14:textId="77777777" w:rsidR="00D34C6F" w:rsidRPr="00CD1278" w:rsidRDefault="00D34C6F" w:rsidP="008277E3">
            <w:pPr>
              <w:spacing w:after="60"/>
              <w:rPr>
                <w:color w:val="auto"/>
                <w:sz w:val="10"/>
                <w:szCs w:val="10"/>
              </w:rPr>
            </w:pPr>
            <w:r w:rsidRPr="00CD1278">
              <w:rPr>
                <w:color w:val="auto"/>
                <w:sz w:val="10"/>
                <w:szCs w:val="10"/>
              </w:rPr>
              <w:t>407.091</w:t>
            </w:r>
          </w:p>
        </w:tc>
        <w:tc>
          <w:tcPr>
            <w:tcW w:w="647" w:type="dxa"/>
            <w:shd w:val="clear" w:color="auto" w:fill="auto"/>
            <w:vAlign w:val="center"/>
          </w:tcPr>
          <w:p w14:paraId="1A7F59B8" w14:textId="77777777" w:rsidR="00D34C6F" w:rsidRPr="00CD1278" w:rsidRDefault="00D34C6F" w:rsidP="008277E3">
            <w:pPr>
              <w:spacing w:after="60"/>
              <w:rPr>
                <w:color w:val="auto"/>
                <w:sz w:val="10"/>
                <w:szCs w:val="10"/>
              </w:rPr>
            </w:pPr>
            <w:r w:rsidRPr="00CD1278">
              <w:rPr>
                <w:color w:val="auto"/>
                <w:sz w:val="10"/>
                <w:szCs w:val="10"/>
              </w:rPr>
              <w:t>302.974</w:t>
            </w:r>
          </w:p>
        </w:tc>
        <w:tc>
          <w:tcPr>
            <w:tcW w:w="567" w:type="dxa"/>
            <w:shd w:val="clear" w:color="auto" w:fill="auto"/>
            <w:vAlign w:val="center"/>
          </w:tcPr>
          <w:p w14:paraId="22A19AA6" w14:textId="77777777" w:rsidR="00D34C6F" w:rsidRPr="00CD1278" w:rsidRDefault="00D34C6F" w:rsidP="008277E3">
            <w:pPr>
              <w:spacing w:after="60"/>
              <w:rPr>
                <w:color w:val="auto"/>
                <w:sz w:val="10"/>
                <w:szCs w:val="10"/>
              </w:rPr>
            </w:pPr>
            <w:r w:rsidRPr="00CD1278">
              <w:rPr>
                <w:color w:val="auto"/>
                <w:sz w:val="10"/>
                <w:szCs w:val="10"/>
              </w:rPr>
              <w:t>195.698</w:t>
            </w:r>
          </w:p>
        </w:tc>
        <w:tc>
          <w:tcPr>
            <w:tcW w:w="567" w:type="dxa"/>
            <w:shd w:val="clear" w:color="auto" w:fill="auto"/>
            <w:noWrap/>
            <w:vAlign w:val="center"/>
          </w:tcPr>
          <w:p w14:paraId="2CB68BA0" w14:textId="77777777" w:rsidR="00D34C6F" w:rsidRPr="00CD1278" w:rsidRDefault="00D34C6F" w:rsidP="008277E3">
            <w:pPr>
              <w:spacing w:after="60"/>
              <w:rPr>
                <w:color w:val="auto"/>
                <w:sz w:val="10"/>
                <w:szCs w:val="10"/>
              </w:rPr>
            </w:pPr>
            <w:r w:rsidRPr="00CD1278">
              <w:rPr>
                <w:color w:val="auto"/>
                <w:sz w:val="10"/>
                <w:szCs w:val="10"/>
              </w:rPr>
              <w:t> 59.500</w:t>
            </w:r>
          </w:p>
        </w:tc>
        <w:tc>
          <w:tcPr>
            <w:tcW w:w="567" w:type="dxa"/>
          </w:tcPr>
          <w:p w14:paraId="7217513D" w14:textId="77777777" w:rsidR="00D34C6F" w:rsidRPr="00CD1278" w:rsidRDefault="00D34C6F" w:rsidP="008277E3">
            <w:pPr>
              <w:spacing w:after="60"/>
              <w:rPr>
                <w:b/>
                <w:color w:val="auto"/>
                <w:sz w:val="10"/>
                <w:szCs w:val="10"/>
              </w:rPr>
            </w:pPr>
          </w:p>
        </w:tc>
        <w:tc>
          <w:tcPr>
            <w:tcW w:w="567" w:type="dxa"/>
          </w:tcPr>
          <w:p w14:paraId="03948261" w14:textId="77777777" w:rsidR="00D34C6F" w:rsidRPr="00CD1278" w:rsidRDefault="00D34C6F" w:rsidP="008277E3">
            <w:pPr>
              <w:spacing w:after="60"/>
              <w:jc w:val="center"/>
              <w:rPr>
                <w:b/>
                <w:color w:val="auto"/>
                <w:sz w:val="10"/>
                <w:szCs w:val="10"/>
              </w:rPr>
            </w:pPr>
          </w:p>
        </w:tc>
        <w:tc>
          <w:tcPr>
            <w:tcW w:w="567" w:type="dxa"/>
          </w:tcPr>
          <w:p w14:paraId="735A8865" w14:textId="77777777" w:rsidR="00D34C6F" w:rsidRPr="00CD1278" w:rsidRDefault="00D34C6F" w:rsidP="008277E3">
            <w:pPr>
              <w:spacing w:after="60"/>
              <w:jc w:val="center"/>
              <w:rPr>
                <w:b/>
                <w:color w:val="auto"/>
                <w:sz w:val="10"/>
                <w:szCs w:val="10"/>
              </w:rPr>
            </w:pPr>
          </w:p>
        </w:tc>
        <w:tc>
          <w:tcPr>
            <w:tcW w:w="567" w:type="dxa"/>
          </w:tcPr>
          <w:p w14:paraId="732F7DA1" w14:textId="77777777" w:rsidR="00D34C6F" w:rsidRPr="00CD1278" w:rsidRDefault="00D34C6F" w:rsidP="008277E3">
            <w:pPr>
              <w:spacing w:after="60"/>
              <w:jc w:val="center"/>
              <w:rPr>
                <w:b/>
                <w:color w:val="auto"/>
                <w:sz w:val="10"/>
                <w:szCs w:val="10"/>
              </w:rPr>
            </w:pPr>
          </w:p>
        </w:tc>
      </w:tr>
      <w:tr w:rsidR="003C102E" w:rsidRPr="00CD1278" w14:paraId="216ABDF3" w14:textId="77777777" w:rsidTr="008277E3">
        <w:trPr>
          <w:trHeight w:val="465"/>
          <w:jc w:val="center"/>
        </w:trPr>
        <w:tc>
          <w:tcPr>
            <w:tcW w:w="662" w:type="dxa"/>
            <w:shd w:val="clear" w:color="auto" w:fill="auto"/>
            <w:vAlign w:val="center"/>
          </w:tcPr>
          <w:p w14:paraId="3AE534D8"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062919EA" w14:textId="77777777" w:rsidR="00D34C6F" w:rsidRPr="00CD1278" w:rsidRDefault="00D34C6F" w:rsidP="00D1371C">
            <w:pPr>
              <w:spacing w:after="60"/>
              <w:ind w:left="-87"/>
              <w:rPr>
                <w:color w:val="auto"/>
                <w:sz w:val="12"/>
                <w:szCs w:val="12"/>
              </w:rPr>
            </w:pPr>
            <w:r w:rsidRPr="00CD1278">
              <w:rPr>
                <w:color w:val="auto"/>
                <w:sz w:val="12"/>
                <w:szCs w:val="12"/>
              </w:rPr>
              <w:t>Eggplant – field</w:t>
            </w:r>
          </w:p>
        </w:tc>
        <w:tc>
          <w:tcPr>
            <w:tcW w:w="770" w:type="dxa"/>
            <w:shd w:val="clear" w:color="auto" w:fill="auto"/>
            <w:vAlign w:val="center"/>
          </w:tcPr>
          <w:p w14:paraId="71D3D882" w14:textId="77777777" w:rsidR="00D34C6F" w:rsidRPr="00CD1278" w:rsidRDefault="00D34C6F" w:rsidP="008277E3">
            <w:pPr>
              <w:spacing w:after="60"/>
              <w:rPr>
                <w:color w:val="auto"/>
                <w:sz w:val="10"/>
                <w:szCs w:val="10"/>
              </w:rPr>
            </w:pPr>
            <w:r w:rsidRPr="00CD1278">
              <w:rPr>
                <w:color w:val="auto"/>
                <w:sz w:val="10"/>
                <w:szCs w:val="10"/>
              </w:rPr>
              <w:t>76.761</w:t>
            </w:r>
          </w:p>
        </w:tc>
        <w:tc>
          <w:tcPr>
            <w:tcW w:w="647" w:type="dxa"/>
            <w:shd w:val="clear" w:color="auto" w:fill="auto"/>
            <w:vAlign w:val="center"/>
          </w:tcPr>
          <w:p w14:paraId="6725DD66" w14:textId="77777777" w:rsidR="00D34C6F" w:rsidRPr="00CD1278" w:rsidRDefault="00D34C6F" w:rsidP="008277E3">
            <w:pPr>
              <w:spacing w:after="60"/>
              <w:rPr>
                <w:color w:val="auto"/>
                <w:sz w:val="10"/>
                <w:szCs w:val="10"/>
              </w:rPr>
            </w:pPr>
            <w:r w:rsidRPr="00CD1278">
              <w:rPr>
                <w:color w:val="auto"/>
                <w:sz w:val="10"/>
                <w:szCs w:val="10"/>
              </w:rPr>
              <w:t>101.245</w:t>
            </w:r>
          </w:p>
        </w:tc>
        <w:tc>
          <w:tcPr>
            <w:tcW w:w="709" w:type="dxa"/>
            <w:shd w:val="clear" w:color="auto" w:fill="auto"/>
            <w:vAlign w:val="center"/>
          </w:tcPr>
          <w:p w14:paraId="32AB7ABB" w14:textId="77777777" w:rsidR="00D34C6F" w:rsidRPr="00CD1278" w:rsidRDefault="00D34C6F" w:rsidP="008277E3">
            <w:pPr>
              <w:spacing w:after="60"/>
              <w:rPr>
                <w:color w:val="auto"/>
                <w:sz w:val="10"/>
                <w:szCs w:val="10"/>
              </w:rPr>
            </w:pPr>
            <w:r w:rsidRPr="00CD1278">
              <w:rPr>
                <w:color w:val="auto"/>
                <w:sz w:val="10"/>
                <w:szCs w:val="10"/>
              </w:rPr>
              <w:t>96.48</w:t>
            </w:r>
          </w:p>
        </w:tc>
        <w:tc>
          <w:tcPr>
            <w:tcW w:w="567" w:type="dxa"/>
            <w:shd w:val="clear" w:color="auto" w:fill="auto"/>
            <w:vAlign w:val="center"/>
          </w:tcPr>
          <w:p w14:paraId="77902841" w14:textId="77777777" w:rsidR="00D34C6F" w:rsidRPr="00CD1278" w:rsidRDefault="00D34C6F" w:rsidP="008277E3">
            <w:pPr>
              <w:spacing w:after="60"/>
              <w:rPr>
                <w:color w:val="auto"/>
                <w:sz w:val="10"/>
                <w:szCs w:val="10"/>
              </w:rPr>
            </w:pPr>
            <w:r w:rsidRPr="00CD1278">
              <w:rPr>
                <w:color w:val="auto"/>
                <w:sz w:val="10"/>
                <w:szCs w:val="10"/>
              </w:rPr>
              <w:t>79.546</w:t>
            </w:r>
          </w:p>
        </w:tc>
        <w:tc>
          <w:tcPr>
            <w:tcW w:w="709" w:type="dxa"/>
            <w:shd w:val="clear" w:color="auto" w:fill="auto"/>
            <w:vAlign w:val="center"/>
          </w:tcPr>
          <w:p w14:paraId="70653B06" w14:textId="77777777" w:rsidR="00D34C6F" w:rsidRPr="00CD1278" w:rsidRDefault="00D34C6F" w:rsidP="008277E3">
            <w:pPr>
              <w:spacing w:after="60"/>
              <w:rPr>
                <w:color w:val="auto"/>
                <w:sz w:val="10"/>
                <w:szCs w:val="10"/>
              </w:rPr>
            </w:pPr>
            <w:r w:rsidRPr="00CD1278">
              <w:rPr>
                <w:color w:val="auto"/>
                <w:sz w:val="10"/>
                <w:szCs w:val="10"/>
              </w:rPr>
              <w:t>62.789</w:t>
            </w:r>
          </w:p>
        </w:tc>
        <w:tc>
          <w:tcPr>
            <w:tcW w:w="567" w:type="dxa"/>
            <w:shd w:val="clear" w:color="auto" w:fill="auto"/>
            <w:vAlign w:val="center"/>
          </w:tcPr>
          <w:p w14:paraId="7696474B" w14:textId="77777777" w:rsidR="00D34C6F" w:rsidRPr="00CD1278" w:rsidRDefault="00D34C6F" w:rsidP="008277E3">
            <w:pPr>
              <w:spacing w:after="60"/>
              <w:rPr>
                <w:color w:val="auto"/>
                <w:sz w:val="10"/>
                <w:szCs w:val="10"/>
              </w:rPr>
            </w:pPr>
            <w:r w:rsidRPr="00CD1278">
              <w:rPr>
                <w:color w:val="auto"/>
                <w:sz w:val="10"/>
                <w:szCs w:val="10"/>
              </w:rPr>
              <w:t>34.732</w:t>
            </w:r>
          </w:p>
        </w:tc>
        <w:tc>
          <w:tcPr>
            <w:tcW w:w="708" w:type="dxa"/>
            <w:shd w:val="clear" w:color="auto" w:fill="auto"/>
            <w:vAlign w:val="center"/>
          </w:tcPr>
          <w:p w14:paraId="7E39FAA8" w14:textId="77777777" w:rsidR="00D34C6F" w:rsidRPr="00CD1278" w:rsidRDefault="00D34C6F" w:rsidP="008277E3">
            <w:pPr>
              <w:spacing w:after="60"/>
              <w:rPr>
                <w:color w:val="auto"/>
                <w:sz w:val="10"/>
                <w:szCs w:val="10"/>
              </w:rPr>
            </w:pPr>
            <w:r w:rsidRPr="00CD1278">
              <w:rPr>
                <w:color w:val="auto"/>
                <w:sz w:val="10"/>
                <w:szCs w:val="10"/>
              </w:rPr>
              <w:t>21.561</w:t>
            </w:r>
          </w:p>
        </w:tc>
        <w:tc>
          <w:tcPr>
            <w:tcW w:w="567" w:type="dxa"/>
            <w:shd w:val="clear" w:color="auto" w:fill="auto"/>
            <w:vAlign w:val="center"/>
          </w:tcPr>
          <w:p w14:paraId="11520D53" w14:textId="77777777" w:rsidR="00D34C6F" w:rsidRPr="00CD1278" w:rsidRDefault="00D34C6F" w:rsidP="008277E3">
            <w:pPr>
              <w:spacing w:after="60"/>
              <w:rPr>
                <w:color w:val="auto"/>
                <w:sz w:val="10"/>
                <w:szCs w:val="10"/>
              </w:rPr>
            </w:pPr>
            <w:r w:rsidRPr="00CD1278">
              <w:rPr>
                <w:color w:val="auto"/>
                <w:sz w:val="10"/>
                <w:szCs w:val="10"/>
              </w:rPr>
              <w:t> 6.904</w:t>
            </w:r>
          </w:p>
        </w:tc>
        <w:tc>
          <w:tcPr>
            <w:tcW w:w="567" w:type="dxa"/>
            <w:shd w:val="clear" w:color="auto" w:fill="auto"/>
            <w:vAlign w:val="center"/>
          </w:tcPr>
          <w:p w14:paraId="13D5DA3C" w14:textId="77777777" w:rsidR="00D34C6F" w:rsidRPr="00CD1278" w:rsidRDefault="00D34C6F" w:rsidP="008277E3">
            <w:pPr>
              <w:spacing w:after="60"/>
              <w:rPr>
                <w:color w:val="auto"/>
                <w:sz w:val="10"/>
                <w:szCs w:val="10"/>
              </w:rPr>
            </w:pPr>
            <w:r w:rsidRPr="00CD1278">
              <w:rPr>
                <w:color w:val="auto"/>
                <w:sz w:val="10"/>
                <w:szCs w:val="10"/>
              </w:rPr>
              <w:t>1.381</w:t>
            </w:r>
          </w:p>
        </w:tc>
        <w:tc>
          <w:tcPr>
            <w:tcW w:w="629" w:type="dxa"/>
          </w:tcPr>
          <w:p w14:paraId="0E21E24D" w14:textId="77777777" w:rsidR="00D34C6F" w:rsidRPr="00CD1278" w:rsidRDefault="00D34C6F" w:rsidP="008277E3">
            <w:pPr>
              <w:spacing w:after="60"/>
              <w:rPr>
                <w:color w:val="auto"/>
                <w:sz w:val="10"/>
                <w:szCs w:val="10"/>
              </w:rPr>
            </w:pPr>
          </w:p>
        </w:tc>
        <w:tc>
          <w:tcPr>
            <w:tcW w:w="567" w:type="dxa"/>
          </w:tcPr>
          <w:p w14:paraId="44F367C8" w14:textId="77777777" w:rsidR="00D34C6F" w:rsidRPr="00CD1278" w:rsidRDefault="00D34C6F" w:rsidP="008277E3">
            <w:pPr>
              <w:spacing w:after="60"/>
              <w:jc w:val="center"/>
              <w:rPr>
                <w:color w:val="auto"/>
                <w:sz w:val="10"/>
                <w:szCs w:val="10"/>
              </w:rPr>
            </w:pPr>
          </w:p>
        </w:tc>
        <w:tc>
          <w:tcPr>
            <w:tcW w:w="567" w:type="dxa"/>
          </w:tcPr>
          <w:p w14:paraId="48E14C42"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06374956" w14:textId="77777777" w:rsidR="00D34C6F" w:rsidRPr="00CD1278" w:rsidRDefault="00D34C6F" w:rsidP="008277E3">
            <w:pPr>
              <w:spacing w:after="60"/>
              <w:rPr>
                <w:color w:val="auto"/>
                <w:sz w:val="10"/>
                <w:szCs w:val="10"/>
              </w:rPr>
            </w:pPr>
            <w:r w:rsidRPr="00CD1278">
              <w:rPr>
                <w:color w:val="auto"/>
                <w:sz w:val="10"/>
                <w:szCs w:val="10"/>
              </w:rPr>
              <w:t>76.721</w:t>
            </w:r>
          </w:p>
        </w:tc>
        <w:tc>
          <w:tcPr>
            <w:tcW w:w="709" w:type="dxa"/>
            <w:shd w:val="clear" w:color="auto" w:fill="auto"/>
            <w:vAlign w:val="center"/>
          </w:tcPr>
          <w:p w14:paraId="1205150D" w14:textId="77777777" w:rsidR="00D34C6F" w:rsidRPr="00CD1278" w:rsidRDefault="00D34C6F" w:rsidP="008277E3">
            <w:pPr>
              <w:spacing w:after="60"/>
              <w:rPr>
                <w:color w:val="auto"/>
                <w:sz w:val="10"/>
                <w:szCs w:val="10"/>
              </w:rPr>
            </w:pPr>
            <w:r w:rsidRPr="00CD1278">
              <w:rPr>
                <w:color w:val="auto"/>
                <w:sz w:val="10"/>
                <w:szCs w:val="10"/>
              </w:rPr>
              <w:t>82.167</w:t>
            </w:r>
          </w:p>
        </w:tc>
        <w:tc>
          <w:tcPr>
            <w:tcW w:w="708" w:type="dxa"/>
            <w:shd w:val="clear" w:color="auto" w:fill="auto"/>
            <w:vAlign w:val="center"/>
          </w:tcPr>
          <w:p w14:paraId="68055F06" w14:textId="77777777" w:rsidR="00D34C6F" w:rsidRPr="00CD1278" w:rsidRDefault="00D34C6F" w:rsidP="008277E3">
            <w:pPr>
              <w:spacing w:after="60"/>
              <w:rPr>
                <w:color w:val="auto"/>
                <w:sz w:val="10"/>
                <w:szCs w:val="10"/>
              </w:rPr>
            </w:pPr>
            <w:r w:rsidRPr="00CD1278">
              <w:rPr>
                <w:color w:val="auto"/>
                <w:sz w:val="10"/>
                <w:szCs w:val="10"/>
              </w:rPr>
              <w:t> 85.363</w:t>
            </w:r>
          </w:p>
        </w:tc>
        <w:tc>
          <w:tcPr>
            <w:tcW w:w="709" w:type="dxa"/>
            <w:shd w:val="clear" w:color="auto" w:fill="auto"/>
            <w:vAlign w:val="center"/>
          </w:tcPr>
          <w:p w14:paraId="311B5813" w14:textId="77777777" w:rsidR="00D34C6F" w:rsidRPr="00CD1278" w:rsidRDefault="00D34C6F" w:rsidP="008277E3">
            <w:pPr>
              <w:spacing w:after="60"/>
              <w:rPr>
                <w:color w:val="auto"/>
                <w:sz w:val="10"/>
                <w:szCs w:val="10"/>
              </w:rPr>
            </w:pPr>
            <w:r w:rsidRPr="00CD1278">
              <w:rPr>
                <w:color w:val="auto"/>
                <w:sz w:val="10"/>
                <w:szCs w:val="10"/>
              </w:rPr>
              <w:t>66.018</w:t>
            </w:r>
          </w:p>
        </w:tc>
        <w:tc>
          <w:tcPr>
            <w:tcW w:w="567" w:type="dxa"/>
            <w:shd w:val="clear" w:color="auto" w:fill="auto"/>
            <w:vAlign w:val="center"/>
          </w:tcPr>
          <w:p w14:paraId="010EA427" w14:textId="77777777" w:rsidR="00D34C6F" w:rsidRPr="00CD1278" w:rsidRDefault="00D34C6F" w:rsidP="008277E3">
            <w:pPr>
              <w:spacing w:after="60"/>
              <w:rPr>
                <w:color w:val="auto"/>
                <w:sz w:val="10"/>
                <w:szCs w:val="10"/>
              </w:rPr>
            </w:pPr>
            <w:r w:rsidRPr="00CD1278">
              <w:rPr>
                <w:color w:val="auto"/>
                <w:sz w:val="10"/>
                <w:szCs w:val="10"/>
              </w:rPr>
              <w:t>48.691</w:t>
            </w:r>
          </w:p>
        </w:tc>
        <w:tc>
          <w:tcPr>
            <w:tcW w:w="647" w:type="dxa"/>
            <w:shd w:val="clear" w:color="auto" w:fill="auto"/>
            <w:vAlign w:val="center"/>
          </w:tcPr>
          <w:p w14:paraId="29BC1814" w14:textId="77777777" w:rsidR="00D34C6F" w:rsidRPr="00CD1278" w:rsidRDefault="00D34C6F" w:rsidP="008277E3">
            <w:pPr>
              <w:spacing w:after="60"/>
              <w:rPr>
                <w:color w:val="auto"/>
                <w:sz w:val="10"/>
                <w:szCs w:val="10"/>
              </w:rPr>
            </w:pPr>
            <w:r w:rsidRPr="00CD1278">
              <w:rPr>
                <w:color w:val="auto"/>
                <w:sz w:val="10"/>
                <w:szCs w:val="10"/>
              </w:rPr>
              <w:t>32.820</w:t>
            </w:r>
          </w:p>
        </w:tc>
        <w:tc>
          <w:tcPr>
            <w:tcW w:w="567" w:type="dxa"/>
            <w:shd w:val="clear" w:color="auto" w:fill="auto"/>
            <w:vAlign w:val="center"/>
          </w:tcPr>
          <w:p w14:paraId="2FF47BAD" w14:textId="77777777" w:rsidR="00D34C6F" w:rsidRPr="00CD1278" w:rsidRDefault="00D34C6F" w:rsidP="008277E3">
            <w:pPr>
              <w:spacing w:after="60"/>
              <w:rPr>
                <w:color w:val="auto"/>
                <w:sz w:val="10"/>
                <w:szCs w:val="10"/>
              </w:rPr>
            </w:pPr>
            <w:r w:rsidRPr="00CD1278">
              <w:rPr>
                <w:color w:val="auto"/>
                <w:sz w:val="10"/>
                <w:szCs w:val="10"/>
              </w:rPr>
              <w:t>19.725</w:t>
            </w:r>
          </w:p>
        </w:tc>
        <w:tc>
          <w:tcPr>
            <w:tcW w:w="567" w:type="dxa"/>
            <w:shd w:val="clear" w:color="auto" w:fill="auto"/>
            <w:noWrap/>
            <w:vAlign w:val="center"/>
          </w:tcPr>
          <w:p w14:paraId="51397AF8" w14:textId="77777777" w:rsidR="00D34C6F" w:rsidRPr="00CD1278" w:rsidRDefault="00D34C6F" w:rsidP="008277E3">
            <w:pPr>
              <w:spacing w:after="60"/>
              <w:rPr>
                <w:color w:val="auto"/>
                <w:sz w:val="10"/>
                <w:szCs w:val="10"/>
              </w:rPr>
            </w:pPr>
            <w:r w:rsidRPr="00CD1278">
              <w:rPr>
                <w:color w:val="auto"/>
                <w:sz w:val="10"/>
                <w:szCs w:val="10"/>
              </w:rPr>
              <w:t> 6.904</w:t>
            </w:r>
          </w:p>
        </w:tc>
        <w:tc>
          <w:tcPr>
            <w:tcW w:w="567" w:type="dxa"/>
          </w:tcPr>
          <w:p w14:paraId="252F597E" w14:textId="77777777" w:rsidR="00D34C6F" w:rsidRPr="00CD1278" w:rsidRDefault="00D34C6F" w:rsidP="008277E3">
            <w:pPr>
              <w:spacing w:after="60"/>
              <w:rPr>
                <w:b/>
                <w:color w:val="auto"/>
                <w:sz w:val="10"/>
                <w:szCs w:val="10"/>
              </w:rPr>
            </w:pPr>
          </w:p>
        </w:tc>
        <w:tc>
          <w:tcPr>
            <w:tcW w:w="567" w:type="dxa"/>
          </w:tcPr>
          <w:p w14:paraId="24890D64" w14:textId="77777777" w:rsidR="00D34C6F" w:rsidRPr="00CD1278" w:rsidRDefault="00D34C6F" w:rsidP="008277E3">
            <w:pPr>
              <w:spacing w:after="60"/>
              <w:jc w:val="center"/>
              <w:rPr>
                <w:b/>
                <w:color w:val="auto"/>
                <w:sz w:val="10"/>
                <w:szCs w:val="10"/>
              </w:rPr>
            </w:pPr>
          </w:p>
        </w:tc>
        <w:tc>
          <w:tcPr>
            <w:tcW w:w="567" w:type="dxa"/>
          </w:tcPr>
          <w:p w14:paraId="38D38E45" w14:textId="77777777" w:rsidR="00D34C6F" w:rsidRPr="00CD1278" w:rsidRDefault="00D34C6F" w:rsidP="008277E3">
            <w:pPr>
              <w:spacing w:after="60"/>
              <w:jc w:val="center"/>
              <w:rPr>
                <w:b/>
                <w:color w:val="auto"/>
                <w:sz w:val="10"/>
                <w:szCs w:val="10"/>
              </w:rPr>
            </w:pPr>
          </w:p>
        </w:tc>
        <w:tc>
          <w:tcPr>
            <w:tcW w:w="567" w:type="dxa"/>
          </w:tcPr>
          <w:p w14:paraId="2705B7D9" w14:textId="77777777" w:rsidR="00D34C6F" w:rsidRPr="00CD1278" w:rsidRDefault="00D34C6F" w:rsidP="008277E3">
            <w:pPr>
              <w:spacing w:after="60"/>
              <w:jc w:val="center"/>
              <w:rPr>
                <w:b/>
                <w:color w:val="auto"/>
                <w:sz w:val="10"/>
                <w:szCs w:val="10"/>
              </w:rPr>
            </w:pPr>
          </w:p>
        </w:tc>
      </w:tr>
      <w:tr w:rsidR="003C102E" w:rsidRPr="00CD1278" w14:paraId="7E01B1CD" w14:textId="77777777" w:rsidTr="008277E3">
        <w:trPr>
          <w:trHeight w:val="690"/>
          <w:jc w:val="center"/>
        </w:trPr>
        <w:tc>
          <w:tcPr>
            <w:tcW w:w="662" w:type="dxa"/>
            <w:shd w:val="clear" w:color="auto" w:fill="auto"/>
            <w:vAlign w:val="center"/>
          </w:tcPr>
          <w:p w14:paraId="1705DD02"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56FC6560" w14:textId="77777777" w:rsidR="00D34C6F" w:rsidRPr="00CD1278" w:rsidRDefault="00D34C6F" w:rsidP="00D1371C">
            <w:pPr>
              <w:spacing w:after="60"/>
              <w:ind w:left="-87"/>
              <w:rPr>
                <w:color w:val="auto"/>
                <w:sz w:val="12"/>
                <w:szCs w:val="12"/>
              </w:rPr>
            </w:pPr>
            <w:r w:rsidRPr="00CD1278">
              <w:rPr>
                <w:color w:val="auto"/>
                <w:sz w:val="12"/>
                <w:szCs w:val="12"/>
              </w:rPr>
              <w:t>Forest nursery seedlings</w:t>
            </w:r>
          </w:p>
        </w:tc>
        <w:tc>
          <w:tcPr>
            <w:tcW w:w="770" w:type="dxa"/>
            <w:shd w:val="clear" w:color="auto" w:fill="auto"/>
            <w:vAlign w:val="center"/>
          </w:tcPr>
          <w:p w14:paraId="2BC9F0F0" w14:textId="77777777" w:rsidR="00D34C6F" w:rsidRPr="00CD1278" w:rsidRDefault="00D34C6F" w:rsidP="008277E3">
            <w:pPr>
              <w:spacing w:after="60"/>
              <w:rPr>
                <w:color w:val="auto"/>
                <w:sz w:val="10"/>
                <w:szCs w:val="10"/>
              </w:rPr>
            </w:pPr>
            <w:r w:rsidRPr="00CD1278">
              <w:rPr>
                <w:color w:val="auto"/>
                <w:sz w:val="10"/>
                <w:szCs w:val="10"/>
              </w:rPr>
              <w:t>192.515</w:t>
            </w:r>
          </w:p>
        </w:tc>
        <w:tc>
          <w:tcPr>
            <w:tcW w:w="647" w:type="dxa"/>
            <w:shd w:val="clear" w:color="auto" w:fill="auto"/>
            <w:vAlign w:val="center"/>
          </w:tcPr>
          <w:p w14:paraId="7D2CF196" w14:textId="77777777" w:rsidR="00D34C6F" w:rsidRPr="00CD1278" w:rsidRDefault="00D34C6F" w:rsidP="008277E3">
            <w:pPr>
              <w:spacing w:after="60"/>
              <w:rPr>
                <w:color w:val="auto"/>
                <w:sz w:val="10"/>
                <w:szCs w:val="10"/>
              </w:rPr>
            </w:pPr>
            <w:r w:rsidRPr="00CD1278">
              <w:rPr>
                <w:color w:val="auto"/>
                <w:sz w:val="10"/>
                <w:szCs w:val="10"/>
              </w:rPr>
              <w:t>157.694</w:t>
            </w:r>
          </w:p>
        </w:tc>
        <w:tc>
          <w:tcPr>
            <w:tcW w:w="709" w:type="dxa"/>
            <w:shd w:val="clear" w:color="auto" w:fill="auto"/>
            <w:vAlign w:val="center"/>
          </w:tcPr>
          <w:p w14:paraId="403D15DB" w14:textId="77777777" w:rsidR="00D34C6F" w:rsidRPr="00CD1278" w:rsidRDefault="00D34C6F" w:rsidP="008277E3">
            <w:pPr>
              <w:spacing w:after="60"/>
              <w:rPr>
                <w:color w:val="auto"/>
                <w:sz w:val="10"/>
                <w:szCs w:val="10"/>
              </w:rPr>
            </w:pPr>
            <w:r w:rsidRPr="00CD1278">
              <w:rPr>
                <w:color w:val="auto"/>
                <w:sz w:val="10"/>
                <w:szCs w:val="10"/>
              </w:rPr>
              <w:t>152.629</w:t>
            </w:r>
          </w:p>
        </w:tc>
        <w:tc>
          <w:tcPr>
            <w:tcW w:w="567" w:type="dxa"/>
            <w:shd w:val="clear" w:color="auto" w:fill="auto"/>
            <w:vAlign w:val="center"/>
          </w:tcPr>
          <w:p w14:paraId="027C50E6" w14:textId="77777777" w:rsidR="00D34C6F" w:rsidRPr="00CD1278" w:rsidRDefault="00D34C6F" w:rsidP="008277E3">
            <w:pPr>
              <w:spacing w:after="60"/>
              <w:rPr>
                <w:color w:val="auto"/>
                <w:sz w:val="10"/>
                <w:szCs w:val="10"/>
              </w:rPr>
            </w:pPr>
            <w:r w:rsidRPr="00CD1278">
              <w:rPr>
                <w:color w:val="auto"/>
                <w:sz w:val="10"/>
                <w:szCs w:val="10"/>
              </w:rPr>
              <w:t>133.140</w:t>
            </w:r>
          </w:p>
        </w:tc>
        <w:tc>
          <w:tcPr>
            <w:tcW w:w="709" w:type="dxa"/>
            <w:shd w:val="clear" w:color="auto" w:fill="auto"/>
            <w:vAlign w:val="center"/>
          </w:tcPr>
          <w:p w14:paraId="76382EF7" w14:textId="77777777" w:rsidR="00D34C6F" w:rsidRPr="00CD1278" w:rsidRDefault="00D34C6F" w:rsidP="008277E3">
            <w:pPr>
              <w:spacing w:after="60"/>
              <w:rPr>
                <w:color w:val="auto"/>
                <w:sz w:val="10"/>
                <w:szCs w:val="10"/>
              </w:rPr>
            </w:pPr>
            <w:r w:rsidRPr="00CD1278">
              <w:rPr>
                <w:color w:val="auto"/>
                <w:sz w:val="10"/>
                <w:szCs w:val="10"/>
              </w:rPr>
              <w:t>125.758</w:t>
            </w:r>
          </w:p>
        </w:tc>
        <w:tc>
          <w:tcPr>
            <w:tcW w:w="567" w:type="dxa"/>
            <w:shd w:val="clear" w:color="auto" w:fill="auto"/>
            <w:vAlign w:val="center"/>
          </w:tcPr>
          <w:p w14:paraId="646EA866" w14:textId="77777777" w:rsidR="00D34C6F" w:rsidRPr="00CD1278" w:rsidRDefault="00D34C6F" w:rsidP="008277E3">
            <w:pPr>
              <w:spacing w:after="60"/>
              <w:rPr>
                <w:color w:val="auto"/>
                <w:sz w:val="10"/>
                <w:szCs w:val="10"/>
              </w:rPr>
            </w:pPr>
            <w:r w:rsidRPr="00CD1278">
              <w:rPr>
                <w:color w:val="auto"/>
                <w:sz w:val="10"/>
                <w:szCs w:val="10"/>
              </w:rPr>
              <w:t>120.853</w:t>
            </w:r>
          </w:p>
        </w:tc>
        <w:tc>
          <w:tcPr>
            <w:tcW w:w="708" w:type="dxa"/>
            <w:shd w:val="clear" w:color="auto" w:fill="auto"/>
            <w:vAlign w:val="center"/>
          </w:tcPr>
          <w:p w14:paraId="043F4CC4" w14:textId="77777777" w:rsidR="00D34C6F" w:rsidRPr="00CD1278" w:rsidRDefault="00D34C6F" w:rsidP="008277E3">
            <w:pPr>
              <w:spacing w:after="60"/>
              <w:rPr>
                <w:color w:val="auto"/>
                <w:sz w:val="10"/>
                <w:szCs w:val="10"/>
              </w:rPr>
            </w:pPr>
            <w:r w:rsidRPr="00CD1278">
              <w:rPr>
                <w:color w:val="auto"/>
                <w:sz w:val="10"/>
                <w:szCs w:val="10"/>
              </w:rPr>
              <w:t>106.043</w:t>
            </w:r>
          </w:p>
        </w:tc>
        <w:tc>
          <w:tcPr>
            <w:tcW w:w="567" w:type="dxa"/>
            <w:shd w:val="clear" w:color="auto" w:fill="auto"/>
            <w:vAlign w:val="center"/>
          </w:tcPr>
          <w:p w14:paraId="0B70AA6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C464240"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2E6895BA" w14:textId="77777777" w:rsidR="00D34C6F" w:rsidRPr="00CD1278" w:rsidRDefault="00D34C6F" w:rsidP="008277E3">
            <w:pPr>
              <w:spacing w:after="60"/>
              <w:rPr>
                <w:color w:val="auto"/>
                <w:sz w:val="10"/>
                <w:szCs w:val="10"/>
              </w:rPr>
            </w:pPr>
          </w:p>
        </w:tc>
        <w:tc>
          <w:tcPr>
            <w:tcW w:w="567" w:type="dxa"/>
          </w:tcPr>
          <w:p w14:paraId="7D44B970" w14:textId="77777777" w:rsidR="00D34C6F" w:rsidRPr="00CD1278" w:rsidRDefault="00D34C6F" w:rsidP="008277E3">
            <w:pPr>
              <w:spacing w:after="60"/>
              <w:jc w:val="center"/>
              <w:rPr>
                <w:color w:val="auto"/>
                <w:sz w:val="10"/>
                <w:szCs w:val="10"/>
              </w:rPr>
            </w:pPr>
          </w:p>
        </w:tc>
        <w:tc>
          <w:tcPr>
            <w:tcW w:w="567" w:type="dxa"/>
          </w:tcPr>
          <w:p w14:paraId="508AF8B8"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7E748E92" w14:textId="77777777" w:rsidR="00D34C6F" w:rsidRPr="00CD1278" w:rsidRDefault="00D34C6F" w:rsidP="008277E3">
            <w:pPr>
              <w:spacing w:after="60"/>
              <w:rPr>
                <w:color w:val="auto"/>
                <w:sz w:val="10"/>
                <w:szCs w:val="10"/>
              </w:rPr>
            </w:pPr>
            <w:r w:rsidRPr="00CD1278">
              <w:rPr>
                <w:color w:val="auto"/>
                <w:sz w:val="10"/>
                <w:szCs w:val="10"/>
              </w:rPr>
              <w:t>192.515</w:t>
            </w:r>
          </w:p>
        </w:tc>
        <w:tc>
          <w:tcPr>
            <w:tcW w:w="709" w:type="dxa"/>
            <w:shd w:val="clear" w:color="auto" w:fill="auto"/>
            <w:vAlign w:val="center"/>
          </w:tcPr>
          <w:p w14:paraId="588E6E2D" w14:textId="77777777" w:rsidR="00D34C6F" w:rsidRPr="00CD1278" w:rsidRDefault="00D34C6F" w:rsidP="008277E3">
            <w:pPr>
              <w:spacing w:after="60"/>
              <w:rPr>
                <w:color w:val="auto"/>
                <w:sz w:val="10"/>
                <w:szCs w:val="10"/>
              </w:rPr>
            </w:pPr>
            <w:r w:rsidRPr="00CD1278">
              <w:rPr>
                <w:color w:val="auto"/>
                <w:sz w:val="10"/>
                <w:szCs w:val="10"/>
              </w:rPr>
              <w:t>157.694</w:t>
            </w:r>
          </w:p>
        </w:tc>
        <w:tc>
          <w:tcPr>
            <w:tcW w:w="708" w:type="dxa"/>
            <w:shd w:val="clear" w:color="auto" w:fill="auto"/>
            <w:vAlign w:val="center"/>
          </w:tcPr>
          <w:p w14:paraId="6B2586FE" w14:textId="77777777" w:rsidR="00D34C6F" w:rsidRPr="00CD1278" w:rsidRDefault="00D34C6F" w:rsidP="008277E3">
            <w:pPr>
              <w:spacing w:after="60"/>
              <w:rPr>
                <w:color w:val="auto"/>
                <w:sz w:val="10"/>
                <w:szCs w:val="10"/>
              </w:rPr>
            </w:pPr>
            <w:r w:rsidRPr="00CD1278">
              <w:rPr>
                <w:color w:val="auto"/>
                <w:sz w:val="10"/>
                <w:szCs w:val="10"/>
              </w:rPr>
              <w:t> 122.032</w:t>
            </w:r>
          </w:p>
        </w:tc>
        <w:tc>
          <w:tcPr>
            <w:tcW w:w="709" w:type="dxa"/>
            <w:shd w:val="clear" w:color="auto" w:fill="auto"/>
            <w:vAlign w:val="center"/>
          </w:tcPr>
          <w:p w14:paraId="19B8A587" w14:textId="77777777" w:rsidR="00D34C6F" w:rsidRPr="00CD1278" w:rsidRDefault="00D34C6F" w:rsidP="008277E3">
            <w:pPr>
              <w:spacing w:after="60"/>
              <w:rPr>
                <w:color w:val="auto"/>
                <w:sz w:val="10"/>
                <w:szCs w:val="10"/>
              </w:rPr>
            </w:pPr>
            <w:r w:rsidRPr="00CD1278">
              <w:rPr>
                <w:color w:val="auto"/>
                <w:sz w:val="10"/>
                <w:szCs w:val="10"/>
              </w:rPr>
              <w:t>131.208</w:t>
            </w:r>
          </w:p>
        </w:tc>
        <w:tc>
          <w:tcPr>
            <w:tcW w:w="567" w:type="dxa"/>
            <w:shd w:val="clear" w:color="auto" w:fill="auto"/>
            <w:vAlign w:val="center"/>
          </w:tcPr>
          <w:p w14:paraId="5BB2EB35" w14:textId="77777777" w:rsidR="00D34C6F" w:rsidRPr="00CD1278" w:rsidRDefault="00D34C6F" w:rsidP="008277E3">
            <w:pPr>
              <w:spacing w:after="60"/>
              <w:rPr>
                <w:color w:val="auto"/>
                <w:sz w:val="10"/>
                <w:szCs w:val="10"/>
              </w:rPr>
            </w:pPr>
            <w:r w:rsidRPr="00CD1278">
              <w:rPr>
                <w:color w:val="auto"/>
                <w:sz w:val="10"/>
                <w:szCs w:val="10"/>
              </w:rPr>
              <w:t>122.060</w:t>
            </w:r>
          </w:p>
        </w:tc>
        <w:tc>
          <w:tcPr>
            <w:tcW w:w="647" w:type="dxa"/>
            <w:shd w:val="clear" w:color="auto" w:fill="auto"/>
            <w:vAlign w:val="center"/>
          </w:tcPr>
          <w:p w14:paraId="79F62ECF" w14:textId="77777777" w:rsidR="00D34C6F" w:rsidRPr="00CD1278" w:rsidRDefault="00D34C6F" w:rsidP="008277E3">
            <w:pPr>
              <w:spacing w:after="60"/>
              <w:rPr>
                <w:color w:val="auto"/>
                <w:sz w:val="10"/>
                <w:szCs w:val="10"/>
              </w:rPr>
            </w:pPr>
            <w:r w:rsidRPr="00CD1278">
              <w:rPr>
                <w:color w:val="auto"/>
                <w:sz w:val="10"/>
                <w:szCs w:val="10"/>
              </w:rPr>
              <w:t>117.826</w:t>
            </w:r>
          </w:p>
        </w:tc>
        <w:tc>
          <w:tcPr>
            <w:tcW w:w="567" w:type="dxa"/>
            <w:shd w:val="clear" w:color="auto" w:fill="auto"/>
            <w:vAlign w:val="center"/>
          </w:tcPr>
          <w:p w14:paraId="746EC43D" w14:textId="77777777" w:rsidR="00D34C6F" w:rsidRPr="00CD1278" w:rsidRDefault="00D34C6F" w:rsidP="008277E3">
            <w:pPr>
              <w:spacing w:after="60"/>
              <w:rPr>
                <w:color w:val="auto"/>
                <w:sz w:val="10"/>
                <w:szCs w:val="10"/>
              </w:rPr>
            </w:pPr>
            <w:r w:rsidRPr="00CD1278">
              <w:rPr>
                <w:color w:val="auto"/>
                <w:sz w:val="10"/>
                <w:szCs w:val="10"/>
              </w:rPr>
              <w:t>93.547</w:t>
            </w:r>
          </w:p>
        </w:tc>
        <w:tc>
          <w:tcPr>
            <w:tcW w:w="567" w:type="dxa"/>
            <w:shd w:val="clear" w:color="auto" w:fill="auto"/>
            <w:noWrap/>
            <w:vAlign w:val="center"/>
          </w:tcPr>
          <w:p w14:paraId="586B60E7"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2A716ACA" w14:textId="77777777" w:rsidR="00D34C6F" w:rsidRPr="00CD1278" w:rsidRDefault="00D34C6F" w:rsidP="008277E3">
            <w:pPr>
              <w:spacing w:after="60"/>
              <w:rPr>
                <w:b/>
                <w:color w:val="auto"/>
                <w:sz w:val="10"/>
                <w:szCs w:val="10"/>
              </w:rPr>
            </w:pPr>
          </w:p>
        </w:tc>
        <w:tc>
          <w:tcPr>
            <w:tcW w:w="567" w:type="dxa"/>
          </w:tcPr>
          <w:p w14:paraId="5C1A9E4C" w14:textId="77777777" w:rsidR="00D34C6F" w:rsidRPr="00CD1278" w:rsidRDefault="00D34C6F" w:rsidP="008277E3">
            <w:pPr>
              <w:spacing w:after="60"/>
              <w:jc w:val="center"/>
              <w:rPr>
                <w:b/>
                <w:color w:val="auto"/>
                <w:sz w:val="10"/>
                <w:szCs w:val="10"/>
              </w:rPr>
            </w:pPr>
          </w:p>
        </w:tc>
        <w:tc>
          <w:tcPr>
            <w:tcW w:w="567" w:type="dxa"/>
          </w:tcPr>
          <w:p w14:paraId="0437BE6D" w14:textId="77777777" w:rsidR="00D34C6F" w:rsidRPr="00CD1278" w:rsidRDefault="00D34C6F" w:rsidP="008277E3">
            <w:pPr>
              <w:spacing w:after="60"/>
              <w:jc w:val="center"/>
              <w:rPr>
                <w:b/>
                <w:color w:val="auto"/>
                <w:sz w:val="10"/>
                <w:szCs w:val="10"/>
              </w:rPr>
            </w:pPr>
          </w:p>
        </w:tc>
        <w:tc>
          <w:tcPr>
            <w:tcW w:w="567" w:type="dxa"/>
          </w:tcPr>
          <w:p w14:paraId="699115E4" w14:textId="77777777" w:rsidR="00D34C6F" w:rsidRPr="00CD1278" w:rsidRDefault="00D34C6F" w:rsidP="008277E3">
            <w:pPr>
              <w:spacing w:after="60"/>
              <w:jc w:val="center"/>
              <w:rPr>
                <w:b/>
                <w:color w:val="auto"/>
                <w:sz w:val="10"/>
                <w:szCs w:val="10"/>
              </w:rPr>
            </w:pPr>
          </w:p>
        </w:tc>
      </w:tr>
      <w:tr w:rsidR="003C102E" w:rsidRPr="00CD1278" w14:paraId="1C6CAFCD" w14:textId="77777777" w:rsidTr="008277E3">
        <w:trPr>
          <w:trHeight w:val="270"/>
          <w:jc w:val="center"/>
        </w:trPr>
        <w:tc>
          <w:tcPr>
            <w:tcW w:w="662" w:type="dxa"/>
            <w:shd w:val="clear" w:color="auto" w:fill="auto"/>
            <w:vAlign w:val="center"/>
          </w:tcPr>
          <w:p w14:paraId="220F0DD8"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3692E16D" w14:textId="77777777" w:rsidR="00D34C6F" w:rsidRPr="00CD1278" w:rsidRDefault="00D34C6F" w:rsidP="00D1371C">
            <w:pPr>
              <w:spacing w:after="60"/>
              <w:ind w:left="-87"/>
              <w:rPr>
                <w:color w:val="auto"/>
                <w:sz w:val="12"/>
                <w:szCs w:val="12"/>
              </w:rPr>
            </w:pPr>
            <w:r w:rsidRPr="00CD1278">
              <w:rPr>
                <w:color w:val="auto"/>
                <w:sz w:val="12"/>
                <w:szCs w:val="12"/>
              </w:rPr>
              <w:t>Ginger</w:t>
            </w:r>
          </w:p>
        </w:tc>
        <w:tc>
          <w:tcPr>
            <w:tcW w:w="770" w:type="dxa"/>
            <w:shd w:val="clear" w:color="auto" w:fill="auto"/>
            <w:vAlign w:val="center"/>
          </w:tcPr>
          <w:p w14:paraId="3BDED0CA" w14:textId="77777777" w:rsidR="00D34C6F" w:rsidRPr="00CD1278" w:rsidRDefault="00D34C6F" w:rsidP="008277E3">
            <w:pPr>
              <w:spacing w:after="60"/>
              <w:rPr>
                <w:color w:val="auto"/>
                <w:sz w:val="10"/>
                <w:szCs w:val="10"/>
              </w:rPr>
            </w:pPr>
            <w:r w:rsidRPr="00CD1278">
              <w:rPr>
                <w:color w:val="auto"/>
                <w:sz w:val="10"/>
                <w:szCs w:val="10"/>
              </w:rPr>
              <w:t>9.2</w:t>
            </w:r>
          </w:p>
        </w:tc>
        <w:tc>
          <w:tcPr>
            <w:tcW w:w="647" w:type="dxa"/>
            <w:shd w:val="clear" w:color="auto" w:fill="auto"/>
            <w:vAlign w:val="center"/>
          </w:tcPr>
          <w:p w14:paraId="6DFCA614"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07C3F2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98FBEF8"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6A9DF6F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4918A837"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51FA2630"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0497E1F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1C4BB76"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03588BF1" w14:textId="77777777" w:rsidR="00D34C6F" w:rsidRPr="00CD1278" w:rsidRDefault="00D34C6F" w:rsidP="008277E3">
            <w:pPr>
              <w:spacing w:after="60"/>
              <w:rPr>
                <w:color w:val="auto"/>
                <w:sz w:val="10"/>
                <w:szCs w:val="10"/>
              </w:rPr>
            </w:pPr>
          </w:p>
        </w:tc>
        <w:tc>
          <w:tcPr>
            <w:tcW w:w="567" w:type="dxa"/>
          </w:tcPr>
          <w:p w14:paraId="76FD4981" w14:textId="77777777" w:rsidR="00D34C6F" w:rsidRPr="00CD1278" w:rsidRDefault="00D34C6F" w:rsidP="008277E3">
            <w:pPr>
              <w:spacing w:after="60"/>
              <w:jc w:val="center"/>
              <w:rPr>
                <w:color w:val="auto"/>
                <w:sz w:val="10"/>
                <w:szCs w:val="10"/>
              </w:rPr>
            </w:pPr>
          </w:p>
        </w:tc>
        <w:tc>
          <w:tcPr>
            <w:tcW w:w="567" w:type="dxa"/>
          </w:tcPr>
          <w:p w14:paraId="6DF9D977"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251890F6" w14:textId="77777777" w:rsidR="00D34C6F" w:rsidRPr="00CD1278" w:rsidRDefault="00D34C6F" w:rsidP="008277E3">
            <w:pPr>
              <w:spacing w:after="60"/>
              <w:rPr>
                <w:color w:val="auto"/>
                <w:sz w:val="10"/>
                <w:szCs w:val="10"/>
              </w:rPr>
            </w:pPr>
            <w:r w:rsidRPr="00CD1278">
              <w:rPr>
                <w:color w:val="auto"/>
                <w:sz w:val="10"/>
                <w:szCs w:val="10"/>
              </w:rPr>
              <w:t>9.2</w:t>
            </w:r>
          </w:p>
        </w:tc>
        <w:tc>
          <w:tcPr>
            <w:tcW w:w="709" w:type="dxa"/>
            <w:shd w:val="clear" w:color="auto" w:fill="auto"/>
            <w:vAlign w:val="center"/>
          </w:tcPr>
          <w:p w14:paraId="3A7DE20B" w14:textId="77777777" w:rsidR="00D34C6F" w:rsidRPr="00CD1278" w:rsidRDefault="00D34C6F" w:rsidP="008277E3">
            <w:pPr>
              <w:spacing w:after="60"/>
              <w:rPr>
                <w:color w:val="auto"/>
                <w:sz w:val="10"/>
                <w:szCs w:val="10"/>
              </w:rPr>
            </w:pPr>
            <w:r w:rsidRPr="00CD1278">
              <w:rPr>
                <w:color w:val="auto"/>
                <w:sz w:val="10"/>
                <w:szCs w:val="10"/>
              </w:rPr>
              <w:t>0</w:t>
            </w:r>
          </w:p>
        </w:tc>
        <w:tc>
          <w:tcPr>
            <w:tcW w:w="708" w:type="dxa"/>
            <w:shd w:val="clear" w:color="auto" w:fill="auto"/>
            <w:vAlign w:val="center"/>
          </w:tcPr>
          <w:p w14:paraId="0A558E13"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F382CB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918630F"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379D3CF2"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2637EB8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4A545FAE"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21E77FC9" w14:textId="77777777" w:rsidR="00D34C6F" w:rsidRPr="00CD1278" w:rsidRDefault="00D34C6F" w:rsidP="008277E3">
            <w:pPr>
              <w:spacing w:after="60"/>
              <w:rPr>
                <w:b/>
                <w:color w:val="auto"/>
                <w:sz w:val="10"/>
                <w:szCs w:val="10"/>
              </w:rPr>
            </w:pPr>
          </w:p>
        </w:tc>
        <w:tc>
          <w:tcPr>
            <w:tcW w:w="567" w:type="dxa"/>
          </w:tcPr>
          <w:p w14:paraId="491E193C" w14:textId="77777777" w:rsidR="00D34C6F" w:rsidRPr="00CD1278" w:rsidRDefault="00D34C6F" w:rsidP="008277E3">
            <w:pPr>
              <w:spacing w:after="60"/>
              <w:jc w:val="center"/>
              <w:rPr>
                <w:b/>
                <w:color w:val="auto"/>
                <w:sz w:val="10"/>
                <w:szCs w:val="10"/>
              </w:rPr>
            </w:pPr>
          </w:p>
        </w:tc>
        <w:tc>
          <w:tcPr>
            <w:tcW w:w="567" w:type="dxa"/>
          </w:tcPr>
          <w:p w14:paraId="22BAFD1F" w14:textId="77777777" w:rsidR="00D34C6F" w:rsidRPr="00CD1278" w:rsidRDefault="00D34C6F" w:rsidP="008277E3">
            <w:pPr>
              <w:spacing w:after="60"/>
              <w:jc w:val="center"/>
              <w:rPr>
                <w:b/>
                <w:color w:val="auto"/>
                <w:sz w:val="10"/>
                <w:szCs w:val="10"/>
              </w:rPr>
            </w:pPr>
          </w:p>
        </w:tc>
        <w:tc>
          <w:tcPr>
            <w:tcW w:w="567" w:type="dxa"/>
          </w:tcPr>
          <w:p w14:paraId="7A8D5E6F" w14:textId="77777777" w:rsidR="00D34C6F" w:rsidRPr="00CD1278" w:rsidRDefault="00D34C6F" w:rsidP="008277E3">
            <w:pPr>
              <w:spacing w:after="60"/>
              <w:jc w:val="center"/>
              <w:rPr>
                <w:b/>
                <w:color w:val="auto"/>
                <w:sz w:val="10"/>
                <w:szCs w:val="10"/>
              </w:rPr>
            </w:pPr>
          </w:p>
        </w:tc>
      </w:tr>
      <w:tr w:rsidR="003C102E" w:rsidRPr="00CD1278" w14:paraId="48D1F438" w14:textId="77777777" w:rsidTr="008277E3">
        <w:trPr>
          <w:trHeight w:val="465"/>
          <w:jc w:val="center"/>
        </w:trPr>
        <w:tc>
          <w:tcPr>
            <w:tcW w:w="662" w:type="dxa"/>
            <w:shd w:val="clear" w:color="auto" w:fill="auto"/>
            <w:vAlign w:val="center"/>
          </w:tcPr>
          <w:p w14:paraId="10A11F78"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104109D3" w14:textId="77777777" w:rsidR="00D34C6F" w:rsidRPr="00CD1278" w:rsidRDefault="00D34C6F" w:rsidP="00D1371C">
            <w:pPr>
              <w:spacing w:after="60"/>
              <w:ind w:left="-87"/>
              <w:rPr>
                <w:color w:val="auto"/>
                <w:sz w:val="12"/>
                <w:szCs w:val="12"/>
              </w:rPr>
            </w:pPr>
            <w:r w:rsidRPr="00CD1278">
              <w:rPr>
                <w:color w:val="auto"/>
                <w:sz w:val="12"/>
                <w:szCs w:val="12"/>
              </w:rPr>
              <w:t>Orchard replant</w:t>
            </w:r>
          </w:p>
        </w:tc>
        <w:tc>
          <w:tcPr>
            <w:tcW w:w="770" w:type="dxa"/>
            <w:shd w:val="clear" w:color="auto" w:fill="auto"/>
            <w:vAlign w:val="center"/>
          </w:tcPr>
          <w:p w14:paraId="2A22A537" w14:textId="77777777" w:rsidR="00D34C6F" w:rsidRPr="00CD1278" w:rsidRDefault="00D34C6F" w:rsidP="008277E3">
            <w:pPr>
              <w:spacing w:after="60"/>
              <w:rPr>
                <w:color w:val="auto"/>
                <w:sz w:val="10"/>
                <w:szCs w:val="10"/>
              </w:rPr>
            </w:pPr>
            <w:r w:rsidRPr="00CD1278">
              <w:rPr>
                <w:color w:val="auto"/>
                <w:sz w:val="10"/>
                <w:szCs w:val="10"/>
              </w:rPr>
              <w:t>706.176</w:t>
            </w:r>
          </w:p>
        </w:tc>
        <w:tc>
          <w:tcPr>
            <w:tcW w:w="647" w:type="dxa"/>
            <w:shd w:val="clear" w:color="auto" w:fill="auto"/>
            <w:vAlign w:val="center"/>
          </w:tcPr>
          <w:p w14:paraId="0E29065A" w14:textId="77777777" w:rsidR="00D34C6F" w:rsidRPr="00CD1278" w:rsidRDefault="00D34C6F" w:rsidP="008277E3">
            <w:pPr>
              <w:spacing w:after="60"/>
              <w:rPr>
                <w:color w:val="auto"/>
                <w:sz w:val="10"/>
                <w:szCs w:val="10"/>
              </w:rPr>
            </w:pPr>
            <w:r w:rsidRPr="00CD1278">
              <w:rPr>
                <w:color w:val="auto"/>
                <w:sz w:val="10"/>
                <w:szCs w:val="10"/>
              </w:rPr>
              <w:t>827.994</w:t>
            </w:r>
          </w:p>
        </w:tc>
        <w:tc>
          <w:tcPr>
            <w:tcW w:w="709" w:type="dxa"/>
            <w:shd w:val="clear" w:color="auto" w:fill="auto"/>
            <w:vAlign w:val="center"/>
          </w:tcPr>
          <w:p w14:paraId="56E5563A" w14:textId="77777777" w:rsidR="00D34C6F" w:rsidRPr="00CD1278" w:rsidRDefault="00D34C6F" w:rsidP="008277E3">
            <w:pPr>
              <w:spacing w:after="60"/>
              <w:rPr>
                <w:color w:val="auto"/>
                <w:sz w:val="10"/>
                <w:szCs w:val="10"/>
              </w:rPr>
            </w:pPr>
            <w:r w:rsidRPr="00CD1278">
              <w:rPr>
                <w:color w:val="auto"/>
                <w:sz w:val="10"/>
                <w:szCs w:val="10"/>
              </w:rPr>
              <w:t>405.415</w:t>
            </w:r>
          </w:p>
        </w:tc>
        <w:tc>
          <w:tcPr>
            <w:tcW w:w="567" w:type="dxa"/>
            <w:shd w:val="clear" w:color="auto" w:fill="auto"/>
            <w:vAlign w:val="center"/>
          </w:tcPr>
          <w:p w14:paraId="3729DD5E" w14:textId="77777777" w:rsidR="00D34C6F" w:rsidRPr="00CD1278" w:rsidRDefault="00D34C6F" w:rsidP="008277E3">
            <w:pPr>
              <w:spacing w:after="60"/>
              <w:rPr>
                <w:color w:val="auto"/>
                <w:sz w:val="10"/>
                <w:szCs w:val="10"/>
              </w:rPr>
            </w:pPr>
            <w:r w:rsidRPr="00CD1278">
              <w:rPr>
                <w:color w:val="auto"/>
                <w:sz w:val="10"/>
                <w:szCs w:val="10"/>
              </w:rPr>
              <w:t>405.666</w:t>
            </w:r>
          </w:p>
        </w:tc>
        <w:tc>
          <w:tcPr>
            <w:tcW w:w="709" w:type="dxa"/>
            <w:shd w:val="clear" w:color="auto" w:fill="auto"/>
            <w:vAlign w:val="center"/>
          </w:tcPr>
          <w:p w14:paraId="5C1E2102" w14:textId="77777777" w:rsidR="00D34C6F" w:rsidRPr="00CD1278" w:rsidRDefault="00D34C6F" w:rsidP="008277E3">
            <w:pPr>
              <w:spacing w:after="60"/>
              <w:rPr>
                <w:color w:val="auto"/>
                <w:sz w:val="10"/>
                <w:szCs w:val="10"/>
              </w:rPr>
            </w:pPr>
            <w:r w:rsidRPr="00CD1278">
              <w:rPr>
                <w:color w:val="auto"/>
                <w:sz w:val="10"/>
                <w:szCs w:val="10"/>
              </w:rPr>
              <w:t>314.007</w:t>
            </w:r>
          </w:p>
        </w:tc>
        <w:tc>
          <w:tcPr>
            <w:tcW w:w="567" w:type="dxa"/>
            <w:shd w:val="clear" w:color="auto" w:fill="auto"/>
            <w:vAlign w:val="center"/>
          </w:tcPr>
          <w:p w14:paraId="0AE53CF8" w14:textId="77777777" w:rsidR="00D34C6F" w:rsidRPr="00CD1278" w:rsidRDefault="00D34C6F" w:rsidP="008277E3">
            <w:pPr>
              <w:spacing w:after="60"/>
              <w:rPr>
                <w:color w:val="auto"/>
                <w:sz w:val="10"/>
                <w:szCs w:val="10"/>
              </w:rPr>
            </w:pPr>
            <w:r w:rsidRPr="00CD1278">
              <w:rPr>
                <w:color w:val="auto"/>
                <w:sz w:val="10"/>
                <w:szCs w:val="10"/>
              </w:rPr>
              <w:t>226.021</w:t>
            </w:r>
          </w:p>
        </w:tc>
        <w:tc>
          <w:tcPr>
            <w:tcW w:w="708" w:type="dxa"/>
            <w:shd w:val="clear" w:color="auto" w:fill="auto"/>
            <w:vAlign w:val="center"/>
          </w:tcPr>
          <w:p w14:paraId="1760B782" w14:textId="77777777" w:rsidR="00D34C6F" w:rsidRPr="00CD1278" w:rsidRDefault="00D34C6F" w:rsidP="008277E3">
            <w:pPr>
              <w:spacing w:after="60"/>
              <w:rPr>
                <w:color w:val="auto"/>
                <w:sz w:val="10"/>
                <w:szCs w:val="10"/>
              </w:rPr>
            </w:pPr>
            <w:r w:rsidRPr="00CD1278">
              <w:rPr>
                <w:color w:val="auto"/>
                <w:sz w:val="10"/>
                <w:szCs w:val="10"/>
              </w:rPr>
              <w:t>203.591</w:t>
            </w:r>
          </w:p>
        </w:tc>
        <w:tc>
          <w:tcPr>
            <w:tcW w:w="567" w:type="dxa"/>
            <w:shd w:val="clear" w:color="auto" w:fill="auto"/>
            <w:vAlign w:val="center"/>
          </w:tcPr>
          <w:p w14:paraId="746CBFA7" w14:textId="77777777" w:rsidR="00D34C6F" w:rsidRPr="00CD1278" w:rsidRDefault="00D34C6F" w:rsidP="008277E3">
            <w:pPr>
              <w:spacing w:after="60"/>
              <w:rPr>
                <w:color w:val="auto"/>
                <w:sz w:val="10"/>
                <w:szCs w:val="10"/>
              </w:rPr>
            </w:pPr>
            <w:r w:rsidRPr="00CD1278">
              <w:rPr>
                <w:color w:val="auto"/>
                <w:sz w:val="10"/>
                <w:szCs w:val="10"/>
              </w:rPr>
              <w:t> 18.324</w:t>
            </w:r>
          </w:p>
        </w:tc>
        <w:tc>
          <w:tcPr>
            <w:tcW w:w="567" w:type="dxa"/>
            <w:shd w:val="clear" w:color="auto" w:fill="auto"/>
            <w:vAlign w:val="center"/>
          </w:tcPr>
          <w:p w14:paraId="0B016A2C" w14:textId="77777777" w:rsidR="00D34C6F" w:rsidRPr="00CD1278" w:rsidRDefault="00D34C6F" w:rsidP="008277E3">
            <w:pPr>
              <w:spacing w:after="60"/>
              <w:rPr>
                <w:color w:val="auto"/>
                <w:sz w:val="10"/>
                <w:szCs w:val="10"/>
              </w:rPr>
            </w:pPr>
            <w:r w:rsidRPr="00CD1278">
              <w:rPr>
                <w:color w:val="auto"/>
                <w:sz w:val="10"/>
                <w:szCs w:val="10"/>
              </w:rPr>
              <w:t>6.230</w:t>
            </w:r>
          </w:p>
        </w:tc>
        <w:tc>
          <w:tcPr>
            <w:tcW w:w="629" w:type="dxa"/>
          </w:tcPr>
          <w:p w14:paraId="5052E13E" w14:textId="77777777" w:rsidR="00D34C6F" w:rsidRPr="00CD1278" w:rsidRDefault="00D34C6F" w:rsidP="008277E3">
            <w:pPr>
              <w:spacing w:after="60"/>
              <w:rPr>
                <w:color w:val="auto"/>
                <w:sz w:val="10"/>
                <w:szCs w:val="10"/>
              </w:rPr>
            </w:pPr>
          </w:p>
        </w:tc>
        <w:tc>
          <w:tcPr>
            <w:tcW w:w="567" w:type="dxa"/>
          </w:tcPr>
          <w:p w14:paraId="1697D766" w14:textId="77777777" w:rsidR="00D34C6F" w:rsidRPr="00CD1278" w:rsidRDefault="00D34C6F" w:rsidP="008277E3">
            <w:pPr>
              <w:spacing w:after="60"/>
              <w:jc w:val="center"/>
              <w:rPr>
                <w:color w:val="auto"/>
                <w:sz w:val="10"/>
                <w:szCs w:val="10"/>
              </w:rPr>
            </w:pPr>
          </w:p>
        </w:tc>
        <w:tc>
          <w:tcPr>
            <w:tcW w:w="567" w:type="dxa"/>
          </w:tcPr>
          <w:p w14:paraId="5A2F2FA8"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5F44246F" w14:textId="77777777" w:rsidR="00D34C6F" w:rsidRPr="00CD1278" w:rsidRDefault="00D34C6F" w:rsidP="008277E3">
            <w:pPr>
              <w:spacing w:after="60"/>
              <w:rPr>
                <w:color w:val="auto"/>
                <w:sz w:val="10"/>
                <w:szCs w:val="10"/>
              </w:rPr>
            </w:pPr>
            <w:r w:rsidRPr="00CD1278">
              <w:rPr>
                <w:color w:val="auto"/>
                <w:sz w:val="10"/>
                <w:szCs w:val="10"/>
              </w:rPr>
              <w:t>706.176</w:t>
            </w:r>
          </w:p>
        </w:tc>
        <w:tc>
          <w:tcPr>
            <w:tcW w:w="709" w:type="dxa"/>
            <w:shd w:val="clear" w:color="auto" w:fill="auto"/>
            <w:vAlign w:val="center"/>
          </w:tcPr>
          <w:p w14:paraId="54369F73" w14:textId="77777777" w:rsidR="00D34C6F" w:rsidRPr="00CD1278" w:rsidRDefault="00D34C6F" w:rsidP="008277E3">
            <w:pPr>
              <w:spacing w:after="60"/>
              <w:rPr>
                <w:color w:val="auto"/>
                <w:sz w:val="10"/>
                <w:szCs w:val="10"/>
              </w:rPr>
            </w:pPr>
            <w:r w:rsidRPr="00CD1278">
              <w:rPr>
                <w:color w:val="auto"/>
                <w:sz w:val="10"/>
                <w:szCs w:val="10"/>
              </w:rPr>
              <w:t>527.600</w:t>
            </w:r>
          </w:p>
        </w:tc>
        <w:tc>
          <w:tcPr>
            <w:tcW w:w="708" w:type="dxa"/>
            <w:shd w:val="clear" w:color="auto" w:fill="auto"/>
            <w:vAlign w:val="center"/>
          </w:tcPr>
          <w:p w14:paraId="4E8FD28C" w14:textId="77777777" w:rsidR="00D34C6F" w:rsidRPr="00CD1278" w:rsidRDefault="00D34C6F" w:rsidP="008277E3">
            <w:pPr>
              <w:spacing w:after="60"/>
              <w:rPr>
                <w:color w:val="auto"/>
                <w:sz w:val="10"/>
                <w:szCs w:val="10"/>
              </w:rPr>
            </w:pPr>
            <w:r w:rsidRPr="00CD1278">
              <w:rPr>
                <w:color w:val="auto"/>
                <w:sz w:val="10"/>
                <w:szCs w:val="10"/>
              </w:rPr>
              <w:t> 405.400</w:t>
            </w:r>
          </w:p>
        </w:tc>
        <w:tc>
          <w:tcPr>
            <w:tcW w:w="709" w:type="dxa"/>
            <w:shd w:val="clear" w:color="auto" w:fill="auto"/>
            <w:vAlign w:val="center"/>
          </w:tcPr>
          <w:p w14:paraId="7E8D218B" w14:textId="77777777" w:rsidR="00D34C6F" w:rsidRPr="00CD1278" w:rsidRDefault="00D34C6F" w:rsidP="008277E3">
            <w:pPr>
              <w:spacing w:after="60"/>
              <w:rPr>
                <w:color w:val="auto"/>
                <w:sz w:val="10"/>
                <w:szCs w:val="10"/>
              </w:rPr>
            </w:pPr>
            <w:r w:rsidRPr="00CD1278">
              <w:rPr>
                <w:color w:val="auto"/>
                <w:sz w:val="10"/>
                <w:szCs w:val="10"/>
              </w:rPr>
              <w:t>393.720</w:t>
            </w:r>
          </w:p>
        </w:tc>
        <w:tc>
          <w:tcPr>
            <w:tcW w:w="567" w:type="dxa"/>
            <w:shd w:val="clear" w:color="auto" w:fill="auto"/>
            <w:vAlign w:val="center"/>
          </w:tcPr>
          <w:p w14:paraId="074CC5CA" w14:textId="77777777" w:rsidR="00D34C6F" w:rsidRPr="00CD1278" w:rsidRDefault="00D34C6F" w:rsidP="008277E3">
            <w:pPr>
              <w:spacing w:after="60"/>
              <w:rPr>
                <w:color w:val="auto"/>
                <w:sz w:val="10"/>
                <w:szCs w:val="10"/>
              </w:rPr>
            </w:pPr>
            <w:r w:rsidRPr="00CD1278">
              <w:rPr>
                <w:color w:val="auto"/>
                <w:sz w:val="10"/>
                <w:szCs w:val="10"/>
              </w:rPr>
              <w:t>292.756</w:t>
            </w:r>
          </w:p>
        </w:tc>
        <w:tc>
          <w:tcPr>
            <w:tcW w:w="647" w:type="dxa"/>
            <w:shd w:val="clear" w:color="auto" w:fill="auto"/>
            <w:vAlign w:val="center"/>
          </w:tcPr>
          <w:p w14:paraId="274C8644" w14:textId="77777777" w:rsidR="00D34C6F" w:rsidRPr="00CD1278" w:rsidRDefault="00D34C6F" w:rsidP="008277E3">
            <w:pPr>
              <w:spacing w:after="60"/>
              <w:rPr>
                <w:color w:val="auto"/>
                <w:sz w:val="10"/>
                <w:szCs w:val="10"/>
              </w:rPr>
            </w:pPr>
            <w:r w:rsidRPr="00CD1278">
              <w:rPr>
                <w:color w:val="auto"/>
                <w:sz w:val="10"/>
                <w:szCs w:val="10"/>
              </w:rPr>
              <w:t>215.800</w:t>
            </w:r>
          </w:p>
        </w:tc>
        <w:tc>
          <w:tcPr>
            <w:tcW w:w="567" w:type="dxa"/>
            <w:shd w:val="clear" w:color="auto" w:fill="auto"/>
            <w:vAlign w:val="center"/>
          </w:tcPr>
          <w:p w14:paraId="3DC794CD" w14:textId="77777777" w:rsidR="00D34C6F" w:rsidRPr="00CD1278" w:rsidRDefault="00D34C6F" w:rsidP="008277E3">
            <w:pPr>
              <w:spacing w:after="60"/>
              <w:rPr>
                <w:color w:val="auto"/>
                <w:sz w:val="10"/>
                <w:szCs w:val="10"/>
              </w:rPr>
            </w:pPr>
            <w:r w:rsidRPr="00CD1278">
              <w:rPr>
                <w:color w:val="auto"/>
                <w:sz w:val="10"/>
                <w:szCs w:val="10"/>
              </w:rPr>
              <w:t>183.232</w:t>
            </w:r>
          </w:p>
        </w:tc>
        <w:tc>
          <w:tcPr>
            <w:tcW w:w="567" w:type="dxa"/>
            <w:shd w:val="clear" w:color="auto" w:fill="auto"/>
            <w:noWrap/>
            <w:vAlign w:val="center"/>
          </w:tcPr>
          <w:p w14:paraId="2CA45BDC" w14:textId="77777777" w:rsidR="00D34C6F" w:rsidRPr="00CD1278" w:rsidRDefault="00D34C6F" w:rsidP="008277E3">
            <w:pPr>
              <w:spacing w:after="60"/>
              <w:rPr>
                <w:color w:val="auto"/>
                <w:sz w:val="10"/>
                <w:szCs w:val="10"/>
              </w:rPr>
            </w:pPr>
            <w:r w:rsidRPr="00CD1278">
              <w:rPr>
                <w:color w:val="auto"/>
                <w:sz w:val="10"/>
                <w:szCs w:val="10"/>
              </w:rPr>
              <w:t> 18.324</w:t>
            </w:r>
          </w:p>
        </w:tc>
        <w:tc>
          <w:tcPr>
            <w:tcW w:w="567" w:type="dxa"/>
          </w:tcPr>
          <w:p w14:paraId="3864C32A" w14:textId="77777777" w:rsidR="00D34C6F" w:rsidRPr="00CD1278" w:rsidRDefault="00D34C6F" w:rsidP="008277E3">
            <w:pPr>
              <w:spacing w:after="60"/>
              <w:rPr>
                <w:b/>
                <w:color w:val="auto"/>
                <w:sz w:val="10"/>
                <w:szCs w:val="10"/>
              </w:rPr>
            </w:pPr>
          </w:p>
        </w:tc>
        <w:tc>
          <w:tcPr>
            <w:tcW w:w="567" w:type="dxa"/>
          </w:tcPr>
          <w:p w14:paraId="0C9FFD99" w14:textId="77777777" w:rsidR="00D34C6F" w:rsidRPr="00CD1278" w:rsidRDefault="00D34C6F" w:rsidP="008277E3">
            <w:pPr>
              <w:spacing w:after="60"/>
              <w:jc w:val="center"/>
              <w:rPr>
                <w:b/>
                <w:color w:val="auto"/>
                <w:sz w:val="10"/>
                <w:szCs w:val="10"/>
              </w:rPr>
            </w:pPr>
          </w:p>
        </w:tc>
        <w:tc>
          <w:tcPr>
            <w:tcW w:w="567" w:type="dxa"/>
          </w:tcPr>
          <w:p w14:paraId="70D09A2A" w14:textId="77777777" w:rsidR="00D34C6F" w:rsidRPr="00CD1278" w:rsidRDefault="00D34C6F" w:rsidP="008277E3">
            <w:pPr>
              <w:spacing w:after="60"/>
              <w:jc w:val="center"/>
              <w:rPr>
                <w:b/>
                <w:color w:val="auto"/>
                <w:sz w:val="10"/>
                <w:szCs w:val="10"/>
              </w:rPr>
            </w:pPr>
          </w:p>
        </w:tc>
        <w:tc>
          <w:tcPr>
            <w:tcW w:w="567" w:type="dxa"/>
          </w:tcPr>
          <w:p w14:paraId="0DB73752" w14:textId="77777777" w:rsidR="00D34C6F" w:rsidRPr="00CD1278" w:rsidRDefault="00D34C6F" w:rsidP="008277E3">
            <w:pPr>
              <w:spacing w:after="60"/>
              <w:jc w:val="center"/>
              <w:rPr>
                <w:b/>
                <w:color w:val="auto"/>
                <w:sz w:val="10"/>
                <w:szCs w:val="10"/>
              </w:rPr>
            </w:pPr>
          </w:p>
        </w:tc>
      </w:tr>
      <w:tr w:rsidR="003C102E" w:rsidRPr="00CD1278" w14:paraId="5DEA60A4" w14:textId="77777777" w:rsidTr="008277E3">
        <w:trPr>
          <w:trHeight w:val="465"/>
          <w:jc w:val="center"/>
        </w:trPr>
        <w:tc>
          <w:tcPr>
            <w:tcW w:w="662" w:type="dxa"/>
            <w:shd w:val="clear" w:color="auto" w:fill="auto"/>
            <w:vAlign w:val="center"/>
          </w:tcPr>
          <w:p w14:paraId="3992E15C"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52DC582B" w14:textId="77777777" w:rsidR="00D34C6F" w:rsidRPr="00CD1278" w:rsidRDefault="00D34C6F" w:rsidP="00D1371C">
            <w:pPr>
              <w:spacing w:after="60"/>
              <w:ind w:left="-87"/>
              <w:rPr>
                <w:color w:val="auto"/>
                <w:sz w:val="12"/>
                <w:szCs w:val="12"/>
              </w:rPr>
            </w:pPr>
            <w:r w:rsidRPr="00CD1278">
              <w:rPr>
                <w:color w:val="auto"/>
                <w:sz w:val="12"/>
                <w:szCs w:val="12"/>
              </w:rPr>
              <w:t>Ornamentals</w:t>
            </w:r>
          </w:p>
        </w:tc>
        <w:tc>
          <w:tcPr>
            <w:tcW w:w="770" w:type="dxa"/>
            <w:shd w:val="clear" w:color="auto" w:fill="auto"/>
            <w:vAlign w:val="center"/>
          </w:tcPr>
          <w:p w14:paraId="6A2F49FA" w14:textId="77777777" w:rsidR="00D34C6F" w:rsidRPr="00CD1278" w:rsidRDefault="00D34C6F" w:rsidP="008277E3">
            <w:pPr>
              <w:spacing w:after="60"/>
              <w:rPr>
                <w:color w:val="auto"/>
                <w:sz w:val="10"/>
                <w:szCs w:val="10"/>
              </w:rPr>
            </w:pPr>
            <w:r w:rsidRPr="00CD1278">
              <w:rPr>
                <w:color w:val="auto"/>
                <w:sz w:val="10"/>
                <w:szCs w:val="10"/>
              </w:rPr>
              <w:t>210.949</w:t>
            </w:r>
          </w:p>
        </w:tc>
        <w:tc>
          <w:tcPr>
            <w:tcW w:w="647" w:type="dxa"/>
            <w:shd w:val="clear" w:color="auto" w:fill="auto"/>
            <w:vAlign w:val="center"/>
          </w:tcPr>
          <w:p w14:paraId="3335EC4A" w14:textId="77777777" w:rsidR="00D34C6F" w:rsidRPr="00CD1278" w:rsidRDefault="00D34C6F" w:rsidP="008277E3">
            <w:pPr>
              <w:spacing w:after="60"/>
              <w:rPr>
                <w:color w:val="auto"/>
                <w:sz w:val="10"/>
                <w:szCs w:val="10"/>
              </w:rPr>
            </w:pPr>
            <w:r w:rsidRPr="00CD1278">
              <w:rPr>
                <w:color w:val="auto"/>
                <w:sz w:val="10"/>
                <w:szCs w:val="10"/>
              </w:rPr>
              <w:t>162.817</w:t>
            </w:r>
          </w:p>
        </w:tc>
        <w:tc>
          <w:tcPr>
            <w:tcW w:w="709" w:type="dxa"/>
            <w:shd w:val="clear" w:color="auto" w:fill="auto"/>
            <w:vAlign w:val="center"/>
          </w:tcPr>
          <w:p w14:paraId="36B69F03" w14:textId="77777777" w:rsidR="00D34C6F" w:rsidRPr="00CD1278" w:rsidRDefault="00D34C6F" w:rsidP="008277E3">
            <w:pPr>
              <w:spacing w:after="60"/>
              <w:rPr>
                <w:color w:val="auto"/>
                <w:sz w:val="10"/>
                <w:szCs w:val="10"/>
              </w:rPr>
            </w:pPr>
            <w:r w:rsidRPr="00CD1278">
              <w:rPr>
                <w:color w:val="auto"/>
                <w:sz w:val="10"/>
                <w:szCs w:val="10"/>
              </w:rPr>
              <w:t>149.965</w:t>
            </w:r>
          </w:p>
        </w:tc>
        <w:tc>
          <w:tcPr>
            <w:tcW w:w="567" w:type="dxa"/>
            <w:shd w:val="clear" w:color="auto" w:fill="auto"/>
            <w:vAlign w:val="center"/>
          </w:tcPr>
          <w:p w14:paraId="16FEFE8C" w14:textId="77777777" w:rsidR="00D34C6F" w:rsidRPr="00CD1278" w:rsidRDefault="00D34C6F" w:rsidP="008277E3">
            <w:pPr>
              <w:spacing w:after="60"/>
              <w:rPr>
                <w:color w:val="auto"/>
                <w:sz w:val="10"/>
                <w:szCs w:val="10"/>
              </w:rPr>
            </w:pPr>
            <w:r w:rsidRPr="00CD1278">
              <w:rPr>
                <w:color w:val="auto"/>
                <w:sz w:val="10"/>
                <w:szCs w:val="10"/>
              </w:rPr>
              <w:t>138.538</w:t>
            </w:r>
          </w:p>
        </w:tc>
        <w:tc>
          <w:tcPr>
            <w:tcW w:w="709" w:type="dxa"/>
            <w:shd w:val="clear" w:color="auto" w:fill="auto"/>
            <w:vAlign w:val="center"/>
          </w:tcPr>
          <w:p w14:paraId="4F780D23" w14:textId="77777777" w:rsidR="00D34C6F" w:rsidRPr="00CD1278" w:rsidRDefault="00D34C6F" w:rsidP="008277E3">
            <w:pPr>
              <w:spacing w:after="60"/>
              <w:rPr>
                <w:color w:val="auto"/>
                <w:sz w:val="10"/>
                <w:szCs w:val="10"/>
              </w:rPr>
            </w:pPr>
            <w:r w:rsidRPr="00CD1278">
              <w:rPr>
                <w:color w:val="auto"/>
                <w:sz w:val="10"/>
                <w:szCs w:val="10"/>
              </w:rPr>
              <w:t>137.776</w:t>
            </w:r>
          </w:p>
        </w:tc>
        <w:tc>
          <w:tcPr>
            <w:tcW w:w="567" w:type="dxa"/>
            <w:shd w:val="clear" w:color="auto" w:fill="auto"/>
            <w:vAlign w:val="center"/>
          </w:tcPr>
          <w:p w14:paraId="4B9CCE1B" w14:textId="77777777" w:rsidR="00D34C6F" w:rsidRPr="00CD1278" w:rsidRDefault="00D34C6F" w:rsidP="008277E3">
            <w:pPr>
              <w:spacing w:after="60"/>
              <w:rPr>
                <w:color w:val="auto"/>
                <w:sz w:val="10"/>
                <w:szCs w:val="10"/>
              </w:rPr>
            </w:pPr>
            <w:r w:rsidRPr="00CD1278">
              <w:rPr>
                <w:color w:val="auto"/>
                <w:sz w:val="10"/>
                <w:szCs w:val="10"/>
              </w:rPr>
              <w:t>95.204</w:t>
            </w:r>
          </w:p>
        </w:tc>
        <w:tc>
          <w:tcPr>
            <w:tcW w:w="708" w:type="dxa"/>
            <w:shd w:val="clear" w:color="auto" w:fill="auto"/>
            <w:vAlign w:val="center"/>
          </w:tcPr>
          <w:p w14:paraId="599BCC35" w14:textId="77777777" w:rsidR="00D34C6F" w:rsidRPr="00CD1278" w:rsidRDefault="00D34C6F" w:rsidP="008277E3">
            <w:pPr>
              <w:spacing w:after="60"/>
              <w:rPr>
                <w:color w:val="auto"/>
                <w:sz w:val="10"/>
                <w:szCs w:val="10"/>
              </w:rPr>
            </w:pPr>
            <w:r w:rsidRPr="00CD1278">
              <w:rPr>
                <w:color w:val="auto"/>
                <w:sz w:val="10"/>
                <w:szCs w:val="10"/>
              </w:rPr>
              <w:t>70.178</w:t>
            </w:r>
          </w:p>
        </w:tc>
        <w:tc>
          <w:tcPr>
            <w:tcW w:w="567" w:type="dxa"/>
            <w:shd w:val="clear" w:color="auto" w:fill="auto"/>
            <w:vAlign w:val="center"/>
          </w:tcPr>
          <w:p w14:paraId="48F5E465" w14:textId="77777777" w:rsidR="00D34C6F" w:rsidRPr="00CD1278" w:rsidRDefault="00D34C6F" w:rsidP="008277E3">
            <w:pPr>
              <w:spacing w:after="60"/>
              <w:rPr>
                <w:color w:val="auto"/>
                <w:sz w:val="10"/>
                <w:szCs w:val="10"/>
              </w:rPr>
            </w:pPr>
            <w:r w:rsidRPr="00CD1278">
              <w:rPr>
                <w:color w:val="auto"/>
                <w:sz w:val="10"/>
                <w:szCs w:val="10"/>
              </w:rPr>
              <w:t> 48.164</w:t>
            </w:r>
          </w:p>
        </w:tc>
        <w:tc>
          <w:tcPr>
            <w:tcW w:w="567" w:type="dxa"/>
            <w:shd w:val="clear" w:color="auto" w:fill="auto"/>
            <w:vAlign w:val="center"/>
          </w:tcPr>
          <w:p w14:paraId="1C47DA0C" w14:textId="77777777" w:rsidR="00D34C6F" w:rsidRPr="00CD1278" w:rsidRDefault="00D34C6F" w:rsidP="008277E3">
            <w:pPr>
              <w:spacing w:after="60"/>
              <w:rPr>
                <w:color w:val="auto"/>
                <w:sz w:val="10"/>
                <w:szCs w:val="10"/>
              </w:rPr>
            </w:pPr>
            <w:r w:rsidRPr="00CD1278">
              <w:rPr>
                <w:color w:val="auto"/>
                <w:sz w:val="10"/>
                <w:szCs w:val="10"/>
              </w:rPr>
              <w:t>48.164</w:t>
            </w:r>
          </w:p>
        </w:tc>
        <w:tc>
          <w:tcPr>
            <w:tcW w:w="629" w:type="dxa"/>
          </w:tcPr>
          <w:p w14:paraId="0B84D2A8" w14:textId="77777777" w:rsidR="00D34C6F" w:rsidRPr="00CD1278" w:rsidRDefault="00D34C6F" w:rsidP="008277E3">
            <w:pPr>
              <w:spacing w:after="60"/>
              <w:rPr>
                <w:color w:val="auto"/>
                <w:sz w:val="10"/>
                <w:szCs w:val="10"/>
              </w:rPr>
            </w:pPr>
          </w:p>
        </w:tc>
        <w:tc>
          <w:tcPr>
            <w:tcW w:w="567" w:type="dxa"/>
          </w:tcPr>
          <w:p w14:paraId="019237C6" w14:textId="77777777" w:rsidR="00D34C6F" w:rsidRPr="00CD1278" w:rsidRDefault="00D34C6F" w:rsidP="008277E3">
            <w:pPr>
              <w:spacing w:after="60"/>
              <w:jc w:val="center"/>
              <w:rPr>
                <w:color w:val="auto"/>
                <w:sz w:val="10"/>
                <w:szCs w:val="10"/>
              </w:rPr>
            </w:pPr>
          </w:p>
        </w:tc>
        <w:tc>
          <w:tcPr>
            <w:tcW w:w="567" w:type="dxa"/>
          </w:tcPr>
          <w:p w14:paraId="61725802"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7AA71D97" w14:textId="77777777" w:rsidR="00D34C6F" w:rsidRPr="00CD1278" w:rsidRDefault="00D34C6F" w:rsidP="008277E3">
            <w:pPr>
              <w:spacing w:after="60"/>
              <w:rPr>
                <w:color w:val="auto"/>
                <w:sz w:val="10"/>
                <w:szCs w:val="10"/>
              </w:rPr>
            </w:pPr>
            <w:r w:rsidRPr="00CD1278">
              <w:rPr>
                <w:color w:val="auto"/>
                <w:sz w:val="10"/>
                <w:szCs w:val="10"/>
              </w:rPr>
              <w:t>154.000</w:t>
            </w:r>
          </w:p>
        </w:tc>
        <w:tc>
          <w:tcPr>
            <w:tcW w:w="709" w:type="dxa"/>
            <w:shd w:val="clear" w:color="auto" w:fill="auto"/>
            <w:vAlign w:val="center"/>
          </w:tcPr>
          <w:p w14:paraId="78271F7D" w14:textId="77777777" w:rsidR="00D34C6F" w:rsidRPr="00CD1278" w:rsidRDefault="00D34C6F" w:rsidP="008277E3">
            <w:pPr>
              <w:spacing w:after="60"/>
              <w:rPr>
                <w:color w:val="auto"/>
                <w:sz w:val="10"/>
                <w:szCs w:val="10"/>
              </w:rPr>
            </w:pPr>
            <w:r w:rsidRPr="00CD1278">
              <w:rPr>
                <w:color w:val="auto"/>
                <w:sz w:val="10"/>
                <w:szCs w:val="10"/>
              </w:rPr>
              <w:t>148.483</w:t>
            </w:r>
          </w:p>
        </w:tc>
        <w:tc>
          <w:tcPr>
            <w:tcW w:w="708" w:type="dxa"/>
            <w:shd w:val="clear" w:color="auto" w:fill="auto"/>
            <w:vAlign w:val="center"/>
          </w:tcPr>
          <w:p w14:paraId="0FF00582" w14:textId="77777777" w:rsidR="00D34C6F" w:rsidRPr="00CD1278" w:rsidRDefault="00D34C6F" w:rsidP="008277E3">
            <w:pPr>
              <w:spacing w:after="60"/>
              <w:rPr>
                <w:color w:val="auto"/>
                <w:sz w:val="10"/>
                <w:szCs w:val="10"/>
              </w:rPr>
            </w:pPr>
            <w:r w:rsidRPr="00CD1278">
              <w:rPr>
                <w:color w:val="auto"/>
                <w:sz w:val="10"/>
                <w:szCs w:val="10"/>
              </w:rPr>
              <w:t> 137.835</w:t>
            </w:r>
          </w:p>
        </w:tc>
        <w:tc>
          <w:tcPr>
            <w:tcW w:w="709" w:type="dxa"/>
            <w:shd w:val="clear" w:color="auto" w:fill="auto"/>
            <w:vAlign w:val="center"/>
          </w:tcPr>
          <w:p w14:paraId="061012E3" w14:textId="77777777" w:rsidR="00D34C6F" w:rsidRPr="00CD1278" w:rsidRDefault="00D34C6F" w:rsidP="008277E3">
            <w:pPr>
              <w:spacing w:after="60"/>
              <w:rPr>
                <w:color w:val="auto"/>
                <w:sz w:val="10"/>
                <w:szCs w:val="10"/>
              </w:rPr>
            </w:pPr>
            <w:r w:rsidRPr="00CD1278">
              <w:rPr>
                <w:color w:val="auto"/>
                <w:sz w:val="10"/>
                <w:szCs w:val="10"/>
              </w:rPr>
              <w:t>138.538</w:t>
            </w:r>
          </w:p>
        </w:tc>
        <w:tc>
          <w:tcPr>
            <w:tcW w:w="567" w:type="dxa"/>
            <w:shd w:val="clear" w:color="auto" w:fill="auto"/>
            <w:vAlign w:val="center"/>
          </w:tcPr>
          <w:p w14:paraId="31B14CF5" w14:textId="77777777" w:rsidR="00D34C6F" w:rsidRPr="00CD1278" w:rsidRDefault="00D34C6F" w:rsidP="008277E3">
            <w:pPr>
              <w:spacing w:after="60"/>
              <w:rPr>
                <w:color w:val="auto"/>
                <w:sz w:val="10"/>
                <w:szCs w:val="10"/>
              </w:rPr>
            </w:pPr>
            <w:r w:rsidRPr="00CD1278">
              <w:rPr>
                <w:color w:val="auto"/>
                <w:sz w:val="10"/>
                <w:szCs w:val="10"/>
              </w:rPr>
              <w:t>107.136</w:t>
            </w:r>
          </w:p>
        </w:tc>
        <w:tc>
          <w:tcPr>
            <w:tcW w:w="647" w:type="dxa"/>
            <w:shd w:val="clear" w:color="auto" w:fill="auto"/>
            <w:vAlign w:val="center"/>
          </w:tcPr>
          <w:p w14:paraId="79E21935" w14:textId="77777777" w:rsidR="00D34C6F" w:rsidRPr="00CD1278" w:rsidRDefault="00D34C6F" w:rsidP="008277E3">
            <w:pPr>
              <w:spacing w:after="60"/>
              <w:rPr>
                <w:color w:val="auto"/>
                <w:sz w:val="10"/>
                <w:szCs w:val="10"/>
              </w:rPr>
            </w:pPr>
            <w:r w:rsidRPr="00CD1278">
              <w:rPr>
                <w:color w:val="auto"/>
                <w:sz w:val="10"/>
                <w:szCs w:val="10"/>
              </w:rPr>
              <w:t>84.617</w:t>
            </w:r>
          </w:p>
        </w:tc>
        <w:tc>
          <w:tcPr>
            <w:tcW w:w="567" w:type="dxa"/>
            <w:shd w:val="clear" w:color="auto" w:fill="auto"/>
            <w:vAlign w:val="center"/>
          </w:tcPr>
          <w:p w14:paraId="71EE0E05" w14:textId="77777777" w:rsidR="00D34C6F" w:rsidRPr="00CD1278" w:rsidRDefault="00D34C6F" w:rsidP="008277E3">
            <w:pPr>
              <w:spacing w:after="60"/>
              <w:rPr>
                <w:color w:val="auto"/>
                <w:sz w:val="10"/>
                <w:szCs w:val="10"/>
              </w:rPr>
            </w:pPr>
            <w:r w:rsidRPr="00CD1278">
              <w:rPr>
                <w:color w:val="auto"/>
                <w:sz w:val="10"/>
                <w:szCs w:val="10"/>
              </w:rPr>
              <w:t>64.307</w:t>
            </w:r>
          </w:p>
        </w:tc>
        <w:tc>
          <w:tcPr>
            <w:tcW w:w="567" w:type="dxa"/>
            <w:shd w:val="clear" w:color="auto" w:fill="auto"/>
            <w:noWrap/>
            <w:vAlign w:val="center"/>
          </w:tcPr>
          <w:p w14:paraId="549CDB1D" w14:textId="77777777" w:rsidR="00D34C6F" w:rsidRPr="00CD1278" w:rsidRDefault="00D34C6F" w:rsidP="008277E3">
            <w:pPr>
              <w:spacing w:after="60"/>
              <w:rPr>
                <w:color w:val="auto"/>
                <w:sz w:val="10"/>
                <w:szCs w:val="10"/>
              </w:rPr>
            </w:pPr>
            <w:r w:rsidRPr="00CD1278">
              <w:rPr>
                <w:color w:val="auto"/>
                <w:sz w:val="10"/>
                <w:szCs w:val="10"/>
              </w:rPr>
              <w:t> 48.164</w:t>
            </w:r>
          </w:p>
        </w:tc>
        <w:tc>
          <w:tcPr>
            <w:tcW w:w="567" w:type="dxa"/>
          </w:tcPr>
          <w:p w14:paraId="208EC6C5" w14:textId="77777777" w:rsidR="00D34C6F" w:rsidRPr="00CD1278" w:rsidRDefault="00D34C6F" w:rsidP="008277E3">
            <w:pPr>
              <w:spacing w:after="60"/>
              <w:rPr>
                <w:b/>
                <w:color w:val="auto"/>
                <w:sz w:val="10"/>
                <w:szCs w:val="10"/>
              </w:rPr>
            </w:pPr>
          </w:p>
        </w:tc>
        <w:tc>
          <w:tcPr>
            <w:tcW w:w="567" w:type="dxa"/>
          </w:tcPr>
          <w:p w14:paraId="206C483D" w14:textId="77777777" w:rsidR="00D34C6F" w:rsidRPr="00CD1278" w:rsidRDefault="00D34C6F" w:rsidP="008277E3">
            <w:pPr>
              <w:spacing w:after="60"/>
              <w:jc w:val="center"/>
              <w:rPr>
                <w:b/>
                <w:color w:val="auto"/>
                <w:sz w:val="10"/>
                <w:szCs w:val="10"/>
              </w:rPr>
            </w:pPr>
          </w:p>
        </w:tc>
        <w:tc>
          <w:tcPr>
            <w:tcW w:w="567" w:type="dxa"/>
          </w:tcPr>
          <w:p w14:paraId="751C0960" w14:textId="77777777" w:rsidR="00D34C6F" w:rsidRPr="00CD1278" w:rsidRDefault="00D34C6F" w:rsidP="008277E3">
            <w:pPr>
              <w:spacing w:after="60"/>
              <w:jc w:val="center"/>
              <w:rPr>
                <w:b/>
                <w:color w:val="auto"/>
                <w:sz w:val="10"/>
                <w:szCs w:val="10"/>
              </w:rPr>
            </w:pPr>
          </w:p>
        </w:tc>
        <w:tc>
          <w:tcPr>
            <w:tcW w:w="567" w:type="dxa"/>
          </w:tcPr>
          <w:p w14:paraId="4FA09113" w14:textId="77777777" w:rsidR="00D34C6F" w:rsidRPr="00CD1278" w:rsidRDefault="00D34C6F" w:rsidP="008277E3">
            <w:pPr>
              <w:spacing w:after="60"/>
              <w:jc w:val="center"/>
              <w:rPr>
                <w:b/>
                <w:color w:val="auto"/>
                <w:sz w:val="10"/>
                <w:szCs w:val="10"/>
              </w:rPr>
            </w:pPr>
          </w:p>
        </w:tc>
      </w:tr>
      <w:tr w:rsidR="003C102E" w:rsidRPr="00CD1278" w14:paraId="0C96A2FC" w14:textId="77777777" w:rsidTr="008277E3">
        <w:trPr>
          <w:trHeight w:val="1140"/>
          <w:jc w:val="center"/>
        </w:trPr>
        <w:tc>
          <w:tcPr>
            <w:tcW w:w="662" w:type="dxa"/>
            <w:shd w:val="clear" w:color="auto" w:fill="auto"/>
            <w:vAlign w:val="center"/>
          </w:tcPr>
          <w:p w14:paraId="038A4C26"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6B97F5BD" w14:textId="77777777" w:rsidR="00D34C6F" w:rsidRPr="00CD1278" w:rsidRDefault="00D34C6F" w:rsidP="00D1371C">
            <w:pPr>
              <w:spacing w:after="60"/>
              <w:ind w:left="-87"/>
              <w:rPr>
                <w:color w:val="auto"/>
                <w:sz w:val="12"/>
                <w:szCs w:val="12"/>
              </w:rPr>
            </w:pPr>
            <w:r w:rsidRPr="00CD1278">
              <w:rPr>
                <w:color w:val="auto"/>
                <w:sz w:val="12"/>
                <w:szCs w:val="12"/>
              </w:rPr>
              <w:t>Nursery stock - fruit trees, raspberries, roses</w:t>
            </w:r>
          </w:p>
        </w:tc>
        <w:tc>
          <w:tcPr>
            <w:tcW w:w="770" w:type="dxa"/>
            <w:shd w:val="clear" w:color="auto" w:fill="auto"/>
            <w:vAlign w:val="center"/>
          </w:tcPr>
          <w:p w14:paraId="3FBB4CBF" w14:textId="77777777" w:rsidR="00D34C6F" w:rsidRPr="00CD1278" w:rsidRDefault="00D34C6F" w:rsidP="008277E3">
            <w:pPr>
              <w:spacing w:after="60"/>
              <w:rPr>
                <w:color w:val="auto"/>
                <w:sz w:val="10"/>
                <w:szCs w:val="10"/>
              </w:rPr>
            </w:pPr>
            <w:r w:rsidRPr="00CD1278">
              <w:rPr>
                <w:color w:val="auto"/>
                <w:sz w:val="10"/>
                <w:szCs w:val="10"/>
              </w:rPr>
              <w:t>45.789</w:t>
            </w:r>
          </w:p>
        </w:tc>
        <w:tc>
          <w:tcPr>
            <w:tcW w:w="647" w:type="dxa"/>
            <w:shd w:val="clear" w:color="auto" w:fill="auto"/>
            <w:vAlign w:val="center"/>
          </w:tcPr>
          <w:p w14:paraId="0F7C033F" w14:textId="77777777" w:rsidR="00D34C6F" w:rsidRPr="00CD1278" w:rsidRDefault="00D34C6F" w:rsidP="008277E3">
            <w:pPr>
              <w:spacing w:after="60"/>
              <w:rPr>
                <w:color w:val="auto"/>
                <w:sz w:val="10"/>
                <w:szCs w:val="10"/>
              </w:rPr>
            </w:pPr>
            <w:r w:rsidRPr="00CD1278">
              <w:rPr>
                <w:color w:val="auto"/>
                <w:sz w:val="10"/>
                <w:szCs w:val="10"/>
              </w:rPr>
              <w:t>64.528</w:t>
            </w:r>
          </w:p>
        </w:tc>
        <w:tc>
          <w:tcPr>
            <w:tcW w:w="709" w:type="dxa"/>
            <w:shd w:val="clear" w:color="auto" w:fill="auto"/>
            <w:vAlign w:val="center"/>
          </w:tcPr>
          <w:p w14:paraId="239542C8" w14:textId="77777777" w:rsidR="00D34C6F" w:rsidRPr="00CD1278" w:rsidRDefault="00D34C6F" w:rsidP="008277E3">
            <w:pPr>
              <w:spacing w:after="60"/>
              <w:rPr>
                <w:color w:val="auto"/>
                <w:sz w:val="10"/>
                <w:szCs w:val="10"/>
              </w:rPr>
            </w:pPr>
            <w:r w:rsidRPr="00CD1278">
              <w:rPr>
                <w:color w:val="auto"/>
                <w:sz w:val="10"/>
                <w:szCs w:val="10"/>
              </w:rPr>
              <w:t>12.684</w:t>
            </w:r>
          </w:p>
        </w:tc>
        <w:tc>
          <w:tcPr>
            <w:tcW w:w="567" w:type="dxa"/>
            <w:shd w:val="clear" w:color="auto" w:fill="auto"/>
            <w:vAlign w:val="center"/>
          </w:tcPr>
          <w:p w14:paraId="302FC3A8" w14:textId="77777777" w:rsidR="00D34C6F" w:rsidRPr="00CD1278" w:rsidRDefault="00D34C6F" w:rsidP="008277E3">
            <w:pPr>
              <w:spacing w:after="60"/>
              <w:rPr>
                <w:color w:val="auto"/>
                <w:sz w:val="10"/>
                <w:szCs w:val="10"/>
              </w:rPr>
            </w:pPr>
            <w:r w:rsidRPr="00CD1278">
              <w:rPr>
                <w:color w:val="auto"/>
                <w:sz w:val="10"/>
                <w:szCs w:val="10"/>
              </w:rPr>
              <w:t>51.102</w:t>
            </w:r>
          </w:p>
        </w:tc>
        <w:tc>
          <w:tcPr>
            <w:tcW w:w="709" w:type="dxa"/>
            <w:shd w:val="clear" w:color="auto" w:fill="auto"/>
            <w:vAlign w:val="center"/>
          </w:tcPr>
          <w:p w14:paraId="3371C512" w14:textId="77777777" w:rsidR="00D34C6F" w:rsidRPr="00CD1278" w:rsidRDefault="00D34C6F" w:rsidP="008277E3">
            <w:pPr>
              <w:spacing w:after="60"/>
              <w:rPr>
                <w:color w:val="auto"/>
                <w:sz w:val="10"/>
                <w:szCs w:val="10"/>
              </w:rPr>
            </w:pPr>
            <w:r w:rsidRPr="00CD1278">
              <w:rPr>
                <w:color w:val="auto"/>
                <w:sz w:val="10"/>
                <w:szCs w:val="10"/>
              </w:rPr>
              <w:t>27.663</w:t>
            </w:r>
          </w:p>
        </w:tc>
        <w:tc>
          <w:tcPr>
            <w:tcW w:w="567" w:type="dxa"/>
            <w:shd w:val="clear" w:color="auto" w:fill="auto"/>
            <w:vAlign w:val="center"/>
          </w:tcPr>
          <w:p w14:paraId="2EA2107E" w14:textId="77777777" w:rsidR="00D34C6F" w:rsidRPr="00CD1278" w:rsidRDefault="00D34C6F" w:rsidP="008277E3">
            <w:pPr>
              <w:spacing w:after="60"/>
              <w:rPr>
                <w:color w:val="auto"/>
                <w:sz w:val="10"/>
                <w:szCs w:val="10"/>
              </w:rPr>
            </w:pPr>
            <w:r w:rsidRPr="00CD1278">
              <w:rPr>
                <w:color w:val="auto"/>
                <w:sz w:val="10"/>
                <w:szCs w:val="10"/>
              </w:rPr>
              <w:t>17.954</w:t>
            </w:r>
          </w:p>
        </w:tc>
        <w:tc>
          <w:tcPr>
            <w:tcW w:w="708" w:type="dxa"/>
            <w:shd w:val="clear" w:color="auto" w:fill="auto"/>
            <w:vAlign w:val="center"/>
          </w:tcPr>
          <w:p w14:paraId="1A5F7A28" w14:textId="77777777" w:rsidR="00D34C6F" w:rsidRPr="00CD1278" w:rsidRDefault="00D34C6F" w:rsidP="008277E3">
            <w:pPr>
              <w:spacing w:after="60"/>
              <w:rPr>
                <w:color w:val="auto"/>
                <w:sz w:val="10"/>
                <w:szCs w:val="10"/>
              </w:rPr>
            </w:pPr>
            <w:r w:rsidRPr="00CD1278">
              <w:rPr>
                <w:color w:val="auto"/>
                <w:sz w:val="10"/>
                <w:szCs w:val="10"/>
              </w:rPr>
              <w:t>7.955</w:t>
            </w:r>
          </w:p>
        </w:tc>
        <w:tc>
          <w:tcPr>
            <w:tcW w:w="567" w:type="dxa"/>
            <w:shd w:val="clear" w:color="auto" w:fill="auto"/>
            <w:vAlign w:val="center"/>
          </w:tcPr>
          <w:p w14:paraId="5BDE15D7" w14:textId="77777777" w:rsidR="00D34C6F" w:rsidRPr="00CD1278" w:rsidRDefault="00D34C6F" w:rsidP="008277E3">
            <w:pPr>
              <w:spacing w:after="60"/>
              <w:rPr>
                <w:color w:val="auto"/>
                <w:sz w:val="10"/>
                <w:szCs w:val="10"/>
              </w:rPr>
            </w:pPr>
            <w:r w:rsidRPr="00CD1278">
              <w:rPr>
                <w:color w:val="auto"/>
                <w:sz w:val="10"/>
                <w:szCs w:val="10"/>
              </w:rPr>
              <w:t> 1.591</w:t>
            </w:r>
          </w:p>
        </w:tc>
        <w:tc>
          <w:tcPr>
            <w:tcW w:w="567" w:type="dxa"/>
            <w:shd w:val="clear" w:color="auto" w:fill="auto"/>
            <w:vAlign w:val="center"/>
          </w:tcPr>
          <w:p w14:paraId="71F8B39E" w14:textId="77777777" w:rsidR="00D34C6F" w:rsidRPr="00CD1278" w:rsidRDefault="00D34C6F" w:rsidP="008277E3">
            <w:pPr>
              <w:spacing w:after="60"/>
              <w:rPr>
                <w:color w:val="auto"/>
                <w:sz w:val="10"/>
                <w:szCs w:val="10"/>
              </w:rPr>
            </w:pPr>
            <w:r w:rsidRPr="00CD1278">
              <w:rPr>
                <w:color w:val="auto"/>
                <w:sz w:val="10"/>
                <w:szCs w:val="10"/>
              </w:rPr>
              <w:t>0.541</w:t>
            </w:r>
          </w:p>
        </w:tc>
        <w:tc>
          <w:tcPr>
            <w:tcW w:w="629" w:type="dxa"/>
          </w:tcPr>
          <w:p w14:paraId="6D0F9E6B" w14:textId="77777777" w:rsidR="00D34C6F" w:rsidRPr="00CD1278" w:rsidRDefault="00D34C6F" w:rsidP="008277E3">
            <w:pPr>
              <w:spacing w:after="60"/>
              <w:rPr>
                <w:color w:val="auto"/>
                <w:sz w:val="10"/>
                <w:szCs w:val="10"/>
              </w:rPr>
            </w:pPr>
          </w:p>
        </w:tc>
        <w:tc>
          <w:tcPr>
            <w:tcW w:w="567" w:type="dxa"/>
          </w:tcPr>
          <w:p w14:paraId="0B3D6FFA" w14:textId="77777777" w:rsidR="00D34C6F" w:rsidRPr="00CD1278" w:rsidRDefault="00D34C6F" w:rsidP="008277E3">
            <w:pPr>
              <w:spacing w:after="60"/>
              <w:jc w:val="center"/>
              <w:rPr>
                <w:color w:val="auto"/>
                <w:sz w:val="10"/>
                <w:szCs w:val="10"/>
              </w:rPr>
            </w:pPr>
          </w:p>
          <w:p w14:paraId="4EFD7C19" w14:textId="77777777" w:rsidR="00D34C6F" w:rsidRPr="00CD1278" w:rsidRDefault="00D34C6F" w:rsidP="008277E3">
            <w:pPr>
              <w:spacing w:after="60"/>
              <w:rPr>
                <w:color w:val="auto"/>
                <w:sz w:val="10"/>
                <w:szCs w:val="10"/>
              </w:rPr>
            </w:pPr>
          </w:p>
        </w:tc>
        <w:tc>
          <w:tcPr>
            <w:tcW w:w="567" w:type="dxa"/>
          </w:tcPr>
          <w:p w14:paraId="6D8EA059"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13AA6B4C" w14:textId="77777777" w:rsidR="00D34C6F" w:rsidRPr="00CD1278" w:rsidRDefault="00D34C6F" w:rsidP="008277E3">
            <w:pPr>
              <w:spacing w:after="60"/>
              <w:rPr>
                <w:color w:val="auto"/>
                <w:sz w:val="10"/>
                <w:szCs w:val="10"/>
              </w:rPr>
            </w:pPr>
            <w:r w:rsidRPr="00CD1278">
              <w:rPr>
                <w:color w:val="auto"/>
                <w:sz w:val="10"/>
                <w:szCs w:val="10"/>
              </w:rPr>
              <w:t>45.800</w:t>
            </w:r>
          </w:p>
        </w:tc>
        <w:tc>
          <w:tcPr>
            <w:tcW w:w="709" w:type="dxa"/>
            <w:shd w:val="clear" w:color="auto" w:fill="auto"/>
            <w:vAlign w:val="center"/>
          </w:tcPr>
          <w:p w14:paraId="0BE30AEB" w14:textId="77777777" w:rsidR="00D34C6F" w:rsidRPr="00CD1278" w:rsidRDefault="00D34C6F" w:rsidP="008277E3">
            <w:pPr>
              <w:spacing w:after="60"/>
              <w:rPr>
                <w:color w:val="auto"/>
                <w:sz w:val="10"/>
                <w:szCs w:val="10"/>
              </w:rPr>
            </w:pPr>
            <w:r w:rsidRPr="00CD1278">
              <w:rPr>
                <w:color w:val="auto"/>
                <w:sz w:val="10"/>
                <w:szCs w:val="10"/>
              </w:rPr>
              <w:t>64.528</w:t>
            </w:r>
          </w:p>
        </w:tc>
        <w:tc>
          <w:tcPr>
            <w:tcW w:w="708" w:type="dxa"/>
            <w:shd w:val="clear" w:color="auto" w:fill="auto"/>
            <w:vAlign w:val="center"/>
          </w:tcPr>
          <w:p w14:paraId="202697B7" w14:textId="77777777" w:rsidR="00D34C6F" w:rsidRPr="00CD1278" w:rsidRDefault="00D34C6F" w:rsidP="008277E3">
            <w:pPr>
              <w:spacing w:after="60"/>
              <w:rPr>
                <w:color w:val="auto"/>
                <w:sz w:val="10"/>
                <w:szCs w:val="10"/>
              </w:rPr>
            </w:pPr>
            <w:r w:rsidRPr="00CD1278">
              <w:rPr>
                <w:color w:val="auto"/>
                <w:sz w:val="10"/>
                <w:szCs w:val="10"/>
              </w:rPr>
              <w:t> 28.275</w:t>
            </w:r>
          </w:p>
        </w:tc>
        <w:tc>
          <w:tcPr>
            <w:tcW w:w="709" w:type="dxa"/>
            <w:shd w:val="clear" w:color="auto" w:fill="auto"/>
            <w:vAlign w:val="center"/>
          </w:tcPr>
          <w:p w14:paraId="0396FFC1" w14:textId="77777777" w:rsidR="00D34C6F" w:rsidRPr="00CD1278" w:rsidRDefault="00D34C6F" w:rsidP="008277E3">
            <w:pPr>
              <w:spacing w:after="60"/>
              <w:rPr>
                <w:color w:val="auto"/>
                <w:sz w:val="10"/>
                <w:szCs w:val="10"/>
              </w:rPr>
            </w:pPr>
            <w:r w:rsidRPr="00CD1278">
              <w:rPr>
                <w:color w:val="auto"/>
                <w:sz w:val="10"/>
                <w:szCs w:val="10"/>
              </w:rPr>
              <w:t>51.102</w:t>
            </w:r>
          </w:p>
        </w:tc>
        <w:tc>
          <w:tcPr>
            <w:tcW w:w="567" w:type="dxa"/>
            <w:shd w:val="clear" w:color="auto" w:fill="auto"/>
            <w:vAlign w:val="center"/>
          </w:tcPr>
          <w:p w14:paraId="52DE5266" w14:textId="77777777" w:rsidR="00D34C6F" w:rsidRPr="00CD1278" w:rsidRDefault="00D34C6F" w:rsidP="008277E3">
            <w:pPr>
              <w:spacing w:after="60"/>
              <w:rPr>
                <w:color w:val="auto"/>
                <w:sz w:val="10"/>
                <w:szCs w:val="10"/>
              </w:rPr>
            </w:pPr>
            <w:r w:rsidRPr="00CD1278">
              <w:rPr>
                <w:color w:val="auto"/>
                <w:sz w:val="10"/>
                <w:szCs w:val="10"/>
              </w:rPr>
              <w:t>25.326</w:t>
            </w:r>
          </w:p>
        </w:tc>
        <w:tc>
          <w:tcPr>
            <w:tcW w:w="647" w:type="dxa"/>
            <w:shd w:val="clear" w:color="auto" w:fill="auto"/>
            <w:vAlign w:val="center"/>
          </w:tcPr>
          <w:p w14:paraId="360BF13E" w14:textId="77777777" w:rsidR="00D34C6F" w:rsidRPr="00CD1278" w:rsidRDefault="00D34C6F" w:rsidP="008277E3">
            <w:pPr>
              <w:spacing w:after="60"/>
              <w:rPr>
                <w:color w:val="auto"/>
                <w:sz w:val="10"/>
                <w:szCs w:val="10"/>
              </w:rPr>
            </w:pPr>
            <w:r w:rsidRPr="00CD1278">
              <w:rPr>
                <w:color w:val="auto"/>
                <w:sz w:val="10"/>
                <w:szCs w:val="10"/>
              </w:rPr>
              <w:t>17.363</w:t>
            </w:r>
          </w:p>
        </w:tc>
        <w:tc>
          <w:tcPr>
            <w:tcW w:w="567" w:type="dxa"/>
            <w:shd w:val="clear" w:color="auto" w:fill="auto"/>
            <w:vAlign w:val="center"/>
          </w:tcPr>
          <w:p w14:paraId="0332975E" w14:textId="77777777" w:rsidR="00D34C6F" w:rsidRPr="00CD1278" w:rsidRDefault="00D34C6F" w:rsidP="008277E3">
            <w:pPr>
              <w:spacing w:after="60"/>
              <w:rPr>
                <w:color w:val="auto"/>
                <w:sz w:val="10"/>
                <w:szCs w:val="10"/>
              </w:rPr>
            </w:pPr>
            <w:r w:rsidRPr="00CD1278">
              <w:rPr>
                <w:color w:val="auto"/>
                <w:sz w:val="10"/>
                <w:szCs w:val="10"/>
              </w:rPr>
              <w:t>7.955</w:t>
            </w:r>
          </w:p>
        </w:tc>
        <w:tc>
          <w:tcPr>
            <w:tcW w:w="567" w:type="dxa"/>
            <w:shd w:val="clear" w:color="auto" w:fill="auto"/>
            <w:noWrap/>
            <w:vAlign w:val="center"/>
          </w:tcPr>
          <w:p w14:paraId="46E59B55" w14:textId="77777777" w:rsidR="00D34C6F" w:rsidRPr="00CD1278" w:rsidRDefault="00D34C6F" w:rsidP="008277E3">
            <w:pPr>
              <w:spacing w:after="60"/>
              <w:rPr>
                <w:color w:val="auto"/>
                <w:sz w:val="10"/>
                <w:szCs w:val="10"/>
              </w:rPr>
            </w:pPr>
            <w:r w:rsidRPr="00CD1278">
              <w:rPr>
                <w:color w:val="auto"/>
                <w:sz w:val="10"/>
                <w:szCs w:val="10"/>
              </w:rPr>
              <w:t> 1.591</w:t>
            </w:r>
          </w:p>
        </w:tc>
        <w:tc>
          <w:tcPr>
            <w:tcW w:w="567" w:type="dxa"/>
          </w:tcPr>
          <w:p w14:paraId="7184EFD5" w14:textId="77777777" w:rsidR="00D34C6F" w:rsidRPr="00CD1278" w:rsidRDefault="00D34C6F" w:rsidP="008277E3">
            <w:pPr>
              <w:spacing w:after="60"/>
              <w:rPr>
                <w:b/>
                <w:color w:val="auto"/>
                <w:sz w:val="10"/>
                <w:szCs w:val="10"/>
              </w:rPr>
            </w:pPr>
          </w:p>
        </w:tc>
        <w:tc>
          <w:tcPr>
            <w:tcW w:w="567" w:type="dxa"/>
          </w:tcPr>
          <w:p w14:paraId="13F1BB10" w14:textId="77777777" w:rsidR="00D34C6F" w:rsidRPr="00CD1278" w:rsidRDefault="00D34C6F" w:rsidP="008277E3">
            <w:pPr>
              <w:spacing w:after="60"/>
              <w:jc w:val="center"/>
              <w:rPr>
                <w:b/>
                <w:color w:val="auto"/>
                <w:sz w:val="10"/>
                <w:szCs w:val="10"/>
              </w:rPr>
            </w:pPr>
          </w:p>
        </w:tc>
        <w:tc>
          <w:tcPr>
            <w:tcW w:w="567" w:type="dxa"/>
          </w:tcPr>
          <w:p w14:paraId="3BA211E1" w14:textId="77777777" w:rsidR="00D34C6F" w:rsidRPr="00CD1278" w:rsidRDefault="00D34C6F" w:rsidP="008277E3">
            <w:pPr>
              <w:spacing w:after="60"/>
              <w:jc w:val="center"/>
              <w:rPr>
                <w:b/>
                <w:color w:val="auto"/>
                <w:sz w:val="10"/>
                <w:szCs w:val="10"/>
              </w:rPr>
            </w:pPr>
          </w:p>
        </w:tc>
        <w:tc>
          <w:tcPr>
            <w:tcW w:w="567" w:type="dxa"/>
          </w:tcPr>
          <w:p w14:paraId="5394C000" w14:textId="77777777" w:rsidR="00D34C6F" w:rsidRPr="00CD1278" w:rsidRDefault="00D34C6F" w:rsidP="008277E3">
            <w:pPr>
              <w:spacing w:after="60"/>
              <w:jc w:val="center"/>
              <w:rPr>
                <w:b/>
                <w:color w:val="auto"/>
                <w:sz w:val="10"/>
                <w:szCs w:val="10"/>
              </w:rPr>
            </w:pPr>
          </w:p>
        </w:tc>
      </w:tr>
      <w:tr w:rsidR="003C102E" w:rsidRPr="00CD1278" w14:paraId="12D687E8" w14:textId="77777777" w:rsidTr="008277E3">
        <w:trPr>
          <w:trHeight w:val="465"/>
          <w:jc w:val="center"/>
        </w:trPr>
        <w:tc>
          <w:tcPr>
            <w:tcW w:w="662" w:type="dxa"/>
            <w:shd w:val="clear" w:color="auto" w:fill="auto"/>
            <w:vAlign w:val="center"/>
          </w:tcPr>
          <w:p w14:paraId="09F74F01"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6F9E8857" w14:textId="77777777" w:rsidR="00D34C6F" w:rsidRPr="00CD1278" w:rsidRDefault="00D34C6F" w:rsidP="00D1371C">
            <w:pPr>
              <w:spacing w:after="60"/>
              <w:ind w:left="-87"/>
              <w:rPr>
                <w:color w:val="auto"/>
                <w:sz w:val="12"/>
                <w:szCs w:val="12"/>
              </w:rPr>
            </w:pPr>
            <w:r w:rsidRPr="00CD1278">
              <w:rPr>
                <w:color w:val="auto"/>
                <w:sz w:val="12"/>
                <w:szCs w:val="12"/>
              </w:rPr>
              <w:t>Peppers – field</w:t>
            </w:r>
          </w:p>
        </w:tc>
        <w:tc>
          <w:tcPr>
            <w:tcW w:w="770" w:type="dxa"/>
            <w:shd w:val="clear" w:color="auto" w:fill="auto"/>
            <w:vAlign w:val="center"/>
          </w:tcPr>
          <w:p w14:paraId="2FE16D8A" w14:textId="77777777" w:rsidR="00D34C6F" w:rsidRPr="00CD1278" w:rsidRDefault="00D34C6F" w:rsidP="008277E3">
            <w:pPr>
              <w:spacing w:after="60"/>
              <w:rPr>
                <w:color w:val="auto"/>
                <w:sz w:val="10"/>
                <w:szCs w:val="10"/>
              </w:rPr>
            </w:pPr>
            <w:r w:rsidRPr="00CD1278">
              <w:rPr>
                <w:color w:val="auto"/>
                <w:sz w:val="10"/>
                <w:szCs w:val="10"/>
              </w:rPr>
              <w:t>1094.782</w:t>
            </w:r>
          </w:p>
        </w:tc>
        <w:tc>
          <w:tcPr>
            <w:tcW w:w="647" w:type="dxa"/>
            <w:shd w:val="clear" w:color="auto" w:fill="auto"/>
            <w:vAlign w:val="center"/>
          </w:tcPr>
          <w:p w14:paraId="76340B64" w14:textId="77777777" w:rsidR="00D34C6F" w:rsidRPr="00CD1278" w:rsidRDefault="00D34C6F" w:rsidP="008277E3">
            <w:pPr>
              <w:spacing w:after="60"/>
              <w:rPr>
                <w:color w:val="auto"/>
                <w:sz w:val="10"/>
                <w:szCs w:val="10"/>
              </w:rPr>
            </w:pPr>
            <w:r w:rsidRPr="00CD1278">
              <w:rPr>
                <w:color w:val="auto"/>
                <w:sz w:val="10"/>
                <w:szCs w:val="10"/>
              </w:rPr>
              <w:t>1498.53</w:t>
            </w:r>
          </w:p>
        </w:tc>
        <w:tc>
          <w:tcPr>
            <w:tcW w:w="709" w:type="dxa"/>
            <w:shd w:val="clear" w:color="auto" w:fill="auto"/>
            <w:vAlign w:val="center"/>
          </w:tcPr>
          <w:p w14:paraId="45A5E760" w14:textId="77777777" w:rsidR="00D34C6F" w:rsidRPr="00CD1278" w:rsidRDefault="00D34C6F" w:rsidP="008277E3">
            <w:pPr>
              <w:spacing w:after="60"/>
              <w:rPr>
                <w:color w:val="auto"/>
                <w:sz w:val="10"/>
                <w:szCs w:val="10"/>
              </w:rPr>
            </w:pPr>
            <w:r w:rsidRPr="00CD1278">
              <w:rPr>
                <w:color w:val="auto"/>
                <w:sz w:val="10"/>
                <w:szCs w:val="10"/>
              </w:rPr>
              <w:t>1151.751</w:t>
            </w:r>
          </w:p>
        </w:tc>
        <w:tc>
          <w:tcPr>
            <w:tcW w:w="567" w:type="dxa"/>
            <w:shd w:val="clear" w:color="auto" w:fill="auto"/>
            <w:vAlign w:val="center"/>
          </w:tcPr>
          <w:p w14:paraId="08AA2505" w14:textId="77777777" w:rsidR="00D34C6F" w:rsidRPr="00CD1278" w:rsidRDefault="00D34C6F" w:rsidP="008277E3">
            <w:pPr>
              <w:spacing w:after="60"/>
              <w:rPr>
                <w:color w:val="auto"/>
                <w:sz w:val="10"/>
                <w:szCs w:val="10"/>
              </w:rPr>
            </w:pPr>
            <w:r w:rsidRPr="00CD1278">
              <w:rPr>
                <w:color w:val="auto"/>
                <w:sz w:val="10"/>
                <w:szCs w:val="10"/>
              </w:rPr>
              <w:t>919.006</w:t>
            </w:r>
          </w:p>
        </w:tc>
        <w:tc>
          <w:tcPr>
            <w:tcW w:w="709" w:type="dxa"/>
            <w:shd w:val="clear" w:color="auto" w:fill="auto"/>
            <w:vAlign w:val="center"/>
          </w:tcPr>
          <w:p w14:paraId="025AEDD0" w14:textId="77777777" w:rsidR="00D34C6F" w:rsidRPr="00CD1278" w:rsidRDefault="00D34C6F" w:rsidP="008277E3">
            <w:pPr>
              <w:spacing w:after="60"/>
              <w:rPr>
                <w:color w:val="auto"/>
                <w:sz w:val="10"/>
                <w:szCs w:val="10"/>
              </w:rPr>
            </w:pPr>
            <w:r w:rsidRPr="00CD1278">
              <w:rPr>
                <w:color w:val="auto"/>
                <w:sz w:val="10"/>
                <w:szCs w:val="10"/>
              </w:rPr>
              <w:t>783.821</w:t>
            </w:r>
          </w:p>
        </w:tc>
        <w:tc>
          <w:tcPr>
            <w:tcW w:w="567" w:type="dxa"/>
            <w:shd w:val="clear" w:color="auto" w:fill="auto"/>
            <w:vAlign w:val="center"/>
          </w:tcPr>
          <w:p w14:paraId="7561F27E" w14:textId="77777777" w:rsidR="00D34C6F" w:rsidRPr="00CD1278" w:rsidRDefault="00D34C6F" w:rsidP="008277E3">
            <w:pPr>
              <w:spacing w:after="60"/>
              <w:rPr>
                <w:color w:val="auto"/>
                <w:sz w:val="10"/>
                <w:szCs w:val="10"/>
              </w:rPr>
            </w:pPr>
            <w:r w:rsidRPr="00CD1278">
              <w:rPr>
                <w:color w:val="auto"/>
                <w:sz w:val="10"/>
                <w:szCs w:val="10"/>
              </w:rPr>
              <w:t>463.282</w:t>
            </w:r>
          </w:p>
        </w:tc>
        <w:tc>
          <w:tcPr>
            <w:tcW w:w="708" w:type="dxa"/>
            <w:shd w:val="clear" w:color="auto" w:fill="auto"/>
            <w:vAlign w:val="center"/>
          </w:tcPr>
          <w:p w14:paraId="49A0B2E0" w14:textId="77777777" w:rsidR="00D34C6F" w:rsidRPr="00CD1278" w:rsidRDefault="00D34C6F" w:rsidP="008277E3">
            <w:pPr>
              <w:spacing w:after="60"/>
              <w:rPr>
                <w:color w:val="auto"/>
                <w:sz w:val="10"/>
                <w:szCs w:val="10"/>
              </w:rPr>
            </w:pPr>
            <w:r w:rsidRPr="00CD1278">
              <w:rPr>
                <w:color w:val="auto"/>
                <w:sz w:val="10"/>
                <w:szCs w:val="10"/>
              </w:rPr>
              <w:t>212.775</w:t>
            </w:r>
          </w:p>
        </w:tc>
        <w:tc>
          <w:tcPr>
            <w:tcW w:w="567" w:type="dxa"/>
            <w:shd w:val="clear" w:color="auto" w:fill="auto"/>
            <w:vAlign w:val="center"/>
          </w:tcPr>
          <w:p w14:paraId="34FB29E5" w14:textId="77777777" w:rsidR="00D34C6F" w:rsidRPr="00CD1278" w:rsidRDefault="00D34C6F" w:rsidP="008277E3">
            <w:pPr>
              <w:spacing w:after="60"/>
              <w:rPr>
                <w:color w:val="auto"/>
                <w:sz w:val="10"/>
                <w:szCs w:val="10"/>
              </w:rPr>
            </w:pPr>
            <w:r w:rsidRPr="00CD1278">
              <w:rPr>
                <w:color w:val="auto"/>
                <w:sz w:val="10"/>
                <w:szCs w:val="10"/>
              </w:rPr>
              <w:t> 28.366</w:t>
            </w:r>
          </w:p>
        </w:tc>
        <w:tc>
          <w:tcPr>
            <w:tcW w:w="567" w:type="dxa"/>
            <w:shd w:val="clear" w:color="auto" w:fill="auto"/>
            <w:vAlign w:val="center"/>
          </w:tcPr>
          <w:p w14:paraId="22830CF6"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1894F9E2" w14:textId="77777777" w:rsidR="00D34C6F" w:rsidRPr="00CD1278" w:rsidRDefault="00D34C6F" w:rsidP="008277E3">
            <w:pPr>
              <w:spacing w:after="60"/>
              <w:rPr>
                <w:color w:val="auto"/>
                <w:sz w:val="10"/>
                <w:szCs w:val="10"/>
              </w:rPr>
            </w:pPr>
          </w:p>
        </w:tc>
        <w:tc>
          <w:tcPr>
            <w:tcW w:w="567" w:type="dxa"/>
          </w:tcPr>
          <w:p w14:paraId="264315A4" w14:textId="77777777" w:rsidR="00D34C6F" w:rsidRPr="00CD1278" w:rsidRDefault="00D34C6F" w:rsidP="008277E3">
            <w:pPr>
              <w:spacing w:after="60"/>
              <w:jc w:val="center"/>
              <w:rPr>
                <w:color w:val="auto"/>
                <w:sz w:val="10"/>
                <w:szCs w:val="10"/>
              </w:rPr>
            </w:pPr>
          </w:p>
        </w:tc>
        <w:tc>
          <w:tcPr>
            <w:tcW w:w="567" w:type="dxa"/>
          </w:tcPr>
          <w:p w14:paraId="76A1F371" w14:textId="77777777" w:rsidR="00D34C6F" w:rsidRPr="00CD1278" w:rsidRDefault="00D34C6F" w:rsidP="008277E3">
            <w:pPr>
              <w:spacing w:after="60"/>
              <w:jc w:val="center"/>
              <w:rPr>
                <w:color w:val="auto"/>
                <w:sz w:val="10"/>
                <w:szCs w:val="10"/>
              </w:rPr>
            </w:pPr>
          </w:p>
        </w:tc>
        <w:tc>
          <w:tcPr>
            <w:tcW w:w="709" w:type="dxa"/>
            <w:shd w:val="clear" w:color="auto" w:fill="auto"/>
            <w:vAlign w:val="center"/>
          </w:tcPr>
          <w:p w14:paraId="3E051F1A" w14:textId="77777777" w:rsidR="00D34C6F" w:rsidRPr="00CD1278" w:rsidRDefault="00D34C6F" w:rsidP="008277E3">
            <w:pPr>
              <w:spacing w:after="60"/>
              <w:rPr>
                <w:color w:val="auto"/>
                <w:sz w:val="10"/>
                <w:szCs w:val="10"/>
              </w:rPr>
            </w:pPr>
            <w:r w:rsidRPr="00CD1278">
              <w:rPr>
                <w:color w:val="auto"/>
                <w:sz w:val="10"/>
                <w:szCs w:val="10"/>
              </w:rPr>
              <w:t>1094.782</w:t>
            </w:r>
          </w:p>
        </w:tc>
        <w:tc>
          <w:tcPr>
            <w:tcW w:w="709" w:type="dxa"/>
            <w:shd w:val="clear" w:color="auto" w:fill="auto"/>
            <w:vAlign w:val="center"/>
          </w:tcPr>
          <w:p w14:paraId="6586F565" w14:textId="77777777" w:rsidR="00D34C6F" w:rsidRPr="00CD1278" w:rsidRDefault="00D34C6F" w:rsidP="008277E3">
            <w:pPr>
              <w:spacing w:after="60"/>
              <w:rPr>
                <w:color w:val="auto"/>
                <w:sz w:val="10"/>
                <w:szCs w:val="10"/>
              </w:rPr>
            </w:pPr>
            <w:r w:rsidRPr="00CD1278">
              <w:rPr>
                <w:color w:val="auto"/>
                <w:sz w:val="10"/>
                <w:szCs w:val="10"/>
              </w:rPr>
              <w:t>1243.542</w:t>
            </w:r>
          </w:p>
        </w:tc>
        <w:tc>
          <w:tcPr>
            <w:tcW w:w="708" w:type="dxa"/>
            <w:shd w:val="clear" w:color="auto" w:fill="auto"/>
            <w:vAlign w:val="center"/>
          </w:tcPr>
          <w:p w14:paraId="05811270" w14:textId="77777777" w:rsidR="00D34C6F" w:rsidRPr="00CD1278" w:rsidRDefault="00D34C6F" w:rsidP="008277E3">
            <w:pPr>
              <w:spacing w:after="60"/>
              <w:rPr>
                <w:color w:val="auto"/>
                <w:sz w:val="10"/>
                <w:szCs w:val="10"/>
              </w:rPr>
            </w:pPr>
            <w:r w:rsidRPr="00CD1278">
              <w:rPr>
                <w:color w:val="auto"/>
                <w:sz w:val="10"/>
                <w:szCs w:val="10"/>
              </w:rPr>
              <w:t> 1106.753</w:t>
            </w:r>
          </w:p>
        </w:tc>
        <w:tc>
          <w:tcPr>
            <w:tcW w:w="709" w:type="dxa"/>
            <w:shd w:val="clear" w:color="auto" w:fill="auto"/>
            <w:vAlign w:val="center"/>
          </w:tcPr>
          <w:p w14:paraId="43AD17FF" w14:textId="77777777" w:rsidR="00D34C6F" w:rsidRPr="00CD1278" w:rsidRDefault="00D34C6F" w:rsidP="008277E3">
            <w:pPr>
              <w:spacing w:after="60"/>
              <w:rPr>
                <w:color w:val="auto"/>
                <w:sz w:val="10"/>
                <w:szCs w:val="10"/>
              </w:rPr>
            </w:pPr>
            <w:r w:rsidRPr="00CD1278">
              <w:rPr>
                <w:color w:val="auto"/>
                <w:sz w:val="10"/>
                <w:szCs w:val="10"/>
              </w:rPr>
              <w:t>756.339</w:t>
            </w:r>
          </w:p>
        </w:tc>
        <w:tc>
          <w:tcPr>
            <w:tcW w:w="567" w:type="dxa"/>
            <w:shd w:val="clear" w:color="auto" w:fill="auto"/>
            <w:vAlign w:val="center"/>
          </w:tcPr>
          <w:p w14:paraId="627E6C26" w14:textId="77777777" w:rsidR="00D34C6F" w:rsidRPr="00CD1278" w:rsidRDefault="00D34C6F" w:rsidP="008277E3">
            <w:pPr>
              <w:spacing w:after="60"/>
              <w:rPr>
                <w:color w:val="auto"/>
                <w:sz w:val="10"/>
                <w:szCs w:val="10"/>
              </w:rPr>
            </w:pPr>
            <w:r w:rsidRPr="00CD1278">
              <w:rPr>
                <w:color w:val="auto"/>
                <w:sz w:val="10"/>
                <w:szCs w:val="10"/>
              </w:rPr>
              <w:t>548.984</w:t>
            </w:r>
          </w:p>
        </w:tc>
        <w:tc>
          <w:tcPr>
            <w:tcW w:w="647" w:type="dxa"/>
            <w:shd w:val="clear" w:color="auto" w:fill="auto"/>
            <w:vAlign w:val="center"/>
          </w:tcPr>
          <w:p w14:paraId="2707D7D4" w14:textId="77777777" w:rsidR="00D34C6F" w:rsidRPr="00CD1278" w:rsidRDefault="00D34C6F" w:rsidP="008277E3">
            <w:pPr>
              <w:spacing w:after="60"/>
              <w:rPr>
                <w:color w:val="auto"/>
                <w:sz w:val="10"/>
                <w:szCs w:val="10"/>
              </w:rPr>
            </w:pPr>
            <w:r w:rsidRPr="00CD1278">
              <w:rPr>
                <w:color w:val="auto"/>
                <w:sz w:val="10"/>
                <w:szCs w:val="10"/>
              </w:rPr>
              <w:t>463.282</w:t>
            </w:r>
          </w:p>
        </w:tc>
        <w:tc>
          <w:tcPr>
            <w:tcW w:w="567" w:type="dxa"/>
            <w:shd w:val="clear" w:color="auto" w:fill="auto"/>
            <w:vAlign w:val="center"/>
          </w:tcPr>
          <w:p w14:paraId="72EFBAAD" w14:textId="77777777" w:rsidR="00D34C6F" w:rsidRPr="00CD1278" w:rsidRDefault="00D34C6F" w:rsidP="008277E3">
            <w:pPr>
              <w:spacing w:after="60"/>
              <w:rPr>
                <w:color w:val="auto"/>
                <w:sz w:val="10"/>
                <w:szCs w:val="10"/>
              </w:rPr>
            </w:pPr>
            <w:r w:rsidRPr="00CD1278">
              <w:rPr>
                <w:color w:val="auto"/>
                <w:sz w:val="10"/>
                <w:szCs w:val="10"/>
              </w:rPr>
              <w:t>206.234</w:t>
            </w:r>
          </w:p>
        </w:tc>
        <w:tc>
          <w:tcPr>
            <w:tcW w:w="567" w:type="dxa"/>
            <w:shd w:val="clear" w:color="auto" w:fill="auto"/>
            <w:noWrap/>
            <w:vAlign w:val="center"/>
          </w:tcPr>
          <w:p w14:paraId="71D976CE"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tcPr>
          <w:p w14:paraId="3EAFB5B2" w14:textId="77777777" w:rsidR="00D34C6F" w:rsidRPr="00CD1278" w:rsidRDefault="00D34C6F" w:rsidP="008277E3">
            <w:pPr>
              <w:spacing w:after="60"/>
              <w:rPr>
                <w:b/>
                <w:color w:val="auto"/>
                <w:sz w:val="10"/>
                <w:szCs w:val="10"/>
              </w:rPr>
            </w:pPr>
          </w:p>
        </w:tc>
        <w:tc>
          <w:tcPr>
            <w:tcW w:w="567" w:type="dxa"/>
          </w:tcPr>
          <w:p w14:paraId="75DA470D" w14:textId="77777777" w:rsidR="00D34C6F" w:rsidRPr="00CD1278" w:rsidRDefault="00D34C6F" w:rsidP="008277E3">
            <w:pPr>
              <w:spacing w:after="60"/>
              <w:jc w:val="center"/>
              <w:rPr>
                <w:b/>
                <w:color w:val="auto"/>
                <w:sz w:val="10"/>
                <w:szCs w:val="10"/>
              </w:rPr>
            </w:pPr>
          </w:p>
        </w:tc>
        <w:tc>
          <w:tcPr>
            <w:tcW w:w="567" w:type="dxa"/>
          </w:tcPr>
          <w:p w14:paraId="51E4B24F" w14:textId="77777777" w:rsidR="00D34C6F" w:rsidRPr="00CD1278" w:rsidRDefault="00D34C6F" w:rsidP="008277E3">
            <w:pPr>
              <w:spacing w:after="60"/>
              <w:jc w:val="center"/>
              <w:rPr>
                <w:b/>
                <w:color w:val="auto"/>
                <w:sz w:val="10"/>
                <w:szCs w:val="10"/>
              </w:rPr>
            </w:pPr>
          </w:p>
        </w:tc>
        <w:tc>
          <w:tcPr>
            <w:tcW w:w="567" w:type="dxa"/>
          </w:tcPr>
          <w:p w14:paraId="4D9972D1" w14:textId="77777777" w:rsidR="00D34C6F" w:rsidRPr="00CD1278" w:rsidRDefault="00D34C6F" w:rsidP="008277E3">
            <w:pPr>
              <w:spacing w:after="60"/>
              <w:jc w:val="center"/>
              <w:rPr>
                <w:b/>
                <w:color w:val="auto"/>
                <w:sz w:val="10"/>
                <w:szCs w:val="10"/>
              </w:rPr>
            </w:pPr>
          </w:p>
        </w:tc>
      </w:tr>
      <w:tr w:rsidR="003C102E" w:rsidRPr="00CD1278" w14:paraId="0568378D" w14:textId="77777777" w:rsidTr="008277E3">
        <w:trPr>
          <w:trHeight w:val="465"/>
          <w:jc w:val="center"/>
        </w:trPr>
        <w:tc>
          <w:tcPr>
            <w:tcW w:w="662" w:type="dxa"/>
            <w:shd w:val="clear" w:color="auto" w:fill="auto"/>
            <w:vAlign w:val="center"/>
          </w:tcPr>
          <w:p w14:paraId="4B2889CD"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6D3B51FD" w14:textId="77777777" w:rsidR="00D34C6F" w:rsidRPr="00CD1278" w:rsidRDefault="00D34C6F" w:rsidP="00D1371C">
            <w:pPr>
              <w:spacing w:after="60"/>
              <w:ind w:left="-87"/>
              <w:rPr>
                <w:color w:val="auto"/>
                <w:sz w:val="12"/>
                <w:szCs w:val="12"/>
              </w:rPr>
            </w:pPr>
            <w:r w:rsidRPr="00CD1278">
              <w:rPr>
                <w:color w:val="auto"/>
                <w:sz w:val="12"/>
                <w:szCs w:val="12"/>
              </w:rPr>
              <w:t>Strawberry fruit – field</w:t>
            </w:r>
          </w:p>
        </w:tc>
        <w:tc>
          <w:tcPr>
            <w:tcW w:w="770" w:type="dxa"/>
            <w:shd w:val="clear" w:color="auto" w:fill="auto"/>
            <w:vAlign w:val="center"/>
          </w:tcPr>
          <w:p w14:paraId="17C552EB" w14:textId="77777777" w:rsidR="00D34C6F" w:rsidRPr="00CD1278" w:rsidRDefault="00D34C6F" w:rsidP="008277E3">
            <w:pPr>
              <w:spacing w:after="60"/>
              <w:rPr>
                <w:color w:val="auto"/>
                <w:sz w:val="10"/>
                <w:szCs w:val="10"/>
              </w:rPr>
            </w:pPr>
            <w:r w:rsidRPr="00CD1278">
              <w:rPr>
                <w:color w:val="auto"/>
                <w:sz w:val="10"/>
                <w:szCs w:val="10"/>
              </w:rPr>
              <w:t>2468.873</w:t>
            </w:r>
          </w:p>
        </w:tc>
        <w:tc>
          <w:tcPr>
            <w:tcW w:w="647" w:type="dxa"/>
            <w:shd w:val="clear" w:color="auto" w:fill="auto"/>
            <w:vAlign w:val="center"/>
          </w:tcPr>
          <w:p w14:paraId="080ACC87" w14:textId="77777777" w:rsidR="00D34C6F" w:rsidRPr="00CD1278" w:rsidRDefault="00D34C6F" w:rsidP="008277E3">
            <w:pPr>
              <w:spacing w:after="60"/>
              <w:rPr>
                <w:color w:val="auto"/>
                <w:sz w:val="10"/>
                <w:szCs w:val="10"/>
              </w:rPr>
            </w:pPr>
            <w:r w:rsidRPr="00CD1278">
              <w:rPr>
                <w:color w:val="auto"/>
                <w:sz w:val="10"/>
                <w:szCs w:val="10"/>
              </w:rPr>
              <w:t>1918.40</w:t>
            </w:r>
          </w:p>
        </w:tc>
        <w:tc>
          <w:tcPr>
            <w:tcW w:w="709" w:type="dxa"/>
            <w:shd w:val="clear" w:color="auto" w:fill="auto"/>
            <w:vAlign w:val="center"/>
          </w:tcPr>
          <w:p w14:paraId="215511A4" w14:textId="77777777" w:rsidR="00D34C6F" w:rsidRPr="00CD1278" w:rsidRDefault="00D34C6F" w:rsidP="008277E3">
            <w:pPr>
              <w:spacing w:after="60"/>
              <w:rPr>
                <w:color w:val="auto"/>
                <w:sz w:val="10"/>
                <w:szCs w:val="10"/>
              </w:rPr>
            </w:pPr>
            <w:r w:rsidRPr="00CD1278">
              <w:rPr>
                <w:color w:val="auto"/>
                <w:sz w:val="10"/>
                <w:szCs w:val="10"/>
              </w:rPr>
              <w:t>1733.901</w:t>
            </w:r>
          </w:p>
        </w:tc>
        <w:tc>
          <w:tcPr>
            <w:tcW w:w="567" w:type="dxa"/>
            <w:shd w:val="clear" w:color="auto" w:fill="auto"/>
            <w:vAlign w:val="center"/>
          </w:tcPr>
          <w:p w14:paraId="579275B4" w14:textId="77777777" w:rsidR="00D34C6F" w:rsidRPr="00CD1278" w:rsidRDefault="00D34C6F" w:rsidP="008277E3">
            <w:pPr>
              <w:spacing w:after="60"/>
              <w:rPr>
                <w:color w:val="auto"/>
                <w:sz w:val="10"/>
                <w:szCs w:val="10"/>
              </w:rPr>
            </w:pPr>
            <w:r w:rsidRPr="00CD1278">
              <w:rPr>
                <w:color w:val="auto"/>
                <w:sz w:val="10"/>
                <w:szCs w:val="10"/>
              </w:rPr>
              <w:t>1604.669</w:t>
            </w:r>
          </w:p>
        </w:tc>
        <w:tc>
          <w:tcPr>
            <w:tcW w:w="709" w:type="dxa"/>
            <w:shd w:val="clear" w:color="auto" w:fill="auto"/>
            <w:vAlign w:val="center"/>
          </w:tcPr>
          <w:p w14:paraId="28BA4BEA" w14:textId="77777777" w:rsidR="00D34C6F" w:rsidRPr="00CD1278" w:rsidRDefault="00D34C6F" w:rsidP="008277E3">
            <w:pPr>
              <w:spacing w:after="60"/>
              <w:rPr>
                <w:color w:val="auto"/>
                <w:sz w:val="10"/>
                <w:szCs w:val="10"/>
              </w:rPr>
            </w:pPr>
            <w:r w:rsidRPr="00CD1278">
              <w:rPr>
                <w:color w:val="auto"/>
                <w:sz w:val="10"/>
                <w:szCs w:val="10"/>
              </w:rPr>
              <w:t>1336.754</w:t>
            </w:r>
          </w:p>
        </w:tc>
        <w:tc>
          <w:tcPr>
            <w:tcW w:w="567" w:type="dxa"/>
            <w:shd w:val="clear" w:color="auto" w:fill="auto"/>
            <w:vAlign w:val="center"/>
          </w:tcPr>
          <w:p w14:paraId="0DFF1B77" w14:textId="77777777" w:rsidR="00D34C6F" w:rsidRPr="00CD1278" w:rsidRDefault="00D34C6F" w:rsidP="008277E3">
            <w:pPr>
              <w:spacing w:after="60"/>
              <w:rPr>
                <w:color w:val="auto"/>
                <w:sz w:val="10"/>
                <w:szCs w:val="10"/>
              </w:rPr>
            </w:pPr>
            <w:r w:rsidRPr="00CD1278">
              <w:rPr>
                <w:color w:val="auto"/>
                <w:sz w:val="10"/>
                <w:szCs w:val="10"/>
              </w:rPr>
              <w:t>1103.422</w:t>
            </w:r>
          </w:p>
        </w:tc>
        <w:tc>
          <w:tcPr>
            <w:tcW w:w="708" w:type="dxa"/>
            <w:shd w:val="clear" w:color="auto" w:fill="auto"/>
            <w:vAlign w:val="center"/>
          </w:tcPr>
          <w:p w14:paraId="0ECD5456" w14:textId="77777777" w:rsidR="00D34C6F" w:rsidRPr="00CD1278" w:rsidRDefault="00D34C6F" w:rsidP="008277E3">
            <w:pPr>
              <w:spacing w:after="60"/>
              <w:rPr>
                <w:color w:val="auto"/>
                <w:sz w:val="10"/>
                <w:szCs w:val="10"/>
              </w:rPr>
            </w:pPr>
            <w:r w:rsidRPr="00CD1278">
              <w:rPr>
                <w:color w:val="auto"/>
                <w:sz w:val="10"/>
                <w:szCs w:val="10"/>
              </w:rPr>
              <w:t>1023.471</w:t>
            </w:r>
          </w:p>
        </w:tc>
        <w:tc>
          <w:tcPr>
            <w:tcW w:w="567" w:type="dxa"/>
            <w:shd w:val="clear" w:color="auto" w:fill="auto"/>
            <w:vAlign w:val="center"/>
          </w:tcPr>
          <w:p w14:paraId="7629323E" w14:textId="77777777" w:rsidR="00D34C6F" w:rsidRPr="00CD1278" w:rsidRDefault="00D34C6F" w:rsidP="008277E3">
            <w:pPr>
              <w:spacing w:after="60"/>
              <w:rPr>
                <w:color w:val="auto"/>
                <w:sz w:val="10"/>
                <w:szCs w:val="10"/>
              </w:rPr>
            </w:pPr>
            <w:r w:rsidRPr="00CD1278">
              <w:rPr>
                <w:color w:val="auto"/>
                <w:sz w:val="10"/>
                <w:szCs w:val="10"/>
              </w:rPr>
              <w:t> 753.974</w:t>
            </w:r>
          </w:p>
        </w:tc>
        <w:tc>
          <w:tcPr>
            <w:tcW w:w="567" w:type="dxa"/>
            <w:shd w:val="clear" w:color="auto" w:fill="auto"/>
            <w:vAlign w:val="center"/>
          </w:tcPr>
          <w:p w14:paraId="25796DE9" w14:textId="77777777" w:rsidR="00D34C6F" w:rsidRPr="00CD1278" w:rsidRDefault="005E5097" w:rsidP="008277E3">
            <w:pPr>
              <w:spacing w:after="60"/>
              <w:rPr>
                <w:color w:val="auto"/>
                <w:sz w:val="10"/>
                <w:szCs w:val="10"/>
              </w:rPr>
            </w:pPr>
            <w:r w:rsidRPr="00CD1278">
              <w:rPr>
                <w:color w:val="auto"/>
                <w:sz w:val="10"/>
                <w:szCs w:val="10"/>
              </w:rPr>
              <w:t>610.339</w:t>
            </w:r>
          </w:p>
        </w:tc>
        <w:tc>
          <w:tcPr>
            <w:tcW w:w="629" w:type="dxa"/>
            <w:vAlign w:val="center"/>
          </w:tcPr>
          <w:p w14:paraId="3E7A4103" w14:textId="77777777" w:rsidR="00D34C6F" w:rsidRPr="00CD1278" w:rsidRDefault="00D34C6F" w:rsidP="008277E3">
            <w:pPr>
              <w:spacing w:after="60"/>
              <w:jc w:val="center"/>
              <w:rPr>
                <w:color w:val="auto"/>
                <w:sz w:val="10"/>
                <w:szCs w:val="10"/>
              </w:rPr>
            </w:pPr>
            <w:r w:rsidRPr="00CD1278">
              <w:rPr>
                <w:color w:val="auto"/>
                <w:sz w:val="10"/>
                <w:szCs w:val="10"/>
              </w:rPr>
              <w:t>415.067</w:t>
            </w:r>
          </w:p>
        </w:tc>
        <w:tc>
          <w:tcPr>
            <w:tcW w:w="567" w:type="dxa"/>
            <w:vAlign w:val="center"/>
          </w:tcPr>
          <w:p w14:paraId="731CE0DC" w14:textId="77777777" w:rsidR="00D34C6F" w:rsidRPr="00CD1278" w:rsidRDefault="00D34C6F" w:rsidP="008277E3">
            <w:pPr>
              <w:spacing w:after="60"/>
              <w:jc w:val="center"/>
              <w:rPr>
                <w:color w:val="auto"/>
                <w:sz w:val="10"/>
                <w:szCs w:val="10"/>
              </w:rPr>
            </w:pPr>
            <w:r w:rsidRPr="00CD1278">
              <w:rPr>
                <w:color w:val="auto"/>
                <w:sz w:val="10"/>
                <w:szCs w:val="10"/>
              </w:rPr>
              <w:t>373.660</w:t>
            </w:r>
          </w:p>
        </w:tc>
        <w:tc>
          <w:tcPr>
            <w:tcW w:w="567" w:type="dxa"/>
            <w:vAlign w:val="center"/>
          </w:tcPr>
          <w:p w14:paraId="35EB50C8" w14:textId="77777777" w:rsidR="00D34C6F" w:rsidRPr="00CD1278" w:rsidRDefault="00DB4B9C" w:rsidP="008277E3">
            <w:pPr>
              <w:spacing w:after="60"/>
              <w:jc w:val="center"/>
              <w:rPr>
                <w:color w:val="auto"/>
                <w:sz w:val="10"/>
                <w:szCs w:val="10"/>
              </w:rPr>
            </w:pPr>
            <w:r w:rsidRPr="00CD1278">
              <w:rPr>
                <w:color w:val="auto"/>
                <w:sz w:val="10"/>
                <w:szCs w:val="10"/>
              </w:rPr>
              <w:t>231.540</w:t>
            </w:r>
          </w:p>
        </w:tc>
        <w:tc>
          <w:tcPr>
            <w:tcW w:w="709" w:type="dxa"/>
            <w:shd w:val="clear" w:color="auto" w:fill="auto"/>
            <w:vAlign w:val="center"/>
          </w:tcPr>
          <w:p w14:paraId="1F86E20C" w14:textId="77777777" w:rsidR="00D34C6F" w:rsidRPr="00CD1278" w:rsidRDefault="00D34C6F" w:rsidP="008277E3">
            <w:pPr>
              <w:spacing w:after="60"/>
              <w:rPr>
                <w:color w:val="auto"/>
                <w:sz w:val="10"/>
                <w:szCs w:val="10"/>
              </w:rPr>
            </w:pPr>
            <w:r w:rsidRPr="00CD1278">
              <w:rPr>
                <w:color w:val="auto"/>
                <w:sz w:val="10"/>
                <w:szCs w:val="10"/>
              </w:rPr>
              <w:t>2052.846</w:t>
            </w:r>
          </w:p>
        </w:tc>
        <w:tc>
          <w:tcPr>
            <w:tcW w:w="709" w:type="dxa"/>
            <w:shd w:val="clear" w:color="auto" w:fill="auto"/>
            <w:vAlign w:val="center"/>
          </w:tcPr>
          <w:p w14:paraId="149AB496" w14:textId="77777777" w:rsidR="00D34C6F" w:rsidRPr="00CD1278" w:rsidRDefault="00D34C6F" w:rsidP="008277E3">
            <w:pPr>
              <w:spacing w:after="60"/>
              <w:rPr>
                <w:color w:val="auto"/>
                <w:sz w:val="10"/>
                <w:szCs w:val="10"/>
              </w:rPr>
            </w:pPr>
            <w:r w:rsidRPr="00CD1278">
              <w:rPr>
                <w:color w:val="auto"/>
                <w:sz w:val="10"/>
                <w:szCs w:val="10"/>
              </w:rPr>
              <w:t>1730.828</w:t>
            </w:r>
          </w:p>
        </w:tc>
        <w:tc>
          <w:tcPr>
            <w:tcW w:w="708" w:type="dxa"/>
            <w:shd w:val="clear" w:color="auto" w:fill="auto"/>
            <w:vAlign w:val="center"/>
          </w:tcPr>
          <w:p w14:paraId="0E0EAA40" w14:textId="77777777" w:rsidR="00D34C6F" w:rsidRPr="00CD1278" w:rsidRDefault="00D34C6F" w:rsidP="008277E3">
            <w:pPr>
              <w:spacing w:after="60"/>
              <w:rPr>
                <w:color w:val="auto"/>
                <w:sz w:val="10"/>
                <w:szCs w:val="10"/>
              </w:rPr>
            </w:pPr>
            <w:r w:rsidRPr="00CD1278">
              <w:rPr>
                <w:color w:val="auto"/>
                <w:sz w:val="10"/>
                <w:szCs w:val="10"/>
              </w:rPr>
              <w:t> 1476.019</w:t>
            </w:r>
          </w:p>
        </w:tc>
        <w:tc>
          <w:tcPr>
            <w:tcW w:w="709" w:type="dxa"/>
            <w:shd w:val="clear" w:color="auto" w:fill="auto"/>
            <w:vAlign w:val="center"/>
          </w:tcPr>
          <w:p w14:paraId="63A5FEDD" w14:textId="77777777" w:rsidR="00D34C6F" w:rsidRPr="00CD1278" w:rsidRDefault="00D34C6F" w:rsidP="008277E3">
            <w:pPr>
              <w:spacing w:after="60"/>
              <w:rPr>
                <w:color w:val="auto"/>
                <w:sz w:val="10"/>
                <w:szCs w:val="10"/>
              </w:rPr>
            </w:pPr>
            <w:r w:rsidRPr="00CD1278">
              <w:rPr>
                <w:color w:val="auto"/>
                <w:sz w:val="10"/>
                <w:szCs w:val="10"/>
              </w:rPr>
              <w:t>1349.575</w:t>
            </w:r>
          </w:p>
        </w:tc>
        <w:tc>
          <w:tcPr>
            <w:tcW w:w="567" w:type="dxa"/>
            <w:shd w:val="clear" w:color="auto" w:fill="auto"/>
            <w:vAlign w:val="center"/>
          </w:tcPr>
          <w:p w14:paraId="722F452A" w14:textId="77777777" w:rsidR="00D34C6F" w:rsidRPr="00CD1278" w:rsidRDefault="00D34C6F" w:rsidP="008277E3">
            <w:pPr>
              <w:spacing w:after="60"/>
              <w:rPr>
                <w:color w:val="auto"/>
                <w:sz w:val="10"/>
                <w:szCs w:val="10"/>
              </w:rPr>
            </w:pPr>
            <w:r w:rsidRPr="00CD1278">
              <w:rPr>
                <w:color w:val="auto"/>
                <w:sz w:val="10"/>
                <w:szCs w:val="10"/>
              </w:rPr>
              <w:t>1269.321</w:t>
            </w:r>
          </w:p>
        </w:tc>
        <w:tc>
          <w:tcPr>
            <w:tcW w:w="647" w:type="dxa"/>
            <w:shd w:val="clear" w:color="auto" w:fill="auto"/>
            <w:vAlign w:val="center"/>
          </w:tcPr>
          <w:p w14:paraId="1A7D5725" w14:textId="77777777" w:rsidR="00D34C6F" w:rsidRPr="00CD1278" w:rsidRDefault="00D34C6F" w:rsidP="008277E3">
            <w:pPr>
              <w:spacing w:after="60"/>
              <w:rPr>
                <w:color w:val="auto"/>
                <w:sz w:val="10"/>
                <w:szCs w:val="10"/>
              </w:rPr>
            </w:pPr>
            <w:r w:rsidRPr="00CD1278">
              <w:rPr>
                <w:color w:val="auto"/>
                <w:sz w:val="10"/>
                <w:szCs w:val="10"/>
              </w:rPr>
              <w:t>1007.477</w:t>
            </w:r>
          </w:p>
        </w:tc>
        <w:tc>
          <w:tcPr>
            <w:tcW w:w="567" w:type="dxa"/>
            <w:shd w:val="clear" w:color="auto" w:fill="auto"/>
            <w:vAlign w:val="center"/>
          </w:tcPr>
          <w:p w14:paraId="5584D5B8" w14:textId="77777777" w:rsidR="00D34C6F" w:rsidRPr="00CD1278" w:rsidRDefault="00D34C6F" w:rsidP="008277E3">
            <w:pPr>
              <w:spacing w:after="60"/>
              <w:rPr>
                <w:color w:val="auto"/>
                <w:sz w:val="10"/>
                <w:szCs w:val="10"/>
              </w:rPr>
            </w:pPr>
            <w:r w:rsidRPr="00CD1278">
              <w:rPr>
                <w:color w:val="auto"/>
                <w:sz w:val="10"/>
                <w:szCs w:val="10"/>
              </w:rPr>
              <w:t>812.709</w:t>
            </w:r>
          </w:p>
        </w:tc>
        <w:tc>
          <w:tcPr>
            <w:tcW w:w="567" w:type="dxa"/>
            <w:shd w:val="clear" w:color="auto" w:fill="auto"/>
            <w:noWrap/>
            <w:vAlign w:val="center"/>
          </w:tcPr>
          <w:p w14:paraId="6407E549" w14:textId="77777777" w:rsidR="00D34C6F" w:rsidRPr="00CD1278" w:rsidRDefault="00D34C6F" w:rsidP="008277E3">
            <w:pPr>
              <w:spacing w:after="60"/>
              <w:rPr>
                <w:color w:val="auto"/>
                <w:sz w:val="10"/>
                <w:szCs w:val="10"/>
              </w:rPr>
            </w:pPr>
            <w:r w:rsidRPr="00CD1278">
              <w:rPr>
                <w:color w:val="auto"/>
                <w:sz w:val="10"/>
                <w:szCs w:val="10"/>
              </w:rPr>
              <w:t> 678.004</w:t>
            </w:r>
          </w:p>
        </w:tc>
        <w:tc>
          <w:tcPr>
            <w:tcW w:w="567" w:type="dxa"/>
            <w:vAlign w:val="center"/>
          </w:tcPr>
          <w:p w14:paraId="1DF3FB83" w14:textId="77777777" w:rsidR="00D34C6F" w:rsidRPr="00CD1278" w:rsidRDefault="005E5097" w:rsidP="008277E3">
            <w:pPr>
              <w:spacing w:after="60"/>
              <w:jc w:val="center"/>
              <w:rPr>
                <w:color w:val="auto"/>
                <w:sz w:val="10"/>
                <w:szCs w:val="10"/>
              </w:rPr>
            </w:pPr>
            <w:r w:rsidRPr="00CD1278">
              <w:rPr>
                <w:color w:val="auto"/>
                <w:sz w:val="10"/>
                <w:szCs w:val="10"/>
              </w:rPr>
              <w:t>532.442</w:t>
            </w:r>
          </w:p>
        </w:tc>
        <w:tc>
          <w:tcPr>
            <w:tcW w:w="567" w:type="dxa"/>
            <w:vAlign w:val="center"/>
          </w:tcPr>
          <w:p w14:paraId="340489D6" w14:textId="77777777" w:rsidR="00D34C6F" w:rsidRPr="00CD1278" w:rsidRDefault="00DB4B9C" w:rsidP="008277E3">
            <w:pPr>
              <w:spacing w:after="60"/>
              <w:jc w:val="center"/>
              <w:rPr>
                <w:b/>
                <w:color w:val="auto"/>
                <w:sz w:val="10"/>
                <w:szCs w:val="10"/>
              </w:rPr>
            </w:pPr>
            <w:r w:rsidRPr="00CD1278">
              <w:rPr>
                <w:color w:val="auto"/>
                <w:sz w:val="10"/>
                <w:szCs w:val="10"/>
              </w:rPr>
              <w:t>415.067</w:t>
            </w:r>
          </w:p>
        </w:tc>
        <w:tc>
          <w:tcPr>
            <w:tcW w:w="567" w:type="dxa"/>
            <w:vAlign w:val="center"/>
          </w:tcPr>
          <w:p w14:paraId="2D28A7E4" w14:textId="77777777" w:rsidR="00D34C6F" w:rsidRPr="00CD1278" w:rsidRDefault="00540CAC" w:rsidP="008277E3">
            <w:pPr>
              <w:spacing w:after="60"/>
              <w:jc w:val="center"/>
              <w:rPr>
                <w:color w:val="auto"/>
                <w:sz w:val="10"/>
                <w:szCs w:val="10"/>
              </w:rPr>
            </w:pPr>
            <w:r w:rsidRPr="00CD1278">
              <w:rPr>
                <w:color w:val="auto"/>
                <w:sz w:val="10"/>
                <w:szCs w:val="10"/>
              </w:rPr>
              <w:t>373.660</w:t>
            </w:r>
          </w:p>
        </w:tc>
        <w:tc>
          <w:tcPr>
            <w:tcW w:w="567" w:type="dxa"/>
            <w:vAlign w:val="center"/>
          </w:tcPr>
          <w:p w14:paraId="0BBDA4CE" w14:textId="77777777" w:rsidR="00D34C6F" w:rsidRPr="00CD1278" w:rsidRDefault="00BF1659" w:rsidP="008277E3">
            <w:pPr>
              <w:spacing w:after="60"/>
              <w:jc w:val="center"/>
              <w:rPr>
                <w:color w:val="auto"/>
                <w:sz w:val="10"/>
                <w:szCs w:val="10"/>
              </w:rPr>
            </w:pPr>
            <w:r w:rsidRPr="00CD1278">
              <w:rPr>
                <w:color w:val="auto"/>
                <w:sz w:val="10"/>
                <w:szCs w:val="10"/>
              </w:rPr>
              <w:t>231.540</w:t>
            </w:r>
          </w:p>
        </w:tc>
      </w:tr>
      <w:tr w:rsidR="003C102E" w:rsidRPr="00CD1278" w14:paraId="4FD3C9BA" w14:textId="77777777" w:rsidTr="008277E3">
        <w:trPr>
          <w:trHeight w:val="465"/>
          <w:jc w:val="center"/>
        </w:trPr>
        <w:tc>
          <w:tcPr>
            <w:tcW w:w="662" w:type="dxa"/>
            <w:shd w:val="clear" w:color="auto" w:fill="auto"/>
            <w:vAlign w:val="center"/>
          </w:tcPr>
          <w:p w14:paraId="0A27BEFE"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31D6D48A" w14:textId="77777777" w:rsidR="00D34C6F" w:rsidRPr="00CD1278" w:rsidRDefault="00D34C6F" w:rsidP="00D1371C">
            <w:pPr>
              <w:spacing w:after="60"/>
              <w:ind w:left="-87"/>
              <w:rPr>
                <w:color w:val="auto"/>
                <w:sz w:val="12"/>
                <w:szCs w:val="12"/>
              </w:rPr>
            </w:pPr>
            <w:r w:rsidRPr="00CD1278">
              <w:rPr>
                <w:color w:val="auto"/>
                <w:sz w:val="12"/>
                <w:szCs w:val="12"/>
              </w:rPr>
              <w:t>Strawberry runners</w:t>
            </w:r>
          </w:p>
        </w:tc>
        <w:tc>
          <w:tcPr>
            <w:tcW w:w="770" w:type="dxa"/>
            <w:shd w:val="clear" w:color="auto" w:fill="auto"/>
            <w:vAlign w:val="center"/>
          </w:tcPr>
          <w:p w14:paraId="19A489CD" w14:textId="77777777" w:rsidR="00D34C6F" w:rsidRPr="00CD1278" w:rsidRDefault="00D34C6F" w:rsidP="008277E3">
            <w:pPr>
              <w:spacing w:after="60"/>
              <w:rPr>
                <w:color w:val="auto"/>
                <w:sz w:val="10"/>
                <w:szCs w:val="10"/>
              </w:rPr>
            </w:pPr>
            <w:r w:rsidRPr="00CD1278">
              <w:rPr>
                <w:color w:val="auto"/>
                <w:sz w:val="10"/>
                <w:szCs w:val="10"/>
              </w:rPr>
              <w:t>54.988</w:t>
            </w:r>
          </w:p>
        </w:tc>
        <w:tc>
          <w:tcPr>
            <w:tcW w:w="647" w:type="dxa"/>
            <w:shd w:val="clear" w:color="auto" w:fill="auto"/>
            <w:vAlign w:val="center"/>
          </w:tcPr>
          <w:p w14:paraId="584744E1" w14:textId="77777777" w:rsidR="00D34C6F" w:rsidRPr="00CD1278" w:rsidRDefault="00D34C6F" w:rsidP="008277E3">
            <w:pPr>
              <w:spacing w:after="60"/>
              <w:rPr>
                <w:color w:val="auto"/>
                <w:sz w:val="10"/>
                <w:szCs w:val="10"/>
              </w:rPr>
            </w:pPr>
            <w:r w:rsidRPr="00CD1278">
              <w:rPr>
                <w:color w:val="auto"/>
                <w:sz w:val="10"/>
                <w:szCs w:val="10"/>
              </w:rPr>
              <w:t>56.291</w:t>
            </w:r>
          </w:p>
        </w:tc>
        <w:tc>
          <w:tcPr>
            <w:tcW w:w="709" w:type="dxa"/>
            <w:shd w:val="clear" w:color="auto" w:fill="auto"/>
            <w:vAlign w:val="center"/>
          </w:tcPr>
          <w:p w14:paraId="412A498C" w14:textId="77777777" w:rsidR="00D34C6F" w:rsidRPr="00CD1278" w:rsidRDefault="00D34C6F" w:rsidP="008277E3">
            <w:pPr>
              <w:spacing w:after="60"/>
              <w:rPr>
                <w:color w:val="auto"/>
                <w:sz w:val="10"/>
                <w:szCs w:val="10"/>
              </w:rPr>
            </w:pPr>
            <w:r w:rsidRPr="00CD1278">
              <w:rPr>
                <w:color w:val="auto"/>
                <w:sz w:val="10"/>
                <w:szCs w:val="10"/>
              </w:rPr>
              <w:t>4.483</w:t>
            </w:r>
          </w:p>
        </w:tc>
        <w:tc>
          <w:tcPr>
            <w:tcW w:w="567" w:type="dxa"/>
            <w:shd w:val="clear" w:color="auto" w:fill="auto"/>
            <w:vAlign w:val="center"/>
          </w:tcPr>
          <w:p w14:paraId="0E546996" w14:textId="77777777" w:rsidR="00D34C6F" w:rsidRPr="00CD1278" w:rsidRDefault="00D34C6F" w:rsidP="008277E3">
            <w:pPr>
              <w:spacing w:after="60"/>
              <w:rPr>
                <w:color w:val="auto"/>
                <w:sz w:val="10"/>
                <w:szCs w:val="10"/>
              </w:rPr>
            </w:pPr>
            <w:r w:rsidRPr="00CD1278">
              <w:rPr>
                <w:color w:val="auto"/>
                <w:sz w:val="10"/>
                <w:szCs w:val="10"/>
              </w:rPr>
              <w:t>8.838</w:t>
            </w:r>
          </w:p>
        </w:tc>
        <w:tc>
          <w:tcPr>
            <w:tcW w:w="709" w:type="dxa"/>
            <w:shd w:val="clear" w:color="auto" w:fill="auto"/>
            <w:vAlign w:val="center"/>
          </w:tcPr>
          <w:p w14:paraId="57635E48" w14:textId="77777777" w:rsidR="00D34C6F" w:rsidRPr="00CD1278" w:rsidRDefault="00D34C6F" w:rsidP="008277E3">
            <w:pPr>
              <w:spacing w:after="60"/>
              <w:rPr>
                <w:color w:val="auto"/>
                <w:sz w:val="10"/>
                <w:szCs w:val="10"/>
              </w:rPr>
            </w:pPr>
            <w:r w:rsidRPr="00CD1278">
              <w:rPr>
                <w:color w:val="auto"/>
                <w:sz w:val="10"/>
                <w:szCs w:val="10"/>
              </w:rPr>
              <w:t>8.837</w:t>
            </w:r>
          </w:p>
        </w:tc>
        <w:tc>
          <w:tcPr>
            <w:tcW w:w="567" w:type="dxa"/>
            <w:shd w:val="clear" w:color="auto" w:fill="auto"/>
            <w:vAlign w:val="center"/>
          </w:tcPr>
          <w:p w14:paraId="1A24D23D" w14:textId="77777777" w:rsidR="00D34C6F" w:rsidRPr="00CD1278" w:rsidRDefault="00D34C6F" w:rsidP="008277E3">
            <w:pPr>
              <w:spacing w:after="60"/>
              <w:rPr>
                <w:color w:val="auto"/>
                <w:sz w:val="10"/>
                <w:szCs w:val="10"/>
              </w:rPr>
            </w:pPr>
            <w:r w:rsidRPr="00CD1278">
              <w:rPr>
                <w:color w:val="auto"/>
                <w:sz w:val="10"/>
                <w:szCs w:val="10"/>
              </w:rPr>
              <w:t>7.381</w:t>
            </w:r>
          </w:p>
        </w:tc>
        <w:tc>
          <w:tcPr>
            <w:tcW w:w="708" w:type="dxa"/>
            <w:shd w:val="clear" w:color="auto" w:fill="auto"/>
            <w:vAlign w:val="center"/>
          </w:tcPr>
          <w:p w14:paraId="11A23F16" w14:textId="77777777" w:rsidR="00D34C6F" w:rsidRPr="00CD1278" w:rsidRDefault="00D34C6F" w:rsidP="008277E3">
            <w:pPr>
              <w:spacing w:after="60"/>
              <w:rPr>
                <w:color w:val="auto"/>
                <w:sz w:val="10"/>
                <w:szCs w:val="10"/>
              </w:rPr>
            </w:pPr>
            <w:r w:rsidRPr="00CD1278">
              <w:rPr>
                <w:color w:val="auto"/>
                <w:sz w:val="10"/>
                <w:szCs w:val="10"/>
              </w:rPr>
              <w:t>7.381</w:t>
            </w:r>
          </w:p>
        </w:tc>
        <w:tc>
          <w:tcPr>
            <w:tcW w:w="567" w:type="dxa"/>
            <w:shd w:val="clear" w:color="auto" w:fill="auto"/>
            <w:vAlign w:val="center"/>
          </w:tcPr>
          <w:p w14:paraId="185AE910" w14:textId="77777777" w:rsidR="00D34C6F" w:rsidRPr="00CD1278" w:rsidRDefault="00D34C6F" w:rsidP="008277E3">
            <w:pPr>
              <w:spacing w:after="60"/>
              <w:rPr>
                <w:color w:val="auto"/>
                <w:sz w:val="10"/>
                <w:szCs w:val="10"/>
              </w:rPr>
            </w:pPr>
            <w:r w:rsidRPr="00CD1278">
              <w:rPr>
                <w:color w:val="auto"/>
                <w:sz w:val="10"/>
                <w:szCs w:val="10"/>
              </w:rPr>
              <w:t> 3.752</w:t>
            </w:r>
          </w:p>
        </w:tc>
        <w:tc>
          <w:tcPr>
            <w:tcW w:w="567" w:type="dxa"/>
            <w:shd w:val="clear" w:color="auto" w:fill="auto"/>
            <w:vAlign w:val="center"/>
          </w:tcPr>
          <w:p w14:paraId="72ABDBE2" w14:textId="77777777" w:rsidR="00D34C6F" w:rsidRPr="00CD1278" w:rsidRDefault="00D34C6F" w:rsidP="008277E3">
            <w:pPr>
              <w:spacing w:after="60"/>
              <w:rPr>
                <w:color w:val="auto"/>
                <w:sz w:val="10"/>
                <w:szCs w:val="10"/>
              </w:rPr>
            </w:pPr>
            <w:r w:rsidRPr="00CD1278">
              <w:rPr>
                <w:color w:val="auto"/>
                <w:sz w:val="10"/>
                <w:szCs w:val="10"/>
              </w:rPr>
              <w:t>3.752</w:t>
            </w:r>
          </w:p>
        </w:tc>
        <w:tc>
          <w:tcPr>
            <w:tcW w:w="629" w:type="dxa"/>
          </w:tcPr>
          <w:p w14:paraId="461F5B79" w14:textId="77777777" w:rsidR="00D34C6F" w:rsidRPr="00CD1278" w:rsidRDefault="00D34C6F" w:rsidP="008277E3">
            <w:pPr>
              <w:spacing w:after="60"/>
              <w:rPr>
                <w:color w:val="auto"/>
                <w:sz w:val="10"/>
                <w:szCs w:val="10"/>
              </w:rPr>
            </w:pPr>
          </w:p>
        </w:tc>
        <w:tc>
          <w:tcPr>
            <w:tcW w:w="567" w:type="dxa"/>
          </w:tcPr>
          <w:p w14:paraId="3C04F9DD" w14:textId="77777777" w:rsidR="00D34C6F" w:rsidRPr="00CD1278" w:rsidRDefault="00D34C6F" w:rsidP="008277E3">
            <w:pPr>
              <w:spacing w:after="60"/>
              <w:rPr>
                <w:color w:val="auto"/>
                <w:sz w:val="10"/>
                <w:szCs w:val="10"/>
              </w:rPr>
            </w:pPr>
          </w:p>
        </w:tc>
        <w:tc>
          <w:tcPr>
            <w:tcW w:w="567" w:type="dxa"/>
          </w:tcPr>
          <w:p w14:paraId="25F26303" w14:textId="77777777" w:rsidR="00D34C6F" w:rsidRPr="00CD1278" w:rsidRDefault="00D34C6F" w:rsidP="008277E3">
            <w:pPr>
              <w:spacing w:after="60"/>
              <w:rPr>
                <w:color w:val="auto"/>
                <w:sz w:val="10"/>
                <w:szCs w:val="10"/>
              </w:rPr>
            </w:pPr>
          </w:p>
        </w:tc>
        <w:tc>
          <w:tcPr>
            <w:tcW w:w="709" w:type="dxa"/>
            <w:shd w:val="clear" w:color="auto" w:fill="auto"/>
            <w:vAlign w:val="center"/>
          </w:tcPr>
          <w:p w14:paraId="5ECD27C1" w14:textId="77777777" w:rsidR="00D34C6F" w:rsidRPr="00CD1278" w:rsidRDefault="00D34C6F" w:rsidP="008277E3">
            <w:pPr>
              <w:spacing w:after="60"/>
              <w:rPr>
                <w:color w:val="auto"/>
                <w:sz w:val="10"/>
                <w:szCs w:val="10"/>
              </w:rPr>
            </w:pPr>
            <w:r w:rsidRPr="00CD1278">
              <w:rPr>
                <w:color w:val="auto"/>
                <w:sz w:val="10"/>
                <w:szCs w:val="10"/>
              </w:rPr>
              <w:t>54.988</w:t>
            </w:r>
          </w:p>
        </w:tc>
        <w:tc>
          <w:tcPr>
            <w:tcW w:w="709" w:type="dxa"/>
            <w:shd w:val="clear" w:color="auto" w:fill="auto"/>
            <w:vAlign w:val="center"/>
          </w:tcPr>
          <w:p w14:paraId="7F7B03C1" w14:textId="77777777" w:rsidR="00D34C6F" w:rsidRPr="00CD1278" w:rsidRDefault="00D34C6F" w:rsidP="008277E3">
            <w:pPr>
              <w:spacing w:after="60"/>
              <w:rPr>
                <w:color w:val="auto"/>
                <w:sz w:val="10"/>
                <w:szCs w:val="10"/>
              </w:rPr>
            </w:pPr>
            <w:r w:rsidRPr="00CD1278">
              <w:rPr>
                <w:color w:val="auto"/>
                <w:sz w:val="10"/>
                <w:szCs w:val="10"/>
              </w:rPr>
              <w:t>56.291</w:t>
            </w:r>
          </w:p>
        </w:tc>
        <w:tc>
          <w:tcPr>
            <w:tcW w:w="708" w:type="dxa"/>
            <w:shd w:val="clear" w:color="auto" w:fill="auto"/>
            <w:vAlign w:val="center"/>
          </w:tcPr>
          <w:p w14:paraId="2D4C11DA" w14:textId="77777777" w:rsidR="00D34C6F" w:rsidRPr="00CD1278" w:rsidRDefault="00D34C6F" w:rsidP="008277E3">
            <w:pPr>
              <w:spacing w:after="60"/>
              <w:rPr>
                <w:color w:val="auto"/>
                <w:sz w:val="10"/>
                <w:szCs w:val="10"/>
              </w:rPr>
            </w:pPr>
            <w:r w:rsidRPr="00CD1278">
              <w:rPr>
                <w:color w:val="auto"/>
                <w:sz w:val="10"/>
                <w:szCs w:val="10"/>
              </w:rPr>
              <w:t> 4.483</w:t>
            </w:r>
          </w:p>
        </w:tc>
        <w:tc>
          <w:tcPr>
            <w:tcW w:w="709" w:type="dxa"/>
            <w:shd w:val="clear" w:color="auto" w:fill="auto"/>
            <w:vAlign w:val="center"/>
          </w:tcPr>
          <w:p w14:paraId="5A55B315" w14:textId="77777777" w:rsidR="00D34C6F" w:rsidRPr="00CD1278" w:rsidRDefault="00D34C6F" w:rsidP="008277E3">
            <w:pPr>
              <w:spacing w:after="60"/>
              <w:rPr>
                <w:color w:val="auto"/>
                <w:sz w:val="10"/>
                <w:szCs w:val="10"/>
              </w:rPr>
            </w:pPr>
            <w:r w:rsidRPr="00CD1278">
              <w:rPr>
                <w:color w:val="auto"/>
                <w:sz w:val="10"/>
                <w:szCs w:val="10"/>
              </w:rPr>
              <w:t>8.838</w:t>
            </w:r>
          </w:p>
        </w:tc>
        <w:tc>
          <w:tcPr>
            <w:tcW w:w="567" w:type="dxa"/>
            <w:shd w:val="clear" w:color="auto" w:fill="auto"/>
            <w:vAlign w:val="center"/>
          </w:tcPr>
          <w:p w14:paraId="24C41322" w14:textId="77777777" w:rsidR="00D34C6F" w:rsidRPr="00CD1278" w:rsidRDefault="00D34C6F" w:rsidP="008277E3">
            <w:pPr>
              <w:spacing w:after="60"/>
              <w:rPr>
                <w:color w:val="auto"/>
                <w:sz w:val="10"/>
                <w:szCs w:val="10"/>
              </w:rPr>
            </w:pPr>
            <w:r w:rsidRPr="00CD1278">
              <w:rPr>
                <w:color w:val="auto"/>
                <w:sz w:val="10"/>
                <w:szCs w:val="10"/>
              </w:rPr>
              <w:t>7.944</w:t>
            </w:r>
          </w:p>
        </w:tc>
        <w:tc>
          <w:tcPr>
            <w:tcW w:w="647" w:type="dxa"/>
            <w:shd w:val="clear" w:color="auto" w:fill="auto"/>
            <w:vAlign w:val="center"/>
          </w:tcPr>
          <w:p w14:paraId="111EC56A" w14:textId="77777777" w:rsidR="00D34C6F" w:rsidRPr="00CD1278" w:rsidRDefault="00D34C6F" w:rsidP="008277E3">
            <w:pPr>
              <w:spacing w:after="60"/>
              <w:rPr>
                <w:color w:val="auto"/>
                <w:sz w:val="10"/>
                <w:szCs w:val="10"/>
              </w:rPr>
            </w:pPr>
            <w:r w:rsidRPr="00CD1278">
              <w:rPr>
                <w:color w:val="auto"/>
                <w:sz w:val="10"/>
                <w:szCs w:val="10"/>
              </w:rPr>
              <w:t>4.690 + 2.018</w:t>
            </w:r>
          </w:p>
        </w:tc>
        <w:tc>
          <w:tcPr>
            <w:tcW w:w="567" w:type="dxa"/>
            <w:shd w:val="clear" w:color="auto" w:fill="auto"/>
            <w:vAlign w:val="center"/>
          </w:tcPr>
          <w:p w14:paraId="6488209D" w14:textId="77777777" w:rsidR="00D34C6F" w:rsidRPr="00CD1278" w:rsidRDefault="00D34C6F" w:rsidP="008277E3">
            <w:pPr>
              <w:spacing w:after="60"/>
              <w:rPr>
                <w:color w:val="auto"/>
                <w:sz w:val="10"/>
                <w:szCs w:val="10"/>
              </w:rPr>
            </w:pPr>
            <w:r w:rsidRPr="00CD1278">
              <w:rPr>
                <w:color w:val="auto"/>
                <w:sz w:val="10"/>
                <w:szCs w:val="10"/>
              </w:rPr>
              <w:t>6.036</w:t>
            </w:r>
          </w:p>
        </w:tc>
        <w:tc>
          <w:tcPr>
            <w:tcW w:w="567" w:type="dxa"/>
            <w:shd w:val="clear" w:color="auto" w:fill="auto"/>
            <w:noWrap/>
            <w:vAlign w:val="center"/>
          </w:tcPr>
          <w:p w14:paraId="55580E36" w14:textId="77777777" w:rsidR="00D34C6F" w:rsidRPr="00CD1278" w:rsidRDefault="00D34C6F" w:rsidP="008277E3">
            <w:pPr>
              <w:spacing w:after="60"/>
              <w:rPr>
                <w:color w:val="auto"/>
                <w:sz w:val="10"/>
                <w:szCs w:val="10"/>
              </w:rPr>
            </w:pPr>
            <w:r w:rsidRPr="00CD1278">
              <w:rPr>
                <w:color w:val="auto"/>
                <w:sz w:val="10"/>
                <w:szCs w:val="10"/>
              </w:rPr>
              <w:t> 3.752</w:t>
            </w:r>
          </w:p>
        </w:tc>
        <w:tc>
          <w:tcPr>
            <w:tcW w:w="567" w:type="dxa"/>
          </w:tcPr>
          <w:p w14:paraId="2E260C07" w14:textId="77777777" w:rsidR="00D34C6F" w:rsidRPr="00CD1278" w:rsidRDefault="00D34C6F" w:rsidP="008277E3">
            <w:pPr>
              <w:spacing w:after="60"/>
              <w:rPr>
                <w:b/>
                <w:color w:val="auto"/>
                <w:sz w:val="10"/>
                <w:szCs w:val="10"/>
              </w:rPr>
            </w:pPr>
          </w:p>
        </w:tc>
        <w:tc>
          <w:tcPr>
            <w:tcW w:w="567" w:type="dxa"/>
          </w:tcPr>
          <w:p w14:paraId="04A83D4A" w14:textId="77777777" w:rsidR="00D34C6F" w:rsidRPr="00CD1278" w:rsidRDefault="00D34C6F" w:rsidP="008277E3">
            <w:pPr>
              <w:spacing w:after="60"/>
              <w:rPr>
                <w:b/>
                <w:color w:val="auto"/>
                <w:sz w:val="10"/>
                <w:szCs w:val="10"/>
              </w:rPr>
            </w:pPr>
          </w:p>
        </w:tc>
        <w:tc>
          <w:tcPr>
            <w:tcW w:w="567" w:type="dxa"/>
          </w:tcPr>
          <w:p w14:paraId="45440411" w14:textId="77777777" w:rsidR="00D34C6F" w:rsidRPr="00CD1278" w:rsidRDefault="00D34C6F" w:rsidP="008277E3">
            <w:pPr>
              <w:spacing w:after="60"/>
              <w:rPr>
                <w:b/>
                <w:color w:val="auto"/>
                <w:sz w:val="10"/>
                <w:szCs w:val="10"/>
              </w:rPr>
            </w:pPr>
          </w:p>
        </w:tc>
        <w:tc>
          <w:tcPr>
            <w:tcW w:w="567" w:type="dxa"/>
          </w:tcPr>
          <w:p w14:paraId="5D5CE541" w14:textId="77777777" w:rsidR="00D34C6F" w:rsidRPr="00CD1278" w:rsidRDefault="00D34C6F" w:rsidP="008277E3">
            <w:pPr>
              <w:spacing w:after="60"/>
              <w:rPr>
                <w:b/>
                <w:color w:val="auto"/>
                <w:sz w:val="10"/>
                <w:szCs w:val="10"/>
              </w:rPr>
            </w:pPr>
          </w:p>
        </w:tc>
      </w:tr>
      <w:tr w:rsidR="003C102E" w:rsidRPr="00CD1278" w14:paraId="6F8BEB27" w14:textId="77777777" w:rsidTr="008277E3">
        <w:trPr>
          <w:trHeight w:val="465"/>
          <w:jc w:val="center"/>
        </w:trPr>
        <w:tc>
          <w:tcPr>
            <w:tcW w:w="662" w:type="dxa"/>
            <w:shd w:val="clear" w:color="auto" w:fill="auto"/>
            <w:vAlign w:val="center"/>
          </w:tcPr>
          <w:p w14:paraId="0AEEB99E"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03539C19" w14:textId="77777777" w:rsidR="00D34C6F" w:rsidRPr="00CD1278" w:rsidRDefault="00D34C6F" w:rsidP="00D1371C">
            <w:pPr>
              <w:spacing w:after="60"/>
              <w:ind w:left="-87"/>
              <w:rPr>
                <w:color w:val="auto"/>
                <w:sz w:val="12"/>
                <w:szCs w:val="12"/>
              </w:rPr>
            </w:pPr>
            <w:r w:rsidRPr="00CD1278">
              <w:rPr>
                <w:color w:val="auto"/>
                <w:sz w:val="12"/>
                <w:szCs w:val="12"/>
              </w:rPr>
              <w:t>Tomato – field</w:t>
            </w:r>
          </w:p>
        </w:tc>
        <w:tc>
          <w:tcPr>
            <w:tcW w:w="770" w:type="dxa"/>
            <w:shd w:val="clear" w:color="auto" w:fill="auto"/>
            <w:vAlign w:val="center"/>
          </w:tcPr>
          <w:p w14:paraId="39981950" w14:textId="77777777" w:rsidR="00D34C6F" w:rsidRPr="00CD1278" w:rsidRDefault="00D34C6F" w:rsidP="008277E3">
            <w:pPr>
              <w:spacing w:after="60"/>
              <w:rPr>
                <w:color w:val="auto"/>
                <w:sz w:val="10"/>
                <w:szCs w:val="10"/>
              </w:rPr>
            </w:pPr>
            <w:r w:rsidRPr="00CD1278">
              <w:rPr>
                <w:color w:val="auto"/>
                <w:sz w:val="10"/>
                <w:szCs w:val="10"/>
              </w:rPr>
              <w:t>2876.046</w:t>
            </w:r>
          </w:p>
        </w:tc>
        <w:tc>
          <w:tcPr>
            <w:tcW w:w="647" w:type="dxa"/>
            <w:shd w:val="clear" w:color="auto" w:fill="auto"/>
            <w:vAlign w:val="center"/>
          </w:tcPr>
          <w:p w14:paraId="1B0FEEAE" w14:textId="77777777" w:rsidR="00D34C6F" w:rsidRPr="00CD1278" w:rsidRDefault="00D34C6F" w:rsidP="008277E3">
            <w:pPr>
              <w:spacing w:after="60"/>
              <w:rPr>
                <w:color w:val="auto"/>
                <w:sz w:val="10"/>
                <w:szCs w:val="10"/>
              </w:rPr>
            </w:pPr>
            <w:r w:rsidRPr="00CD1278">
              <w:rPr>
                <w:color w:val="auto"/>
                <w:sz w:val="10"/>
                <w:szCs w:val="10"/>
              </w:rPr>
              <w:t>2844.985</w:t>
            </w:r>
          </w:p>
        </w:tc>
        <w:tc>
          <w:tcPr>
            <w:tcW w:w="709" w:type="dxa"/>
            <w:shd w:val="clear" w:color="auto" w:fill="auto"/>
            <w:vAlign w:val="center"/>
          </w:tcPr>
          <w:p w14:paraId="4D4440CF" w14:textId="77777777" w:rsidR="00D34C6F" w:rsidRPr="00CD1278" w:rsidRDefault="00D34C6F" w:rsidP="008277E3">
            <w:pPr>
              <w:spacing w:after="60"/>
              <w:rPr>
                <w:color w:val="auto"/>
                <w:sz w:val="10"/>
                <w:szCs w:val="10"/>
              </w:rPr>
            </w:pPr>
            <w:r w:rsidRPr="00CD1278">
              <w:rPr>
                <w:color w:val="auto"/>
                <w:sz w:val="10"/>
                <w:szCs w:val="10"/>
              </w:rPr>
              <w:t>2334.047</w:t>
            </w:r>
          </w:p>
        </w:tc>
        <w:tc>
          <w:tcPr>
            <w:tcW w:w="567" w:type="dxa"/>
            <w:shd w:val="clear" w:color="auto" w:fill="auto"/>
            <w:vAlign w:val="center"/>
          </w:tcPr>
          <w:p w14:paraId="4E77167F" w14:textId="77777777" w:rsidR="00D34C6F" w:rsidRPr="00CD1278" w:rsidRDefault="00D34C6F" w:rsidP="008277E3">
            <w:pPr>
              <w:spacing w:after="60"/>
              <w:rPr>
                <w:color w:val="auto"/>
                <w:sz w:val="10"/>
                <w:szCs w:val="10"/>
              </w:rPr>
            </w:pPr>
            <w:r w:rsidRPr="00CD1278">
              <w:rPr>
                <w:color w:val="auto"/>
                <w:sz w:val="10"/>
                <w:szCs w:val="10"/>
              </w:rPr>
              <w:t>1840.1</w:t>
            </w:r>
          </w:p>
        </w:tc>
        <w:tc>
          <w:tcPr>
            <w:tcW w:w="709" w:type="dxa"/>
            <w:shd w:val="clear" w:color="auto" w:fill="auto"/>
            <w:vAlign w:val="center"/>
          </w:tcPr>
          <w:p w14:paraId="49A6E30C" w14:textId="77777777" w:rsidR="00D34C6F" w:rsidRPr="00CD1278" w:rsidRDefault="00D34C6F" w:rsidP="008277E3">
            <w:pPr>
              <w:spacing w:after="60"/>
              <w:rPr>
                <w:color w:val="auto"/>
                <w:sz w:val="10"/>
                <w:szCs w:val="10"/>
              </w:rPr>
            </w:pPr>
            <w:r w:rsidRPr="00CD1278">
              <w:rPr>
                <w:color w:val="auto"/>
                <w:sz w:val="10"/>
                <w:szCs w:val="10"/>
              </w:rPr>
              <w:t>1406.484</w:t>
            </w:r>
          </w:p>
        </w:tc>
        <w:tc>
          <w:tcPr>
            <w:tcW w:w="567" w:type="dxa"/>
            <w:shd w:val="clear" w:color="auto" w:fill="auto"/>
            <w:vAlign w:val="center"/>
          </w:tcPr>
          <w:p w14:paraId="22612631" w14:textId="77777777" w:rsidR="00D34C6F" w:rsidRPr="00CD1278" w:rsidRDefault="00D34C6F" w:rsidP="008277E3">
            <w:pPr>
              <w:spacing w:after="60"/>
              <w:rPr>
                <w:color w:val="auto"/>
                <w:sz w:val="10"/>
                <w:szCs w:val="10"/>
              </w:rPr>
            </w:pPr>
            <w:r w:rsidRPr="00CD1278">
              <w:rPr>
                <w:color w:val="auto"/>
                <w:sz w:val="10"/>
                <w:szCs w:val="10"/>
              </w:rPr>
              <w:t>994.582</w:t>
            </w:r>
          </w:p>
        </w:tc>
        <w:tc>
          <w:tcPr>
            <w:tcW w:w="708" w:type="dxa"/>
            <w:shd w:val="clear" w:color="auto" w:fill="auto"/>
            <w:vAlign w:val="center"/>
          </w:tcPr>
          <w:p w14:paraId="0402EFAF" w14:textId="77777777" w:rsidR="00D34C6F" w:rsidRPr="00CD1278" w:rsidRDefault="00D34C6F" w:rsidP="008277E3">
            <w:pPr>
              <w:spacing w:after="60"/>
              <w:rPr>
                <w:color w:val="auto"/>
                <w:sz w:val="10"/>
                <w:szCs w:val="10"/>
              </w:rPr>
            </w:pPr>
            <w:r w:rsidRPr="00CD1278">
              <w:rPr>
                <w:color w:val="auto"/>
                <w:sz w:val="10"/>
                <w:szCs w:val="10"/>
              </w:rPr>
              <w:t>336.191</w:t>
            </w:r>
          </w:p>
        </w:tc>
        <w:tc>
          <w:tcPr>
            <w:tcW w:w="567" w:type="dxa"/>
            <w:shd w:val="clear" w:color="auto" w:fill="auto"/>
            <w:vAlign w:val="center"/>
          </w:tcPr>
          <w:p w14:paraId="7FB1C3CB" w14:textId="77777777" w:rsidR="00D34C6F" w:rsidRPr="00CD1278" w:rsidRDefault="00D34C6F" w:rsidP="008277E3">
            <w:pPr>
              <w:spacing w:after="60"/>
              <w:rPr>
                <w:color w:val="auto"/>
                <w:sz w:val="10"/>
                <w:szCs w:val="10"/>
              </w:rPr>
            </w:pPr>
            <w:r w:rsidRPr="00CD1278">
              <w:rPr>
                <w:color w:val="auto"/>
                <w:sz w:val="10"/>
                <w:szCs w:val="10"/>
              </w:rPr>
              <w:t> 54.423</w:t>
            </w:r>
          </w:p>
        </w:tc>
        <w:tc>
          <w:tcPr>
            <w:tcW w:w="567" w:type="dxa"/>
            <w:shd w:val="clear" w:color="auto" w:fill="auto"/>
            <w:vAlign w:val="center"/>
          </w:tcPr>
          <w:p w14:paraId="61B13DED" w14:textId="77777777" w:rsidR="00D34C6F" w:rsidRPr="00CD1278" w:rsidRDefault="00D34C6F" w:rsidP="008277E3">
            <w:pPr>
              <w:spacing w:after="60"/>
              <w:rPr>
                <w:color w:val="auto"/>
                <w:sz w:val="10"/>
                <w:szCs w:val="10"/>
              </w:rPr>
            </w:pPr>
            <w:r w:rsidRPr="00CD1278">
              <w:rPr>
                <w:color w:val="auto"/>
                <w:sz w:val="10"/>
                <w:szCs w:val="10"/>
              </w:rPr>
              <w:t>10.741</w:t>
            </w:r>
          </w:p>
        </w:tc>
        <w:tc>
          <w:tcPr>
            <w:tcW w:w="629" w:type="dxa"/>
          </w:tcPr>
          <w:p w14:paraId="67A19E9D" w14:textId="77777777" w:rsidR="00D34C6F" w:rsidRPr="00CD1278" w:rsidRDefault="00D34C6F" w:rsidP="008277E3">
            <w:pPr>
              <w:spacing w:after="60"/>
              <w:rPr>
                <w:color w:val="auto"/>
                <w:sz w:val="10"/>
                <w:szCs w:val="10"/>
              </w:rPr>
            </w:pPr>
          </w:p>
        </w:tc>
        <w:tc>
          <w:tcPr>
            <w:tcW w:w="567" w:type="dxa"/>
          </w:tcPr>
          <w:p w14:paraId="3E4ECDFE" w14:textId="77777777" w:rsidR="00D34C6F" w:rsidRPr="00CD1278" w:rsidRDefault="00D34C6F" w:rsidP="008277E3">
            <w:pPr>
              <w:spacing w:after="60"/>
              <w:rPr>
                <w:color w:val="auto"/>
                <w:sz w:val="10"/>
                <w:szCs w:val="10"/>
              </w:rPr>
            </w:pPr>
          </w:p>
        </w:tc>
        <w:tc>
          <w:tcPr>
            <w:tcW w:w="567" w:type="dxa"/>
          </w:tcPr>
          <w:p w14:paraId="704164C2" w14:textId="77777777" w:rsidR="00D34C6F" w:rsidRPr="00CD1278" w:rsidRDefault="00D34C6F" w:rsidP="008277E3">
            <w:pPr>
              <w:spacing w:after="60"/>
              <w:rPr>
                <w:color w:val="auto"/>
                <w:sz w:val="10"/>
                <w:szCs w:val="10"/>
              </w:rPr>
            </w:pPr>
          </w:p>
        </w:tc>
        <w:tc>
          <w:tcPr>
            <w:tcW w:w="709" w:type="dxa"/>
            <w:shd w:val="clear" w:color="auto" w:fill="auto"/>
            <w:vAlign w:val="center"/>
          </w:tcPr>
          <w:p w14:paraId="17C35E5D" w14:textId="77777777" w:rsidR="00D34C6F" w:rsidRPr="00CD1278" w:rsidRDefault="00D34C6F" w:rsidP="008277E3">
            <w:pPr>
              <w:spacing w:after="60"/>
              <w:rPr>
                <w:color w:val="auto"/>
                <w:sz w:val="10"/>
                <w:szCs w:val="10"/>
              </w:rPr>
            </w:pPr>
            <w:r w:rsidRPr="00CD1278">
              <w:rPr>
                <w:color w:val="auto"/>
                <w:sz w:val="10"/>
                <w:szCs w:val="10"/>
              </w:rPr>
              <w:t>737.584</w:t>
            </w:r>
          </w:p>
        </w:tc>
        <w:tc>
          <w:tcPr>
            <w:tcW w:w="709" w:type="dxa"/>
            <w:shd w:val="clear" w:color="auto" w:fill="auto"/>
            <w:vAlign w:val="center"/>
          </w:tcPr>
          <w:p w14:paraId="3D07E13D" w14:textId="77777777" w:rsidR="00D34C6F" w:rsidRPr="00CD1278" w:rsidRDefault="00D34C6F" w:rsidP="008277E3">
            <w:pPr>
              <w:spacing w:after="60"/>
              <w:rPr>
                <w:color w:val="auto"/>
                <w:sz w:val="10"/>
                <w:szCs w:val="10"/>
              </w:rPr>
            </w:pPr>
            <w:r w:rsidRPr="00CD1278">
              <w:rPr>
                <w:color w:val="auto"/>
                <w:sz w:val="10"/>
                <w:szCs w:val="10"/>
              </w:rPr>
              <w:t>2476.365</w:t>
            </w:r>
          </w:p>
        </w:tc>
        <w:tc>
          <w:tcPr>
            <w:tcW w:w="708" w:type="dxa"/>
            <w:shd w:val="clear" w:color="auto" w:fill="auto"/>
            <w:vAlign w:val="center"/>
          </w:tcPr>
          <w:p w14:paraId="7258B7A0" w14:textId="77777777" w:rsidR="00D34C6F" w:rsidRPr="00CD1278" w:rsidRDefault="00D34C6F" w:rsidP="008277E3">
            <w:pPr>
              <w:spacing w:after="60"/>
              <w:rPr>
                <w:color w:val="auto"/>
                <w:sz w:val="10"/>
                <w:szCs w:val="10"/>
              </w:rPr>
            </w:pPr>
            <w:r w:rsidRPr="00CD1278">
              <w:rPr>
                <w:color w:val="auto"/>
                <w:sz w:val="10"/>
                <w:szCs w:val="10"/>
              </w:rPr>
              <w:t> 2065.246</w:t>
            </w:r>
          </w:p>
        </w:tc>
        <w:tc>
          <w:tcPr>
            <w:tcW w:w="709" w:type="dxa"/>
            <w:shd w:val="clear" w:color="auto" w:fill="auto"/>
            <w:vAlign w:val="center"/>
          </w:tcPr>
          <w:p w14:paraId="5089667E" w14:textId="77777777" w:rsidR="00D34C6F" w:rsidRPr="00CD1278" w:rsidRDefault="00D34C6F" w:rsidP="008277E3">
            <w:pPr>
              <w:spacing w:after="60"/>
              <w:rPr>
                <w:color w:val="auto"/>
                <w:sz w:val="10"/>
                <w:szCs w:val="10"/>
              </w:rPr>
            </w:pPr>
            <w:r w:rsidRPr="00CD1278">
              <w:rPr>
                <w:color w:val="auto"/>
                <w:sz w:val="10"/>
                <w:szCs w:val="10"/>
              </w:rPr>
              <w:t>1406.484</w:t>
            </w:r>
          </w:p>
        </w:tc>
        <w:tc>
          <w:tcPr>
            <w:tcW w:w="567" w:type="dxa"/>
            <w:shd w:val="clear" w:color="auto" w:fill="auto"/>
            <w:vAlign w:val="center"/>
          </w:tcPr>
          <w:p w14:paraId="422DC2DE" w14:textId="77777777" w:rsidR="00D34C6F" w:rsidRPr="00CD1278" w:rsidRDefault="00D34C6F" w:rsidP="008277E3">
            <w:pPr>
              <w:spacing w:after="60"/>
              <w:rPr>
                <w:color w:val="auto"/>
                <w:sz w:val="10"/>
                <w:szCs w:val="10"/>
              </w:rPr>
            </w:pPr>
            <w:r w:rsidRPr="00CD1278">
              <w:rPr>
                <w:color w:val="auto"/>
                <w:sz w:val="10"/>
                <w:szCs w:val="10"/>
              </w:rPr>
              <w:t>1003.876</w:t>
            </w:r>
          </w:p>
        </w:tc>
        <w:tc>
          <w:tcPr>
            <w:tcW w:w="647" w:type="dxa"/>
            <w:shd w:val="clear" w:color="auto" w:fill="auto"/>
            <w:vAlign w:val="center"/>
          </w:tcPr>
          <w:p w14:paraId="7099A958" w14:textId="77777777" w:rsidR="00D34C6F" w:rsidRPr="00CD1278" w:rsidRDefault="00D34C6F" w:rsidP="008277E3">
            <w:pPr>
              <w:spacing w:after="60"/>
              <w:rPr>
                <w:color w:val="auto"/>
                <w:sz w:val="10"/>
                <w:szCs w:val="10"/>
              </w:rPr>
            </w:pPr>
            <w:r w:rsidRPr="00CD1278">
              <w:rPr>
                <w:color w:val="auto"/>
                <w:sz w:val="10"/>
                <w:szCs w:val="10"/>
              </w:rPr>
              <w:t>737.584</w:t>
            </w:r>
          </w:p>
        </w:tc>
        <w:tc>
          <w:tcPr>
            <w:tcW w:w="567" w:type="dxa"/>
            <w:shd w:val="clear" w:color="auto" w:fill="auto"/>
            <w:vAlign w:val="center"/>
          </w:tcPr>
          <w:p w14:paraId="520287FC" w14:textId="77777777" w:rsidR="00D34C6F" w:rsidRPr="00CD1278" w:rsidRDefault="00D34C6F" w:rsidP="008277E3">
            <w:pPr>
              <w:spacing w:after="60"/>
              <w:rPr>
                <w:color w:val="auto"/>
                <w:sz w:val="10"/>
                <w:szCs w:val="10"/>
              </w:rPr>
            </w:pPr>
            <w:r w:rsidRPr="00CD1278">
              <w:rPr>
                <w:color w:val="auto"/>
                <w:sz w:val="10"/>
                <w:szCs w:val="10"/>
              </w:rPr>
              <w:t>292.751</w:t>
            </w:r>
          </w:p>
        </w:tc>
        <w:tc>
          <w:tcPr>
            <w:tcW w:w="567" w:type="dxa"/>
            <w:shd w:val="clear" w:color="auto" w:fill="auto"/>
            <w:noWrap/>
            <w:vAlign w:val="center"/>
          </w:tcPr>
          <w:p w14:paraId="4627A17E" w14:textId="77777777" w:rsidR="00D34C6F" w:rsidRPr="00CD1278" w:rsidRDefault="00D34C6F" w:rsidP="008277E3">
            <w:pPr>
              <w:spacing w:after="60"/>
              <w:rPr>
                <w:color w:val="auto"/>
                <w:sz w:val="10"/>
                <w:szCs w:val="10"/>
              </w:rPr>
            </w:pPr>
            <w:r w:rsidRPr="00CD1278">
              <w:rPr>
                <w:color w:val="auto"/>
                <w:sz w:val="10"/>
                <w:szCs w:val="10"/>
              </w:rPr>
              <w:t> 54.423</w:t>
            </w:r>
          </w:p>
        </w:tc>
        <w:tc>
          <w:tcPr>
            <w:tcW w:w="567" w:type="dxa"/>
          </w:tcPr>
          <w:p w14:paraId="796B3B88" w14:textId="77777777" w:rsidR="00D34C6F" w:rsidRPr="00CD1278" w:rsidRDefault="00D34C6F" w:rsidP="008277E3">
            <w:pPr>
              <w:spacing w:after="60"/>
              <w:rPr>
                <w:b/>
                <w:color w:val="auto"/>
                <w:sz w:val="10"/>
                <w:szCs w:val="10"/>
              </w:rPr>
            </w:pPr>
          </w:p>
        </w:tc>
        <w:tc>
          <w:tcPr>
            <w:tcW w:w="567" w:type="dxa"/>
          </w:tcPr>
          <w:p w14:paraId="21D7CBAA" w14:textId="77777777" w:rsidR="00D34C6F" w:rsidRPr="00CD1278" w:rsidRDefault="00D34C6F" w:rsidP="008277E3">
            <w:pPr>
              <w:spacing w:after="60"/>
              <w:rPr>
                <w:b/>
                <w:color w:val="auto"/>
                <w:sz w:val="10"/>
                <w:szCs w:val="10"/>
              </w:rPr>
            </w:pPr>
          </w:p>
        </w:tc>
        <w:tc>
          <w:tcPr>
            <w:tcW w:w="567" w:type="dxa"/>
          </w:tcPr>
          <w:p w14:paraId="6EAD0AF4" w14:textId="77777777" w:rsidR="00D34C6F" w:rsidRPr="00CD1278" w:rsidRDefault="00D34C6F" w:rsidP="008277E3">
            <w:pPr>
              <w:spacing w:after="60"/>
              <w:rPr>
                <w:b/>
                <w:color w:val="auto"/>
                <w:sz w:val="10"/>
                <w:szCs w:val="10"/>
              </w:rPr>
            </w:pPr>
          </w:p>
        </w:tc>
        <w:tc>
          <w:tcPr>
            <w:tcW w:w="567" w:type="dxa"/>
          </w:tcPr>
          <w:p w14:paraId="7F8A1671" w14:textId="77777777" w:rsidR="00D34C6F" w:rsidRPr="00CD1278" w:rsidRDefault="00D34C6F" w:rsidP="008277E3">
            <w:pPr>
              <w:spacing w:after="60"/>
              <w:rPr>
                <w:b/>
                <w:color w:val="auto"/>
                <w:sz w:val="10"/>
                <w:szCs w:val="10"/>
              </w:rPr>
            </w:pPr>
          </w:p>
        </w:tc>
      </w:tr>
      <w:tr w:rsidR="003C102E" w:rsidRPr="00CD1278" w14:paraId="5036EF6A" w14:textId="77777777" w:rsidTr="008277E3">
        <w:trPr>
          <w:trHeight w:val="270"/>
          <w:jc w:val="center"/>
        </w:trPr>
        <w:tc>
          <w:tcPr>
            <w:tcW w:w="662" w:type="dxa"/>
            <w:shd w:val="clear" w:color="auto" w:fill="auto"/>
            <w:vAlign w:val="center"/>
          </w:tcPr>
          <w:p w14:paraId="65C92BFB"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71A91CEA" w14:textId="77777777" w:rsidR="00D34C6F" w:rsidRPr="00CD1278" w:rsidRDefault="00D34C6F" w:rsidP="00D1371C">
            <w:pPr>
              <w:spacing w:after="60"/>
              <w:ind w:left="-87"/>
              <w:rPr>
                <w:color w:val="auto"/>
                <w:sz w:val="12"/>
                <w:szCs w:val="12"/>
              </w:rPr>
            </w:pPr>
            <w:r w:rsidRPr="00CD1278">
              <w:rPr>
                <w:color w:val="auto"/>
                <w:sz w:val="12"/>
                <w:szCs w:val="12"/>
              </w:rPr>
              <w:t>Turfgrass</w:t>
            </w:r>
          </w:p>
        </w:tc>
        <w:tc>
          <w:tcPr>
            <w:tcW w:w="770" w:type="dxa"/>
            <w:shd w:val="clear" w:color="auto" w:fill="auto"/>
            <w:vAlign w:val="center"/>
          </w:tcPr>
          <w:p w14:paraId="7FC729F3" w14:textId="77777777" w:rsidR="00D34C6F" w:rsidRPr="00CD1278" w:rsidRDefault="00D34C6F" w:rsidP="008277E3">
            <w:pPr>
              <w:spacing w:after="60"/>
              <w:rPr>
                <w:color w:val="auto"/>
                <w:sz w:val="10"/>
                <w:szCs w:val="10"/>
              </w:rPr>
            </w:pPr>
            <w:r w:rsidRPr="00CD1278">
              <w:rPr>
                <w:color w:val="auto"/>
                <w:sz w:val="10"/>
                <w:szCs w:val="10"/>
              </w:rPr>
              <w:t>352.194</w:t>
            </w:r>
          </w:p>
        </w:tc>
        <w:tc>
          <w:tcPr>
            <w:tcW w:w="647" w:type="dxa"/>
            <w:shd w:val="clear" w:color="auto" w:fill="auto"/>
            <w:vAlign w:val="center"/>
          </w:tcPr>
          <w:p w14:paraId="16A153AE" w14:textId="77777777" w:rsidR="00D34C6F" w:rsidRPr="00CD1278" w:rsidRDefault="00D34C6F" w:rsidP="008277E3">
            <w:pPr>
              <w:spacing w:after="60"/>
              <w:rPr>
                <w:color w:val="auto"/>
                <w:sz w:val="10"/>
                <w:szCs w:val="10"/>
              </w:rPr>
            </w:pPr>
            <w:r w:rsidRPr="00CD1278">
              <w:rPr>
                <w:color w:val="auto"/>
                <w:sz w:val="10"/>
                <w:szCs w:val="10"/>
              </w:rPr>
              <w:t>131.600</w:t>
            </w:r>
          </w:p>
        </w:tc>
        <w:tc>
          <w:tcPr>
            <w:tcW w:w="709" w:type="dxa"/>
            <w:shd w:val="clear" w:color="auto" w:fill="auto"/>
            <w:vAlign w:val="center"/>
          </w:tcPr>
          <w:p w14:paraId="4613EC30" w14:textId="77777777" w:rsidR="00D34C6F" w:rsidRPr="00CD1278" w:rsidRDefault="00D34C6F" w:rsidP="008277E3">
            <w:pPr>
              <w:spacing w:after="60"/>
              <w:rPr>
                <w:color w:val="auto"/>
                <w:sz w:val="10"/>
                <w:szCs w:val="10"/>
              </w:rPr>
            </w:pPr>
            <w:r w:rsidRPr="00CD1278">
              <w:rPr>
                <w:color w:val="auto"/>
                <w:sz w:val="10"/>
                <w:szCs w:val="10"/>
              </w:rPr>
              <w:t>78.040</w:t>
            </w:r>
          </w:p>
        </w:tc>
        <w:tc>
          <w:tcPr>
            <w:tcW w:w="567" w:type="dxa"/>
            <w:shd w:val="clear" w:color="auto" w:fill="auto"/>
            <w:vAlign w:val="center"/>
          </w:tcPr>
          <w:p w14:paraId="0558CD33" w14:textId="77777777" w:rsidR="00D34C6F" w:rsidRPr="00CD1278" w:rsidRDefault="00D34C6F" w:rsidP="008277E3">
            <w:pPr>
              <w:spacing w:after="60"/>
              <w:rPr>
                <w:color w:val="auto"/>
                <w:sz w:val="10"/>
                <w:szCs w:val="10"/>
              </w:rPr>
            </w:pPr>
            <w:r w:rsidRPr="00CD1278">
              <w:rPr>
                <w:color w:val="auto"/>
                <w:sz w:val="10"/>
                <w:szCs w:val="10"/>
              </w:rPr>
              <w:t>52.189</w:t>
            </w:r>
          </w:p>
        </w:tc>
        <w:tc>
          <w:tcPr>
            <w:tcW w:w="709" w:type="dxa"/>
            <w:shd w:val="clear" w:color="auto" w:fill="auto"/>
            <w:vAlign w:val="center"/>
          </w:tcPr>
          <w:p w14:paraId="3AC4D640" w14:textId="77777777" w:rsidR="00D34C6F" w:rsidRPr="00CD1278" w:rsidRDefault="00D34C6F" w:rsidP="008277E3">
            <w:pPr>
              <w:spacing w:after="60"/>
              <w:rPr>
                <w:color w:val="auto"/>
                <w:sz w:val="10"/>
                <w:szCs w:val="10"/>
              </w:rPr>
            </w:pPr>
            <w:r w:rsidRPr="00CD1278">
              <w:rPr>
                <w:color w:val="auto"/>
                <w:sz w:val="10"/>
                <w:szCs w:val="10"/>
              </w:rPr>
              <w:t>0</w:t>
            </w:r>
          </w:p>
        </w:tc>
        <w:tc>
          <w:tcPr>
            <w:tcW w:w="567" w:type="dxa"/>
            <w:shd w:val="clear" w:color="auto" w:fill="auto"/>
            <w:vAlign w:val="center"/>
          </w:tcPr>
          <w:p w14:paraId="2C5C1BFC"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64AA5801"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5FF06CF"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53B53B58" w14:textId="77777777" w:rsidR="00D34C6F" w:rsidRPr="00CD1278" w:rsidRDefault="00D34C6F" w:rsidP="008277E3">
            <w:pPr>
              <w:spacing w:after="60"/>
              <w:rPr>
                <w:color w:val="auto"/>
                <w:sz w:val="10"/>
                <w:szCs w:val="10"/>
              </w:rPr>
            </w:pPr>
            <w:r w:rsidRPr="00CD1278">
              <w:rPr>
                <w:color w:val="auto"/>
                <w:sz w:val="10"/>
                <w:szCs w:val="10"/>
              </w:rPr>
              <w:t> </w:t>
            </w:r>
          </w:p>
        </w:tc>
        <w:tc>
          <w:tcPr>
            <w:tcW w:w="629" w:type="dxa"/>
          </w:tcPr>
          <w:p w14:paraId="6AB27A74" w14:textId="77777777" w:rsidR="00D34C6F" w:rsidRPr="00CD1278" w:rsidRDefault="00D34C6F" w:rsidP="008277E3">
            <w:pPr>
              <w:spacing w:after="60"/>
              <w:rPr>
                <w:color w:val="auto"/>
                <w:sz w:val="10"/>
                <w:szCs w:val="10"/>
              </w:rPr>
            </w:pPr>
          </w:p>
        </w:tc>
        <w:tc>
          <w:tcPr>
            <w:tcW w:w="567" w:type="dxa"/>
          </w:tcPr>
          <w:p w14:paraId="5C10AC06" w14:textId="77777777" w:rsidR="00D34C6F" w:rsidRPr="00CD1278" w:rsidRDefault="00D34C6F" w:rsidP="008277E3">
            <w:pPr>
              <w:spacing w:after="60"/>
              <w:rPr>
                <w:color w:val="auto"/>
                <w:sz w:val="10"/>
                <w:szCs w:val="10"/>
              </w:rPr>
            </w:pPr>
          </w:p>
        </w:tc>
        <w:tc>
          <w:tcPr>
            <w:tcW w:w="567" w:type="dxa"/>
          </w:tcPr>
          <w:p w14:paraId="06A45400" w14:textId="77777777" w:rsidR="00D34C6F" w:rsidRPr="00CD1278" w:rsidRDefault="00D34C6F" w:rsidP="008277E3">
            <w:pPr>
              <w:spacing w:after="60"/>
              <w:rPr>
                <w:color w:val="auto"/>
                <w:sz w:val="10"/>
                <w:szCs w:val="10"/>
              </w:rPr>
            </w:pPr>
          </w:p>
        </w:tc>
        <w:tc>
          <w:tcPr>
            <w:tcW w:w="709" w:type="dxa"/>
            <w:shd w:val="clear" w:color="auto" w:fill="auto"/>
            <w:vAlign w:val="center"/>
          </w:tcPr>
          <w:p w14:paraId="6937341A"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5D6BAD1" w14:textId="77777777" w:rsidR="00D34C6F" w:rsidRPr="00CD1278" w:rsidRDefault="00D34C6F" w:rsidP="008277E3">
            <w:pPr>
              <w:spacing w:after="60"/>
              <w:rPr>
                <w:color w:val="auto"/>
                <w:sz w:val="10"/>
                <w:szCs w:val="10"/>
              </w:rPr>
            </w:pPr>
            <w:r w:rsidRPr="00CD1278">
              <w:rPr>
                <w:color w:val="auto"/>
                <w:sz w:val="10"/>
                <w:szCs w:val="10"/>
              </w:rPr>
              <w:t>131.600</w:t>
            </w:r>
          </w:p>
        </w:tc>
        <w:tc>
          <w:tcPr>
            <w:tcW w:w="708" w:type="dxa"/>
            <w:shd w:val="clear" w:color="auto" w:fill="auto"/>
            <w:vAlign w:val="center"/>
          </w:tcPr>
          <w:p w14:paraId="19C99096" w14:textId="77777777" w:rsidR="00D34C6F" w:rsidRPr="00CD1278" w:rsidRDefault="00D34C6F" w:rsidP="008277E3">
            <w:pPr>
              <w:spacing w:after="60"/>
              <w:rPr>
                <w:color w:val="auto"/>
                <w:sz w:val="10"/>
                <w:szCs w:val="10"/>
              </w:rPr>
            </w:pPr>
            <w:r w:rsidRPr="00CD1278">
              <w:rPr>
                <w:color w:val="auto"/>
                <w:sz w:val="10"/>
                <w:szCs w:val="10"/>
              </w:rPr>
              <w:t> 78.04</w:t>
            </w:r>
          </w:p>
        </w:tc>
        <w:tc>
          <w:tcPr>
            <w:tcW w:w="709" w:type="dxa"/>
            <w:shd w:val="clear" w:color="auto" w:fill="auto"/>
            <w:vAlign w:val="center"/>
          </w:tcPr>
          <w:p w14:paraId="64BC87DB" w14:textId="77777777" w:rsidR="00D34C6F" w:rsidRPr="00CD1278" w:rsidRDefault="00D34C6F" w:rsidP="008277E3">
            <w:pPr>
              <w:spacing w:after="60"/>
              <w:rPr>
                <w:color w:val="auto"/>
                <w:sz w:val="10"/>
                <w:szCs w:val="10"/>
              </w:rPr>
            </w:pPr>
            <w:r w:rsidRPr="00CD1278">
              <w:rPr>
                <w:color w:val="auto"/>
                <w:sz w:val="10"/>
                <w:szCs w:val="10"/>
              </w:rPr>
              <w:t>0</w:t>
            </w:r>
          </w:p>
        </w:tc>
        <w:tc>
          <w:tcPr>
            <w:tcW w:w="567" w:type="dxa"/>
            <w:shd w:val="clear" w:color="auto" w:fill="auto"/>
            <w:vAlign w:val="center"/>
          </w:tcPr>
          <w:p w14:paraId="2FB4D3B2" w14:textId="77777777" w:rsidR="00D34C6F" w:rsidRPr="00CD1278" w:rsidRDefault="00D34C6F" w:rsidP="008277E3">
            <w:pPr>
              <w:spacing w:after="60"/>
              <w:rPr>
                <w:color w:val="auto"/>
                <w:sz w:val="10"/>
                <w:szCs w:val="10"/>
              </w:rPr>
            </w:pPr>
            <w:r w:rsidRPr="00CD1278">
              <w:rPr>
                <w:color w:val="auto"/>
                <w:sz w:val="10"/>
                <w:szCs w:val="10"/>
              </w:rPr>
              <w:t> </w:t>
            </w:r>
          </w:p>
        </w:tc>
        <w:tc>
          <w:tcPr>
            <w:tcW w:w="647" w:type="dxa"/>
            <w:shd w:val="clear" w:color="auto" w:fill="auto"/>
            <w:vAlign w:val="center"/>
          </w:tcPr>
          <w:p w14:paraId="472A2629"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3706CC36"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noWrap/>
            <w:vAlign w:val="center"/>
          </w:tcPr>
          <w:p w14:paraId="1AD4FAE0"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77A9333F" w14:textId="77777777" w:rsidR="00D34C6F" w:rsidRPr="00CD1278" w:rsidRDefault="00D34C6F" w:rsidP="008277E3">
            <w:pPr>
              <w:spacing w:after="60"/>
              <w:rPr>
                <w:b/>
                <w:color w:val="auto"/>
                <w:sz w:val="10"/>
                <w:szCs w:val="10"/>
              </w:rPr>
            </w:pPr>
          </w:p>
        </w:tc>
        <w:tc>
          <w:tcPr>
            <w:tcW w:w="567" w:type="dxa"/>
          </w:tcPr>
          <w:p w14:paraId="311FE9DB" w14:textId="77777777" w:rsidR="00D34C6F" w:rsidRPr="00CD1278" w:rsidRDefault="00D34C6F" w:rsidP="008277E3">
            <w:pPr>
              <w:spacing w:after="60"/>
              <w:rPr>
                <w:b/>
                <w:color w:val="auto"/>
                <w:sz w:val="10"/>
                <w:szCs w:val="10"/>
              </w:rPr>
            </w:pPr>
          </w:p>
        </w:tc>
        <w:tc>
          <w:tcPr>
            <w:tcW w:w="567" w:type="dxa"/>
          </w:tcPr>
          <w:p w14:paraId="305B34AD" w14:textId="77777777" w:rsidR="00D34C6F" w:rsidRPr="00CD1278" w:rsidRDefault="00D34C6F" w:rsidP="008277E3">
            <w:pPr>
              <w:spacing w:after="60"/>
              <w:rPr>
                <w:b/>
                <w:color w:val="auto"/>
                <w:sz w:val="10"/>
                <w:szCs w:val="10"/>
              </w:rPr>
            </w:pPr>
          </w:p>
        </w:tc>
        <w:tc>
          <w:tcPr>
            <w:tcW w:w="567" w:type="dxa"/>
          </w:tcPr>
          <w:p w14:paraId="36009A94" w14:textId="77777777" w:rsidR="00D34C6F" w:rsidRPr="00CD1278" w:rsidRDefault="00D34C6F" w:rsidP="008277E3">
            <w:pPr>
              <w:spacing w:after="60"/>
              <w:rPr>
                <w:b/>
                <w:color w:val="auto"/>
                <w:sz w:val="10"/>
                <w:szCs w:val="10"/>
              </w:rPr>
            </w:pPr>
          </w:p>
        </w:tc>
      </w:tr>
      <w:tr w:rsidR="003C102E" w:rsidRPr="00CD1278" w14:paraId="130586A2" w14:textId="77777777" w:rsidTr="008277E3">
        <w:trPr>
          <w:trHeight w:val="465"/>
          <w:jc w:val="center"/>
        </w:trPr>
        <w:tc>
          <w:tcPr>
            <w:tcW w:w="662" w:type="dxa"/>
            <w:shd w:val="clear" w:color="auto" w:fill="auto"/>
            <w:vAlign w:val="center"/>
          </w:tcPr>
          <w:p w14:paraId="668B9291"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1382B572" w14:textId="77777777" w:rsidR="00D34C6F" w:rsidRPr="00CD1278" w:rsidRDefault="00D34C6F" w:rsidP="00D1371C">
            <w:pPr>
              <w:spacing w:after="60"/>
              <w:ind w:left="-87"/>
              <w:rPr>
                <w:color w:val="auto"/>
                <w:sz w:val="12"/>
                <w:szCs w:val="12"/>
              </w:rPr>
            </w:pPr>
            <w:r w:rsidRPr="00CD1278">
              <w:rPr>
                <w:color w:val="auto"/>
                <w:sz w:val="12"/>
                <w:szCs w:val="12"/>
              </w:rPr>
              <w:t>Sweet potato</w:t>
            </w:r>
          </w:p>
        </w:tc>
        <w:tc>
          <w:tcPr>
            <w:tcW w:w="770" w:type="dxa"/>
            <w:shd w:val="clear" w:color="auto" w:fill="auto"/>
            <w:vAlign w:val="center"/>
          </w:tcPr>
          <w:p w14:paraId="1877980E" w14:textId="77777777" w:rsidR="00D34C6F" w:rsidRPr="00CD1278" w:rsidRDefault="00D34C6F" w:rsidP="008277E3">
            <w:pPr>
              <w:spacing w:after="60"/>
              <w:rPr>
                <w:color w:val="auto"/>
                <w:sz w:val="10"/>
                <w:szCs w:val="10"/>
              </w:rPr>
            </w:pPr>
            <w:r w:rsidRPr="00CD1278">
              <w:rPr>
                <w:color w:val="auto"/>
                <w:sz w:val="10"/>
                <w:szCs w:val="10"/>
              </w:rPr>
              <w:t>224.528</w:t>
            </w:r>
          </w:p>
        </w:tc>
        <w:tc>
          <w:tcPr>
            <w:tcW w:w="647" w:type="dxa"/>
            <w:shd w:val="clear" w:color="auto" w:fill="auto"/>
            <w:vAlign w:val="center"/>
          </w:tcPr>
          <w:p w14:paraId="3F11090F"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0B95523A" w14:textId="77777777" w:rsidR="00D34C6F" w:rsidRPr="00CD1278" w:rsidRDefault="00D34C6F" w:rsidP="008277E3">
            <w:pPr>
              <w:spacing w:after="60"/>
              <w:rPr>
                <w:color w:val="auto"/>
                <w:sz w:val="10"/>
                <w:szCs w:val="10"/>
              </w:rPr>
            </w:pPr>
            <w:r w:rsidRPr="00CD1278">
              <w:rPr>
                <w:color w:val="auto"/>
                <w:sz w:val="10"/>
                <w:szCs w:val="10"/>
              </w:rPr>
              <w:t> </w:t>
            </w:r>
          </w:p>
        </w:tc>
        <w:tc>
          <w:tcPr>
            <w:tcW w:w="567" w:type="dxa"/>
            <w:shd w:val="clear" w:color="auto" w:fill="auto"/>
            <w:vAlign w:val="center"/>
          </w:tcPr>
          <w:p w14:paraId="7A80435F" w14:textId="77777777" w:rsidR="00D34C6F" w:rsidRPr="00CD1278" w:rsidRDefault="00D34C6F" w:rsidP="008277E3">
            <w:pPr>
              <w:spacing w:after="60"/>
              <w:rPr>
                <w:color w:val="auto"/>
                <w:sz w:val="10"/>
                <w:szCs w:val="10"/>
              </w:rPr>
            </w:pPr>
            <w:r w:rsidRPr="00CD1278">
              <w:rPr>
                <w:color w:val="auto"/>
                <w:sz w:val="10"/>
                <w:szCs w:val="10"/>
              </w:rPr>
              <w:t>18.144</w:t>
            </w:r>
          </w:p>
        </w:tc>
        <w:tc>
          <w:tcPr>
            <w:tcW w:w="709" w:type="dxa"/>
            <w:shd w:val="clear" w:color="auto" w:fill="auto"/>
            <w:vAlign w:val="center"/>
          </w:tcPr>
          <w:p w14:paraId="25A59E95" w14:textId="77777777" w:rsidR="00D34C6F" w:rsidRPr="00CD1278" w:rsidRDefault="00D34C6F" w:rsidP="008277E3">
            <w:pPr>
              <w:spacing w:after="60"/>
              <w:rPr>
                <w:color w:val="auto"/>
                <w:sz w:val="10"/>
                <w:szCs w:val="10"/>
              </w:rPr>
            </w:pPr>
            <w:r w:rsidRPr="00CD1278">
              <w:rPr>
                <w:color w:val="auto"/>
                <w:sz w:val="10"/>
                <w:szCs w:val="10"/>
              </w:rPr>
              <w:t>18.144</w:t>
            </w:r>
          </w:p>
        </w:tc>
        <w:tc>
          <w:tcPr>
            <w:tcW w:w="567" w:type="dxa"/>
            <w:shd w:val="clear" w:color="auto" w:fill="auto"/>
            <w:vAlign w:val="center"/>
          </w:tcPr>
          <w:p w14:paraId="5DC17266" w14:textId="77777777" w:rsidR="00D34C6F" w:rsidRPr="00CD1278" w:rsidRDefault="00D34C6F" w:rsidP="008277E3">
            <w:pPr>
              <w:spacing w:after="60"/>
              <w:rPr>
                <w:color w:val="auto"/>
                <w:sz w:val="10"/>
                <w:szCs w:val="10"/>
              </w:rPr>
            </w:pPr>
            <w:r w:rsidRPr="00CD1278">
              <w:rPr>
                <w:color w:val="auto"/>
                <w:sz w:val="10"/>
                <w:szCs w:val="10"/>
              </w:rPr>
              <w:t>18.144</w:t>
            </w:r>
          </w:p>
        </w:tc>
        <w:tc>
          <w:tcPr>
            <w:tcW w:w="708" w:type="dxa"/>
            <w:shd w:val="clear" w:color="auto" w:fill="auto"/>
            <w:vAlign w:val="center"/>
          </w:tcPr>
          <w:p w14:paraId="614E9CB4" w14:textId="77777777" w:rsidR="00D34C6F" w:rsidRPr="00CD1278" w:rsidRDefault="00D34C6F" w:rsidP="008277E3">
            <w:pPr>
              <w:spacing w:after="60"/>
              <w:rPr>
                <w:color w:val="auto"/>
                <w:sz w:val="10"/>
                <w:szCs w:val="10"/>
              </w:rPr>
            </w:pPr>
            <w:r w:rsidRPr="00CD1278">
              <w:rPr>
                <w:color w:val="auto"/>
                <w:sz w:val="10"/>
                <w:szCs w:val="10"/>
              </w:rPr>
              <w:t>14.515</w:t>
            </w:r>
          </w:p>
        </w:tc>
        <w:tc>
          <w:tcPr>
            <w:tcW w:w="567" w:type="dxa"/>
            <w:shd w:val="clear" w:color="auto" w:fill="auto"/>
            <w:vAlign w:val="center"/>
          </w:tcPr>
          <w:p w14:paraId="1FDE8394" w14:textId="77777777" w:rsidR="00D34C6F" w:rsidRPr="00CD1278" w:rsidRDefault="00D34C6F" w:rsidP="008277E3">
            <w:pPr>
              <w:spacing w:after="60"/>
              <w:rPr>
                <w:color w:val="auto"/>
                <w:sz w:val="10"/>
                <w:szCs w:val="10"/>
              </w:rPr>
            </w:pPr>
            <w:r w:rsidRPr="00CD1278">
              <w:rPr>
                <w:color w:val="auto"/>
                <w:sz w:val="10"/>
                <w:szCs w:val="10"/>
              </w:rPr>
              <w:t> 8.709</w:t>
            </w:r>
          </w:p>
        </w:tc>
        <w:tc>
          <w:tcPr>
            <w:tcW w:w="567" w:type="dxa"/>
            <w:shd w:val="clear" w:color="auto" w:fill="auto"/>
            <w:vAlign w:val="center"/>
          </w:tcPr>
          <w:p w14:paraId="366A849B" w14:textId="77777777" w:rsidR="00D34C6F" w:rsidRPr="00CD1278" w:rsidRDefault="00D34C6F" w:rsidP="008277E3">
            <w:pPr>
              <w:spacing w:after="60"/>
              <w:rPr>
                <w:color w:val="auto"/>
                <w:sz w:val="10"/>
                <w:szCs w:val="10"/>
              </w:rPr>
            </w:pPr>
          </w:p>
        </w:tc>
        <w:tc>
          <w:tcPr>
            <w:tcW w:w="629" w:type="dxa"/>
          </w:tcPr>
          <w:p w14:paraId="2F6DFEDC" w14:textId="77777777" w:rsidR="00D34C6F" w:rsidRPr="00CD1278" w:rsidRDefault="00D34C6F" w:rsidP="008277E3">
            <w:pPr>
              <w:spacing w:after="60"/>
              <w:rPr>
                <w:color w:val="auto"/>
                <w:sz w:val="10"/>
                <w:szCs w:val="10"/>
              </w:rPr>
            </w:pPr>
          </w:p>
        </w:tc>
        <w:tc>
          <w:tcPr>
            <w:tcW w:w="567" w:type="dxa"/>
          </w:tcPr>
          <w:p w14:paraId="29D6FB84" w14:textId="77777777" w:rsidR="00D34C6F" w:rsidRPr="00CD1278" w:rsidRDefault="00D34C6F" w:rsidP="008277E3">
            <w:pPr>
              <w:spacing w:after="60"/>
              <w:rPr>
                <w:color w:val="auto"/>
                <w:sz w:val="10"/>
                <w:szCs w:val="10"/>
              </w:rPr>
            </w:pPr>
          </w:p>
        </w:tc>
        <w:tc>
          <w:tcPr>
            <w:tcW w:w="567" w:type="dxa"/>
          </w:tcPr>
          <w:p w14:paraId="377BB645" w14:textId="77777777" w:rsidR="00D34C6F" w:rsidRPr="00CD1278" w:rsidRDefault="00D34C6F" w:rsidP="008277E3">
            <w:pPr>
              <w:spacing w:after="60"/>
              <w:rPr>
                <w:color w:val="auto"/>
                <w:sz w:val="10"/>
                <w:szCs w:val="10"/>
              </w:rPr>
            </w:pPr>
          </w:p>
        </w:tc>
        <w:tc>
          <w:tcPr>
            <w:tcW w:w="709" w:type="dxa"/>
            <w:shd w:val="clear" w:color="auto" w:fill="auto"/>
            <w:vAlign w:val="center"/>
          </w:tcPr>
          <w:p w14:paraId="200C3B34"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047EDF8" w14:textId="77777777" w:rsidR="00D34C6F" w:rsidRPr="00CD1278" w:rsidRDefault="00D34C6F" w:rsidP="008277E3">
            <w:pPr>
              <w:spacing w:after="60"/>
              <w:rPr>
                <w:color w:val="auto"/>
                <w:sz w:val="10"/>
                <w:szCs w:val="10"/>
              </w:rPr>
            </w:pPr>
            <w:r w:rsidRPr="00CD1278">
              <w:rPr>
                <w:color w:val="auto"/>
                <w:sz w:val="10"/>
                <w:szCs w:val="10"/>
              </w:rPr>
              <w:t> </w:t>
            </w:r>
          </w:p>
        </w:tc>
        <w:tc>
          <w:tcPr>
            <w:tcW w:w="708" w:type="dxa"/>
            <w:shd w:val="clear" w:color="auto" w:fill="auto"/>
            <w:vAlign w:val="center"/>
          </w:tcPr>
          <w:p w14:paraId="3280FFC9" w14:textId="77777777" w:rsidR="00D34C6F" w:rsidRPr="00CD1278" w:rsidRDefault="00D34C6F" w:rsidP="008277E3">
            <w:pPr>
              <w:spacing w:after="60"/>
              <w:rPr>
                <w:color w:val="auto"/>
                <w:sz w:val="10"/>
                <w:szCs w:val="10"/>
              </w:rPr>
            </w:pPr>
            <w:r w:rsidRPr="00CD1278">
              <w:rPr>
                <w:color w:val="auto"/>
                <w:sz w:val="10"/>
                <w:szCs w:val="10"/>
              </w:rPr>
              <w:t> </w:t>
            </w:r>
          </w:p>
        </w:tc>
        <w:tc>
          <w:tcPr>
            <w:tcW w:w="709" w:type="dxa"/>
            <w:shd w:val="clear" w:color="auto" w:fill="auto"/>
            <w:vAlign w:val="center"/>
          </w:tcPr>
          <w:p w14:paraId="19E1A0CE" w14:textId="77777777" w:rsidR="00D34C6F" w:rsidRPr="00CD1278" w:rsidRDefault="00D34C6F" w:rsidP="008277E3">
            <w:pPr>
              <w:spacing w:after="60"/>
              <w:rPr>
                <w:color w:val="auto"/>
                <w:sz w:val="10"/>
                <w:szCs w:val="10"/>
              </w:rPr>
            </w:pPr>
            <w:r w:rsidRPr="00CD1278">
              <w:rPr>
                <w:color w:val="auto"/>
                <w:sz w:val="10"/>
                <w:szCs w:val="10"/>
              </w:rPr>
              <w:t>18.144</w:t>
            </w:r>
          </w:p>
        </w:tc>
        <w:tc>
          <w:tcPr>
            <w:tcW w:w="567" w:type="dxa"/>
            <w:shd w:val="clear" w:color="auto" w:fill="auto"/>
            <w:vAlign w:val="center"/>
          </w:tcPr>
          <w:p w14:paraId="7FE2D00E" w14:textId="77777777" w:rsidR="00D34C6F" w:rsidRPr="00CD1278" w:rsidRDefault="00D34C6F" w:rsidP="008277E3">
            <w:pPr>
              <w:spacing w:after="60"/>
              <w:rPr>
                <w:color w:val="auto"/>
                <w:sz w:val="10"/>
                <w:szCs w:val="10"/>
              </w:rPr>
            </w:pPr>
            <w:r w:rsidRPr="00CD1278">
              <w:rPr>
                <w:color w:val="auto"/>
                <w:sz w:val="10"/>
                <w:szCs w:val="10"/>
              </w:rPr>
              <w:t>18.144</w:t>
            </w:r>
          </w:p>
        </w:tc>
        <w:tc>
          <w:tcPr>
            <w:tcW w:w="647" w:type="dxa"/>
            <w:shd w:val="clear" w:color="auto" w:fill="auto"/>
            <w:vAlign w:val="center"/>
          </w:tcPr>
          <w:p w14:paraId="3B54A565" w14:textId="77777777" w:rsidR="00D34C6F" w:rsidRPr="00CD1278" w:rsidRDefault="00D34C6F" w:rsidP="008277E3">
            <w:pPr>
              <w:spacing w:after="60"/>
              <w:rPr>
                <w:color w:val="auto"/>
                <w:sz w:val="10"/>
                <w:szCs w:val="10"/>
              </w:rPr>
            </w:pPr>
            <w:r w:rsidRPr="00CD1278">
              <w:rPr>
                <w:color w:val="auto"/>
                <w:sz w:val="10"/>
                <w:szCs w:val="10"/>
              </w:rPr>
              <w:t>14.515</w:t>
            </w:r>
          </w:p>
        </w:tc>
        <w:tc>
          <w:tcPr>
            <w:tcW w:w="567" w:type="dxa"/>
            <w:shd w:val="clear" w:color="auto" w:fill="auto"/>
            <w:vAlign w:val="center"/>
          </w:tcPr>
          <w:p w14:paraId="3959D45B" w14:textId="77777777" w:rsidR="00D34C6F" w:rsidRPr="00CD1278" w:rsidRDefault="00D34C6F" w:rsidP="008277E3">
            <w:pPr>
              <w:spacing w:after="60"/>
              <w:rPr>
                <w:color w:val="auto"/>
                <w:sz w:val="10"/>
                <w:szCs w:val="10"/>
              </w:rPr>
            </w:pPr>
            <w:r w:rsidRPr="00CD1278">
              <w:rPr>
                <w:color w:val="auto"/>
                <w:sz w:val="10"/>
                <w:szCs w:val="10"/>
              </w:rPr>
              <w:t>11.612</w:t>
            </w:r>
          </w:p>
        </w:tc>
        <w:tc>
          <w:tcPr>
            <w:tcW w:w="567" w:type="dxa"/>
            <w:shd w:val="clear" w:color="auto" w:fill="auto"/>
            <w:noWrap/>
            <w:vAlign w:val="center"/>
          </w:tcPr>
          <w:p w14:paraId="46347788" w14:textId="77777777" w:rsidR="00D34C6F" w:rsidRPr="00CD1278" w:rsidRDefault="00D34C6F" w:rsidP="008277E3">
            <w:pPr>
              <w:spacing w:after="60"/>
              <w:rPr>
                <w:b/>
                <w:color w:val="auto"/>
                <w:sz w:val="10"/>
                <w:szCs w:val="10"/>
              </w:rPr>
            </w:pPr>
            <w:r w:rsidRPr="00CD1278">
              <w:rPr>
                <w:b/>
                <w:color w:val="auto"/>
                <w:sz w:val="10"/>
                <w:szCs w:val="10"/>
              </w:rPr>
              <w:t> </w:t>
            </w:r>
          </w:p>
        </w:tc>
        <w:tc>
          <w:tcPr>
            <w:tcW w:w="567" w:type="dxa"/>
          </w:tcPr>
          <w:p w14:paraId="65DA7964" w14:textId="77777777" w:rsidR="00D34C6F" w:rsidRPr="00CD1278" w:rsidRDefault="00D34C6F" w:rsidP="008277E3">
            <w:pPr>
              <w:spacing w:after="60"/>
              <w:rPr>
                <w:b/>
                <w:color w:val="auto"/>
                <w:sz w:val="10"/>
                <w:szCs w:val="10"/>
              </w:rPr>
            </w:pPr>
          </w:p>
        </w:tc>
        <w:tc>
          <w:tcPr>
            <w:tcW w:w="567" w:type="dxa"/>
          </w:tcPr>
          <w:p w14:paraId="096FDB21" w14:textId="77777777" w:rsidR="00D34C6F" w:rsidRPr="00CD1278" w:rsidRDefault="00D34C6F" w:rsidP="008277E3">
            <w:pPr>
              <w:spacing w:after="60"/>
              <w:rPr>
                <w:b/>
                <w:color w:val="auto"/>
                <w:sz w:val="10"/>
                <w:szCs w:val="10"/>
              </w:rPr>
            </w:pPr>
          </w:p>
        </w:tc>
        <w:tc>
          <w:tcPr>
            <w:tcW w:w="567" w:type="dxa"/>
          </w:tcPr>
          <w:p w14:paraId="233646C0" w14:textId="77777777" w:rsidR="00D34C6F" w:rsidRPr="00CD1278" w:rsidRDefault="00D34C6F" w:rsidP="008277E3">
            <w:pPr>
              <w:spacing w:after="60"/>
              <w:rPr>
                <w:b/>
                <w:color w:val="auto"/>
                <w:sz w:val="10"/>
                <w:szCs w:val="10"/>
              </w:rPr>
            </w:pPr>
          </w:p>
        </w:tc>
        <w:tc>
          <w:tcPr>
            <w:tcW w:w="567" w:type="dxa"/>
          </w:tcPr>
          <w:p w14:paraId="7444EB58" w14:textId="77777777" w:rsidR="00D34C6F" w:rsidRPr="00CD1278" w:rsidRDefault="00D34C6F" w:rsidP="008277E3">
            <w:pPr>
              <w:spacing w:after="60"/>
              <w:rPr>
                <w:b/>
                <w:color w:val="auto"/>
                <w:sz w:val="10"/>
                <w:szCs w:val="10"/>
              </w:rPr>
            </w:pPr>
          </w:p>
        </w:tc>
      </w:tr>
      <w:tr w:rsidR="003C102E" w:rsidRPr="00CD1278" w14:paraId="393F4A5C" w14:textId="77777777" w:rsidTr="008277E3">
        <w:trPr>
          <w:trHeight w:val="465"/>
          <w:jc w:val="center"/>
        </w:trPr>
        <w:tc>
          <w:tcPr>
            <w:tcW w:w="662" w:type="dxa"/>
            <w:shd w:val="clear" w:color="auto" w:fill="auto"/>
            <w:vAlign w:val="center"/>
          </w:tcPr>
          <w:p w14:paraId="560AAB79" w14:textId="77777777" w:rsidR="00D34C6F" w:rsidRPr="00CD1278" w:rsidRDefault="00D34C6F" w:rsidP="008277E3">
            <w:pPr>
              <w:spacing w:after="60"/>
              <w:rPr>
                <w:color w:val="auto"/>
                <w:sz w:val="12"/>
                <w:szCs w:val="12"/>
              </w:rPr>
            </w:pPr>
            <w:r w:rsidRPr="00CD1278">
              <w:rPr>
                <w:color w:val="auto"/>
                <w:sz w:val="12"/>
                <w:szCs w:val="12"/>
              </w:rPr>
              <w:t>USA</w:t>
            </w:r>
          </w:p>
        </w:tc>
        <w:tc>
          <w:tcPr>
            <w:tcW w:w="824" w:type="dxa"/>
            <w:shd w:val="clear" w:color="auto" w:fill="auto"/>
            <w:vAlign w:val="center"/>
          </w:tcPr>
          <w:p w14:paraId="72612AC1" w14:textId="77777777" w:rsidR="00D34C6F" w:rsidRPr="00CD1278" w:rsidRDefault="00D34C6F" w:rsidP="00D1371C">
            <w:pPr>
              <w:spacing w:after="60"/>
              <w:ind w:left="-87"/>
              <w:rPr>
                <w:color w:val="auto"/>
                <w:sz w:val="12"/>
                <w:szCs w:val="12"/>
              </w:rPr>
            </w:pPr>
            <w:r w:rsidRPr="00CD1278">
              <w:rPr>
                <w:color w:val="auto"/>
                <w:sz w:val="12"/>
                <w:szCs w:val="12"/>
              </w:rPr>
              <w:t>Research</w:t>
            </w:r>
          </w:p>
        </w:tc>
        <w:tc>
          <w:tcPr>
            <w:tcW w:w="770" w:type="dxa"/>
            <w:shd w:val="clear" w:color="auto" w:fill="auto"/>
            <w:vAlign w:val="center"/>
          </w:tcPr>
          <w:p w14:paraId="14B21A3D" w14:textId="77777777" w:rsidR="00D34C6F" w:rsidRPr="00CD1278" w:rsidRDefault="00D34C6F" w:rsidP="008277E3">
            <w:pPr>
              <w:spacing w:after="60"/>
              <w:rPr>
                <w:color w:val="auto"/>
                <w:sz w:val="10"/>
                <w:szCs w:val="10"/>
              </w:rPr>
            </w:pPr>
          </w:p>
        </w:tc>
        <w:tc>
          <w:tcPr>
            <w:tcW w:w="647" w:type="dxa"/>
            <w:shd w:val="clear" w:color="auto" w:fill="auto"/>
            <w:vAlign w:val="center"/>
          </w:tcPr>
          <w:p w14:paraId="0FA54DD6" w14:textId="77777777" w:rsidR="00D34C6F" w:rsidRPr="00CD1278" w:rsidRDefault="00D34C6F" w:rsidP="008277E3">
            <w:pPr>
              <w:spacing w:after="60"/>
              <w:rPr>
                <w:color w:val="auto"/>
                <w:sz w:val="10"/>
                <w:szCs w:val="10"/>
              </w:rPr>
            </w:pPr>
          </w:p>
        </w:tc>
        <w:tc>
          <w:tcPr>
            <w:tcW w:w="709" w:type="dxa"/>
            <w:shd w:val="clear" w:color="auto" w:fill="auto"/>
            <w:vAlign w:val="center"/>
          </w:tcPr>
          <w:p w14:paraId="53A7BCA5" w14:textId="77777777" w:rsidR="00D34C6F" w:rsidRPr="00CD1278" w:rsidRDefault="00D34C6F" w:rsidP="008277E3">
            <w:pPr>
              <w:spacing w:after="60"/>
              <w:rPr>
                <w:color w:val="auto"/>
                <w:sz w:val="10"/>
                <w:szCs w:val="10"/>
              </w:rPr>
            </w:pPr>
          </w:p>
        </w:tc>
        <w:tc>
          <w:tcPr>
            <w:tcW w:w="567" w:type="dxa"/>
            <w:shd w:val="clear" w:color="auto" w:fill="auto"/>
            <w:vAlign w:val="center"/>
          </w:tcPr>
          <w:p w14:paraId="64FCDEBB" w14:textId="77777777" w:rsidR="00D34C6F" w:rsidRPr="00CD1278" w:rsidRDefault="00D34C6F" w:rsidP="008277E3">
            <w:pPr>
              <w:spacing w:after="60"/>
              <w:rPr>
                <w:color w:val="auto"/>
                <w:sz w:val="10"/>
                <w:szCs w:val="10"/>
              </w:rPr>
            </w:pPr>
          </w:p>
        </w:tc>
        <w:tc>
          <w:tcPr>
            <w:tcW w:w="709" w:type="dxa"/>
            <w:shd w:val="clear" w:color="auto" w:fill="auto"/>
            <w:vAlign w:val="center"/>
          </w:tcPr>
          <w:p w14:paraId="53F98F23" w14:textId="77777777" w:rsidR="00D34C6F" w:rsidRPr="00CD1278" w:rsidRDefault="00D34C6F" w:rsidP="008277E3">
            <w:pPr>
              <w:spacing w:after="60"/>
              <w:rPr>
                <w:color w:val="auto"/>
                <w:sz w:val="10"/>
                <w:szCs w:val="10"/>
              </w:rPr>
            </w:pPr>
          </w:p>
        </w:tc>
        <w:tc>
          <w:tcPr>
            <w:tcW w:w="567" w:type="dxa"/>
            <w:shd w:val="clear" w:color="auto" w:fill="auto"/>
            <w:vAlign w:val="center"/>
          </w:tcPr>
          <w:p w14:paraId="27F51E70" w14:textId="77777777" w:rsidR="00D34C6F" w:rsidRPr="00CD1278" w:rsidRDefault="00D34C6F" w:rsidP="008277E3">
            <w:pPr>
              <w:spacing w:after="60"/>
              <w:rPr>
                <w:color w:val="auto"/>
                <w:sz w:val="10"/>
                <w:szCs w:val="10"/>
              </w:rPr>
            </w:pPr>
          </w:p>
        </w:tc>
        <w:tc>
          <w:tcPr>
            <w:tcW w:w="708" w:type="dxa"/>
            <w:shd w:val="clear" w:color="auto" w:fill="auto"/>
            <w:vAlign w:val="center"/>
          </w:tcPr>
          <w:p w14:paraId="019D77AC" w14:textId="77777777" w:rsidR="00D34C6F" w:rsidRPr="00CD1278" w:rsidRDefault="00D34C6F" w:rsidP="008277E3">
            <w:pPr>
              <w:spacing w:after="60"/>
              <w:rPr>
                <w:color w:val="auto"/>
                <w:sz w:val="10"/>
                <w:szCs w:val="10"/>
              </w:rPr>
            </w:pPr>
          </w:p>
        </w:tc>
        <w:tc>
          <w:tcPr>
            <w:tcW w:w="567" w:type="dxa"/>
            <w:shd w:val="clear" w:color="auto" w:fill="auto"/>
            <w:vAlign w:val="center"/>
          </w:tcPr>
          <w:p w14:paraId="1104B1D1" w14:textId="77777777" w:rsidR="00D34C6F" w:rsidRPr="00CD1278" w:rsidRDefault="00D34C6F" w:rsidP="008277E3">
            <w:pPr>
              <w:spacing w:after="60"/>
              <w:rPr>
                <w:color w:val="auto"/>
                <w:sz w:val="10"/>
                <w:szCs w:val="10"/>
              </w:rPr>
            </w:pPr>
            <w:r w:rsidRPr="00CD1278">
              <w:rPr>
                <w:color w:val="auto"/>
                <w:sz w:val="10"/>
                <w:szCs w:val="10"/>
              </w:rPr>
              <w:t> 2.768</w:t>
            </w:r>
          </w:p>
        </w:tc>
        <w:tc>
          <w:tcPr>
            <w:tcW w:w="567" w:type="dxa"/>
            <w:shd w:val="clear" w:color="auto" w:fill="auto"/>
            <w:vAlign w:val="center"/>
          </w:tcPr>
          <w:p w14:paraId="7C265878" w14:textId="77777777" w:rsidR="00D34C6F" w:rsidRPr="00CD1278" w:rsidRDefault="00D34C6F" w:rsidP="008277E3">
            <w:pPr>
              <w:spacing w:after="60"/>
              <w:rPr>
                <w:color w:val="auto"/>
                <w:sz w:val="10"/>
                <w:szCs w:val="10"/>
              </w:rPr>
            </w:pPr>
            <w:r w:rsidRPr="00CD1278">
              <w:rPr>
                <w:color w:val="auto"/>
                <w:sz w:val="10"/>
                <w:szCs w:val="10"/>
              </w:rPr>
              <w:t>2.768</w:t>
            </w:r>
          </w:p>
        </w:tc>
        <w:tc>
          <w:tcPr>
            <w:tcW w:w="629" w:type="dxa"/>
          </w:tcPr>
          <w:p w14:paraId="661CEC1D" w14:textId="77777777" w:rsidR="00D34C6F" w:rsidRPr="00CD1278" w:rsidRDefault="00D34C6F" w:rsidP="008277E3">
            <w:pPr>
              <w:spacing w:after="60"/>
              <w:rPr>
                <w:color w:val="auto"/>
                <w:sz w:val="10"/>
                <w:szCs w:val="10"/>
              </w:rPr>
            </w:pPr>
          </w:p>
        </w:tc>
        <w:tc>
          <w:tcPr>
            <w:tcW w:w="567" w:type="dxa"/>
          </w:tcPr>
          <w:p w14:paraId="7E9B0825" w14:textId="77777777" w:rsidR="00D34C6F" w:rsidRPr="00CD1278" w:rsidRDefault="00D34C6F" w:rsidP="008277E3">
            <w:pPr>
              <w:spacing w:after="60"/>
              <w:rPr>
                <w:color w:val="auto"/>
                <w:sz w:val="10"/>
                <w:szCs w:val="10"/>
              </w:rPr>
            </w:pPr>
          </w:p>
        </w:tc>
        <w:tc>
          <w:tcPr>
            <w:tcW w:w="567" w:type="dxa"/>
          </w:tcPr>
          <w:p w14:paraId="1C947E10" w14:textId="77777777" w:rsidR="00D34C6F" w:rsidRPr="00CD1278" w:rsidRDefault="00D34C6F" w:rsidP="008277E3">
            <w:pPr>
              <w:spacing w:after="60"/>
              <w:rPr>
                <w:color w:val="auto"/>
                <w:sz w:val="10"/>
                <w:szCs w:val="10"/>
              </w:rPr>
            </w:pPr>
          </w:p>
        </w:tc>
        <w:tc>
          <w:tcPr>
            <w:tcW w:w="709" w:type="dxa"/>
            <w:shd w:val="clear" w:color="auto" w:fill="auto"/>
            <w:vAlign w:val="center"/>
          </w:tcPr>
          <w:p w14:paraId="07B4E0CA" w14:textId="77777777" w:rsidR="00D34C6F" w:rsidRPr="00CD1278" w:rsidRDefault="00D34C6F" w:rsidP="008277E3">
            <w:pPr>
              <w:spacing w:after="60"/>
              <w:rPr>
                <w:color w:val="auto"/>
                <w:sz w:val="10"/>
                <w:szCs w:val="10"/>
              </w:rPr>
            </w:pPr>
          </w:p>
        </w:tc>
        <w:tc>
          <w:tcPr>
            <w:tcW w:w="709" w:type="dxa"/>
            <w:shd w:val="clear" w:color="auto" w:fill="auto"/>
            <w:vAlign w:val="center"/>
          </w:tcPr>
          <w:p w14:paraId="412068F8" w14:textId="77777777" w:rsidR="00D34C6F" w:rsidRPr="00CD1278" w:rsidRDefault="00D34C6F" w:rsidP="008277E3">
            <w:pPr>
              <w:spacing w:after="60"/>
              <w:rPr>
                <w:color w:val="auto"/>
                <w:sz w:val="10"/>
                <w:szCs w:val="10"/>
              </w:rPr>
            </w:pPr>
          </w:p>
        </w:tc>
        <w:tc>
          <w:tcPr>
            <w:tcW w:w="708" w:type="dxa"/>
            <w:shd w:val="clear" w:color="auto" w:fill="auto"/>
            <w:vAlign w:val="center"/>
          </w:tcPr>
          <w:p w14:paraId="1367C5CB" w14:textId="77777777" w:rsidR="00D34C6F" w:rsidRPr="00CD1278" w:rsidRDefault="00D34C6F" w:rsidP="008277E3">
            <w:pPr>
              <w:spacing w:after="60"/>
              <w:rPr>
                <w:color w:val="auto"/>
                <w:sz w:val="10"/>
                <w:szCs w:val="10"/>
              </w:rPr>
            </w:pPr>
          </w:p>
        </w:tc>
        <w:tc>
          <w:tcPr>
            <w:tcW w:w="709" w:type="dxa"/>
            <w:shd w:val="clear" w:color="auto" w:fill="auto"/>
            <w:vAlign w:val="center"/>
          </w:tcPr>
          <w:p w14:paraId="0F1BAC1B" w14:textId="77777777" w:rsidR="00D34C6F" w:rsidRPr="00CD1278" w:rsidRDefault="00D34C6F" w:rsidP="008277E3">
            <w:pPr>
              <w:spacing w:after="60"/>
              <w:rPr>
                <w:color w:val="auto"/>
                <w:sz w:val="10"/>
                <w:szCs w:val="10"/>
              </w:rPr>
            </w:pPr>
          </w:p>
        </w:tc>
        <w:tc>
          <w:tcPr>
            <w:tcW w:w="567" w:type="dxa"/>
            <w:shd w:val="clear" w:color="auto" w:fill="auto"/>
            <w:vAlign w:val="center"/>
          </w:tcPr>
          <w:p w14:paraId="33A6337E" w14:textId="77777777" w:rsidR="00D34C6F" w:rsidRPr="00CD1278" w:rsidRDefault="00D34C6F" w:rsidP="008277E3">
            <w:pPr>
              <w:spacing w:after="60"/>
              <w:rPr>
                <w:color w:val="auto"/>
                <w:sz w:val="10"/>
                <w:szCs w:val="10"/>
              </w:rPr>
            </w:pPr>
          </w:p>
        </w:tc>
        <w:tc>
          <w:tcPr>
            <w:tcW w:w="647" w:type="dxa"/>
            <w:shd w:val="clear" w:color="auto" w:fill="auto"/>
            <w:vAlign w:val="center"/>
          </w:tcPr>
          <w:p w14:paraId="0A123EA5" w14:textId="77777777" w:rsidR="00D34C6F" w:rsidRPr="00CD1278" w:rsidRDefault="00D34C6F" w:rsidP="008277E3">
            <w:pPr>
              <w:spacing w:after="60"/>
              <w:rPr>
                <w:color w:val="auto"/>
                <w:sz w:val="10"/>
                <w:szCs w:val="10"/>
              </w:rPr>
            </w:pPr>
          </w:p>
        </w:tc>
        <w:tc>
          <w:tcPr>
            <w:tcW w:w="567" w:type="dxa"/>
            <w:shd w:val="clear" w:color="auto" w:fill="auto"/>
            <w:vAlign w:val="center"/>
          </w:tcPr>
          <w:p w14:paraId="78F9F98F" w14:textId="77777777" w:rsidR="00D34C6F" w:rsidRPr="00CD1278" w:rsidRDefault="00D34C6F" w:rsidP="008277E3">
            <w:pPr>
              <w:spacing w:after="60"/>
              <w:rPr>
                <w:color w:val="auto"/>
                <w:sz w:val="10"/>
                <w:szCs w:val="10"/>
              </w:rPr>
            </w:pPr>
          </w:p>
        </w:tc>
        <w:tc>
          <w:tcPr>
            <w:tcW w:w="567" w:type="dxa"/>
            <w:shd w:val="clear" w:color="auto" w:fill="auto"/>
            <w:noWrap/>
            <w:vAlign w:val="center"/>
          </w:tcPr>
          <w:p w14:paraId="28E7D6F1" w14:textId="77777777" w:rsidR="00D34C6F" w:rsidRPr="00CD1278" w:rsidRDefault="00D34C6F" w:rsidP="008277E3">
            <w:pPr>
              <w:spacing w:after="60"/>
              <w:rPr>
                <w:b/>
                <w:color w:val="auto"/>
                <w:sz w:val="10"/>
                <w:szCs w:val="10"/>
              </w:rPr>
            </w:pPr>
          </w:p>
        </w:tc>
        <w:tc>
          <w:tcPr>
            <w:tcW w:w="567" w:type="dxa"/>
          </w:tcPr>
          <w:p w14:paraId="612D95EB" w14:textId="77777777" w:rsidR="00D34C6F" w:rsidRPr="00CD1278" w:rsidRDefault="00D34C6F" w:rsidP="008277E3">
            <w:pPr>
              <w:spacing w:after="60"/>
              <w:rPr>
                <w:b/>
                <w:color w:val="auto"/>
                <w:sz w:val="10"/>
                <w:szCs w:val="10"/>
              </w:rPr>
            </w:pPr>
          </w:p>
        </w:tc>
        <w:tc>
          <w:tcPr>
            <w:tcW w:w="567" w:type="dxa"/>
          </w:tcPr>
          <w:p w14:paraId="2CDD4551" w14:textId="77777777" w:rsidR="00D34C6F" w:rsidRPr="00CD1278" w:rsidRDefault="00D34C6F" w:rsidP="008277E3">
            <w:pPr>
              <w:spacing w:after="60"/>
              <w:rPr>
                <w:b/>
                <w:color w:val="auto"/>
                <w:sz w:val="10"/>
                <w:szCs w:val="10"/>
              </w:rPr>
            </w:pPr>
          </w:p>
        </w:tc>
        <w:tc>
          <w:tcPr>
            <w:tcW w:w="567" w:type="dxa"/>
          </w:tcPr>
          <w:p w14:paraId="3FB91250" w14:textId="77777777" w:rsidR="00D34C6F" w:rsidRPr="00CD1278" w:rsidRDefault="00D34C6F" w:rsidP="008277E3">
            <w:pPr>
              <w:spacing w:after="60"/>
              <w:rPr>
                <w:b/>
                <w:color w:val="auto"/>
                <w:sz w:val="10"/>
                <w:szCs w:val="10"/>
              </w:rPr>
            </w:pPr>
          </w:p>
        </w:tc>
        <w:tc>
          <w:tcPr>
            <w:tcW w:w="567" w:type="dxa"/>
          </w:tcPr>
          <w:p w14:paraId="3A005164" w14:textId="77777777" w:rsidR="00D34C6F" w:rsidRPr="00CD1278" w:rsidRDefault="00D34C6F" w:rsidP="008277E3">
            <w:pPr>
              <w:spacing w:after="60"/>
              <w:rPr>
                <w:b/>
                <w:color w:val="auto"/>
                <w:sz w:val="10"/>
                <w:szCs w:val="10"/>
              </w:rPr>
            </w:pPr>
          </w:p>
        </w:tc>
      </w:tr>
    </w:tbl>
    <w:p w14:paraId="4C148DE1" w14:textId="77777777" w:rsidR="00E723F5" w:rsidRPr="00CD1278" w:rsidRDefault="00E723F5" w:rsidP="00E723F5">
      <w:pPr>
        <w:rPr>
          <w:color w:val="auto"/>
          <w:sz w:val="14"/>
          <w:szCs w:val="14"/>
        </w:rPr>
      </w:pPr>
    </w:p>
    <w:p w14:paraId="4B93BE24" w14:textId="77777777" w:rsidR="00D41068" w:rsidRPr="00CD1278" w:rsidRDefault="00D41068">
      <w:pPr>
        <w:spacing w:after="0"/>
        <w:rPr>
          <w:rStyle w:val="Heading1Char3"/>
          <w:rFonts w:ascii="Times" w:hAnsi="Times"/>
          <w:color w:val="auto"/>
          <w:szCs w:val="24"/>
        </w:rPr>
      </w:pPr>
      <w:r w:rsidRPr="00CD1278">
        <w:rPr>
          <w:rStyle w:val="Heading1Char3"/>
          <w:b w:val="0"/>
          <w:color w:val="auto"/>
        </w:rPr>
        <w:br w:type="page"/>
      </w:r>
    </w:p>
    <w:p w14:paraId="5E74D44E" w14:textId="73CA1A48" w:rsidR="002812E9" w:rsidRPr="00CD1278" w:rsidRDefault="008D5F24" w:rsidP="00A426E1">
      <w:pPr>
        <w:pStyle w:val="Heading1"/>
        <w:rPr>
          <w:rStyle w:val="Heading1Char3"/>
          <w:color w:val="auto"/>
        </w:rPr>
      </w:pPr>
      <w:bookmarkStart w:id="122" w:name="_Toc293054762"/>
      <w:bookmarkStart w:id="123" w:name="_Toc321747478"/>
      <w:bookmarkStart w:id="124" w:name="_Toc453277837"/>
      <w:r w:rsidRPr="00CD1278">
        <w:rPr>
          <w:rStyle w:val="Heading1Char3"/>
          <w:color w:val="auto"/>
        </w:rPr>
        <w:t>ANNEX I</w:t>
      </w:r>
      <w:r w:rsidR="007E3C82" w:rsidRPr="00CD1278">
        <w:rPr>
          <w:rStyle w:val="Heading1Char3"/>
          <w:color w:val="auto"/>
        </w:rPr>
        <w:t>V</w:t>
      </w:r>
      <w:r w:rsidRPr="00CD1278">
        <w:rPr>
          <w:rStyle w:val="Heading1Char3"/>
          <w:color w:val="auto"/>
        </w:rPr>
        <w:t xml:space="preserve">– Part B: </w:t>
      </w:r>
      <w:r w:rsidR="00DD40B2" w:rsidRPr="00CD1278">
        <w:rPr>
          <w:rStyle w:val="Heading1Char3"/>
          <w:color w:val="auto"/>
        </w:rPr>
        <w:t xml:space="preserve">Historic </w:t>
      </w:r>
      <w:r w:rsidRPr="00CD1278">
        <w:rPr>
          <w:rStyle w:val="Heading1Char3"/>
          <w:color w:val="auto"/>
        </w:rPr>
        <w:t xml:space="preserve">Trends in </w:t>
      </w:r>
      <w:r w:rsidR="007E3C82" w:rsidRPr="00CD1278">
        <w:rPr>
          <w:rStyle w:val="Heading1Char3"/>
          <w:color w:val="auto"/>
        </w:rPr>
        <w:t xml:space="preserve">non A5 </w:t>
      </w:r>
      <w:r w:rsidRPr="00CD1278">
        <w:rPr>
          <w:rStyle w:val="Heading1Char3"/>
          <w:color w:val="auto"/>
        </w:rPr>
        <w:t>Structural and Commodity Nominations and Exemptions</w:t>
      </w:r>
      <w:r w:rsidR="002812E9" w:rsidRPr="00CD1278">
        <w:rPr>
          <w:rStyle w:val="Heading1Char3"/>
          <w:color w:val="auto"/>
        </w:rPr>
        <w:t xml:space="preserve"> for</w:t>
      </w:r>
      <w:bookmarkEnd w:id="120"/>
      <w:bookmarkEnd w:id="121"/>
      <w:r w:rsidR="00DC7383" w:rsidRPr="00CD1278">
        <w:rPr>
          <w:rStyle w:val="Heading1Char3"/>
          <w:color w:val="auto"/>
        </w:rPr>
        <w:t xml:space="preserve"> </w:t>
      </w:r>
      <w:r w:rsidR="002812E9" w:rsidRPr="00CD1278">
        <w:rPr>
          <w:rStyle w:val="Heading1Char3"/>
          <w:color w:val="auto"/>
        </w:rPr>
        <w:t xml:space="preserve">Uses of </w:t>
      </w:r>
      <w:r w:rsidR="00DC7383" w:rsidRPr="00CD1278">
        <w:rPr>
          <w:rStyle w:val="Heading1Char3"/>
          <w:color w:val="auto"/>
        </w:rPr>
        <w:t xml:space="preserve">MB </w:t>
      </w:r>
      <w:bookmarkEnd w:id="122"/>
      <w:bookmarkEnd w:id="123"/>
      <w:bookmarkEnd w:id="124"/>
      <w:r w:rsidR="002812E9" w:rsidRPr="00CD1278">
        <w:rPr>
          <w:rStyle w:val="Heading1Char3"/>
          <w:color w:val="auto"/>
        </w:rPr>
        <w:t>reported to have been phased out</w:t>
      </w:r>
    </w:p>
    <w:p w14:paraId="5031353A" w14:textId="77777777" w:rsidR="008D5F24" w:rsidRPr="00CD1278" w:rsidRDefault="008D5F24" w:rsidP="009D2B4C">
      <w:pPr>
        <w:tabs>
          <w:tab w:val="left" w:pos="720"/>
        </w:tabs>
        <w:rPr>
          <w:b/>
          <w:color w:val="auto"/>
          <w:lang w:eastAsia="ja-JP"/>
        </w:rPr>
      </w:pPr>
      <w:r w:rsidRPr="00CD1278">
        <w:rPr>
          <w:b/>
          <w:i/>
          <w:color w:val="auto"/>
        </w:rPr>
        <w:t>List of nominated (2005- 201</w:t>
      </w:r>
      <w:r w:rsidR="007E3C82" w:rsidRPr="00CD1278">
        <w:rPr>
          <w:b/>
          <w:i/>
          <w:color w:val="auto"/>
        </w:rPr>
        <w:t>6</w:t>
      </w:r>
      <w:r w:rsidRPr="00CD1278">
        <w:rPr>
          <w:b/>
          <w:i/>
          <w:color w:val="auto"/>
        </w:rPr>
        <w:t>) and exempted (2005 - 201</w:t>
      </w:r>
      <w:r w:rsidR="007E3C82" w:rsidRPr="00CD1278">
        <w:rPr>
          <w:b/>
          <w:i/>
          <w:color w:val="auto"/>
        </w:rPr>
        <w:t>6</w:t>
      </w:r>
      <w:r w:rsidRPr="00CD1278">
        <w:rPr>
          <w:b/>
          <w:i/>
          <w:color w:val="auto"/>
        </w:rPr>
        <w:t xml:space="preserve">) amounts of MB granted by Parties under the CUE process for each commodity. </w:t>
      </w:r>
    </w:p>
    <w:tbl>
      <w:tblPr>
        <w:tblW w:w="15381" w:type="dxa"/>
        <w:jc w:val="center"/>
        <w:tblLayout w:type="fixed"/>
        <w:tblLook w:val="0000" w:firstRow="0" w:lastRow="0" w:firstColumn="0" w:lastColumn="0" w:noHBand="0" w:noVBand="0"/>
      </w:tblPr>
      <w:tblGrid>
        <w:gridCol w:w="813"/>
        <w:gridCol w:w="818"/>
        <w:gridCol w:w="567"/>
        <w:gridCol w:w="567"/>
        <w:gridCol w:w="567"/>
        <w:gridCol w:w="567"/>
        <w:gridCol w:w="567"/>
        <w:gridCol w:w="567"/>
        <w:gridCol w:w="567"/>
        <w:gridCol w:w="567"/>
        <w:gridCol w:w="567"/>
        <w:gridCol w:w="567"/>
        <w:gridCol w:w="567"/>
        <w:gridCol w:w="567"/>
        <w:gridCol w:w="709"/>
        <w:gridCol w:w="567"/>
        <w:gridCol w:w="567"/>
        <w:gridCol w:w="567"/>
        <w:gridCol w:w="567"/>
        <w:gridCol w:w="567"/>
        <w:gridCol w:w="567"/>
        <w:gridCol w:w="567"/>
        <w:gridCol w:w="567"/>
        <w:gridCol w:w="567"/>
        <w:gridCol w:w="567"/>
        <w:gridCol w:w="567"/>
      </w:tblGrid>
      <w:tr w:rsidR="003C102E" w:rsidRPr="00CD1278" w14:paraId="010D0D8E" w14:textId="77777777" w:rsidTr="007972CD">
        <w:trPr>
          <w:cantSplit/>
          <w:trHeight w:val="214"/>
          <w:tblHeader/>
          <w:jc w:val="center"/>
        </w:trPr>
        <w:tc>
          <w:tcPr>
            <w:tcW w:w="813" w:type="dxa"/>
            <w:vMerge w:val="restart"/>
            <w:tcBorders>
              <w:top w:val="single" w:sz="8" w:space="0" w:color="auto"/>
              <w:left w:val="single" w:sz="8" w:space="0" w:color="auto"/>
              <w:right w:val="single" w:sz="8" w:space="0" w:color="auto"/>
            </w:tcBorders>
            <w:shd w:val="clear" w:color="auto" w:fill="auto"/>
            <w:vAlign w:val="center"/>
          </w:tcPr>
          <w:p w14:paraId="0AD3CEE9" w14:textId="77777777" w:rsidR="00D41068" w:rsidRPr="00CD1278" w:rsidRDefault="00D41068" w:rsidP="008277E3">
            <w:pPr>
              <w:spacing w:after="60"/>
              <w:rPr>
                <w:b/>
                <w:color w:val="auto"/>
                <w:sz w:val="12"/>
                <w:szCs w:val="12"/>
              </w:rPr>
            </w:pPr>
            <w:r w:rsidRPr="00CD1278">
              <w:rPr>
                <w:b/>
                <w:color w:val="auto"/>
                <w:sz w:val="12"/>
                <w:szCs w:val="12"/>
              </w:rPr>
              <w:t>Party</w:t>
            </w:r>
          </w:p>
        </w:tc>
        <w:tc>
          <w:tcPr>
            <w:tcW w:w="818" w:type="dxa"/>
            <w:vMerge w:val="restart"/>
            <w:tcBorders>
              <w:top w:val="single" w:sz="8" w:space="0" w:color="auto"/>
              <w:left w:val="nil"/>
              <w:right w:val="single" w:sz="8" w:space="0" w:color="auto"/>
            </w:tcBorders>
            <w:shd w:val="clear" w:color="auto" w:fill="auto"/>
            <w:vAlign w:val="center"/>
          </w:tcPr>
          <w:p w14:paraId="7AB57624" w14:textId="77777777" w:rsidR="00D41068" w:rsidRPr="00CD1278" w:rsidRDefault="00D41068" w:rsidP="007972CD">
            <w:pPr>
              <w:spacing w:after="60"/>
              <w:ind w:left="-83"/>
              <w:rPr>
                <w:b/>
                <w:color w:val="auto"/>
                <w:sz w:val="12"/>
                <w:szCs w:val="12"/>
              </w:rPr>
            </w:pPr>
            <w:r w:rsidRPr="00CD1278">
              <w:rPr>
                <w:b/>
                <w:color w:val="auto"/>
                <w:sz w:val="12"/>
                <w:szCs w:val="12"/>
              </w:rPr>
              <w:t>Industry</w:t>
            </w:r>
          </w:p>
        </w:tc>
        <w:tc>
          <w:tcPr>
            <w:tcW w:w="6804" w:type="dxa"/>
            <w:gridSpan w:val="12"/>
            <w:tcBorders>
              <w:top w:val="single" w:sz="8" w:space="0" w:color="auto"/>
              <w:left w:val="nil"/>
              <w:bottom w:val="single" w:sz="8" w:space="0" w:color="auto"/>
              <w:right w:val="single" w:sz="4" w:space="0" w:color="auto"/>
            </w:tcBorders>
            <w:shd w:val="clear" w:color="auto" w:fill="auto"/>
            <w:vAlign w:val="center"/>
          </w:tcPr>
          <w:p w14:paraId="1E823772" w14:textId="77777777" w:rsidR="00D41068" w:rsidRPr="00CD1278" w:rsidRDefault="00D41068" w:rsidP="007972CD">
            <w:pPr>
              <w:spacing w:after="60"/>
              <w:jc w:val="center"/>
              <w:rPr>
                <w:b/>
                <w:color w:val="auto"/>
                <w:sz w:val="12"/>
                <w:szCs w:val="12"/>
              </w:rPr>
            </w:pPr>
            <w:r w:rsidRPr="00CD1278">
              <w:rPr>
                <w:b/>
                <w:color w:val="auto"/>
                <w:sz w:val="12"/>
                <w:szCs w:val="12"/>
              </w:rPr>
              <w:t>Total CUN MB Quantities</w:t>
            </w:r>
          </w:p>
        </w:tc>
        <w:tc>
          <w:tcPr>
            <w:tcW w:w="6946" w:type="dxa"/>
            <w:gridSpan w:val="12"/>
            <w:tcBorders>
              <w:top w:val="single" w:sz="8" w:space="0" w:color="auto"/>
              <w:left w:val="single" w:sz="4" w:space="0" w:color="auto"/>
              <w:bottom w:val="single" w:sz="8" w:space="0" w:color="auto"/>
              <w:right w:val="single" w:sz="8" w:space="0" w:color="auto"/>
            </w:tcBorders>
            <w:shd w:val="clear" w:color="auto" w:fill="auto"/>
            <w:vAlign w:val="center"/>
          </w:tcPr>
          <w:p w14:paraId="0495C757" w14:textId="77777777" w:rsidR="00D41068" w:rsidRPr="00CD1278" w:rsidRDefault="00D41068" w:rsidP="007972CD">
            <w:pPr>
              <w:spacing w:after="60"/>
              <w:jc w:val="center"/>
              <w:rPr>
                <w:b/>
                <w:color w:val="auto"/>
                <w:sz w:val="12"/>
                <w:szCs w:val="12"/>
              </w:rPr>
            </w:pPr>
            <w:r w:rsidRPr="00CD1278">
              <w:rPr>
                <w:b/>
                <w:color w:val="auto"/>
                <w:sz w:val="12"/>
                <w:szCs w:val="12"/>
              </w:rPr>
              <w:t>Total CUE Quantities</w:t>
            </w:r>
          </w:p>
        </w:tc>
      </w:tr>
      <w:tr w:rsidR="003C102E" w:rsidRPr="00CD1278" w14:paraId="386747E4" w14:textId="77777777" w:rsidTr="007972CD">
        <w:trPr>
          <w:cantSplit/>
          <w:trHeight w:val="214"/>
          <w:tblHeader/>
          <w:jc w:val="center"/>
        </w:trPr>
        <w:tc>
          <w:tcPr>
            <w:tcW w:w="813" w:type="dxa"/>
            <w:vMerge/>
            <w:tcBorders>
              <w:left w:val="single" w:sz="8" w:space="0" w:color="auto"/>
              <w:bottom w:val="single" w:sz="8" w:space="0" w:color="auto"/>
              <w:right w:val="single" w:sz="8" w:space="0" w:color="auto"/>
            </w:tcBorders>
            <w:shd w:val="clear" w:color="auto" w:fill="auto"/>
            <w:vAlign w:val="center"/>
          </w:tcPr>
          <w:p w14:paraId="6CCDB5DC" w14:textId="77777777" w:rsidR="004B0524" w:rsidRPr="00CD1278" w:rsidRDefault="004B0524" w:rsidP="008277E3">
            <w:pPr>
              <w:spacing w:after="60"/>
              <w:jc w:val="center"/>
              <w:rPr>
                <w:color w:val="auto"/>
                <w:sz w:val="12"/>
                <w:szCs w:val="12"/>
              </w:rPr>
            </w:pPr>
          </w:p>
        </w:tc>
        <w:tc>
          <w:tcPr>
            <w:tcW w:w="818" w:type="dxa"/>
            <w:vMerge/>
            <w:tcBorders>
              <w:left w:val="nil"/>
              <w:bottom w:val="single" w:sz="8" w:space="0" w:color="auto"/>
              <w:right w:val="single" w:sz="8" w:space="0" w:color="auto"/>
            </w:tcBorders>
            <w:shd w:val="clear" w:color="auto" w:fill="auto"/>
            <w:vAlign w:val="center"/>
          </w:tcPr>
          <w:p w14:paraId="2AC69862" w14:textId="77777777" w:rsidR="004B0524" w:rsidRPr="00CD1278" w:rsidRDefault="004B0524" w:rsidP="007972CD">
            <w:pPr>
              <w:spacing w:after="60"/>
              <w:ind w:left="-83"/>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D0B65A" w14:textId="77777777" w:rsidR="004B0524" w:rsidRPr="00CD1278" w:rsidRDefault="004B0524" w:rsidP="00F97A8E">
            <w:pPr>
              <w:spacing w:before="60" w:after="60"/>
              <w:jc w:val="center"/>
              <w:rPr>
                <w:b/>
                <w:color w:val="auto"/>
                <w:sz w:val="12"/>
                <w:szCs w:val="12"/>
              </w:rPr>
            </w:pPr>
            <w:r w:rsidRPr="00CD1278">
              <w:rPr>
                <w:b/>
                <w:color w:val="auto"/>
                <w:sz w:val="12"/>
                <w:szCs w:val="12"/>
              </w:rPr>
              <w:t>2005</w:t>
            </w:r>
          </w:p>
        </w:tc>
        <w:tc>
          <w:tcPr>
            <w:tcW w:w="567" w:type="dxa"/>
            <w:tcBorders>
              <w:top w:val="nil"/>
              <w:left w:val="nil"/>
              <w:bottom w:val="single" w:sz="8" w:space="0" w:color="auto"/>
              <w:right w:val="single" w:sz="8" w:space="0" w:color="auto"/>
            </w:tcBorders>
            <w:shd w:val="clear" w:color="auto" w:fill="auto"/>
            <w:vAlign w:val="center"/>
          </w:tcPr>
          <w:p w14:paraId="24F070DD" w14:textId="77777777" w:rsidR="004B0524" w:rsidRPr="00CD1278" w:rsidRDefault="004B0524" w:rsidP="00F97A8E">
            <w:pPr>
              <w:spacing w:before="60" w:after="60"/>
              <w:jc w:val="center"/>
              <w:rPr>
                <w:b/>
                <w:color w:val="auto"/>
                <w:sz w:val="12"/>
                <w:szCs w:val="12"/>
              </w:rPr>
            </w:pPr>
            <w:r w:rsidRPr="00CD1278">
              <w:rPr>
                <w:b/>
                <w:color w:val="auto"/>
                <w:sz w:val="12"/>
                <w:szCs w:val="12"/>
              </w:rPr>
              <w:t>2006</w:t>
            </w:r>
          </w:p>
        </w:tc>
        <w:tc>
          <w:tcPr>
            <w:tcW w:w="567" w:type="dxa"/>
            <w:tcBorders>
              <w:top w:val="nil"/>
              <w:left w:val="nil"/>
              <w:bottom w:val="single" w:sz="8" w:space="0" w:color="auto"/>
              <w:right w:val="single" w:sz="8" w:space="0" w:color="auto"/>
            </w:tcBorders>
            <w:shd w:val="clear" w:color="auto" w:fill="auto"/>
            <w:vAlign w:val="center"/>
          </w:tcPr>
          <w:p w14:paraId="3726A3C7" w14:textId="77777777" w:rsidR="004B0524" w:rsidRPr="00CD1278" w:rsidRDefault="004B0524" w:rsidP="00F97A8E">
            <w:pPr>
              <w:spacing w:before="60" w:after="60"/>
              <w:jc w:val="center"/>
              <w:rPr>
                <w:b/>
                <w:color w:val="auto"/>
                <w:sz w:val="12"/>
                <w:szCs w:val="12"/>
              </w:rPr>
            </w:pPr>
            <w:r w:rsidRPr="00CD1278">
              <w:rPr>
                <w:b/>
                <w:color w:val="auto"/>
                <w:sz w:val="12"/>
                <w:szCs w:val="12"/>
              </w:rPr>
              <w:t>2007</w:t>
            </w:r>
          </w:p>
        </w:tc>
        <w:tc>
          <w:tcPr>
            <w:tcW w:w="567" w:type="dxa"/>
            <w:tcBorders>
              <w:top w:val="nil"/>
              <w:left w:val="nil"/>
              <w:bottom w:val="single" w:sz="8" w:space="0" w:color="auto"/>
              <w:right w:val="single" w:sz="8" w:space="0" w:color="auto"/>
            </w:tcBorders>
            <w:shd w:val="clear" w:color="auto" w:fill="auto"/>
            <w:vAlign w:val="center"/>
          </w:tcPr>
          <w:p w14:paraId="6065ECCC" w14:textId="77777777" w:rsidR="004B0524" w:rsidRPr="00CD1278" w:rsidRDefault="004B0524" w:rsidP="00F97A8E">
            <w:pPr>
              <w:spacing w:before="60" w:after="60"/>
              <w:jc w:val="center"/>
              <w:rPr>
                <w:b/>
                <w:color w:val="auto"/>
                <w:sz w:val="12"/>
                <w:szCs w:val="12"/>
              </w:rPr>
            </w:pPr>
            <w:r w:rsidRPr="00CD1278">
              <w:rPr>
                <w:b/>
                <w:color w:val="auto"/>
                <w:sz w:val="12"/>
                <w:szCs w:val="12"/>
              </w:rPr>
              <w:t>2008</w:t>
            </w:r>
          </w:p>
        </w:tc>
        <w:tc>
          <w:tcPr>
            <w:tcW w:w="567" w:type="dxa"/>
            <w:tcBorders>
              <w:top w:val="nil"/>
              <w:left w:val="nil"/>
              <w:bottom w:val="single" w:sz="8" w:space="0" w:color="auto"/>
              <w:right w:val="single" w:sz="8" w:space="0" w:color="auto"/>
            </w:tcBorders>
            <w:shd w:val="clear" w:color="auto" w:fill="auto"/>
            <w:vAlign w:val="center"/>
          </w:tcPr>
          <w:p w14:paraId="413A3057" w14:textId="77777777" w:rsidR="004B0524" w:rsidRPr="00CD1278" w:rsidRDefault="004B0524" w:rsidP="00F97A8E">
            <w:pPr>
              <w:spacing w:before="60" w:after="60"/>
              <w:jc w:val="center"/>
              <w:rPr>
                <w:b/>
                <w:color w:val="auto"/>
                <w:sz w:val="12"/>
                <w:szCs w:val="12"/>
              </w:rPr>
            </w:pPr>
            <w:r w:rsidRPr="00CD1278">
              <w:rPr>
                <w:b/>
                <w:color w:val="auto"/>
                <w:sz w:val="12"/>
                <w:szCs w:val="12"/>
              </w:rPr>
              <w:t>2009</w:t>
            </w:r>
          </w:p>
        </w:tc>
        <w:tc>
          <w:tcPr>
            <w:tcW w:w="567" w:type="dxa"/>
            <w:tcBorders>
              <w:top w:val="nil"/>
              <w:left w:val="nil"/>
              <w:bottom w:val="single" w:sz="8" w:space="0" w:color="auto"/>
              <w:right w:val="single" w:sz="8" w:space="0" w:color="auto"/>
            </w:tcBorders>
            <w:shd w:val="clear" w:color="auto" w:fill="auto"/>
            <w:vAlign w:val="center"/>
          </w:tcPr>
          <w:p w14:paraId="705D5876" w14:textId="77777777" w:rsidR="004B0524" w:rsidRPr="00CD1278" w:rsidRDefault="004B0524" w:rsidP="00F97A8E">
            <w:pPr>
              <w:spacing w:before="60" w:after="60"/>
              <w:jc w:val="center"/>
              <w:rPr>
                <w:b/>
                <w:color w:val="auto"/>
                <w:sz w:val="12"/>
                <w:szCs w:val="12"/>
              </w:rPr>
            </w:pPr>
            <w:r w:rsidRPr="00CD1278">
              <w:rPr>
                <w:b/>
                <w:color w:val="auto"/>
                <w:sz w:val="12"/>
                <w:szCs w:val="12"/>
              </w:rPr>
              <w:t>2010</w:t>
            </w:r>
          </w:p>
        </w:tc>
        <w:tc>
          <w:tcPr>
            <w:tcW w:w="567" w:type="dxa"/>
            <w:tcBorders>
              <w:top w:val="nil"/>
              <w:left w:val="nil"/>
              <w:bottom w:val="single" w:sz="8" w:space="0" w:color="auto"/>
              <w:right w:val="single" w:sz="8" w:space="0" w:color="auto"/>
            </w:tcBorders>
            <w:shd w:val="clear" w:color="auto" w:fill="auto"/>
            <w:vAlign w:val="center"/>
          </w:tcPr>
          <w:p w14:paraId="4817A56C" w14:textId="77777777" w:rsidR="004B0524" w:rsidRPr="00CD1278" w:rsidRDefault="004B0524" w:rsidP="00F97A8E">
            <w:pPr>
              <w:spacing w:before="60" w:after="60"/>
              <w:jc w:val="center"/>
              <w:rPr>
                <w:b/>
                <w:color w:val="auto"/>
                <w:sz w:val="12"/>
                <w:szCs w:val="12"/>
              </w:rPr>
            </w:pPr>
            <w:r w:rsidRPr="00CD1278">
              <w:rPr>
                <w:b/>
                <w:color w:val="auto"/>
                <w:sz w:val="12"/>
                <w:szCs w:val="12"/>
              </w:rPr>
              <w:t>2011</w:t>
            </w:r>
          </w:p>
        </w:tc>
        <w:tc>
          <w:tcPr>
            <w:tcW w:w="567" w:type="dxa"/>
            <w:tcBorders>
              <w:top w:val="nil"/>
              <w:left w:val="nil"/>
              <w:bottom w:val="single" w:sz="8" w:space="0" w:color="auto"/>
              <w:right w:val="single" w:sz="8" w:space="0" w:color="auto"/>
            </w:tcBorders>
            <w:shd w:val="clear" w:color="auto" w:fill="auto"/>
            <w:vAlign w:val="center"/>
          </w:tcPr>
          <w:p w14:paraId="4E31F221" w14:textId="77777777" w:rsidR="004B0524" w:rsidRPr="00CD1278" w:rsidRDefault="004B0524" w:rsidP="00F97A8E">
            <w:pPr>
              <w:spacing w:before="60" w:after="60"/>
              <w:jc w:val="center"/>
              <w:rPr>
                <w:b/>
                <w:color w:val="auto"/>
                <w:sz w:val="12"/>
                <w:szCs w:val="12"/>
              </w:rPr>
            </w:pPr>
            <w:r w:rsidRPr="00CD1278">
              <w:rPr>
                <w:b/>
                <w:color w:val="auto"/>
                <w:sz w:val="12"/>
                <w:szCs w:val="12"/>
              </w:rPr>
              <w:t>2012</w:t>
            </w:r>
          </w:p>
        </w:tc>
        <w:tc>
          <w:tcPr>
            <w:tcW w:w="567" w:type="dxa"/>
            <w:tcBorders>
              <w:top w:val="nil"/>
              <w:left w:val="nil"/>
              <w:bottom w:val="single" w:sz="8" w:space="0" w:color="auto"/>
              <w:right w:val="single" w:sz="8" w:space="0" w:color="auto"/>
            </w:tcBorders>
            <w:shd w:val="clear" w:color="auto" w:fill="auto"/>
            <w:vAlign w:val="center"/>
          </w:tcPr>
          <w:p w14:paraId="6D22CA48" w14:textId="77777777" w:rsidR="004B0524" w:rsidRPr="00CD1278" w:rsidRDefault="004B0524" w:rsidP="00F97A8E">
            <w:pPr>
              <w:spacing w:before="60" w:after="60"/>
              <w:jc w:val="center"/>
              <w:rPr>
                <w:b/>
                <w:color w:val="auto"/>
                <w:sz w:val="12"/>
                <w:szCs w:val="12"/>
              </w:rPr>
            </w:pPr>
            <w:r w:rsidRPr="00CD1278">
              <w:rPr>
                <w:b/>
                <w:color w:val="auto"/>
                <w:sz w:val="12"/>
                <w:szCs w:val="12"/>
              </w:rPr>
              <w:t>2013</w:t>
            </w:r>
          </w:p>
        </w:tc>
        <w:tc>
          <w:tcPr>
            <w:tcW w:w="567" w:type="dxa"/>
            <w:tcBorders>
              <w:top w:val="nil"/>
              <w:left w:val="nil"/>
              <w:bottom w:val="single" w:sz="8" w:space="0" w:color="auto"/>
              <w:right w:val="single" w:sz="4" w:space="0" w:color="auto"/>
            </w:tcBorders>
            <w:vAlign w:val="center"/>
          </w:tcPr>
          <w:p w14:paraId="6AB71461" w14:textId="77777777" w:rsidR="004B0524" w:rsidRPr="00CD1278" w:rsidRDefault="004B0524" w:rsidP="00F97A8E">
            <w:pPr>
              <w:spacing w:before="60" w:after="60"/>
              <w:jc w:val="center"/>
              <w:rPr>
                <w:b/>
                <w:color w:val="auto"/>
                <w:sz w:val="12"/>
                <w:szCs w:val="12"/>
              </w:rPr>
            </w:pPr>
            <w:r w:rsidRPr="00CD1278">
              <w:rPr>
                <w:b/>
                <w:color w:val="auto"/>
                <w:sz w:val="12"/>
                <w:szCs w:val="12"/>
              </w:rPr>
              <w:t>2014</w:t>
            </w:r>
          </w:p>
        </w:tc>
        <w:tc>
          <w:tcPr>
            <w:tcW w:w="567" w:type="dxa"/>
            <w:tcBorders>
              <w:top w:val="nil"/>
              <w:left w:val="single" w:sz="4" w:space="0" w:color="auto"/>
              <w:bottom w:val="single" w:sz="8" w:space="0" w:color="auto"/>
              <w:right w:val="single" w:sz="4" w:space="0" w:color="auto"/>
            </w:tcBorders>
            <w:vAlign w:val="center"/>
          </w:tcPr>
          <w:p w14:paraId="0C95C08E" w14:textId="77777777" w:rsidR="004B0524" w:rsidRPr="00CD1278" w:rsidRDefault="004B0524" w:rsidP="00F97A8E">
            <w:pPr>
              <w:spacing w:before="60" w:after="60"/>
              <w:jc w:val="center"/>
              <w:rPr>
                <w:b/>
                <w:color w:val="auto"/>
                <w:sz w:val="12"/>
                <w:szCs w:val="12"/>
              </w:rPr>
            </w:pPr>
            <w:r w:rsidRPr="00CD1278">
              <w:rPr>
                <w:b/>
                <w:color w:val="auto"/>
                <w:sz w:val="12"/>
                <w:szCs w:val="12"/>
              </w:rPr>
              <w:t>2015</w:t>
            </w:r>
          </w:p>
        </w:tc>
        <w:tc>
          <w:tcPr>
            <w:tcW w:w="567" w:type="dxa"/>
            <w:tcBorders>
              <w:top w:val="nil"/>
              <w:left w:val="single" w:sz="4" w:space="0" w:color="auto"/>
              <w:bottom w:val="single" w:sz="8" w:space="0" w:color="auto"/>
              <w:right w:val="single" w:sz="4" w:space="0" w:color="auto"/>
            </w:tcBorders>
            <w:vAlign w:val="center"/>
          </w:tcPr>
          <w:p w14:paraId="6808CFF7" w14:textId="77777777" w:rsidR="004B0524" w:rsidRPr="00CD1278" w:rsidRDefault="004B0524" w:rsidP="00F97A8E">
            <w:pPr>
              <w:spacing w:before="60" w:after="60"/>
              <w:jc w:val="center"/>
              <w:rPr>
                <w:b/>
                <w:color w:val="auto"/>
                <w:sz w:val="12"/>
                <w:szCs w:val="12"/>
              </w:rPr>
            </w:pPr>
            <w:r w:rsidRPr="00CD1278">
              <w:rPr>
                <w:b/>
                <w:color w:val="auto"/>
                <w:sz w:val="12"/>
                <w:szCs w:val="12"/>
              </w:rPr>
              <w:t>2016</w:t>
            </w:r>
          </w:p>
        </w:tc>
        <w:tc>
          <w:tcPr>
            <w:tcW w:w="709" w:type="dxa"/>
            <w:tcBorders>
              <w:top w:val="nil"/>
              <w:left w:val="single" w:sz="4" w:space="0" w:color="auto"/>
              <w:bottom w:val="single" w:sz="8" w:space="0" w:color="auto"/>
              <w:right w:val="single" w:sz="8" w:space="0" w:color="auto"/>
            </w:tcBorders>
            <w:shd w:val="clear" w:color="auto" w:fill="auto"/>
            <w:vAlign w:val="center"/>
          </w:tcPr>
          <w:p w14:paraId="351F2267" w14:textId="77777777" w:rsidR="004B0524" w:rsidRPr="00CD1278" w:rsidRDefault="004B0524" w:rsidP="00F97A8E">
            <w:pPr>
              <w:spacing w:before="60" w:after="60"/>
              <w:jc w:val="center"/>
              <w:rPr>
                <w:b/>
                <w:color w:val="auto"/>
                <w:sz w:val="12"/>
                <w:szCs w:val="12"/>
              </w:rPr>
            </w:pPr>
            <w:r w:rsidRPr="00CD1278">
              <w:rPr>
                <w:b/>
                <w:color w:val="auto"/>
                <w:sz w:val="12"/>
                <w:szCs w:val="12"/>
              </w:rPr>
              <w:t>2005</w:t>
            </w:r>
          </w:p>
        </w:tc>
        <w:tc>
          <w:tcPr>
            <w:tcW w:w="567" w:type="dxa"/>
            <w:tcBorders>
              <w:top w:val="nil"/>
              <w:left w:val="nil"/>
              <w:bottom w:val="single" w:sz="8" w:space="0" w:color="auto"/>
              <w:right w:val="single" w:sz="8" w:space="0" w:color="auto"/>
            </w:tcBorders>
            <w:shd w:val="clear" w:color="auto" w:fill="auto"/>
            <w:vAlign w:val="center"/>
          </w:tcPr>
          <w:p w14:paraId="0677A3EF" w14:textId="77777777" w:rsidR="004B0524" w:rsidRPr="00CD1278" w:rsidRDefault="004B0524" w:rsidP="00F97A8E">
            <w:pPr>
              <w:spacing w:before="60" w:after="60"/>
              <w:jc w:val="center"/>
              <w:rPr>
                <w:b/>
                <w:color w:val="auto"/>
                <w:sz w:val="12"/>
                <w:szCs w:val="12"/>
              </w:rPr>
            </w:pPr>
            <w:r w:rsidRPr="00CD1278">
              <w:rPr>
                <w:b/>
                <w:color w:val="auto"/>
                <w:sz w:val="12"/>
                <w:szCs w:val="12"/>
              </w:rPr>
              <w:t>2006</w:t>
            </w:r>
          </w:p>
        </w:tc>
        <w:tc>
          <w:tcPr>
            <w:tcW w:w="567" w:type="dxa"/>
            <w:tcBorders>
              <w:top w:val="nil"/>
              <w:left w:val="nil"/>
              <w:bottom w:val="single" w:sz="8" w:space="0" w:color="auto"/>
              <w:right w:val="single" w:sz="8" w:space="0" w:color="auto"/>
            </w:tcBorders>
            <w:shd w:val="clear" w:color="auto" w:fill="auto"/>
            <w:vAlign w:val="center"/>
          </w:tcPr>
          <w:p w14:paraId="36D8CB7C" w14:textId="77777777" w:rsidR="004B0524" w:rsidRPr="00CD1278" w:rsidRDefault="004B0524" w:rsidP="00F97A8E">
            <w:pPr>
              <w:spacing w:before="60" w:after="60"/>
              <w:jc w:val="center"/>
              <w:rPr>
                <w:b/>
                <w:color w:val="auto"/>
                <w:sz w:val="12"/>
                <w:szCs w:val="12"/>
              </w:rPr>
            </w:pPr>
            <w:r w:rsidRPr="00CD1278">
              <w:rPr>
                <w:b/>
                <w:color w:val="auto"/>
                <w:sz w:val="12"/>
                <w:szCs w:val="12"/>
              </w:rPr>
              <w:t>2007</w:t>
            </w:r>
          </w:p>
        </w:tc>
        <w:tc>
          <w:tcPr>
            <w:tcW w:w="567" w:type="dxa"/>
            <w:tcBorders>
              <w:top w:val="nil"/>
              <w:left w:val="nil"/>
              <w:bottom w:val="single" w:sz="8" w:space="0" w:color="auto"/>
              <w:right w:val="single" w:sz="8" w:space="0" w:color="auto"/>
            </w:tcBorders>
            <w:shd w:val="clear" w:color="auto" w:fill="auto"/>
            <w:vAlign w:val="center"/>
          </w:tcPr>
          <w:p w14:paraId="36032EB6" w14:textId="77777777" w:rsidR="004B0524" w:rsidRPr="00CD1278" w:rsidRDefault="004B0524" w:rsidP="00F97A8E">
            <w:pPr>
              <w:spacing w:before="60" w:after="60"/>
              <w:jc w:val="center"/>
              <w:rPr>
                <w:b/>
                <w:color w:val="auto"/>
                <w:sz w:val="12"/>
                <w:szCs w:val="12"/>
              </w:rPr>
            </w:pPr>
            <w:r w:rsidRPr="00CD1278">
              <w:rPr>
                <w:b/>
                <w:color w:val="auto"/>
                <w:sz w:val="12"/>
                <w:szCs w:val="12"/>
              </w:rPr>
              <w:t>2008</w:t>
            </w:r>
          </w:p>
        </w:tc>
        <w:tc>
          <w:tcPr>
            <w:tcW w:w="567" w:type="dxa"/>
            <w:tcBorders>
              <w:top w:val="nil"/>
              <w:left w:val="nil"/>
              <w:bottom w:val="single" w:sz="8" w:space="0" w:color="auto"/>
              <w:right w:val="single" w:sz="8" w:space="0" w:color="auto"/>
            </w:tcBorders>
            <w:shd w:val="clear" w:color="auto" w:fill="auto"/>
            <w:vAlign w:val="center"/>
          </w:tcPr>
          <w:p w14:paraId="3323CDB7" w14:textId="77777777" w:rsidR="004B0524" w:rsidRPr="00CD1278" w:rsidRDefault="004B0524" w:rsidP="00F97A8E">
            <w:pPr>
              <w:spacing w:before="60" w:after="60"/>
              <w:jc w:val="center"/>
              <w:rPr>
                <w:b/>
                <w:color w:val="auto"/>
                <w:sz w:val="12"/>
                <w:szCs w:val="12"/>
              </w:rPr>
            </w:pPr>
            <w:r w:rsidRPr="00CD1278">
              <w:rPr>
                <w:b/>
                <w:color w:val="auto"/>
                <w:sz w:val="12"/>
                <w:szCs w:val="12"/>
              </w:rPr>
              <w:t>2009</w:t>
            </w:r>
          </w:p>
        </w:tc>
        <w:tc>
          <w:tcPr>
            <w:tcW w:w="567" w:type="dxa"/>
            <w:tcBorders>
              <w:top w:val="nil"/>
              <w:left w:val="nil"/>
              <w:bottom w:val="single" w:sz="8" w:space="0" w:color="auto"/>
              <w:right w:val="single" w:sz="8" w:space="0" w:color="auto"/>
            </w:tcBorders>
            <w:shd w:val="clear" w:color="auto" w:fill="auto"/>
            <w:vAlign w:val="center"/>
          </w:tcPr>
          <w:p w14:paraId="7F97B7E6" w14:textId="77777777" w:rsidR="004B0524" w:rsidRPr="00CD1278" w:rsidRDefault="004B0524" w:rsidP="00F97A8E">
            <w:pPr>
              <w:spacing w:before="60" w:after="60"/>
              <w:jc w:val="center"/>
              <w:rPr>
                <w:b/>
                <w:color w:val="auto"/>
                <w:sz w:val="12"/>
                <w:szCs w:val="12"/>
              </w:rPr>
            </w:pPr>
            <w:r w:rsidRPr="00CD1278">
              <w:rPr>
                <w:b/>
                <w:color w:val="auto"/>
                <w:sz w:val="12"/>
                <w:szCs w:val="12"/>
              </w:rPr>
              <w:t>2010</w:t>
            </w:r>
          </w:p>
        </w:tc>
        <w:tc>
          <w:tcPr>
            <w:tcW w:w="567" w:type="dxa"/>
            <w:tcBorders>
              <w:top w:val="nil"/>
              <w:left w:val="nil"/>
              <w:bottom w:val="single" w:sz="8" w:space="0" w:color="auto"/>
              <w:right w:val="single" w:sz="8" w:space="0" w:color="auto"/>
            </w:tcBorders>
            <w:shd w:val="clear" w:color="auto" w:fill="auto"/>
            <w:vAlign w:val="center"/>
          </w:tcPr>
          <w:p w14:paraId="7A76EB43" w14:textId="77777777" w:rsidR="004B0524" w:rsidRPr="00CD1278" w:rsidRDefault="004B0524" w:rsidP="00F97A8E">
            <w:pPr>
              <w:spacing w:before="60" w:after="60"/>
              <w:jc w:val="center"/>
              <w:rPr>
                <w:b/>
                <w:color w:val="auto"/>
                <w:sz w:val="12"/>
                <w:szCs w:val="12"/>
              </w:rPr>
            </w:pPr>
            <w:r w:rsidRPr="00CD1278">
              <w:rPr>
                <w:b/>
                <w:color w:val="auto"/>
                <w:sz w:val="12"/>
                <w:szCs w:val="12"/>
              </w:rPr>
              <w:t>2011</w:t>
            </w:r>
          </w:p>
        </w:tc>
        <w:tc>
          <w:tcPr>
            <w:tcW w:w="567" w:type="dxa"/>
            <w:tcBorders>
              <w:top w:val="single" w:sz="4" w:space="0" w:color="auto"/>
              <w:left w:val="nil"/>
              <w:bottom w:val="single" w:sz="8" w:space="0" w:color="auto"/>
              <w:right w:val="single" w:sz="8" w:space="0" w:color="auto"/>
            </w:tcBorders>
            <w:shd w:val="clear" w:color="auto" w:fill="auto"/>
            <w:vAlign w:val="center"/>
          </w:tcPr>
          <w:p w14:paraId="3F2C5B28" w14:textId="77777777" w:rsidR="004B0524" w:rsidRPr="00CD1278" w:rsidRDefault="004B0524" w:rsidP="00F97A8E">
            <w:pPr>
              <w:spacing w:before="60" w:after="60"/>
              <w:jc w:val="center"/>
              <w:rPr>
                <w:b/>
                <w:color w:val="auto"/>
                <w:sz w:val="12"/>
                <w:szCs w:val="12"/>
              </w:rPr>
            </w:pPr>
            <w:r w:rsidRPr="00CD1278">
              <w:rPr>
                <w:b/>
                <w:color w:val="auto"/>
                <w:sz w:val="12"/>
                <w:szCs w:val="12"/>
              </w:rPr>
              <w:t>2012</w:t>
            </w:r>
          </w:p>
        </w:tc>
        <w:tc>
          <w:tcPr>
            <w:tcW w:w="567" w:type="dxa"/>
            <w:tcBorders>
              <w:top w:val="single" w:sz="4" w:space="0" w:color="auto"/>
              <w:left w:val="nil"/>
              <w:bottom w:val="single" w:sz="8" w:space="0" w:color="auto"/>
              <w:right w:val="single" w:sz="8" w:space="0" w:color="auto"/>
            </w:tcBorders>
            <w:vAlign w:val="center"/>
          </w:tcPr>
          <w:p w14:paraId="23B1E413" w14:textId="77777777" w:rsidR="004B0524" w:rsidRPr="00CD1278" w:rsidRDefault="004B0524" w:rsidP="00F97A8E">
            <w:pPr>
              <w:spacing w:before="60" w:after="60"/>
              <w:jc w:val="center"/>
              <w:rPr>
                <w:b/>
                <w:color w:val="auto"/>
                <w:sz w:val="12"/>
                <w:szCs w:val="12"/>
              </w:rPr>
            </w:pPr>
            <w:r w:rsidRPr="00CD1278">
              <w:rPr>
                <w:b/>
                <w:color w:val="auto"/>
                <w:sz w:val="12"/>
                <w:szCs w:val="12"/>
              </w:rPr>
              <w:t>2013</w:t>
            </w:r>
          </w:p>
        </w:tc>
        <w:tc>
          <w:tcPr>
            <w:tcW w:w="567" w:type="dxa"/>
            <w:tcBorders>
              <w:top w:val="single" w:sz="4" w:space="0" w:color="auto"/>
              <w:left w:val="nil"/>
              <w:bottom w:val="single" w:sz="8" w:space="0" w:color="auto"/>
              <w:right w:val="single" w:sz="8" w:space="0" w:color="auto"/>
            </w:tcBorders>
            <w:vAlign w:val="center"/>
          </w:tcPr>
          <w:p w14:paraId="7A877EDF" w14:textId="77777777" w:rsidR="004B0524" w:rsidRPr="00CD1278" w:rsidRDefault="004B0524" w:rsidP="00F97A8E">
            <w:pPr>
              <w:spacing w:before="60" w:after="60"/>
              <w:jc w:val="center"/>
              <w:rPr>
                <w:b/>
                <w:color w:val="auto"/>
                <w:sz w:val="12"/>
                <w:szCs w:val="12"/>
              </w:rPr>
            </w:pPr>
            <w:r w:rsidRPr="00CD1278">
              <w:rPr>
                <w:b/>
                <w:color w:val="auto"/>
                <w:sz w:val="12"/>
                <w:szCs w:val="12"/>
              </w:rPr>
              <w:t>2014</w:t>
            </w:r>
          </w:p>
        </w:tc>
        <w:tc>
          <w:tcPr>
            <w:tcW w:w="567" w:type="dxa"/>
            <w:tcBorders>
              <w:top w:val="single" w:sz="4" w:space="0" w:color="auto"/>
              <w:left w:val="nil"/>
              <w:bottom w:val="single" w:sz="8" w:space="0" w:color="auto"/>
              <w:right w:val="single" w:sz="8" w:space="0" w:color="auto"/>
            </w:tcBorders>
            <w:vAlign w:val="center"/>
          </w:tcPr>
          <w:p w14:paraId="3B1B2646" w14:textId="77777777" w:rsidR="004B0524" w:rsidRPr="00CD1278" w:rsidRDefault="004B0524" w:rsidP="00F97A8E">
            <w:pPr>
              <w:spacing w:before="60" w:after="60"/>
              <w:jc w:val="center"/>
              <w:rPr>
                <w:b/>
                <w:color w:val="auto"/>
                <w:sz w:val="12"/>
                <w:szCs w:val="12"/>
              </w:rPr>
            </w:pPr>
            <w:r w:rsidRPr="00CD1278">
              <w:rPr>
                <w:b/>
                <w:color w:val="auto"/>
                <w:sz w:val="12"/>
                <w:szCs w:val="12"/>
              </w:rPr>
              <w:t>2015</w:t>
            </w:r>
          </w:p>
        </w:tc>
        <w:tc>
          <w:tcPr>
            <w:tcW w:w="567" w:type="dxa"/>
            <w:tcBorders>
              <w:top w:val="single" w:sz="4" w:space="0" w:color="auto"/>
              <w:left w:val="nil"/>
              <w:bottom w:val="single" w:sz="8" w:space="0" w:color="auto"/>
              <w:right w:val="single" w:sz="8" w:space="0" w:color="auto"/>
            </w:tcBorders>
            <w:vAlign w:val="center"/>
          </w:tcPr>
          <w:p w14:paraId="1B982F9D" w14:textId="77777777" w:rsidR="004B0524" w:rsidRPr="00CD1278" w:rsidRDefault="004B0524" w:rsidP="00F97A8E">
            <w:pPr>
              <w:spacing w:before="60" w:after="60"/>
              <w:jc w:val="center"/>
              <w:rPr>
                <w:b/>
                <w:color w:val="auto"/>
                <w:sz w:val="12"/>
                <w:szCs w:val="12"/>
              </w:rPr>
            </w:pPr>
            <w:r w:rsidRPr="00CD1278">
              <w:rPr>
                <w:b/>
                <w:color w:val="auto"/>
                <w:sz w:val="12"/>
                <w:szCs w:val="12"/>
              </w:rPr>
              <w:t>2016</w:t>
            </w:r>
          </w:p>
        </w:tc>
      </w:tr>
      <w:tr w:rsidR="003C102E" w:rsidRPr="00CD1278" w14:paraId="51EA4D47"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D3DD5F5" w14:textId="77777777" w:rsidR="004B0524" w:rsidRPr="00CD1278" w:rsidRDefault="004B0524" w:rsidP="00DE7A60">
            <w:pPr>
              <w:spacing w:after="60"/>
              <w:rPr>
                <w:color w:val="auto"/>
                <w:sz w:val="12"/>
                <w:szCs w:val="12"/>
              </w:rPr>
            </w:pPr>
            <w:r w:rsidRPr="00CD1278">
              <w:rPr>
                <w:color w:val="auto"/>
                <w:sz w:val="12"/>
                <w:szCs w:val="12"/>
              </w:rPr>
              <w:t xml:space="preserve">Australia </w:t>
            </w:r>
          </w:p>
        </w:tc>
        <w:tc>
          <w:tcPr>
            <w:tcW w:w="818" w:type="dxa"/>
            <w:tcBorders>
              <w:top w:val="nil"/>
              <w:left w:val="nil"/>
              <w:bottom w:val="single" w:sz="8" w:space="0" w:color="auto"/>
              <w:right w:val="single" w:sz="8" w:space="0" w:color="auto"/>
            </w:tcBorders>
            <w:shd w:val="clear" w:color="auto" w:fill="auto"/>
            <w:vAlign w:val="center"/>
          </w:tcPr>
          <w:p w14:paraId="784619ED" w14:textId="77777777" w:rsidR="004B0524" w:rsidRPr="00CD1278" w:rsidRDefault="004B0524" w:rsidP="007972CD">
            <w:pPr>
              <w:spacing w:after="60"/>
              <w:ind w:left="-83"/>
              <w:rPr>
                <w:color w:val="auto"/>
                <w:sz w:val="12"/>
                <w:szCs w:val="12"/>
              </w:rPr>
            </w:pPr>
            <w:r w:rsidRPr="00CD1278">
              <w:rPr>
                <w:color w:val="auto"/>
                <w:sz w:val="12"/>
                <w:szCs w:val="12"/>
              </w:rPr>
              <w:t>Almonds</w:t>
            </w:r>
          </w:p>
        </w:tc>
        <w:tc>
          <w:tcPr>
            <w:tcW w:w="567" w:type="dxa"/>
            <w:tcBorders>
              <w:top w:val="nil"/>
              <w:left w:val="nil"/>
              <w:bottom w:val="single" w:sz="8" w:space="0" w:color="auto"/>
              <w:right w:val="single" w:sz="8" w:space="0" w:color="auto"/>
            </w:tcBorders>
            <w:shd w:val="clear" w:color="auto" w:fill="auto"/>
            <w:vAlign w:val="center"/>
          </w:tcPr>
          <w:p w14:paraId="345D981A" w14:textId="77777777" w:rsidR="004B0524" w:rsidRPr="00CD1278" w:rsidRDefault="004B0524" w:rsidP="00F97A8E">
            <w:pPr>
              <w:spacing w:before="60" w:after="60"/>
              <w:jc w:val="center"/>
              <w:rPr>
                <w:color w:val="auto"/>
                <w:sz w:val="12"/>
                <w:szCs w:val="12"/>
              </w:rPr>
            </w:pPr>
            <w:r w:rsidRPr="00CD1278">
              <w:rPr>
                <w:color w:val="auto"/>
                <w:sz w:val="12"/>
                <w:szCs w:val="12"/>
              </w:rPr>
              <w:t>1.900</w:t>
            </w:r>
          </w:p>
        </w:tc>
        <w:tc>
          <w:tcPr>
            <w:tcW w:w="567" w:type="dxa"/>
            <w:tcBorders>
              <w:top w:val="nil"/>
              <w:left w:val="nil"/>
              <w:bottom w:val="single" w:sz="8" w:space="0" w:color="auto"/>
              <w:right w:val="single" w:sz="8" w:space="0" w:color="auto"/>
            </w:tcBorders>
            <w:shd w:val="clear" w:color="auto" w:fill="auto"/>
            <w:vAlign w:val="center"/>
          </w:tcPr>
          <w:p w14:paraId="05A0F2CB" w14:textId="77777777" w:rsidR="004B0524" w:rsidRPr="00CD1278" w:rsidRDefault="004B0524" w:rsidP="00F97A8E">
            <w:pPr>
              <w:spacing w:before="60" w:after="60"/>
              <w:jc w:val="center"/>
              <w:rPr>
                <w:color w:val="auto"/>
                <w:sz w:val="12"/>
                <w:szCs w:val="12"/>
              </w:rPr>
            </w:pPr>
            <w:r w:rsidRPr="00CD1278">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0A8F04F4" w14:textId="3BA88EF4"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BDC8C1" w14:textId="4C810CD8"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CB4BDD" w14:textId="0DD68B05"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2A1628" w14:textId="7A9FFC67"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A0D133" w14:textId="66A30775"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D86751B" w14:textId="17620014"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477615" w14:textId="25A9BA50"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289E555" w14:textId="77777777" w:rsidR="004B0524" w:rsidRPr="00CD1278" w:rsidRDefault="004B0524" w:rsidP="00F97A8E">
            <w:pPr>
              <w:spacing w:before="60"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F2FE8AF" w14:textId="77777777" w:rsidR="004B0524" w:rsidRPr="00CD1278" w:rsidRDefault="004B0524" w:rsidP="00F97A8E">
            <w:pPr>
              <w:spacing w:before="60"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BFE769D" w14:textId="77777777" w:rsidR="004B0524" w:rsidRPr="00CD1278" w:rsidRDefault="004B0524" w:rsidP="00F97A8E">
            <w:pPr>
              <w:spacing w:before="60"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C19343B" w14:textId="77777777" w:rsidR="004B0524" w:rsidRPr="00CD1278" w:rsidRDefault="004B0524" w:rsidP="00F97A8E">
            <w:pPr>
              <w:spacing w:before="60" w:after="60"/>
              <w:jc w:val="center"/>
              <w:rPr>
                <w:color w:val="auto"/>
                <w:sz w:val="12"/>
                <w:szCs w:val="12"/>
              </w:rPr>
            </w:pPr>
            <w:r w:rsidRPr="00CD1278">
              <w:rPr>
                <w:color w:val="auto"/>
                <w:sz w:val="12"/>
                <w:szCs w:val="12"/>
              </w:rPr>
              <w:t>1.900</w:t>
            </w:r>
          </w:p>
        </w:tc>
        <w:tc>
          <w:tcPr>
            <w:tcW w:w="567" w:type="dxa"/>
            <w:tcBorders>
              <w:top w:val="nil"/>
              <w:left w:val="nil"/>
              <w:bottom w:val="single" w:sz="8" w:space="0" w:color="auto"/>
              <w:right w:val="single" w:sz="8" w:space="0" w:color="auto"/>
            </w:tcBorders>
            <w:shd w:val="clear" w:color="auto" w:fill="auto"/>
            <w:vAlign w:val="center"/>
          </w:tcPr>
          <w:p w14:paraId="6DF5BB69" w14:textId="77777777" w:rsidR="004B0524" w:rsidRPr="00CD1278" w:rsidRDefault="004B0524" w:rsidP="00F97A8E">
            <w:pPr>
              <w:spacing w:before="60" w:after="60"/>
              <w:jc w:val="center"/>
              <w:rPr>
                <w:color w:val="auto"/>
                <w:sz w:val="12"/>
                <w:szCs w:val="12"/>
              </w:rPr>
            </w:pPr>
            <w:r w:rsidRPr="00CD1278">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07238E47" w14:textId="7B5D47A1"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A15F941" w14:textId="4491F103"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082D0C" w14:textId="2DD7CDCB"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CB4F7B5" w14:textId="4AFEA615"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8FA622" w14:textId="26365C75"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2E535D9" w14:textId="0E85AC67"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E4FBB53" w14:textId="77777777"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3D20B70" w14:textId="77777777"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C0D8893" w14:textId="77777777" w:rsidR="004B0524" w:rsidRPr="00CD1278" w:rsidRDefault="004B0524" w:rsidP="00F97A8E">
            <w:pPr>
              <w:spacing w:before="60"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E3D54C8" w14:textId="77777777" w:rsidR="004B0524" w:rsidRPr="00CD1278" w:rsidRDefault="004B0524" w:rsidP="00F97A8E">
            <w:pPr>
              <w:spacing w:before="60" w:after="60"/>
              <w:jc w:val="center"/>
              <w:rPr>
                <w:color w:val="auto"/>
                <w:sz w:val="12"/>
                <w:szCs w:val="12"/>
              </w:rPr>
            </w:pPr>
          </w:p>
        </w:tc>
      </w:tr>
      <w:tr w:rsidR="003C102E" w:rsidRPr="00CD1278" w14:paraId="7BEB5B62" w14:textId="77777777" w:rsidTr="00DE7A60">
        <w:trPr>
          <w:cantSplit/>
          <w:trHeight w:val="405"/>
          <w:jc w:val="center"/>
        </w:trPr>
        <w:tc>
          <w:tcPr>
            <w:tcW w:w="813" w:type="dxa"/>
            <w:vMerge w:val="restart"/>
            <w:tcBorders>
              <w:top w:val="nil"/>
              <w:left w:val="single" w:sz="8" w:space="0" w:color="auto"/>
              <w:bottom w:val="single" w:sz="8" w:space="0" w:color="000000"/>
              <w:right w:val="single" w:sz="8" w:space="0" w:color="auto"/>
            </w:tcBorders>
            <w:shd w:val="clear" w:color="auto" w:fill="auto"/>
            <w:vAlign w:val="center"/>
          </w:tcPr>
          <w:p w14:paraId="24A387B8" w14:textId="77777777" w:rsidR="005B2F78" w:rsidRPr="00CD1278" w:rsidRDefault="005B2F78" w:rsidP="00DE7A60">
            <w:pPr>
              <w:spacing w:after="60"/>
              <w:rPr>
                <w:color w:val="auto"/>
                <w:sz w:val="12"/>
                <w:szCs w:val="12"/>
              </w:rPr>
            </w:pPr>
            <w:r w:rsidRPr="00CD1278">
              <w:rPr>
                <w:color w:val="auto"/>
                <w:sz w:val="12"/>
                <w:szCs w:val="12"/>
              </w:rPr>
              <w:t xml:space="preserve">Australia </w:t>
            </w:r>
          </w:p>
        </w:tc>
        <w:tc>
          <w:tcPr>
            <w:tcW w:w="818" w:type="dxa"/>
            <w:vMerge w:val="restart"/>
            <w:tcBorders>
              <w:top w:val="nil"/>
              <w:left w:val="single" w:sz="8" w:space="0" w:color="auto"/>
              <w:bottom w:val="single" w:sz="8" w:space="0" w:color="000000"/>
              <w:right w:val="single" w:sz="8" w:space="0" w:color="auto"/>
            </w:tcBorders>
            <w:shd w:val="clear" w:color="auto" w:fill="auto"/>
            <w:vAlign w:val="center"/>
          </w:tcPr>
          <w:p w14:paraId="309A590A" w14:textId="77777777" w:rsidR="005B2F78" w:rsidRPr="00CD1278" w:rsidRDefault="005B2F78" w:rsidP="007972CD">
            <w:pPr>
              <w:spacing w:after="60"/>
              <w:ind w:left="-83"/>
              <w:rPr>
                <w:color w:val="auto"/>
                <w:sz w:val="12"/>
                <w:szCs w:val="12"/>
              </w:rPr>
            </w:pPr>
            <w:r w:rsidRPr="00CD1278">
              <w:rPr>
                <w:color w:val="auto"/>
                <w:sz w:val="12"/>
                <w:szCs w:val="12"/>
              </w:rPr>
              <w:t>Rice consumer packs</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2C569B24" w14:textId="77777777" w:rsidR="005B2F78" w:rsidRPr="00CD1278" w:rsidRDefault="005B2F78" w:rsidP="007972CD">
            <w:pPr>
              <w:spacing w:after="60"/>
              <w:jc w:val="center"/>
              <w:rPr>
                <w:color w:val="auto"/>
                <w:sz w:val="12"/>
                <w:szCs w:val="12"/>
              </w:rPr>
            </w:pPr>
            <w:r w:rsidRPr="00CD1278">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118A8B00" w14:textId="77777777" w:rsidR="005B2F78" w:rsidRPr="00CD1278" w:rsidRDefault="005B2F78" w:rsidP="007972CD">
            <w:pPr>
              <w:spacing w:after="60"/>
              <w:jc w:val="center"/>
              <w:rPr>
                <w:color w:val="auto"/>
                <w:sz w:val="12"/>
                <w:szCs w:val="12"/>
              </w:rPr>
            </w:pPr>
            <w:r w:rsidRPr="00CD1278">
              <w:rPr>
                <w:color w:val="auto"/>
                <w:sz w:val="12"/>
                <w:szCs w:val="12"/>
              </w:rPr>
              <w:t>12.300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0B032717" w14:textId="77777777" w:rsidR="005B2F78" w:rsidRPr="00CD1278" w:rsidRDefault="005B2F78" w:rsidP="007972CD">
            <w:pPr>
              <w:spacing w:after="60"/>
              <w:jc w:val="center"/>
              <w:rPr>
                <w:color w:val="auto"/>
                <w:sz w:val="12"/>
                <w:szCs w:val="12"/>
              </w:rPr>
            </w:pPr>
            <w:r w:rsidRPr="00CD1278">
              <w:rPr>
                <w:color w:val="auto"/>
                <w:sz w:val="12"/>
                <w:szCs w:val="12"/>
              </w:rPr>
              <w:t>10.225</w:t>
            </w:r>
          </w:p>
        </w:tc>
        <w:tc>
          <w:tcPr>
            <w:tcW w:w="567" w:type="dxa"/>
            <w:vMerge w:val="restart"/>
            <w:tcBorders>
              <w:top w:val="nil"/>
              <w:left w:val="nil"/>
              <w:right w:val="single" w:sz="8" w:space="0" w:color="auto"/>
            </w:tcBorders>
            <w:shd w:val="clear" w:color="auto" w:fill="auto"/>
            <w:vAlign w:val="center"/>
          </w:tcPr>
          <w:p w14:paraId="12B6DD21" w14:textId="77777777" w:rsidR="005B2F78" w:rsidRPr="00CD1278" w:rsidRDefault="005B2F78" w:rsidP="007972CD">
            <w:pPr>
              <w:spacing w:after="60"/>
              <w:jc w:val="center"/>
              <w:rPr>
                <w:color w:val="auto"/>
                <w:sz w:val="12"/>
                <w:szCs w:val="12"/>
              </w:rPr>
            </w:pPr>
            <w:r w:rsidRPr="00CD1278">
              <w:rPr>
                <w:color w:val="auto"/>
                <w:sz w:val="12"/>
                <w:szCs w:val="12"/>
              </w:rPr>
              <w:t>9.200</w:t>
            </w:r>
          </w:p>
          <w:p w14:paraId="12FF57A7" w14:textId="0C4E0911" w:rsidR="005B2F78" w:rsidRPr="00CD1278" w:rsidRDefault="005B2F78" w:rsidP="007972CD">
            <w:pPr>
              <w:spacing w:after="0"/>
              <w:jc w:val="center"/>
              <w:rPr>
                <w:color w:val="auto"/>
                <w:sz w:val="12"/>
                <w:szCs w:val="12"/>
              </w:rPr>
            </w:pPr>
            <w:r w:rsidRPr="00CD1278">
              <w:rPr>
                <w:color w:val="auto"/>
                <w:sz w:val="12"/>
                <w:szCs w:val="12"/>
              </w:rPr>
              <w:t>+1.8</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8D26148" w14:textId="77777777" w:rsidR="005B2F78" w:rsidRPr="00CD1278" w:rsidRDefault="005B2F78" w:rsidP="007972CD">
            <w:pPr>
              <w:spacing w:after="60"/>
              <w:jc w:val="center"/>
              <w:rPr>
                <w:color w:val="auto"/>
                <w:sz w:val="12"/>
                <w:szCs w:val="12"/>
              </w:rPr>
            </w:pPr>
            <w:r w:rsidRPr="00CD1278">
              <w:rPr>
                <w:color w:val="auto"/>
                <w:sz w:val="12"/>
                <w:szCs w:val="12"/>
              </w:rPr>
              <w:t>9.2</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9EAE929" w14:textId="77777777" w:rsidR="005B2F78" w:rsidRPr="00CD1278" w:rsidRDefault="005B2F78" w:rsidP="007972CD">
            <w:pPr>
              <w:spacing w:after="60"/>
              <w:jc w:val="center"/>
              <w:rPr>
                <w:color w:val="auto"/>
                <w:sz w:val="12"/>
                <w:szCs w:val="12"/>
              </w:rPr>
            </w:pPr>
            <w:r w:rsidRPr="00CD1278">
              <w:rPr>
                <w:color w:val="auto"/>
                <w:sz w:val="12"/>
                <w:szCs w:val="12"/>
              </w:rPr>
              <w:t>7.82</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73FFBA36" w14:textId="77777777" w:rsidR="005B2F78" w:rsidRPr="00CD1278" w:rsidRDefault="005B2F78" w:rsidP="007972CD">
            <w:pPr>
              <w:spacing w:after="60"/>
              <w:jc w:val="center"/>
              <w:rPr>
                <w:color w:val="auto"/>
                <w:sz w:val="12"/>
                <w:szCs w:val="12"/>
              </w:rPr>
            </w:pPr>
            <w:r w:rsidRPr="00CD1278">
              <w:rPr>
                <w:color w:val="auto"/>
                <w:sz w:val="12"/>
                <w:szCs w:val="12"/>
              </w:rPr>
              <w:t>5.66</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34978E2C" w14:textId="77777777" w:rsidR="005B2F78" w:rsidRPr="00CD1278" w:rsidRDefault="005B2F78" w:rsidP="007972CD">
            <w:pPr>
              <w:spacing w:after="60"/>
              <w:jc w:val="center"/>
              <w:rPr>
                <w:color w:val="auto"/>
                <w:sz w:val="12"/>
                <w:szCs w:val="12"/>
              </w:rPr>
            </w:pPr>
            <w:r w:rsidRPr="00CD1278">
              <w:rPr>
                <w:color w:val="auto"/>
                <w:sz w:val="12"/>
                <w:szCs w:val="12"/>
              </w:rPr>
              <w:t>3.653</w:t>
            </w:r>
          </w:p>
        </w:tc>
        <w:tc>
          <w:tcPr>
            <w:tcW w:w="567"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737E0AD7" w14:textId="10265C01" w:rsidR="005B2F78" w:rsidRPr="00CD1278" w:rsidRDefault="005B2F78" w:rsidP="007972CD">
            <w:pPr>
              <w:spacing w:after="60"/>
              <w:jc w:val="center"/>
              <w:rPr>
                <w:color w:val="auto"/>
                <w:sz w:val="12"/>
                <w:szCs w:val="12"/>
              </w:rPr>
            </w:pPr>
            <w:r w:rsidRPr="00CD1278">
              <w:rPr>
                <w:color w:val="auto"/>
                <w:sz w:val="12"/>
                <w:szCs w:val="12"/>
              </w:rPr>
              <w:t>2.374</w:t>
            </w:r>
          </w:p>
        </w:tc>
        <w:tc>
          <w:tcPr>
            <w:tcW w:w="567" w:type="dxa"/>
            <w:vMerge w:val="restart"/>
            <w:tcBorders>
              <w:top w:val="single" w:sz="8" w:space="0" w:color="auto"/>
              <w:left w:val="single" w:sz="8" w:space="0" w:color="auto"/>
              <w:right w:val="single" w:sz="8" w:space="0" w:color="auto"/>
            </w:tcBorders>
            <w:vAlign w:val="center"/>
          </w:tcPr>
          <w:p w14:paraId="4572D5AA" w14:textId="77777777" w:rsidR="005B2F78" w:rsidRPr="00CD1278" w:rsidRDefault="005B2F78" w:rsidP="007972CD">
            <w:pPr>
              <w:spacing w:after="60"/>
              <w:jc w:val="center"/>
              <w:rPr>
                <w:color w:val="auto"/>
                <w:sz w:val="12"/>
                <w:szCs w:val="12"/>
              </w:rPr>
            </w:pPr>
            <w:r w:rsidRPr="00CD1278">
              <w:rPr>
                <w:color w:val="auto"/>
                <w:sz w:val="12"/>
                <w:szCs w:val="12"/>
              </w:rPr>
              <w:t>1.187</w:t>
            </w:r>
          </w:p>
        </w:tc>
        <w:tc>
          <w:tcPr>
            <w:tcW w:w="567" w:type="dxa"/>
            <w:vMerge w:val="restart"/>
            <w:tcBorders>
              <w:top w:val="nil"/>
              <w:left w:val="single" w:sz="8" w:space="0" w:color="auto"/>
              <w:right w:val="single" w:sz="8" w:space="0" w:color="auto"/>
            </w:tcBorders>
            <w:vAlign w:val="center"/>
          </w:tcPr>
          <w:p w14:paraId="617BA276" w14:textId="77777777" w:rsidR="005B2F78" w:rsidRPr="00CD1278" w:rsidRDefault="005B2F78" w:rsidP="007972CD">
            <w:pPr>
              <w:spacing w:after="60"/>
              <w:jc w:val="center"/>
              <w:rPr>
                <w:color w:val="auto"/>
                <w:sz w:val="12"/>
                <w:szCs w:val="12"/>
              </w:rPr>
            </w:pPr>
            <w:r w:rsidRPr="00CD1278">
              <w:rPr>
                <w:color w:val="auto"/>
                <w:sz w:val="12"/>
                <w:szCs w:val="12"/>
              </w:rPr>
              <w:t>1.187</w:t>
            </w:r>
          </w:p>
        </w:tc>
        <w:tc>
          <w:tcPr>
            <w:tcW w:w="567" w:type="dxa"/>
            <w:tcBorders>
              <w:top w:val="nil"/>
              <w:left w:val="single" w:sz="8" w:space="0" w:color="auto"/>
              <w:right w:val="single" w:sz="8" w:space="0" w:color="auto"/>
            </w:tcBorders>
            <w:vAlign w:val="center"/>
          </w:tcPr>
          <w:p w14:paraId="5F14828D" w14:textId="77777777" w:rsidR="005B2F78" w:rsidRPr="00CD1278" w:rsidRDefault="005B2F78" w:rsidP="007972CD">
            <w:pPr>
              <w:spacing w:after="60"/>
              <w:jc w:val="center"/>
              <w:rPr>
                <w:b/>
                <w:color w:val="auto"/>
                <w:sz w:val="12"/>
                <w:szCs w:val="12"/>
              </w:rPr>
            </w:pPr>
          </w:p>
        </w:tc>
        <w:tc>
          <w:tcPr>
            <w:tcW w:w="709" w:type="dxa"/>
            <w:vMerge w:val="restart"/>
            <w:tcBorders>
              <w:top w:val="nil"/>
              <w:left w:val="single" w:sz="8" w:space="0" w:color="auto"/>
              <w:bottom w:val="single" w:sz="8" w:space="0" w:color="000000"/>
              <w:right w:val="single" w:sz="8" w:space="0" w:color="auto"/>
            </w:tcBorders>
            <w:shd w:val="clear" w:color="auto" w:fill="auto"/>
            <w:vAlign w:val="center"/>
          </w:tcPr>
          <w:p w14:paraId="30E13477" w14:textId="77777777" w:rsidR="005B2F78" w:rsidRPr="00CD1278" w:rsidRDefault="005B2F78" w:rsidP="007972CD">
            <w:pPr>
              <w:spacing w:after="60"/>
              <w:jc w:val="center"/>
              <w:rPr>
                <w:color w:val="auto"/>
                <w:sz w:val="12"/>
                <w:szCs w:val="12"/>
              </w:rPr>
            </w:pPr>
            <w:r w:rsidRPr="00CD1278">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4AA67985" w14:textId="77777777" w:rsidR="005B2F78" w:rsidRPr="00CD1278" w:rsidRDefault="005B2F78" w:rsidP="007972CD">
            <w:pPr>
              <w:spacing w:after="60"/>
              <w:jc w:val="center"/>
              <w:rPr>
                <w:color w:val="auto"/>
                <w:sz w:val="12"/>
                <w:szCs w:val="12"/>
              </w:rPr>
            </w:pPr>
            <w:r w:rsidRPr="00CD1278">
              <w:rPr>
                <w:color w:val="auto"/>
                <w:sz w:val="12"/>
                <w:szCs w:val="12"/>
              </w:rPr>
              <w:t>6.150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F90B74F" w14:textId="77777777" w:rsidR="005B2F78" w:rsidRPr="00CD1278" w:rsidRDefault="005B2F78" w:rsidP="007972CD">
            <w:pPr>
              <w:spacing w:after="60"/>
              <w:jc w:val="center"/>
              <w:rPr>
                <w:color w:val="auto"/>
                <w:sz w:val="12"/>
                <w:szCs w:val="12"/>
              </w:rPr>
            </w:pPr>
            <w:r w:rsidRPr="00CD1278">
              <w:rPr>
                <w:color w:val="auto"/>
                <w:sz w:val="12"/>
                <w:szCs w:val="12"/>
              </w:rPr>
              <w:t>9.205</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1DD5434B" w14:textId="77777777" w:rsidR="005B2F78" w:rsidRPr="00CD1278" w:rsidRDefault="005B2F78" w:rsidP="007972CD">
            <w:pPr>
              <w:spacing w:after="60"/>
              <w:jc w:val="center"/>
              <w:rPr>
                <w:color w:val="auto"/>
                <w:sz w:val="12"/>
                <w:szCs w:val="12"/>
              </w:rPr>
            </w:pPr>
            <w:r w:rsidRPr="00CD1278">
              <w:rPr>
                <w:color w:val="auto"/>
                <w:sz w:val="12"/>
                <w:szCs w:val="12"/>
              </w:rPr>
              <w:t>9.200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198355D0" w14:textId="77777777" w:rsidR="005B2F78" w:rsidRPr="00CD1278" w:rsidRDefault="005B2F78" w:rsidP="007972CD">
            <w:pPr>
              <w:spacing w:after="60"/>
              <w:jc w:val="center"/>
              <w:rPr>
                <w:color w:val="auto"/>
                <w:sz w:val="12"/>
                <w:szCs w:val="12"/>
              </w:rPr>
            </w:pPr>
            <w:r w:rsidRPr="00CD1278">
              <w:rPr>
                <w:color w:val="auto"/>
                <w:sz w:val="12"/>
                <w:szCs w:val="12"/>
              </w:rPr>
              <w:t>7.820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5E7FBD90" w14:textId="77777777" w:rsidR="005B2F78" w:rsidRPr="00CD1278" w:rsidRDefault="005B2F78" w:rsidP="007972CD">
            <w:pPr>
              <w:spacing w:after="60"/>
              <w:jc w:val="center"/>
              <w:rPr>
                <w:color w:val="auto"/>
                <w:sz w:val="12"/>
                <w:szCs w:val="12"/>
              </w:rPr>
            </w:pPr>
            <w:r w:rsidRPr="00CD1278">
              <w:rPr>
                <w:color w:val="auto"/>
                <w:sz w:val="12"/>
                <w:szCs w:val="12"/>
              </w:rPr>
              <w:t>6.650</w:t>
            </w:r>
          </w:p>
        </w:tc>
        <w:tc>
          <w:tcPr>
            <w:tcW w:w="567" w:type="dxa"/>
            <w:vMerge w:val="restart"/>
            <w:tcBorders>
              <w:top w:val="nil"/>
              <w:left w:val="single" w:sz="8" w:space="0" w:color="auto"/>
              <w:bottom w:val="single" w:sz="8" w:space="0" w:color="000000"/>
              <w:right w:val="single" w:sz="8" w:space="0" w:color="auto"/>
            </w:tcBorders>
            <w:shd w:val="clear" w:color="auto" w:fill="auto"/>
            <w:vAlign w:val="center"/>
          </w:tcPr>
          <w:p w14:paraId="65983592" w14:textId="77777777" w:rsidR="005B2F78" w:rsidRPr="00CD1278" w:rsidRDefault="005B2F78" w:rsidP="007972CD">
            <w:pPr>
              <w:spacing w:after="60"/>
              <w:jc w:val="center"/>
              <w:rPr>
                <w:color w:val="auto"/>
                <w:sz w:val="12"/>
                <w:szCs w:val="12"/>
              </w:rPr>
            </w:pPr>
            <w:r w:rsidRPr="00CD1278">
              <w:rPr>
                <w:color w:val="auto"/>
                <w:sz w:val="12"/>
                <w:szCs w:val="12"/>
              </w:rPr>
              <w:t>4.870</w:t>
            </w:r>
          </w:p>
        </w:tc>
        <w:tc>
          <w:tcPr>
            <w:tcW w:w="567" w:type="dxa"/>
            <w:vMerge w:val="restart"/>
            <w:tcBorders>
              <w:top w:val="nil"/>
              <w:left w:val="nil"/>
              <w:right w:val="single" w:sz="8" w:space="0" w:color="auto"/>
            </w:tcBorders>
            <w:shd w:val="clear" w:color="auto" w:fill="auto"/>
            <w:noWrap/>
            <w:vAlign w:val="center"/>
          </w:tcPr>
          <w:p w14:paraId="501B751A" w14:textId="1F0B50C5" w:rsidR="005B2F78" w:rsidRPr="00CD1278" w:rsidRDefault="005B2F78" w:rsidP="007972CD">
            <w:pPr>
              <w:spacing w:after="60"/>
              <w:jc w:val="center"/>
              <w:rPr>
                <w:color w:val="auto"/>
                <w:sz w:val="12"/>
                <w:szCs w:val="12"/>
              </w:rPr>
            </w:pPr>
            <w:r w:rsidRPr="00CD1278">
              <w:rPr>
                <w:color w:val="auto"/>
                <w:sz w:val="12"/>
                <w:szCs w:val="12"/>
              </w:rPr>
              <w:t>3.653</w:t>
            </w:r>
          </w:p>
        </w:tc>
        <w:tc>
          <w:tcPr>
            <w:tcW w:w="567" w:type="dxa"/>
            <w:vMerge w:val="restart"/>
            <w:tcBorders>
              <w:top w:val="nil"/>
              <w:left w:val="nil"/>
              <w:right w:val="single" w:sz="8" w:space="0" w:color="auto"/>
            </w:tcBorders>
            <w:vAlign w:val="center"/>
          </w:tcPr>
          <w:p w14:paraId="486859AF" w14:textId="77777777" w:rsidR="005B2F78" w:rsidRPr="00CD1278" w:rsidRDefault="005B2F78" w:rsidP="007972CD">
            <w:pPr>
              <w:spacing w:after="60"/>
              <w:jc w:val="center"/>
              <w:rPr>
                <w:color w:val="auto"/>
                <w:sz w:val="12"/>
                <w:szCs w:val="12"/>
              </w:rPr>
            </w:pPr>
            <w:r w:rsidRPr="00CD1278">
              <w:rPr>
                <w:color w:val="auto"/>
                <w:sz w:val="12"/>
                <w:szCs w:val="12"/>
              </w:rPr>
              <w:t>1.187</w:t>
            </w:r>
          </w:p>
        </w:tc>
        <w:tc>
          <w:tcPr>
            <w:tcW w:w="567" w:type="dxa"/>
            <w:vMerge w:val="restart"/>
            <w:tcBorders>
              <w:top w:val="nil"/>
              <w:left w:val="nil"/>
              <w:right w:val="single" w:sz="8" w:space="0" w:color="auto"/>
            </w:tcBorders>
            <w:vAlign w:val="center"/>
          </w:tcPr>
          <w:p w14:paraId="66457659" w14:textId="77777777" w:rsidR="005B2F78" w:rsidRPr="00CD1278" w:rsidRDefault="005B2F78" w:rsidP="007972CD">
            <w:pPr>
              <w:spacing w:after="60"/>
              <w:jc w:val="center"/>
              <w:rPr>
                <w:color w:val="auto"/>
                <w:sz w:val="12"/>
                <w:szCs w:val="12"/>
              </w:rPr>
            </w:pPr>
            <w:r w:rsidRPr="00CD1278">
              <w:rPr>
                <w:color w:val="auto"/>
                <w:sz w:val="12"/>
                <w:szCs w:val="12"/>
              </w:rPr>
              <w:t>1.187</w:t>
            </w:r>
          </w:p>
        </w:tc>
        <w:tc>
          <w:tcPr>
            <w:tcW w:w="567" w:type="dxa"/>
            <w:tcBorders>
              <w:top w:val="nil"/>
              <w:left w:val="nil"/>
              <w:right w:val="single" w:sz="8" w:space="0" w:color="auto"/>
            </w:tcBorders>
            <w:vAlign w:val="center"/>
          </w:tcPr>
          <w:p w14:paraId="11DA2421" w14:textId="77777777" w:rsidR="005B2F78" w:rsidRPr="00CD1278" w:rsidRDefault="005B2F78" w:rsidP="007972CD">
            <w:pPr>
              <w:spacing w:after="60"/>
              <w:jc w:val="center"/>
              <w:rPr>
                <w:b/>
                <w:color w:val="auto"/>
                <w:sz w:val="12"/>
                <w:szCs w:val="12"/>
              </w:rPr>
            </w:pPr>
          </w:p>
        </w:tc>
        <w:tc>
          <w:tcPr>
            <w:tcW w:w="567" w:type="dxa"/>
            <w:tcBorders>
              <w:top w:val="nil"/>
              <w:left w:val="nil"/>
              <w:right w:val="single" w:sz="8" w:space="0" w:color="auto"/>
            </w:tcBorders>
            <w:vAlign w:val="center"/>
          </w:tcPr>
          <w:p w14:paraId="78A8B9C3" w14:textId="77777777" w:rsidR="005B2F78" w:rsidRPr="00CD1278" w:rsidRDefault="005B2F78" w:rsidP="007972CD">
            <w:pPr>
              <w:spacing w:after="60"/>
              <w:jc w:val="center"/>
              <w:rPr>
                <w:b/>
                <w:color w:val="auto"/>
                <w:sz w:val="12"/>
                <w:szCs w:val="12"/>
              </w:rPr>
            </w:pPr>
          </w:p>
        </w:tc>
      </w:tr>
      <w:tr w:rsidR="003C102E" w:rsidRPr="00CD1278" w14:paraId="69BBC3DA" w14:textId="77777777" w:rsidTr="00DE7A60">
        <w:trPr>
          <w:cantSplit/>
          <w:trHeight w:val="270"/>
          <w:jc w:val="center"/>
        </w:trPr>
        <w:tc>
          <w:tcPr>
            <w:tcW w:w="813" w:type="dxa"/>
            <w:vMerge/>
            <w:tcBorders>
              <w:top w:val="nil"/>
              <w:left w:val="single" w:sz="8" w:space="0" w:color="auto"/>
              <w:bottom w:val="single" w:sz="8" w:space="0" w:color="000000"/>
              <w:right w:val="single" w:sz="8" w:space="0" w:color="auto"/>
            </w:tcBorders>
            <w:vAlign w:val="center"/>
          </w:tcPr>
          <w:p w14:paraId="0F1DAE06" w14:textId="77777777" w:rsidR="005B2F78" w:rsidRPr="00CD1278" w:rsidRDefault="005B2F78" w:rsidP="00DE7A60">
            <w:pPr>
              <w:spacing w:after="60"/>
              <w:rPr>
                <w:color w:val="auto"/>
                <w:sz w:val="12"/>
                <w:szCs w:val="12"/>
              </w:rPr>
            </w:pPr>
          </w:p>
        </w:tc>
        <w:tc>
          <w:tcPr>
            <w:tcW w:w="818" w:type="dxa"/>
            <w:vMerge/>
            <w:tcBorders>
              <w:top w:val="nil"/>
              <w:left w:val="single" w:sz="8" w:space="0" w:color="auto"/>
              <w:bottom w:val="single" w:sz="8" w:space="0" w:color="000000"/>
              <w:right w:val="single" w:sz="8" w:space="0" w:color="auto"/>
            </w:tcBorders>
            <w:vAlign w:val="center"/>
          </w:tcPr>
          <w:p w14:paraId="00A9D38E" w14:textId="77777777" w:rsidR="005B2F78" w:rsidRPr="00CD1278" w:rsidRDefault="005B2F78" w:rsidP="007972CD">
            <w:pPr>
              <w:spacing w:after="60"/>
              <w:ind w:left="-83"/>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0E25AAFB" w14:textId="77777777" w:rsidR="005B2F78" w:rsidRPr="00CD1278"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561D2218" w14:textId="77777777" w:rsidR="005B2F78" w:rsidRPr="00CD1278"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36B1DFED" w14:textId="77777777" w:rsidR="005B2F78" w:rsidRPr="00CD1278" w:rsidRDefault="005B2F78" w:rsidP="007972CD">
            <w:pPr>
              <w:spacing w:after="60"/>
              <w:jc w:val="center"/>
              <w:rPr>
                <w:color w:val="auto"/>
                <w:sz w:val="12"/>
                <w:szCs w:val="12"/>
              </w:rPr>
            </w:pPr>
          </w:p>
        </w:tc>
        <w:tc>
          <w:tcPr>
            <w:tcW w:w="567" w:type="dxa"/>
            <w:vMerge/>
            <w:tcBorders>
              <w:left w:val="nil"/>
              <w:bottom w:val="single" w:sz="8" w:space="0" w:color="auto"/>
              <w:right w:val="single" w:sz="8" w:space="0" w:color="auto"/>
            </w:tcBorders>
            <w:shd w:val="clear" w:color="auto" w:fill="auto"/>
            <w:vAlign w:val="center"/>
          </w:tcPr>
          <w:p w14:paraId="60E86A27" w14:textId="14B8DB04" w:rsidR="005B2F78" w:rsidRPr="00CD1278" w:rsidRDefault="005B2F78" w:rsidP="007972CD">
            <w:pPr>
              <w:spacing w:after="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4F3D38F4" w14:textId="77777777" w:rsidR="005B2F78" w:rsidRPr="00CD1278"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7ABEB9DC" w14:textId="77777777" w:rsidR="005B2F78" w:rsidRPr="00CD1278"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01ED293B" w14:textId="77777777" w:rsidR="005B2F78" w:rsidRPr="00CD1278"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02537D1A" w14:textId="77777777" w:rsidR="005B2F78" w:rsidRPr="00CD1278" w:rsidRDefault="005B2F78" w:rsidP="007972CD">
            <w:pPr>
              <w:spacing w:after="60"/>
              <w:jc w:val="center"/>
              <w:rPr>
                <w:color w:val="auto"/>
                <w:sz w:val="12"/>
                <w:szCs w:val="12"/>
              </w:rPr>
            </w:pPr>
          </w:p>
        </w:tc>
        <w:tc>
          <w:tcPr>
            <w:tcW w:w="567" w:type="dxa"/>
            <w:vMerge/>
            <w:tcBorders>
              <w:left w:val="single" w:sz="8" w:space="0" w:color="auto"/>
              <w:bottom w:val="single" w:sz="8" w:space="0" w:color="auto"/>
              <w:right w:val="single" w:sz="8" w:space="0" w:color="auto"/>
            </w:tcBorders>
            <w:shd w:val="clear" w:color="auto" w:fill="auto"/>
            <w:vAlign w:val="center"/>
          </w:tcPr>
          <w:p w14:paraId="57F2F88E" w14:textId="77777777" w:rsidR="005B2F78" w:rsidRPr="00CD1278" w:rsidRDefault="005B2F78" w:rsidP="007972CD">
            <w:pPr>
              <w:spacing w:after="60"/>
              <w:jc w:val="center"/>
              <w:rPr>
                <w:color w:val="auto"/>
                <w:sz w:val="12"/>
                <w:szCs w:val="12"/>
              </w:rPr>
            </w:pPr>
          </w:p>
        </w:tc>
        <w:tc>
          <w:tcPr>
            <w:tcW w:w="567" w:type="dxa"/>
            <w:vMerge/>
            <w:tcBorders>
              <w:left w:val="single" w:sz="8" w:space="0" w:color="auto"/>
              <w:bottom w:val="single" w:sz="8" w:space="0" w:color="000000"/>
              <w:right w:val="single" w:sz="8" w:space="0" w:color="auto"/>
            </w:tcBorders>
            <w:vAlign w:val="center"/>
          </w:tcPr>
          <w:p w14:paraId="1F365393" w14:textId="77777777" w:rsidR="005B2F78" w:rsidRPr="00CD1278" w:rsidRDefault="005B2F78" w:rsidP="007972CD">
            <w:pPr>
              <w:spacing w:after="60"/>
              <w:jc w:val="center"/>
              <w:rPr>
                <w:color w:val="auto"/>
                <w:sz w:val="12"/>
                <w:szCs w:val="12"/>
              </w:rPr>
            </w:pPr>
          </w:p>
        </w:tc>
        <w:tc>
          <w:tcPr>
            <w:tcW w:w="567" w:type="dxa"/>
            <w:vMerge/>
            <w:tcBorders>
              <w:left w:val="single" w:sz="8" w:space="0" w:color="auto"/>
              <w:bottom w:val="single" w:sz="8" w:space="0" w:color="000000"/>
              <w:right w:val="single" w:sz="8" w:space="0" w:color="auto"/>
            </w:tcBorders>
            <w:vAlign w:val="center"/>
          </w:tcPr>
          <w:p w14:paraId="0230E122" w14:textId="77777777" w:rsidR="005B2F78" w:rsidRPr="00CD1278" w:rsidRDefault="005B2F78" w:rsidP="007972CD">
            <w:pPr>
              <w:spacing w:after="60"/>
              <w:jc w:val="center"/>
              <w:rPr>
                <w:color w:val="auto"/>
                <w:sz w:val="12"/>
                <w:szCs w:val="12"/>
              </w:rPr>
            </w:pPr>
          </w:p>
        </w:tc>
        <w:tc>
          <w:tcPr>
            <w:tcW w:w="567" w:type="dxa"/>
            <w:tcBorders>
              <w:left w:val="single" w:sz="8" w:space="0" w:color="auto"/>
              <w:bottom w:val="single" w:sz="8" w:space="0" w:color="000000"/>
              <w:right w:val="single" w:sz="8" w:space="0" w:color="auto"/>
            </w:tcBorders>
            <w:vAlign w:val="center"/>
          </w:tcPr>
          <w:p w14:paraId="283987B5" w14:textId="77777777" w:rsidR="005B2F78" w:rsidRPr="00CD1278" w:rsidRDefault="005B2F78" w:rsidP="007972CD">
            <w:pPr>
              <w:spacing w:after="60"/>
              <w:jc w:val="center"/>
              <w:rPr>
                <w:color w:val="auto"/>
                <w:sz w:val="12"/>
                <w:szCs w:val="12"/>
              </w:rPr>
            </w:pPr>
          </w:p>
        </w:tc>
        <w:tc>
          <w:tcPr>
            <w:tcW w:w="709" w:type="dxa"/>
            <w:vMerge/>
            <w:tcBorders>
              <w:top w:val="nil"/>
              <w:left w:val="single" w:sz="8" w:space="0" w:color="auto"/>
              <w:bottom w:val="single" w:sz="8" w:space="0" w:color="000000"/>
              <w:right w:val="single" w:sz="8" w:space="0" w:color="auto"/>
            </w:tcBorders>
            <w:vAlign w:val="center"/>
          </w:tcPr>
          <w:p w14:paraId="4217E0A1" w14:textId="77777777" w:rsidR="005B2F78" w:rsidRPr="00CD1278"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291161F9" w14:textId="77777777" w:rsidR="005B2F78" w:rsidRPr="00CD1278"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1AE84D00" w14:textId="77777777" w:rsidR="005B2F78" w:rsidRPr="00CD1278"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5CDEADAC" w14:textId="77777777" w:rsidR="005B2F78" w:rsidRPr="00CD1278"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65B993EC" w14:textId="77777777" w:rsidR="005B2F78" w:rsidRPr="00CD1278"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1B6CA8EB" w14:textId="77777777" w:rsidR="005B2F78" w:rsidRPr="00CD1278" w:rsidRDefault="005B2F78" w:rsidP="007972CD">
            <w:pPr>
              <w:spacing w:after="60"/>
              <w:jc w:val="center"/>
              <w:rPr>
                <w:color w:val="auto"/>
                <w:sz w:val="12"/>
                <w:szCs w:val="12"/>
              </w:rPr>
            </w:pPr>
          </w:p>
        </w:tc>
        <w:tc>
          <w:tcPr>
            <w:tcW w:w="567" w:type="dxa"/>
            <w:vMerge/>
            <w:tcBorders>
              <w:top w:val="nil"/>
              <w:left w:val="single" w:sz="8" w:space="0" w:color="auto"/>
              <w:bottom w:val="single" w:sz="8" w:space="0" w:color="000000"/>
              <w:right w:val="single" w:sz="8" w:space="0" w:color="auto"/>
            </w:tcBorders>
            <w:vAlign w:val="center"/>
          </w:tcPr>
          <w:p w14:paraId="3298ED3A" w14:textId="77777777" w:rsidR="005B2F78" w:rsidRPr="00CD1278" w:rsidRDefault="005B2F78" w:rsidP="007972CD">
            <w:pPr>
              <w:spacing w:after="60"/>
              <w:jc w:val="center"/>
              <w:rPr>
                <w:color w:val="auto"/>
                <w:sz w:val="12"/>
                <w:szCs w:val="12"/>
              </w:rPr>
            </w:pPr>
          </w:p>
        </w:tc>
        <w:tc>
          <w:tcPr>
            <w:tcW w:w="567" w:type="dxa"/>
            <w:vMerge/>
            <w:tcBorders>
              <w:left w:val="nil"/>
              <w:bottom w:val="single" w:sz="8" w:space="0" w:color="auto"/>
              <w:right w:val="single" w:sz="8" w:space="0" w:color="auto"/>
            </w:tcBorders>
            <w:shd w:val="clear" w:color="auto" w:fill="auto"/>
            <w:noWrap/>
            <w:vAlign w:val="center"/>
          </w:tcPr>
          <w:p w14:paraId="2FD1AA34" w14:textId="77777777" w:rsidR="005B2F78" w:rsidRPr="00CD1278" w:rsidRDefault="005B2F78" w:rsidP="007972CD">
            <w:pPr>
              <w:spacing w:after="60"/>
              <w:jc w:val="center"/>
              <w:rPr>
                <w:color w:val="auto"/>
                <w:sz w:val="12"/>
                <w:szCs w:val="12"/>
              </w:rPr>
            </w:pPr>
          </w:p>
        </w:tc>
        <w:tc>
          <w:tcPr>
            <w:tcW w:w="567" w:type="dxa"/>
            <w:vMerge/>
            <w:tcBorders>
              <w:left w:val="nil"/>
              <w:bottom w:val="single" w:sz="8" w:space="0" w:color="auto"/>
              <w:right w:val="single" w:sz="8" w:space="0" w:color="auto"/>
            </w:tcBorders>
            <w:vAlign w:val="center"/>
          </w:tcPr>
          <w:p w14:paraId="197B6875" w14:textId="77777777" w:rsidR="005B2F78" w:rsidRPr="00CD1278" w:rsidRDefault="005B2F78" w:rsidP="007972CD">
            <w:pPr>
              <w:spacing w:after="60"/>
              <w:jc w:val="center"/>
              <w:rPr>
                <w:color w:val="auto"/>
                <w:sz w:val="12"/>
                <w:szCs w:val="12"/>
              </w:rPr>
            </w:pPr>
          </w:p>
        </w:tc>
        <w:tc>
          <w:tcPr>
            <w:tcW w:w="567" w:type="dxa"/>
            <w:vMerge/>
            <w:tcBorders>
              <w:left w:val="nil"/>
              <w:bottom w:val="single" w:sz="8" w:space="0" w:color="auto"/>
              <w:right w:val="single" w:sz="8" w:space="0" w:color="auto"/>
            </w:tcBorders>
            <w:vAlign w:val="center"/>
          </w:tcPr>
          <w:p w14:paraId="2E6302A2" w14:textId="77777777" w:rsidR="005B2F78" w:rsidRPr="00CD1278" w:rsidRDefault="005B2F78" w:rsidP="007972CD">
            <w:pPr>
              <w:spacing w:after="60"/>
              <w:jc w:val="center"/>
              <w:rPr>
                <w:color w:val="auto"/>
                <w:sz w:val="12"/>
                <w:szCs w:val="12"/>
              </w:rPr>
            </w:pPr>
          </w:p>
        </w:tc>
        <w:tc>
          <w:tcPr>
            <w:tcW w:w="567" w:type="dxa"/>
            <w:tcBorders>
              <w:left w:val="nil"/>
              <w:bottom w:val="single" w:sz="8" w:space="0" w:color="auto"/>
              <w:right w:val="single" w:sz="8" w:space="0" w:color="auto"/>
            </w:tcBorders>
            <w:vAlign w:val="center"/>
          </w:tcPr>
          <w:p w14:paraId="2768C82F" w14:textId="77777777" w:rsidR="005B2F78" w:rsidRPr="00CD1278" w:rsidRDefault="005B2F78" w:rsidP="007972CD">
            <w:pPr>
              <w:spacing w:after="60"/>
              <w:jc w:val="center"/>
              <w:rPr>
                <w:color w:val="auto"/>
                <w:sz w:val="12"/>
                <w:szCs w:val="12"/>
              </w:rPr>
            </w:pPr>
          </w:p>
        </w:tc>
        <w:tc>
          <w:tcPr>
            <w:tcW w:w="567" w:type="dxa"/>
            <w:tcBorders>
              <w:left w:val="nil"/>
              <w:bottom w:val="single" w:sz="8" w:space="0" w:color="auto"/>
              <w:right w:val="single" w:sz="8" w:space="0" w:color="auto"/>
            </w:tcBorders>
            <w:vAlign w:val="center"/>
          </w:tcPr>
          <w:p w14:paraId="79D489EA" w14:textId="77777777" w:rsidR="005B2F78" w:rsidRPr="00CD1278" w:rsidRDefault="005B2F78" w:rsidP="007972CD">
            <w:pPr>
              <w:spacing w:after="60"/>
              <w:jc w:val="center"/>
              <w:rPr>
                <w:color w:val="auto"/>
                <w:sz w:val="12"/>
                <w:szCs w:val="12"/>
              </w:rPr>
            </w:pPr>
          </w:p>
        </w:tc>
      </w:tr>
      <w:tr w:rsidR="003C102E" w:rsidRPr="00CD1278" w14:paraId="4754896D"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355671F"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5E6203CD" w14:textId="77777777" w:rsidR="004B0524" w:rsidRPr="00CD1278" w:rsidRDefault="004B0524" w:rsidP="007972CD">
            <w:pPr>
              <w:spacing w:after="60"/>
              <w:ind w:left="-83"/>
              <w:rPr>
                <w:color w:val="auto"/>
                <w:sz w:val="12"/>
                <w:szCs w:val="12"/>
              </w:rPr>
            </w:pPr>
            <w:r w:rsidRPr="00CD1278">
              <w:rPr>
                <w:color w:val="auto"/>
                <w:sz w:val="12"/>
                <w:szCs w:val="12"/>
              </w:rPr>
              <w:t>Artefacts and structures</w:t>
            </w:r>
          </w:p>
        </w:tc>
        <w:tc>
          <w:tcPr>
            <w:tcW w:w="567" w:type="dxa"/>
            <w:tcBorders>
              <w:top w:val="nil"/>
              <w:left w:val="nil"/>
              <w:bottom w:val="single" w:sz="8" w:space="0" w:color="auto"/>
              <w:right w:val="single" w:sz="8" w:space="0" w:color="auto"/>
            </w:tcBorders>
            <w:shd w:val="clear" w:color="auto" w:fill="auto"/>
            <w:vAlign w:val="center"/>
          </w:tcPr>
          <w:p w14:paraId="7138ACC1" w14:textId="77777777" w:rsidR="004B0524" w:rsidRPr="00CD1278" w:rsidRDefault="004B0524" w:rsidP="007972CD">
            <w:pPr>
              <w:spacing w:after="60"/>
              <w:jc w:val="center"/>
              <w:rPr>
                <w:color w:val="auto"/>
                <w:sz w:val="12"/>
                <w:szCs w:val="12"/>
              </w:rPr>
            </w:pPr>
            <w:r w:rsidRPr="00CD1278">
              <w:rPr>
                <w:color w:val="auto"/>
                <w:sz w:val="12"/>
                <w:szCs w:val="12"/>
              </w:rPr>
              <w:t>0.600</w:t>
            </w:r>
          </w:p>
        </w:tc>
        <w:tc>
          <w:tcPr>
            <w:tcW w:w="567" w:type="dxa"/>
            <w:tcBorders>
              <w:top w:val="nil"/>
              <w:left w:val="nil"/>
              <w:bottom w:val="single" w:sz="8" w:space="0" w:color="auto"/>
              <w:right w:val="single" w:sz="8" w:space="0" w:color="auto"/>
            </w:tcBorders>
            <w:shd w:val="clear" w:color="auto" w:fill="auto"/>
            <w:vAlign w:val="center"/>
          </w:tcPr>
          <w:p w14:paraId="26486DCA" w14:textId="77777777" w:rsidR="004B0524" w:rsidRPr="00CD1278" w:rsidRDefault="004B0524" w:rsidP="007972CD">
            <w:pPr>
              <w:spacing w:after="60"/>
              <w:jc w:val="center"/>
              <w:rPr>
                <w:color w:val="auto"/>
                <w:sz w:val="12"/>
                <w:szCs w:val="12"/>
              </w:rPr>
            </w:pPr>
            <w:r w:rsidRPr="00CD1278">
              <w:rPr>
                <w:color w:val="auto"/>
                <w:sz w:val="12"/>
                <w:szCs w:val="12"/>
              </w:rPr>
              <w:t>0.307</w:t>
            </w:r>
          </w:p>
        </w:tc>
        <w:tc>
          <w:tcPr>
            <w:tcW w:w="567" w:type="dxa"/>
            <w:tcBorders>
              <w:top w:val="nil"/>
              <w:left w:val="nil"/>
              <w:bottom w:val="single" w:sz="8" w:space="0" w:color="auto"/>
              <w:right w:val="single" w:sz="8" w:space="0" w:color="auto"/>
            </w:tcBorders>
            <w:shd w:val="clear" w:color="auto" w:fill="auto"/>
            <w:vAlign w:val="center"/>
          </w:tcPr>
          <w:p w14:paraId="43A893A8" w14:textId="4DFA126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35737E" w14:textId="0DA037D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9C6BFC" w14:textId="568BA8D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E779C4" w14:textId="46DA447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37182A" w14:textId="3E81275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A6D36F" w14:textId="7BCF824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F0A0A6F" w14:textId="62C5F52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F3F3E9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851AAEE"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0175882"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AAB4A38" w14:textId="77777777" w:rsidR="004B0524" w:rsidRPr="00CD1278" w:rsidRDefault="004B0524" w:rsidP="007972CD">
            <w:pPr>
              <w:spacing w:after="60"/>
              <w:jc w:val="center"/>
              <w:rPr>
                <w:color w:val="auto"/>
                <w:sz w:val="12"/>
                <w:szCs w:val="12"/>
              </w:rPr>
            </w:pPr>
            <w:r w:rsidRPr="00CD1278">
              <w:rPr>
                <w:color w:val="auto"/>
                <w:sz w:val="12"/>
                <w:szCs w:val="12"/>
              </w:rPr>
              <w:t>0.590</w:t>
            </w:r>
          </w:p>
        </w:tc>
        <w:tc>
          <w:tcPr>
            <w:tcW w:w="567" w:type="dxa"/>
            <w:tcBorders>
              <w:top w:val="nil"/>
              <w:left w:val="nil"/>
              <w:bottom w:val="single" w:sz="8" w:space="0" w:color="auto"/>
              <w:right w:val="single" w:sz="8" w:space="0" w:color="auto"/>
            </w:tcBorders>
            <w:shd w:val="clear" w:color="auto" w:fill="auto"/>
            <w:vAlign w:val="center"/>
          </w:tcPr>
          <w:p w14:paraId="084B1BC4" w14:textId="77777777" w:rsidR="004B0524" w:rsidRPr="00CD1278" w:rsidRDefault="004B0524" w:rsidP="007972CD">
            <w:pPr>
              <w:spacing w:after="60"/>
              <w:jc w:val="center"/>
              <w:rPr>
                <w:color w:val="auto"/>
                <w:sz w:val="12"/>
                <w:szCs w:val="12"/>
              </w:rPr>
            </w:pPr>
            <w:r w:rsidRPr="00CD1278">
              <w:rPr>
                <w:color w:val="auto"/>
                <w:sz w:val="12"/>
                <w:szCs w:val="12"/>
              </w:rPr>
              <w:t>0.307</w:t>
            </w:r>
          </w:p>
        </w:tc>
        <w:tc>
          <w:tcPr>
            <w:tcW w:w="567" w:type="dxa"/>
            <w:tcBorders>
              <w:top w:val="nil"/>
              <w:left w:val="nil"/>
              <w:bottom w:val="single" w:sz="8" w:space="0" w:color="auto"/>
              <w:right w:val="single" w:sz="8" w:space="0" w:color="auto"/>
            </w:tcBorders>
            <w:shd w:val="clear" w:color="auto" w:fill="auto"/>
            <w:vAlign w:val="center"/>
          </w:tcPr>
          <w:p w14:paraId="4474E460" w14:textId="5F5A895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36A1D3A" w14:textId="2F53ED4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F0188E" w14:textId="41C3983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DEADB4D" w14:textId="07B419E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EBD909" w14:textId="2352802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3F213B9" w14:textId="2F0BD5E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8EB77CD"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C5FB3E9"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E85D39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F1297C0" w14:textId="77777777" w:rsidR="004B0524" w:rsidRPr="00CD1278" w:rsidRDefault="004B0524" w:rsidP="007972CD">
            <w:pPr>
              <w:spacing w:after="60"/>
              <w:jc w:val="center"/>
              <w:rPr>
                <w:color w:val="auto"/>
                <w:sz w:val="12"/>
                <w:szCs w:val="12"/>
              </w:rPr>
            </w:pPr>
          </w:p>
        </w:tc>
      </w:tr>
      <w:tr w:rsidR="003C102E" w:rsidRPr="00CD1278" w14:paraId="12E513F9"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128EAED"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69C92EC8" w14:textId="77777777" w:rsidR="004B0524" w:rsidRPr="00CD1278" w:rsidRDefault="004B0524" w:rsidP="007972CD">
            <w:pPr>
              <w:spacing w:after="60"/>
              <w:ind w:left="-83"/>
              <w:rPr>
                <w:color w:val="auto"/>
                <w:sz w:val="12"/>
                <w:szCs w:val="12"/>
              </w:rPr>
            </w:pPr>
            <w:r w:rsidRPr="00CD1278">
              <w:rPr>
                <w:color w:val="auto"/>
                <w:sz w:val="12"/>
                <w:szCs w:val="12"/>
              </w:rPr>
              <w:t>Antique structure &amp; furniture</w:t>
            </w:r>
          </w:p>
        </w:tc>
        <w:tc>
          <w:tcPr>
            <w:tcW w:w="567" w:type="dxa"/>
            <w:tcBorders>
              <w:top w:val="nil"/>
              <w:left w:val="nil"/>
              <w:bottom w:val="single" w:sz="8" w:space="0" w:color="auto"/>
              <w:right w:val="single" w:sz="8" w:space="0" w:color="auto"/>
            </w:tcBorders>
            <w:shd w:val="clear" w:color="auto" w:fill="auto"/>
            <w:vAlign w:val="center"/>
          </w:tcPr>
          <w:p w14:paraId="6614A0B2" w14:textId="77777777" w:rsidR="004B0524" w:rsidRPr="00CD1278" w:rsidRDefault="004B0524" w:rsidP="007972CD">
            <w:pPr>
              <w:spacing w:after="60"/>
              <w:jc w:val="center"/>
              <w:rPr>
                <w:color w:val="auto"/>
                <w:sz w:val="12"/>
                <w:szCs w:val="12"/>
              </w:rPr>
            </w:pPr>
            <w:r w:rsidRPr="00CD1278">
              <w:rPr>
                <w:color w:val="auto"/>
                <w:sz w:val="12"/>
                <w:szCs w:val="12"/>
              </w:rPr>
              <w:t>0.750</w:t>
            </w:r>
          </w:p>
        </w:tc>
        <w:tc>
          <w:tcPr>
            <w:tcW w:w="567" w:type="dxa"/>
            <w:tcBorders>
              <w:top w:val="nil"/>
              <w:left w:val="nil"/>
              <w:bottom w:val="single" w:sz="8" w:space="0" w:color="auto"/>
              <w:right w:val="single" w:sz="8" w:space="0" w:color="auto"/>
            </w:tcBorders>
            <w:shd w:val="clear" w:color="auto" w:fill="auto"/>
            <w:vAlign w:val="center"/>
          </w:tcPr>
          <w:p w14:paraId="4065B809" w14:textId="77777777" w:rsidR="004B0524" w:rsidRPr="00CD1278" w:rsidRDefault="004B0524" w:rsidP="007972CD">
            <w:pPr>
              <w:spacing w:after="60"/>
              <w:jc w:val="center"/>
              <w:rPr>
                <w:color w:val="auto"/>
                <w:sz w:val="12"/>
                <w:szCs w:val="12"/>
              </w:rPr>
            </w:pPr>
            <w:r w:rsidRPr="00CD1278">
              <w:rPr>
                <w:color w:val="auto"/>
                <w:sz w:val="12"/>
                <w:szCs w:val="12"/>
              </w:rPr>
              <w:t>0.199</w:t>
            </w:r>
          </w:p>
        </w:tc>
        <w:tc>
          <w:tcPr>
            <w:tcW w:w="567" w:type="dxa"/>
            <w:tcBorders>
              <w:top w:val="nil"/>
              <w:left w:val="nil"/>
              <w:bottom w:val="single" w:sz="8" w:space="0" w:color="auto"/>
              <w:right w:val="single" w:sz="8" w:space="0" w:color="auto"/>
            </w:tcBorders>
            <w:shd w:val="clear" w:color="auto" w:fill="auto"/>
            <w:vAlign w:val="center"/>
          </w:tcPr>
          <w:p w14:paraId="19521647" w14:textId="7418CD8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2D4F92" w14:textId="7692E95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529391" w14:textId="7D0DF11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0F40182" w14:textId="1AE6D46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EABE48" w14:textId="246F2D3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9292C5" w14:textId="5825660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155567" w14:textId="2DC6E67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67A0EFD"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39DA6BA"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211E47F"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3779516" w14:textId="77777777" w:rsidR="004B0524" w:rsidRPr="00CD1278" w:rsidRDefault="004B0524" w:rsidP="007972CD">
            <w:pPr>
              <w:spacing w:after="60"/>
              <w:jc w:val="center"/>
              <w:rPr>
                <w:color w:val="auto"/>
                <w:sz w:val="12"/>
                <w:szCs w:val="12"/>
              </w:rPr>
            </w:pPr>
            <w:r w:rsidRPr="00CD1278">
              <w:rPr>
                <w:color w:val="auto"/>
                <w:sz w:val="12"/>
                <w:szCs w:val="12"/>
              </w:rPr>
              <w:t>0.319</w:t>
            </w:r>
          </w:p>
        </w:tc>
        <w:tc>
          <w:tcPr>
            <w:tcW w:w="567" w:type="dxa"/>
            <w:tcBorders>
              <w:top w:val="nil"/>
              <w:left w:val="nil"/>
              <w:bottom w:val="single" w:sz="8" w:space="0" w:color="auto"/>
              <w:right w:val="single" w:sz="8" w:space="0" w:color="auto"/>
            </w:tcBorders>
            <w:shd w:val="clear" w:color="auto" w:fill="auto"/>
            <w:vAlign w:val="center"/>
          </w:tcPr>
          <w:p w14:paraId="3D9F2244" w14:textId="77777777" w:rsidR="004B0524" w:rsidRPr="00CD1278" w:rsidRDefault="004B0524" w:rsidP="007972CD">
            <w:pPr>
              <w:spacing w:after="60"/>
              <w:jc w:val="center"/>
              <w:rPr>
                <w:color w:val="auto"/>
                <w:sz w:val="12"/>
                <w:szCs w:val="12"/>
              </w:rPr>
            </w:pPr>
            <w:r w:rsidRPr="00CD1278">
              <w:rPr>
                <w:color w:val="auto"/>
                <w:sz w:val="12"/>
                <w:szCs w:val="12"/>
              </w:rPr>
              <w:t>0.199</w:t>
            </w:r>
          </w:p>
        </w:tc>
        <w:tc>
          <w:tcPr>
            <w:tcW w:w="567" w:type="dxa"/>
            <w:tcBorders>
              <w:top w:val="nil"/>
              <w:left w:val="nil"/>
              <w:bottom w:val="single" w:sz="8" w:space="0" w:color="auto"/>
              <w:right w:val="single" w:sz="8" w:space="0" w:color="auto"/>
            </w:tcBorders>
            <w:shd w:val="clear" w:color="auto" w:fill="auto"/>
            <w:vAlign w:val="center"/>
          </w:tcPr>
          <w:p w14:paraId="1CF26A2A" w14:textId="4285371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DF9079" w14:textId="0B9FDDA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B622D0" w14:textId="0F07172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624986" w14:textId="1E0FF19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AB69DB" w14:textId="64B3C6B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308B7AD" w14:textId="5FDBD97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7B1569"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CF0FB0C"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3DBB1AE"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E3C1B02" w14:textId="77777777" w:rsidR="004B0524" w:rsidRPr="00CD1278" w:rsidRDefault="004B0524" w:rsidP="007972CD">
            <w:pPr>
              <w:spacing w:after="60"/>
              <w:jc w:val="center"/>
              <w:rPr>
                <w:color w:val="auto"/>
                <w:sz w:val="12"/>
                <w:szCs w:val="12"/>
              </w:rPr>
            </w:pPr>
          </w:p>
        </w:tc>
      </w:tr>
      <w:tr w:rsidR="003C102E" w:rsidRPr="00CD1278" w14:paraId="16B8579E" w14:textId="77777777" w:rsidTr="00DE7A60">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93BE0E4"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092F75D4" w14:textId="77777777" w:rsidR="004B0524" w:rsidRPr="00CD1278" w:rsidRDefault="004B0524" w:rsidP="007972CD">
            <w:pPr>
              <w:spacing w:after="60"/>
              <w:ind w:left="-83"/>
              <w:rPr>
                <w:color w:val="auto"/>
                <w:sz w:val="12"/>
                <w:szCs w:val="12"/>
              </w:rPr>
            </w:pPr>
            <w:r w:rsidRPr="00CD1278">
              <w:rPr>
                <w:color w:val="auto"/>
                <w:sz w:val="12"/>
                <w:szCs w:val="12"/>
              </w:rPr>
              <w:t>Churches, monuments and ships' quarters</w:t>
            </w:r>
          </w:p>
        </w:tc>
        <w:tc>
          <w:tcPr>
            <w:tcW w:w="567" w:type="dxa"/>
            <w:tcBorders>
              <w:top w:val="nil"/>
              <w:left w:val="nil"/>
              <w:bottom w:val="single" w:sz="8" w:space="0" w:color="auto"/>
              <w:right w:val="single" w:sz="8" w:space="0" w:color="auto"/>
            </w:tcBorders>
            <w:shd w:val="clear" w:color="auto" w:fill="auto"/>
            <w:vAlign w:val="center"/>
          </w:tcPr>
          <w:p w14:paraId="7CC8082D" w14:textId="77777777" w:rsidR="004B0524" w:rsidRPr="00CD1278" w:rsidRDefault="004B0524" w:rsidP="007972CD">
            <w:pPr>
              <w:spacing w:after="60"/>
              <w:jc w:val="center"/>
              <w:rPr>
                <w:color w:val="auto"/>
                <w:sz w:val="12"/>
                <w:szCs w:val="12"/>
              </w:rPr>
            </w:pPr>
            <w:r w:rsidRPr="00CD1278">
              <w:rPr>
                <w:color w:val="auto"/>
                <w:sz w:val="12"/>
                <w:szCs w:val="12"/>
              </w:rPr>
              <w:t>0.150</w:t>
            </w:r>
          </w:p>
        </w:tc>
        <w:tc>
          <w:tcPr>
            <w:tcW w:w="567" w:type="dxa"/>
            <w:tcBorders>
              <w:top w:val="nil"/>
              <w:left w:val="nil"/>
              <w:bottom w:val="single" w:sz="8" w:space="0" w:color="auto"/>
              <w:right w:val="single" w:sz="8" w:space="0" w:color="auto"/>
            </w:tcBorders>
            <w:shd w:val="clear" w:color="auto" w:fill="auto"/>
            <w:vAlign w:val="center"/>
          </w:tcPr>
          <w:p w14:paraId="20EE8F1A" w14:textId="77777777" w:rsidR="004B0524" w:rsidRPr="00CD1278" w:rsidRDefault="004B0524" w:rsidP="007972CD">
            <w:pPr>
              <w:spacing w:after="60"/>
              <w:jc w:val="center"/>
              <w:rPr>
                <w:color w:val="auto"/>
                <w:sz w:val="12"/>
                <w:szCs w:val="12"/>
              </w:rPr>
            </w:pPr>
            <w:r w:rsidRPr="00CD1278">
              <w:rPr>
                <w:color w:val="auto"/>
                <w:sz w:val="12"/>
                <w:szCs w:val="12"/>
              </w:rPr>
              <w:t>0.059</w:t>
            </w:r>
          </w:p>
        </w:tc>
        <w:tc>
          <w:tcPr>
            <w:tcW w:w="567" w:type="dxa"/>
            <w:tcBorders>
              <w:top w:val="nil"/>
              <w:left w:val="nil"/>
              <w:bottom w:val="single" w:sz="8" w:space="0" w:color="auto"/>
              <w:right w:val="single" w:sz="8" w:space="0" w:color="auto"/>
            </w:tcBorders>
            <w:shd w:val="clear" w:color="auto" w:fill="auto"/>
            <w:vAlign w:val="center"/>
          </w:tcPr>
          <w:p w14:paraId="7AF48985" w14:textId="1032626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4CB28C" w14:textId="77F6D24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6A68D2" w14:textId="52EDD01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441076" w14:textId="085534E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386659" w14:textId="47DBA2B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BB11E3" w14:textId="4FFE18A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AA1C17" w14:textId="620588A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8047B0A"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EF122E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3D58DFA"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2B48C47" w14:textId="77777777" w:rsidR="004B0524" w:rsidRPr="00CD1278" w:rsidRDefault="004B0524" w:rsidP="007972CD">
            <w:pPr>
              <w:spacing w:after="60"/>
              <w:jc w:val="center"/>
              <w:rPr>
                <w:color w:val="auto"/>
                <w:sz w:val="12"/>
                <w:szCs w:val="12"/>
              </w:rPr>
            </w:pPr>
            <w:r w:rsidRPr="00CD1278">
              <w:rPr>
                <w:color w:val="auto"/>
                <w:sz w:val="12"/>
                <w:szCs w:val="12"/>
              </w:rPr>
              <w:t>0.150</w:t>
            </w:r>
          </w:p>
        </w:tc>
        <w:tc>
          <w:tcPr>
            <w:tcW w:w="567" w:type="dxa"/>
            <w:tcBorders>
              <w:top w:val="nil"/>
              <w:left w:val="nil"/>
              <w:bottom w:val="single" w:sz="8" w:space="0" w:color="auto"/>
              <w:right w:val="single" w:sz="8" w:space="0" w:color="auto"/>
            </w:tcBorders>
            <w:shd w:val="clear" w:color="auto" w:fill="auto"/>
            <w:vAlign w:val="center"/>
          </w:tcPr>
          <w:p w14:paraId="1376858B" w14:textId="77777777" w:rsidR="004B0524" w:rsidRPr="00CD1278" w:rsidRDefault="004B0524" w:rsidP="007972CD">
            <w:pPr>
              <w:spacing w:after="60"/>
              <w:jc w:val="center"/>
              <w:rPr>
                <w:color w:val="auto"/>
                <w:sz w:val="12"/>
                <w:szCs w:val="12"/>
              </w:rPr>
            </w:pPr>
            <w:r w:rsidRPr="00CD1278">
              <w:rPr>
                <w:color w:val="auto"/>
                <w:sz w:val="12"/>
                <w:szCs w:val="12"/>
              </w:rPr>
              <w:t>0.059</w:t>
            </w:r>
          </w:p>
        </w:tc>
        <w:tc>
          <w:tcPr>
            <w:tcW w:w="567" w:type="dxa"/>
            <w:tcBorders>
              <w:top w:val="nil"/>
              <w:left w:val="nil"/>
              <w:bottom w:val="single" w:sz="8" w:space="0" w:color="auto"/>
              <w:right w:val="single" w:sz="8" w:space="0" w:color="auto"/>
            </w:tcBorders>
            <w:shd w:val="clear" w:color="auto" w:fill="auto"/>
            <w:vAlign w:val="center"/>
          </w:tcPr>
          <w:p w14:paraId="44EDE1D0" w14:textId="0958466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4FCCADE" w14:textId="1A91F88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FF8C7A" w14:textId="6CF7E00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BCF878" w14:textId="7C59707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94C666" w14:textId="0E3C408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88BF060" w14:textId="38833C0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B916AF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C25D20"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F7B8013"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FED1E84" w14:textId="77777777" w:rsidR="004B0524" w:rsidRPr="00CD1278" w:rsidRDefault="004B0524" w:rsidP="007972CD">
            <w:pPr>
              <w:spacing w:after="60"/>
              <w:jc w:val="center"/>
              <w:rPr>
                <w:color w:val="auto"/>
                <w:sz w:val="12"/>
                <w:szCs w:val="12"/>
              </w:rPr>
            </w:pPr>
          </w:p>
        </w:tc>
      </w:tr>
      <w:tr w:rsidR="003C102E" w:rsidRPr="00CD1278" w14:paraId="3EE76B8F"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905FB93"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35911291" w14:textId="77777777" w:rsidR="004B0524" w:rsidRPr="00CD1278" w:rsidRDefault="004B0524" w:rsidP="007972CD">
            <w:pPr>
              <w:spacing w:after="60"/>
              <w:ind w:left="-83"/>
              <w:rPr>
                <w:color w:val="auto"/>
                <w:sz w:val="12"/>
                <w:szCs w:val="12"/>
              </w:rPr>
            </w:pPr>
            <w:r w:rsidRPr="00CD1278">
              <w:rPr>
                <w:color w:val="auto"/>
                <w:sz w:val="12"/>
                <w:szCs w:val="12"/>
              </w:rPr>
              <w:t>Electronic equipment</w:t>
            </w:r>
          </w:p>
        </w:tc>
        <w:tc>
          <w:tcPr>
            <w:tcW w:w="567" w:type="dxa"/>
            <w:tcBorders>
              <w:top w:val="nil"/>
              <w:left w:val="nil"/>
              <w:bottom w:val="single" w:sz="8" w:space="0" w:color="auto"/>
              <w:right w:val="single" w:sz="8" w:space="0" w:color="auto"/>
            </w:tcBorders>
            <w:shd w:val="clear" w:color="auto" w:fill="auto"/>
            <w:vAlign w:val="center"/>
          </w:tcPr>
          <w:p w14:paraId="19820830" w14:textId="77777777" w:rsidR="004B0524" w:rsidRPr="00CD1278" w:rsidRDefault="004B0524" w:rsidP="007972CD">
            <w:pPr>
              <w:spacing w:after="60"/>
              <w:jc w:val="center"/>
              <w:rPr>
                <w:color w:val="auto"/>
                <w:sz w:val="12"/>
                <w:szCs w:val="12"/>
              </w:rPr>
            </w:pPr>
            <w:r w:rsidRPr="00CD1278">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2C80E62A" w14:textId="77777777" w:rsidR="004B0524" w:rsidRPr="00CD1278" w:rsidRDefault="004B0524" w:rsidP="007972CD">
            <w:pPr>
              <w:spacing w:after="60"/>
              <w:jc w:val="center"/>
              <w:rPr>
                <w:color w:val="auto"/>
                <w:sz w:val="12"/>
                <w:szCs w:val="12"/>
              </w:rPr>
            </w:pPr>
            <w:r w:rsidRPr="00CD1278">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680AB318" w14:textId="1DA3987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8597C0" w14:textId="281DBE1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1BA082" w14:textId="18133C0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E9432B" w14:textId="34F3663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C274FB" w14:textId="78A4F4E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0E890B" w14:textId="6B53AF6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AC25E5" w14:textId="047D2E3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4366CD3"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6F9C20D"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696770A"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561A076" w14:textId="77777777" w:rsidR="004B0524" w:rsidRPr="00CD1278" w:rsidRDefault="004B0524" w:rsidP="007972CD">
            <w:pPr>
              <w:spacing w:after="60"/>
              <w:jc w:val="center"/>
              <w:rPr>
                <w:color w:val="auto"/>
                <w:sz w:val="12"/>
                <w:szCs w:val="12"/>
              </w:rPr>
            </w:pPr>
            <w:r w:rsidRPr="00CD1278">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7D55A2EF" w14:textId="77777777" w:rsidR="004B0524" w:rsidRPr="00CD1278" w:rsidRDefault="004B0524" w:rsidP="007972CD">
            <w:pPr>
              <w:spacing w:after="60"/>
              <w:jc w:val="center"/>
              <w:rPr>
                <w:color w:val="auto"/>
                <w:sz w:val="12"/>
                <w:szCs w:val="12"/>
              </w:rPr>
            </w:pPr>
            <w:r w:rsidRPr="00CD1278">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5958A362" w14:textId="5163543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80CA7B" w14:textId="6AA39AF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FE4AF65" w14:textId="217C409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297FF2" w14:textId="36C75C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1E40FB" w14:textId="1933192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5AF9D65" w14:textId="5857969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D361F1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05337FA"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97595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04C6C66" w14:textId="77777777" w:rsidR="004B0524" w:rsidRPr="00CD1278" w:rsidRDefault="004B0524" w:rsidP="007972CD">
            <w:pPr>
              <w:spacing w:after="60"/>
              <w:jc w:val="center"/>
              <w:rPr>
                <w:color w:val="auto"/>
                <w:sz w:val="12"/>
                <w:szCs w:val="12"/>
              </w:rPr>
            </w:pPr>
          </w:p>
        </w:tc>
      </w:tr>
      <w:tr w:rsidR="003C102E" w:rsidRPr="00CD1278" w14:paraId="1BCBABAC"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F161302"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1CE40733" w14:textId="77777777" w:rsidR="004B0524" w:rsidRPr="00CD1278" w:rsidRDefault="004B0524" w:rsidP="007972CD">
            <w:pPr>
              <w:spacing w:after="60"/>
              <w:ind w:left="-83"/>
              <w:rPr>
                <w:color w:val="auto"/>
                <w:sz w:val="12"/>
                <w:szCs w:val="12"/>
              </w:rPr>
            </w:pPr>
            <w:r w:rsidRPr="00CD1278">
              <w:rPr>
                <w:color w:val="auto"/>
                <w:sz w:val="12"/>
                <w:szCs w:val="12"/>
              </w:rPr>
              <w:t>Empty silo</w:t>
            </w:r>
          </w:p>
        </w:tc>
        <w:tc>
          <w:tcPr>
            <w:tcW w:w="567" w:type="dxa"/>
            <w:tcBorders>
              <w:top w:val="nil"/>
              <w:left w:val="nil"/>
              <w:bottom w:val="single" w:sz="8" w:space="0" w:color="auto"/>
              <w:right w:val="single" w:sz="8" w:space="0" w:color="auto"/>
            </w:tcBorders>
            <w:shd w:val="clear" w:color="auto" w:fill="auto"/>
            <w:vAlign w:val="center"/>
          </w:tcPr>
          <w:p w14:paraId="72F4F056" w14:textId="77777777" w:rsidR="004B0524" w:rsidRPr="00CD1278" w:rsidRDefault="004B0524" w:rsidP="007972CD">
            <w:pPr>
              <w:spacing w:after="60"/>
              <w:jc w:val="center"/>
              <w:rPr>
                <w:color w:val="auto"/>
                <w:sz w:val="12"/>
                <w:szCs w:val="12"/>
              </w:rPr>
            </w:pPr>
            <w:r w:rsidRPr="00CD1278">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39B51804" w14:textId="77777777" w:rsidR="004B0524" w:rsidRPr="00CD1278" w:rsidRDefault="004B0524" w:rsidP="007972CD">
            <w:pPr>
              <w:spacing w:after="60"/>
              <w:jc w:val="center"/>
              <w:rPr>
                <w:color w:val="auto"/>
                <w:sz w:val="12"/>
                <w:szCs w:val="12"/>
              </w:rPr>
            </w:pPr>
            <w:r w:rsidRPr="00CD1278">
              <w:rPr>
                <w:color w:val="auto"/>
                <w:sz w:val="12"/>
                <w:szCs w:val="12"/>
              </w:rPr>
              <w:t>0.043</w:t>
            </w:r>
          </w:p>
        </w:tc>
        <w:tc>
          <w:tcPr>
            <w:tcW w:w="567" w:type="dxa"/>
            <w:tcBorders>
              <w:top w:val="nil"/>
              <w:left w:val="nil"/>
              <w:bottom w:val="single" w:sz="8" w:space="0" w:color="auto"/>
              <w:right w:val="single" w:sz="8" w:space="0" w:color="auto"/>
            </w:tcBorders>
            <w:shd w:val="clear" w:color="auto" w:fill="auto"/>
            <w:vAlign w:val="center"/>
          </w:tcPr>
          <w:p w14:paraId="73672632" w14:textId="333856D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3136B6" w14:textId="1368ADA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0CC959" w14:textId="31DBC6C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951E06" w14:textId="5766711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AD729F" w14:textId="100DC8F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12F835" w14:textId="7BE463E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C8D6CE" w14:textId="03D8A40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0E57699"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E03BCA6"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06909E3"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8AD44A6" w14:textId="77777777" w:rsidR="004B0524" w:rsidRPr="00CD1278" w:rsidRDefault="004B0524" w:rsidP="007972CD">
            <w:pPr>
              <w:spacing w:after="60"/>
              <w:jc w:val="center"/>
              <w:rPr>
                <w:color w:val="auto"/>
                <w:sz w:val="12"/>
                <w:szCs w:val="12"/>
              </w:rPr>
            </w:pPr>
            <w:r w:rsidRPr="00CD1278">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6A2F5F75" w14:textId="77777777" w:rsidR="004B0524" w:rsidRPr="00CD1278" w:rsidRDefault="004B0524" w:rsidP="007972CD">
            <w:pPr>
              <w:spacing w:after="60"/>
              <w:jc w:val="center"/>
              <w:rPr>
                <w:color w:val="auto"/>
                <w:sz w:val="12"/>
                <w:szCs w:val="12"/>
              </w:rPr>
            </w:pPr>
            <w:r w:rsidRPr="00CD1278">
              <w:rPr>
                <w:color w:val="auto"/>
                <w:sz w:val="12"/>
                <w:szCs w:val="12"/>
              </w:rPr>
              <w:t>0.043</w:t>
            </w:r>
          </w:p>
        </w:tc>
        <w:tc>
          <w:tcPr>
            <w:tcW w:w="567" w:type="dxa"/>
            <w:tcBorders>
              <w:top w:val="nil"/>
              <w:left w:val="nil"/>
              <w:bottom w:val="single" w:sz="8" w:space="0" w:color="auto"/>
              <w:right w:val="single" w:sz="8" w:space="0" w:color="auto"/>
            </w:tcBorders>
            <w:shd w:val="clear" w:color="auto" w:fill="auto"/>
            <w:vAlign w:val="center"/>
          </w:tcPr>
          <w:p w14:paraId="366DEC76" w14:textId="2918782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15465B" w14:textId="2AC750E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38E294" w14:textId="3B789A9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593995" w14:textId="1CCF94C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02DFAC" w14:textId="628B952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D4B9B76" w14:textId="1FE59A2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897A668"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CD7A18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75C5EEE"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DB2B4B8" w14:textId="77777777" w:rsidR="004B0524" w:rsidRPr="00CD1278" w:rsidRDefault="004B0524" w:rsidP="007972CD">
            <w:pPr>
              <w:spacing w:after="60"/>
              <w:jc w:val="center"/>
              <w:rPr>
                <w:color w:val="auto"/>
                <w:sz w:val="12"/>
                <w:szCs w:val="12"/>
              </w:rPr>
            </w:pPr>
          </w:p>
        </w:tc>
      </w:tr>
      <w:tr w:rsidR="003C102E" w:rsidRPr="00CD1278" w14:paraId="2F4EFA9B"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F859B21"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739D4349" w14:textId="77777777" w:rsidR="004B0524" w:rsidRPr="00CD1278" w:rsidRDefault="004B0524" w:rsidP="007972CD">
            <w:pPr>
              <w:spacing w:after="60"/>
              <w:ind w:left="-83"/>
              <w:rPr>
                <w:color w:val="auto"/>
                <w:sz w:val="12"/>
                <w:szCs w:val="12"/>
              </w:rPr>
            </w:pPr>
            <w:r w:rsidRPr="00CD1278">
              <w:rPr>
                <w:color w:val="auto"/>
                <w:sz w:val="12"/>
                <w:szCs w:val="12"/>
              </w:rPr>
              <w:t>Flour mill see mills below</w:t>
            </w:r>
          </w:p>
        </w:tc>
        <w:tc>
          <w:tcPr>
            <w:tcW w:w="567" w:type="dxa"/>
            <w:tcBorders>
              <w:top w:val="nil"/>
              <w:left w:val="nil"/>
              <w:bottom w:val="single" w:sz="8" w:space="0" w:color="auto"/>
              <w:right w:val="single" w:sz="8" w:space="0" w:color="auto"/>
            </w:tcBorders>
            <w:shd w:val="clear" w:color="auto" w:fill="auto"/>
            <w:vAlign w:val="center"/>
          </w:tcPr>
          <w:p w14:paraId="732B42EC" w14:textId="77777777" w:rsidR="004B0524" w:rsidRPr="00CD1278" w:rsidRDefault="004B0524" w:rsidP="007972CD">
            <w:pPr>
              <w:spacing w:after="60"/>
              <w:jc w:val="center"/>
              <w:rPr>
                <w:color w:val="auto"/>
                <w:sz w:val="12"/>
                <w:szCs w:val="12"/>
              </w:rPr>
            </w:pPr>
            <w:r w:rsidRPr="00CD1278">
              <w:rPr>
                <w:color w:val="auto"/>
                <w:sz w:val="12"/>
                <w:szCs w:val="12"/>
              </w:rPr>
              <w:t>0.125</w:t>
            </w:r>
          </w:p>
        </w:tc>
        <w:tc>
          <w:tcPr>
            <w:tcW w:w="567" w:type="dxa"/>
            <w:tcBorders>
              <w:top w:val="nil"/>
              <w:left w:val="nil"/>
              <w:bottom w:val="single" w:sz="8" w:space="0" w:color="auto"/>
              <w:right w:val="single" w:sz="8" w:space="0" w:color="auto"/>
            </w:tcBorders>
            <w:shd w:val="clear" w:color="auto" w:fill="auto"/>
            <w:vAlign w:val="center"/>
          </w:tcPr>
          <w:p w14:paraId="5DB35E3B" w14:textId="77777777" w:rsidR="004B0524" w:rsidRPr="00CD1278" w:rsidRDefault="004B0524" w:rsidP="007972CD">
            <w:pPr>
              <w:spacing w:after="60"/>
              <w:jc w:val="center"/>
              <w:rPr>
                <w:color w:val="auto"/>
                <w:sz w:val="12"/>
                <w:szCs w:val="12"/>
              </w:rPr>
            </w:pPr>
            <w:r w:rsidRPr="00CD1278">
              <w:rPr>
                <w:color w:val="auto"/>
                <w:sz w:val="12"/>
                <w:szCs w:val="12"/>
              </w:rPr>
              <w:t>0.072</w:t>
            </w:r>
          </w:p>
        </w:tc>
        <w:tc>
          <w:tcPr>
            <w:tcW w:w="567" w:type="dxa"/>
            <w:tcBorders>
              <w:top w:val="nil"/>
              <w:left w:val="nil"/>
              <w:bottom w:val="single" w:sz="8" w:space="0" w:color="auto"/>
              <w:right w:val="single" w:sz="8" w:space="0" w:color="auto"/>
            </w:tcBorders>
            <w:shd w:val="clear" w:color="auto" w:fill="auto"/>
            <w:vAlign w:val="center"/>
          </w:tcPr>
          <w:p w14:paraId="4532D912" w14:textId="4657078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ABE66FF" w14:textId="13C9C06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822E37" w14:textId="3DE820B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33A4D5" w14:textId="0D3CD84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4769B4" w14:textId="724167D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AEEEA4" w14:textId="523A8E3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605D1A8" w14:textId="2B6E69F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8491032"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5FF12C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58104A2"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19BA3AD" w14:textId="77777777" w:rsidR="004B0524" w:rsidRPr="00CD1278" w:rsidRDefault="004B0524" w:rsidP="007972CD">
            <w:pPr>
              <w:spacing w:after="60"/>
              <w:jc w:val="center"/>
              <w:rPr>
                <w:color w:val="auto"/>
                <w:sz w:val="12"/>
                <w:szCs w:val="12"/>
              </w:rPr>
            </w:pPr>
            <w:r w:rsidRPr="00CD1278">
              <w:rPr>
                <w:color w:val="auto"/>
                <w:sz w:val="12"/>
                <w:szCs w:val="12"/>
              </w:rPr>
              <w:t>See mills below</w:t>
            </w:r>
          </w:p>
        </w:tc>
        <w:tc>
          <w:tcPr>
            <w:tcW w:w="567" w:type="dxa"/>
            <w:tcBorders>
              <w:top w:val="nil"/>
              <w:left w:val="nil"/>
              <w:bottom w:val="single" w:sz="8" w:space="0" w:color="auto"/>
              <w:right w:val="single" w:sz="8" w:space="0" w:color="auto"/>
            </w:tcBorders>
            <w:shd w:val="clear" w:color="auto" w:fill="auto"/>
            <w:vAlign w:val="center"/>
          </w:tcPr>
          <w:p w14:paraId="5AE3021B" w14:textId="77777777" w:rsidR="004B0524" w:rsidRPr="00CD1278" w:rsidRDefault="004B0524" w:rsidP="007972CD">
            <w:pPr>
              <w:spacing w:after="60"/>
              <w:jc w:val="center"/>
              <w:rPr>
                <w:color w:val="auto"/>
                <w:sz w:val="12"/>
                <w:szCs w:val="12"/>
              </w:rPr>
            </w:pPr>
            <w:r w:rsidRPr="00CD1278">
              <w:rPr>
                <w:color w:val="auto"/>
                <w:sz w:val="12"/>
                <w:szCs w:val="12"/>
              </w:rPr>
              <w:t>0.072</w:t>
            </w:r>
          </w:p>
        </w:tc>
        <w:tc>
          <w:tcPr>
            <w:tcW w:w="567" w:type="dxa"/>
            <w:tcBorders>
              <w:top w:val="nil"/>
              <w:left w:val="nil"/>
              <w:bottom w:val="single" w:sz="8" w:space="0" w:color="auto"/>
              <w:right w:val="single" w:sz="8" w:space="0" w:color="auto"/>
            </w:tcBorders>
            <w:shd w:val="clear" w:color="auto" w:fill="auto"/>
            <w:vAlign w:val="center"/>
          </w:tcPr>
          <w:p w14:paraId="51D4B2FA" w14:textId="45E2D82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7E3139C" w14:textId="2A8A4FD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742C01" w14:textId="1724D90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C8DE28" w14:textId="7BA580D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FF7C6D" w14:textId="174C4F3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455178B" w14:textId="658695D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F75274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C71D1A6"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5849FD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BF634A8" w14:textId="77777777" w:rsidR="004B0524" w:rsidRPr="00CD1278" w:rsidRDefault="004B0524" w:rsidP="007972CD">
            <w:pPr>
              <w:spacing w:after="60"/>
              <w:jc w:val="center"/>
              <w:rPr>
                <w:color w:val="auto"/>
                <w:sz w:val="12"/>
                <w:szCs w:val="12"/>
              </w:rPr>
            </w:pPr>
          </w:p>
        </w:tc>
      </w:tr>
      <w:tr w:rsidR="003C102E" w:rsidRPr="00CD1278" w14:paraId="587A65B2"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3F0E39B"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4B5855E0" w14:textId="77777777" w:rsidR="004B0524" w:rsidRPr="00CD1278" w:rsidRDefault="004B0524" w:rsidP="007972CD">
            <w:pPr>
              <w:spacing w:after="60"/>
              <w:ind w:left="-83"/>
              <w:rPr>
                <w:color w:val="auto"/>
                <w:sz w:val="12"/>
                <w:szCs w:val="12"/>
              </w:rPr>
            </w:pPr>
            <w:r w:rsidRPr="00CD1278">
              <w:rPr>
                <w:color w:val="auto"/>
                <w:sz w:val="12"/>
                <w:szCs w:val="12"/>
              </w:rPr>
              <w:t>Flour mills</w:t>
            </w:r>
          </w:p>
        </w:tc>
        <w:tc>
          <w:tcPr>
            <w:tcW w:w="567" w:type="dxa"/>
            <w:tcBorders>
              <w:top w:val="nil"/>
              <w:left w:val="nil"/>
              <w:bottom w:val="single" w:sz="8" w:space="0" w:color="auto"/>
              <w:right w:val="single" w:sz="8" w:space="0" w:color="auto"/>
            </w:tcBorders>
            <w:shd w:val="clear" w:color="auto" w:fill="auto"/>
            <w:vAlign w:val="center"/>
          </w:tcPr>
          <w:p w14:paraId="16E33E6E" w14:textId="77777777" w:rsidR="004B0524" w:rsidRPr="00CD1278" w:rsidRDefault="004B0524" w:rsidP="007972CD">
            <w:pPr>
              <w:spacing w:after="60"/>
              <w:jc w:val="center"/>
              <w:rPr>
                <w:color w:val="auto"/>
                <w:sz w:val="12"/>
                <w:szCs w:val="12"/>
              </w:rPr>
            </w:pPr>
            <w:r w:rsidRPr="00CD1278">
              <w:rPr>
                <w:color w:val="auto"/>
                <w:sz w:val="12"/>
                <w:szCs w:val="12"/>
              </w:rPr>
              <w:t>10.000</w:t>
            </w:r>
          </w:p>
        </w:tc>
        <w:tc>
          <w:tcPr>
            <w:tcW w:w="567" w:type="dxa"/>
            <w:tcBorders>
              <w:top w:val="nil"/>
              <w:left w:val="nil"/>
              <w:bottom w:val="single" w:sz="8" w:space="0" w:color="auto"/>
              <w:right w:val="single" w:sz="8" w:space="0" w:color="auto"/>
            </w:tcBorders>
            <w:shd w:val="clear" w:color="auto" w:fill="auto"/>
            <w:vAlign w:val="center"/>
          </w:tcPr>
          <w:p w14:paraId="26DEC373" w14:textId="77777777" w:rsidR="004B0524" w:rsidRPr="00CD1278" w:rsidRDefault="004B0524" w:rsidP="007972CD">
            <w:pPr>
              <w:spacing w:after="60"/>
              <w:jc w:val="center"/>
              <w:rPr>
                <w:color w:val="auto"/>
                <w:sz w:val="12"/>
                <w:szCs w:val="12"/>
              </w:rPr>
            </w:pPr>
            <w:r w:rsidRPr="00CD1278">
              <w:rPr>
                <w:color w:val="auto"/>
                <w:sz w:val="12"/>
                <w:szCs w:val="12"/>
              </w:rPr>
              <w:t>4.170</w:t>
            </w:r>
          </w:p>
        </w:tc>
        <w:tc>
          <w:tcPr>
            <w:tcW w:w="567" w:type="dxa"/>
            <w:tcBorders>
              <w:top w:val="nil"/>
              <w:left w:val="nil"/>
              <w:bottom w:val="single" w:sz="8" w:space="0" w:color="auto"/>
              <w:right w:val="single" w:sz="8" w:space="0" w:color="auto"/>
            </w:tcBorders>
            <w:shd w:val="clear" w:color="auto" w:fill="auto"/>
            <w:vAlign w:val="center"/>
          </w:tcPr>
          <w:p w14:paraId="4AFCE32D" w14:textId="772E414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A40B5D" w14:textId="448C00A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A54DCB4" w14:textId="4A023D9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A3D123" w14:textId="5300CC4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9B0D33" w14:textId="60A9892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561D11" w14:textId="62FF49F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A5F037" w14:textId="76C5C71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8FD3C0E"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5F5C943"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13709ED"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78482DE" w14:textId="77777777" w:rsidR="004B0524" w:rsidRPr="00CD1278" w:rsidRDefault="004B0524" w:rsidP="007972CD">
            <w:pPr>
              <w:spacing w:after="60"/>
              <w:jc w:val="center"/>
              <w:rPr>
                <w:color w:val="auto"/>
                <w:sz w:val="12"/>
                <w:szCs w:val="12"/>
              </w:rPr>
            </w:pPr>
            <w:r w:rsidRPr="00CD1278">
              <w:rPr>
                <w:color w:val="auto"/>
                <w:sz w:val="12"/>
                <w:szCs w:val="12"/>
              </w:rPr>
              <w:t>9.515</w:t>
            </w:r>
          </w:p>
        </w:tc>
        <w:tc>
          <w:tcPr>
            <w:tcW w:w="567" w:type="dxa"/>
            <w:tcBorders>
              <w:top w:val="nil"/>
              <w:left w:val="nil"/>
              <w:bottom w:val="single" w:sz="8" w:space="0" w:color="auto"/>
              <w:right w:val="single" w:sz="8" w:space="0" w:color="auto"/>
            </w:tcBorders>
            <w:shd w:val="clear" w:color="auto" w:fill="auto"/>
            <w:vAlign w:val="center"/>
          </w:tcPr>
          <w:p w14:paraId="119D5A37" w14:textId="77777777" w:rsidR="004B0524" w:rsidRPr="00CD1278" w:rsidRDefault="004B0524" w:rsidP="007972CD">
            <w:pPr>
              <w:spacing w:after="60"/>
              <w:jc w:val="center"/>
              <w:rPr>
                <w:color w:val="auto"/>
                <w:sz w:val="12"/>
                <w:szCs w:val="12"/>
              </w:rPr>
            </w:pPr>
            <w:r w:rsidRPr="00CD1278">
              <w:rPr>
                <w:color w:val="auto"/>
                <w:sz w:val="12"/>
                <w:szCs w:val="12"/>
              </w:rPr>
              <w:t>4.170</w:t>
            </w:r>
          </w:p>
        </w:tc>
        <w:tc>
          <w:tcPr>
            <w:tcW w:w="567" w:type="dxa"/>
            <w:tcBorders>
              <w:top w:val="nil"/>
              <w:left w:val="nil"/>
              <w:bottom w:val="single" w:sz="8" w:space="0" w:color="auto"/>
              <w:right w:val="single" w:sz="8" w:space="0" w:color="auto"/>
            </w:tcBorders>
            <w:shd w:val="clear" w:color="auto" w:fill="auto"/>
            <w:vAlign w:val="center"/>
          </w:tcPr>
          <w:p w14:paraId="5C9AA21B" w14:textId="1C74DF2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49D381" w14:textId="4AA1D4C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43D2B5" w14:textId="3D6CA89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F7313C" w14:textId="0C8B871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28AF94" w14:textId="5FCA2A9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FE48014" w14:textId="69D197C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C126BC3"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9BCF247"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0A770D8"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2A1139D" w14:textId="77777777" w:rsidR="004B0524" w:rsidRPr="00CD1278" w:rsidRDefault="004B0524" w:rsidP="007972CD">
            <w:pPr>
              <w:spacing w:after="60"/>
              <w:jc w:val="center"/>
              <w:rPr>
                <w:color w:val="auto"/>
                <w:sz w:val="12"/>
                <w:szCs w:val="12"/>
              </w:rPr>
            </w:pPr>
          </w:p>
        </w:tc>
      </w:tr>
      <w:tr w:rsidR="003C102E" w:rsidRPr="00CD1278" w14:paraId="66589772"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A9C3A93"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067FFC3D" w14:textId="77777777" w:rsidR="004B0524" w:rsidRPr="00CD1278" w:rsidRDefault="004B0524" w:rsidP="007972CD">
            <w:pPr>
              <w:spacing w:after="60"/>
              <w:ind w:left="-83"/>
              <w:rPr>
                <w:color w:val="auto"/>
                <w:sz w:val="12"/>
                <w:szCs w:val="12"/>
              </w:rPr>
            </w:pPr>
            <w:r w:rsidRPr="00CD1278">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76FC53AC" w14:textId="77777777" w:rsidR="004B0524" w:rsidRPr="00CD1278" w:rsidRDefault="004B0524" w:rsidP="007972CD">
            <w:pPr>
              <w:spacing w:after="60"/>
              <w:jc w:val="center"/>
              <w:rPr>
                <w:color w:val="auto"/>
                <w:sz w:val="12"/>
                <w:szCs w:val="12"/>
              </w:rPr>
            </w:pPr>
            <w:r w:rsidRPr="00CD1278">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4922F16F" w14:textId="77777777" w:rsidR="004B0524" w:rsidRPr="00CD1278" w:rsidRDefault="004B0524" w:rsidP="007972CD">
            <w:pPr>
              <w:spacing w:after="60"/>
              <w:jc w:val="center"/>
              <w:rPr>
                <w:color w:val="auto"/>
                <w:sz w:val="12"/>
                <w:szCs w:val="12"/>
              </w:rPr>
            </w:pPr>
            <w:r w:rsidRPr="00CD1278">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5C950437" w14:textId="28B8D03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BCFAA77" w14:textId="551796E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CB7411" w14:textId="05060BF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308C0A" w14:textId="5405E4F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7929A3" w14:textId="012D903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3F0910" w14:textId="4C02D94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D4B8327" w14:textId="2455B12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4F34EED"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527B92E"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FF806CF"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929F8A9" w14:textId="77777777" w:rsidR="004B0524" w:rsidRPr="00CD1278" w:rsidRDefault="004B0524" w:rsidP="007972CD">
            <w:pPr>
              <w:spacing w:after="60"/>
              <w:jc w:val="center"/>
              <w:rPr>
                <w:color w:val="auto"/>
                <w:sz w:val="12"/>
                <w:szCs w:val="12"/>
              </w:rPr>
            </w:pPr>
            <w:r w:rsidRPr="00CD1278">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4A352D7B" w14:textId="77777777" w:rsidR="004B0524" w:rsidRPr="00CD1278" w:rsidRDefault="004B0524" w:rsidP="007972CD">
            <w:pPr>
              <w:spacing w:after="60"/>
              <w:jc w:val="center"/>
              <w:rPr>
                <w:color w:val="auto"/>
                <w:sz w:val="12"/>
                <w:szCs w:val="12"/>
              </w:rPr>
            </w:pPr>
            <w:r w:rsidRPr="00CD1278">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751EA976" w14:textId="067A64B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5815A5" w14:textId="207571E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43257F" w14:textId="549F8D1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0248B6" w14:textId="07F3E9C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3AC4435" w14:textId="335CED0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2C19A25" w14:textId="0EFF29E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8433EB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6C9613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6A4904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23F6D80" w14:textId="77777777" w:rsidR="004B0524" w:rsidRPr="00CD1278" w:rsidRDefault="004B0524" w:rsidP="007972CD">
            <w:pPr>
              <w:spacing w:after="60"/>
              <w:jc w:val="center"/>
              <w:rPr>
                <w:color w:val="auto"/>
                <w:sz w:val="12"/>
                <w:szCs w:val="12"/>
              </w:rPr>
            </w:pPr>
          </w:p>
        </w:tc>
      </w:tr>
      <w:tr w:rsidR="003C102E" w:rsidRPr="00CD1278" w14:paraId="43FDA5E5"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FB6E959"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5722DB9D" w14:textId="77777777" w:rsidR="004B0524" w:rsidRPr="00CD1278" w:rsidRDefault="004B0524" w:rsidP="007972CD">
            <w:pPr>
              <w:spacing w:after="60"/>
              <w:ind w:left="-83"/>
              <w:rPr>
                <w:color w:val="auto"/>
                <w:sz w:val="12"/>
                <w:szCs w:val="12"/>
              </w:rPr>
            </w:pPr>
            <w:r w:rsidRPr="00CD1278">
              <w:rPr>
                <w:color w:val="auto"/>
                <w:sz w:val="12"/>
                <w:szCs w:val="12"/>
              </w:rPr>
              <w:t>Food processing facilities</w:t>
            </w:r>
          </w:p>
        </w:tc>
        <w:tc>
          <w:tcPr>
            <w:tcW w:w="567" w:type="dxa"/>
            <w:tcBorders>
              <w:top w:val="nil"/>
              <w:left w:val="nil"/>
              <w:bottom w:val="single" w:sz="8" w:space="0" w:color="auto"/>
              <w:right w:val="single" w:sz="8" w:space="0" w:color="auto"/>
            </w:tcBorders>
            <w:shd w:val="clear" w:color="auto" w:fill="auto"/>
            <w:vAlign w:val="center"/>
          </w:tcPr>
          <w:p w14:paraId="6F4FFF9B" w14:textId="77777777" w:rsidR="004B0524" w:rsidRPr="00CD1278" w:rsidRDefault="004B0524" w:rsidP="007972CD">
            <w:pPr>
              <w:spacing w:after="60"/>
              <w:jc w:val="center"/>
              <w:rPr>
                <w:color w:val="auto"/>
                <w:sz w:val="12"/>
                <w:szCs w:val="12"/>
              </w:rPr>
            </w:pPr>
            <w:r w:rsidRPr="00CD1278">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6B0DDAE3" w14:textId="77777777" w:rsidR="004B0524" w:rsidRPr="00CD1278" w:rsidRDefault="004B0524" w:rsidP="007972CD">
            <w:pPr>
              <w:spacing w:after="60"/>
              <w:jc w:val="center"/>
              <w:rPr>
                <w:color w:val="auto"/>
                <w:sz w:val="12"/>
                <w:szCs w:val="12"/>
              </w:rPr>
            </w:pPr>
            <w:r w:rsidRPr="00CD1278">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0D9320CB" w14:textId="6DF7210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5DB5A1" w14:textId="3CBB573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0DCFF0" w14:textId="7A0DF06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EED39F" w14:textId="03CCC9A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73965C3" w14:textId="6260FFE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01AC01" w14:textId="3E45506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3064C0" w14:textId="0429537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A95F10A"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54CFDE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5B63926"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ABB4EA8" w14:textId="77777777" w:rsidR="004B0524" w:rsidRPr="00CD1278" w:rsidRDefault="004B0524" w:rsidP="007972CD">
            <w:pPr>
              <w:spacing w:after="60"/>
              <w:jc w:val="center"/>
              <w:rPr>
                <w:color w:val="auto"/>
                <w:sz w:val="12"/>
                <w:szCs w:val="12"/>
              </w:rPr>
            </w:pPr>
            <w:r w:rsidRPr="00CD1278">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0EC5536F" w14:textId="77777777" w:rsidR="004B0524" w:rsidRPr="00CD1278" w:rsidRDefault="004B0524" w:rsidP="007972CD">
            <w:pPr>
              <w:spacing w:after="60"/>
              <w:jc w:val="center"/>
              <w:rPr>
                <w:color w:val="auto"/>
                <w:sz w:val="12"/>
                <w:szCs w:val="12"/>
              </w:rPr>
            </w:pPr>
            <w:r w:rsidRPr="00CD1278">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431E78FB" w14:textId="40738E8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13FCBF" w14:textId="2C2F1DB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D3CA69" w14:textId="2693E56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08D944" w14:textId="12D5485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83DC40" w14:textId="1B43E40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BA52EDB" w14:textId="168EC40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B037CD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FD8686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C29B7F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7827CE1" w14:textId="77777777" w:rsidR="004B0524" w:rsidRPr="00CD1278" w:rsidRDefault="004B0524" w:rsidP="007972CD">
            <w:pPr>
              <w:spacing w:after="60"/>
              <w:jc w:val="center"/>
              <w:rPr>
                <w:color w:val="auto"/>
                <w:sz w:val="12"/>
                <w:szCs w:val="12"/>
              </w:rPr>
            </w:pPr>
          </w:p>
        </w:tc>
      </w:tr>
      <w:tr w:rsidR="003C102E" w:rsidRPr="00CD1278" w14:paraId="780D00B7"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4D21A14"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3B3F73F1" w14:textId="77777777" w:rsidR="004B0524" w:rsidRPr="00CD1278" w:rsidRDefault="004B0524" w:rsidP="007972CD">
            <w:pPr>
              <w:spacing w:after="60"/>
              <w:ind w:left="-83"/>
              <w:rPr>
                <w:color w:val="auto"/>
                <w:sz w:val="12"/>
                <w:szCs w:val="12"/>
              </w:rPr>
            </w:pPr>
            <w:r w:rsidRPr="00CD1278">
              <w:rPr>
                <w:color w:val="auto"/>
                <w:sz w:val="12"/>
                <w:szCs w:val="12"/>
              </w:rPr>
              <w:t>Food Processing premises</w:t>
            </w:r>
          </w:p>
        </w:tc>
        <w:tc>
          <w:tcPr>
            <w:tcW w:w="567" w:type="dxa"/>
            <w:tcBorders>
              <w:top w:val="nil"/>
              <w:left w:val="nil"/>
              <w:bottom w:val="single" w:sz="8" w:space="0" w:color="auto"/>
              <w:right w:val="single" w:sz="8" w:space="0" w:color="auto"/>
            </w:tcBorders>
            <w:shd w:val="clear" w:color="auto" w:fill="auto"/>
            <w:vAlign w:val="center"/>
          </w:tcPr>
          <w:p w14:paraId="0C4FB600" w14:textId="77777777" w:rsidR="004B0524" w:rsidRPr="00CD1278" w:rsidRDefault="004B0524" w:rsidP="007972CD">
            <w:pPr>
              <w:spacing w:after="60"/>
              <w:jc w:val="center"/>
              <w:rPr>
                <w:color w:val="auto"/>
                <w:sz w:val="12"/>
                <w:szCs w:val="12"/>
              </w:rPr>
            </w:pPr>
            <w:r w:rsidRPr="00CD1278">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6905E27B" w14:textId="77777777" w:rsidR="004B0524" w:rsidRPr="00CD1278" w:rsidRDefault="004B0524" w:rsidP="007972CD">
            <w:pPr>
              <w:spacing w:after="60"/>
              <w:jc w:val="center"/>
              <w:rPr>
                <w:color w:val="auto"/>
                <w:sz w:val="12"/>
                <w:szCs w:val="12"/>
              </w:rPr>
            </w:pPr>
            <w:r w:rsidRPr="00CD1278">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21CE89A3" w14:textId="7E02BC7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82FCD9" w14:textId="4A06355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2AC103" w14:textId="6B3854E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23B620F" w14:textId="6B1DA15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2DCEB6" w14:textId="6AC28F3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60004C" w14:textId="44FE303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F837E8" w14:textId="668D718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5858006"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D8D1741"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8C217D7"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9197D6E" w14:textId="77777777" w:rsidR="004B0524" w:rsidRPr="00CD1278" w:rsidRDefault="004B0524" w:rsidP="007972CD">
            <w:pPr>
              <w:spacing w:after="60"/>
              <w:jc w:val="center"/>
              <w:rPr>
                <w:color w:val="auto"/>
                <w:sz w:val="12"/>
                <w:szCs w:val="12"/>
              </w:rPr>
            </w:pPr>
            <w:r w:rsidRPr="00CD1278">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51EDB522" w14:textId="77777777" w:rsidR="004B0524" w:rsidRPr="00CD1278" w:rsidRDefault="004B0524" w:rsidP="007972CD">
            <w:pPr>
              <w:spacing w:after="60"/>
              <w:jc w:val="center"/>
              <w:rPr>
                <w:color w:val="auto"/>
                <w:sz w:val="12"/>
                <w:szCs w:val="12"/>
              </w:rPr>
            </w:pPr>
            <w:r w:rsidRPr="00CD1278">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274AC0D4" w14:textId="5B48E19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D458EF" w14:textId="16035BB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64B372" w14:textId="19E31B2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450889" w14:textId="3894A70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F654DBC" w14:textId="39D9139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C63D03B" w14:textId="57D20D8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C384458"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5A2C6CC"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B1705B"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2300A6F" w14:textId="77777777" w:rsidR="004B0524" w:rsidRPr="00CD1278" w:rsidRDefault="004B0524" w:rsidP="007972CD">
            <w:pPr>
              <w:spacing w:after="60"/>
              <w:jc w:val="center"/>
              <w:rPr>
                <w:color w:val="auto"/>
                <w:sz w:val="12"/>
                <w:szCs w:val="12"/>
              </w:rPr>
            </w:pPr>
          </w:p>
        </w:tc>
      </w:tr>
      <w:tr w:rsidR="003C102E" w:rsidRPr="00CD1278" w14:paraId="026D279E" w14:textId="77777777" w:rsidTr="00DE7A60">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5E16142"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525CEB14" w14:textId="77777777" w:rsidR="004B0524" w:rsidRPr="00CD1278" w:rsidRDefault="004B0524" w:rsidP="007972CD">
            <w:pPr>
              <w:spacing w:after="60"/>
              <w:ind w:left="-83"/>
              <w:rPr>
                <w:color w:val="auto"/>
                <w:sz w:val="12"/>
                <w:szCs w:val="12"/>
              </w:rPr>
            </w:pPr>
            <w:r w:rsidRPr="00CD1278">
              <w:rPr>
                <w:color w:val="auto"/>
                <w:sz w:val="12"/>
                <w:szCs w:val="12"/>
              </w:rPr>
              <w:t>Food storage (dry) structure</w:t>
            </w:r>
          </w:p>
        </w:tc>
        <w:tc>
          <w:tcPr>
            <w:tcW w:w="567" w:type="dxa"/>
            <w:tcBorders>
              <w:top w:val="nil"/>
              <w:left w:val="nil"/>
              <w:bottom w:val="single" w:sz="8" w:space="0" w:color="auto"/>
              <w:right w:val="single" w:sz="8" w:space="0" w:color="auto"/>
            </w:tcBorders>
            <w:shd w:val="clear" w:color="auto" w:fill="auto"/>
            <w:vAlign w:val="center"/>
          </w:tcPr>
          <w:p w14:paraId="51B350C1" w14:textId="77777777" w:rsidR="004B0524" w:rsidRPr="00CD1278" w:rsidRDefault="004B0524" w:rsidP="007972CD">
            <w:pPr>
              <w:spacing w:after="60"/>
              <w:jc w:val="center"/>
              <w:rPr>
                <w:color w:val="auto"/>
                <w:sz w:val="12"/>
                <w:szCs w:val="12"/>
              </w:rPr>
            </w:pPr>
            <w:r w:rsidRPr="00CD1278">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672DEAEE" w14:textId="77777777" w:rsidR="004B0524" w:rsidRPr="00CD1278" w:rsidRDefault="004B0524" w:rsidP="007972CD">
            <w:pPr>
              <w:spacing w:after="60"/>
              <w:jc w:val="center"/>
              <w:rPr>
                <w:color w:val="auto"/>
                <w:sz w:val="12"/>
                <w:szCs w:val="12"/>
              </w:rPr>
            </w:pPr>
            <w:r w:rsidRPr="00CD1278">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679A9F19" w14:textId="6BFEA76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D67ED7" w14:textId="23686B4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CCC225" w14:textId="77E8C62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40B639" w14:textId="3805CE6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B9B65B4" w14:textId="51CD481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995853" w14:textId="4B54B84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DE28E5" w14:textId="0C2DA48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1D38A46"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B6C51EE"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59001A3"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09B8C88" w14:textId="77777777" w:rsidR="004B0524" w:rsidRPr="00CD1278" w:rsidRDefault="004B0524" w:rsidP="007972CD">
            <w:pPr>
              <w:spacing w:after="60"/>
              <w:jc w:val="center"/>
              <w:rPr>
                <w:color w:val="auto"/>
                <w:sz w:val="12"/>
                <w:szCs w:val="12"/>
              </w:rPr>
            </w:pPr>
            <w:r w:rsidRPr="00CD1278">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6A6AE75D" w14:textId="77777777" w:rsidR="004B0524" w:rsidRPr="00CD1278" w:rsidRDefault="004B0524" w:rsidP="007972CD">
            <w:pPr>
              <w:spacing w:after="60"/>
              <w:jc w:val="center"/>
              <w:rPr>
                <w:color w:val="auto"/>
                <w:sz w:val="12"/>
                <w:szCs w:val="12"/>
              </w:rPr>
            </w:pPr>
            <w:r w:rsidRPr="00CD1278">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223AD033" w14:textId="4E0CAB4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5520BAB" w14:textId="57128D8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7968279" w14:textId="7DCCD86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418569D" w14:textId="369799A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BFAC37" w14:textId="70EE5D3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83E7208" w14:textId="037B77C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EA94B4A"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FBA1A1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186E34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C90FB9" w14:textId="77777777" w:rsidR="004B0524" w:rsidRPr="00CD1278" w:rsidRDefault="004B0524" w:rsidP="007972CD">
            <w:pPr>
              <w:spacing w:after="60"/>
              <w:jc w:val="center"/>
              <w:rPr>
                <w:color w:val="auto"/>
                <w:sz w:val="12"/>
                <w:szCs w:val="12"/>
              </w:rPr>
            </w:pPr>
          </w:p>
        </w:tc>
      </w:tr>
      <w:tr w:rsidR="003C102E" w:rsidRPr="00CD1278" w14:paraId="76B67029"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095922B"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7515572F" w14:textId="77777777" w:rsidR="004B0524" w:rsidRPr="00CD1278" w:rsidRDefault="004B0524" w:rsidP="007972CD">
            <w:pPr>
              <w:spacing w:after="60"/>
              <w:ind w:left="-83"/>
              <w:rPr>
                <w:color w:val="auto"/>
                <w:sz w:val="12"/>
                <w:szCs w:val="12"/>
              </w:rPr>
            </w:pPr>
            <w:r w:rsidRPr="00CD1278">
              <w:rPr>
                <w:color w:val="auto"/>
                <w:sz w:val="12"/>
                <w:szCs w:val="12"/>
              </w:rPr>
              <w:t>Old buildings</w:t>
            </w:r>
          </w:p>
        </w:tc>
        <w:tc>
          <w:tcPr>
            <w:tcW w:w="567" w:type="dxa"/>
            <w:tcBorders>
              <w:top w:val="nil"/>
              <w:left w:val="nil"/>
              <w:bottom w:val="single" w:sz="8" w:space="0" w:color="auto"/>
              <w:right w:val="single" w:sz="8" w:space="0" w:color="auto"/>
            </w:tcBorders>
            <w:shd w:val="clear" w:color="auto" w:fill="auto"/>
            <w:vAlign w:val="center"/>
          </w:tcPr>
          <w:p w14:paraId="4EBE9591" w14:textId="77777777" w:rsidR="004B0524" w:rsidRPr="00CD1278" w:rsidRDefault="004B0524" w:rsidP="007972CD">
            <w:pPr>
              <w:spacing w:after="60"/>
              <w:jc w:val="center"/>
              <w:rPr>
                <w:color w:val="auto"/>
                <w:sz w:val="12"/>
                <w:szCs w:val="12"/>
              </w:rPr>
            </w:pPr>
            <w:r w:rsidRPr="00CD1278">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007CC04F" w14:textId="77777777" w:rsidR="004B0524" w:rsidRPr="00CD1278" w:rsidRDefault="004B0524" w:rsidP="007972CD">
            <w:pPr>
              <w:spacing w:after="60"/>
              <w:jc w:val="center"/>
              <w:rPr>
                <w:color w:val="auto"/>
                <w:sz w:val="12"/>
                <w:szCs w:val="12"/>
              </w:rPr>
            </w:pPr>
            <w:r w:rsidRPr="00CD1278">
              <w:rPr>
                <w:color w:val="auto"/>
                <w:sz w:val="12"/>
                <w:szCs w:val="12"/>
              </w:rPr>
              <w:t>0 .306</w:t>
            </w:r>
          </w:p>
        </w:tc>
        <w:tc>
          <w:tcPr>
            <w:tcW w:w="567" w:type="dxa"/>
            <w:tcBorders>
              <w:top w:val="nil"/>
              <w:left w:val="nil"/>
              <w:bottom w:val="single" w:sz="8" w:space="0" w:color="auto"/>
              <w:right w:val="single" w:sz="8" w:space="0" w:color="auto"/>
            </w:tcBorders>
            <w:shd w:val="clear" w:color="auto" w:fill="auto"/>
            <w:vAlign w:val="center"/>
          </w:tcPr>
          <w:p w14:paraId="4CEA4800" w14:textId="32AFC55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2D915C5" w14:textId="1C33957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250FD7" w14:textId="01F8F84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DD8CD0" w14:textId="475988A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6FDC01" w14:textId="50DCEFE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580767" w14:textId="46EC2AF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20C9C4" w14:textId="6D39FCF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5E94BC2"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20C0626"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254D43F"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B5F32B5" w14:textId="77777777" w:rsidR="004B0524" w:rsidRPr="00CD1278" w:rsidRDefault="004B0524" w:rsidP="007972CD">
            <w:pPr>
              <w:spacing w:after="60"/>
              <w:jc w:val="center"/>
              <w:rPr>
                <w:color w:val="auto"/>
                <w:sz w:val="12"/>
                <w:szCs w:val="12"/>
              </w:rPr>
            </w:pPr>
            <w:r w:rsidRPr="00CD1278">
              <w:rPr>
                <w:color w:val="auto"/>
                <w:sz w:val="12"/>
                <w:szCs w:val="12"/>
              </w:rPr>
              <w:t>1.150</w:t>
            </w:r>
          </w:p>
        </w:tc>
        <w:tc>
          <w:tcPr>
            <w:tcW w:w="567" w:type="dxa"/>
            <w:tcBorders>
              <w:top w:val="nil"/>
              <w:left w:val="nil"/>
              <w:bottom w:val="single" w:sz="8" w:space="0" w:color="auto"/>
              <w:right w:val="single" w:sz="8" w:space="0" w:color="auto"/>
            </w:tcBorders>
            <w:shd w:val="clear" w:color="auto" w:fill="auto"/>
            <w:vAlign w:val="center"/>
          </w:tcPr>
          <w:p w14:paraId="5E28F79C" w14:textId="77777777" w:rsidR="004B0524" w:rsidRPr="00CD1278" w:rsidRDefault="004B0524" w:rsidP="007972CD">
            <w:pPr>
              <w:spacing w:after="60"/>
              <w:jc w:val="center"/>
              <w:rPr>
                <w:color w:val="auto"/>
                <w:sz w:val="12"/>
                <w:szCs w:val="12"/>
              </w:rPr>
            </w:pPr>
            <w:r w:rsidRPr="00CD1278">
              <w:rPr>
                <w:color w:val="auto"/>
                <w:sz w:val="12"/>
                <w:szCs w:val="12"/>
              </w:rPr>
              <w:t>0.306</w:t>
            </w:r>
          </w:p>
        </w:tc>
        <w:tc>
          <w:tcPr>
            <w:tcW w:w="567" w:type="dxa"/>
            <w:tcBorders>
              <w:top w:val="nil"/>
              <w:left w:val="nil"/>
              <w:bottom w:val="single" w:sz="8" w:space="0" w:color="auto"/>
              <w:right w:val="single" w:sz="8" w:space="0" w:color="auto"/>
            </w:tcBorders>
            <w:shd w:val="clear" w:color="auto" w:fill="auto"/>
            <w:vAlign w:val="center"/>
          </w:tcPr>
          <w:p w14:paraId="64B012CC" w14:textId="64AB178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CE05AF" w14:textId="12B36B7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7BCE1CA" w14:textId="082F908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2EECB5" w14:textId="23C73C2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3BABEE" w14:textId="2D5C03E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73F8A93" w14:textId="3E0E9D4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BB3FD53"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30A1D69"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617313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2C6FBCC" w14:textId="77777777" w:rsidR="004B0524" w:rsidRPr="00CD1278" w:rsidRDefault="004B0524" w:rsidP="007972CD">
            <w:pPr>
              <w:spacing w:after="60"/>
              <w:jc w:val="center"/>
              <w:rPr>
                <w:color w:val="auto"/>
                <w:sz w:val="12"/>
                <w:szCs w:val="12"/>
              </w:rPr>
            </w:pPr>
          </w:p>
        </w:tc>
      </w:tr>
      <w:tr w:rsidR="003C102E" w:rsidRPr="00CD1278" w14:paraId="601D1EE8"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FF9D7CB"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3ED86D2C" w14:textId="77777777" w:rsidR="004B0524" w:rsidRPr="00CD1278" w:rsidRDefault="004B0524" w:rsidP="007972CD">
            <w:pPr>
              <w:spacing w:after="60"/>
              <w:ind w:left="-83"/>
              <w:rPr>
                <w:color w:val="auto"/>
                <w:sz w:val="12"/>
                <w:szCs w:val="12"/>
              </w:rPr>
            </w:pPr>
            <w:r w:rsidRPr="00CD1278">
              <w:rPr>
                <w:color w:val="auto"/>
                <w:sz w:val="12"/>
                <w:szCs w:val="12"/>
              </w:rPr>
              <w:t>Old buildings and objects</w:t>
            </w:r>
          </w:p>
        </w:tc>
        <w:tc>
          <w:tcPr>
            <w:tcW w:w="567" w:type="dxa"/>
            <w:tcBorders>
              <w:top w:val="nil"/>
              <w:left w:val="nil"/>
              <w:bottom w:val="single" w:sz="8" w:space="0" w:color="auto"/>
              <w:right w:val="single" w:sz="8" w:space="0" w:color="auto"/>
            </w:tcBorders>
            <w:shd w:val="clear" w:color="auto" w:fill="auto"/>
            <w:vAlign w:val="center"/>
          </w:tcPr>
          <w:p w14:paraId="0FE11671" w14:textId="77777777" w:rsidR="004B0524" w:rsidRPr="00CD1278" w:rsidRDefault="004B0524" w:rsidP="007972CD">
            <w:pPr>
              <w:spacing w:after="60"/>
              <w:jc w:val="center"/>
              <w:rPr>
                <w:color w:val="auto"/>
                <w:sz w:val="12"/>
                <w:szCs w:val="12"/>
              </w:rPr>
            </w:pPr>
            <w:r w:rsidRPr="00CD1278">
              <w:rPr>
                <w:color w:val="auto"/>
                <w:sz w:val="12"/>
                <w:szCs w:val="12"/>
              </w:rPr>
              <w:t>0.450</w:t>
            </w:r>
          </w:p>
        </w:tc>
        <w:tc>
          <w:tcPr>
            <w:tcW w:w="567" w:type="dxa"/>
            <w:tcBorders>
              <w:top w:val="nil"/>
              <w:left w:val="nil"/>
              <w:bottom w:val="single" w:sz="8" w:space="0" w:color="auto"/>
              <w:right w:val="single" w:sz="8" w:space="0" w:color="auto"/>
            </w:tcBorders>
            <w:shd w:val="clear" w:color="auto" w:fill="auto"/>
            <w:vAlign w:val="center"/>
          </w:tcPr>
          <w:p w14:paraId="49269E47" w14:textId="77777777" w:rsidR="004B0524" w:rsidRPr="00CD1278" w:rsidRDefault="004B0524" w:rsidP="007972CD">
            <w:pPr>
              <w:spacing w:after="60"/>
              <w:jc w:val="center"/>
              <w:rPr>
                <w:color w:val="auto"/>
                <w:sz w:val="12"/>
                <w:szCs w:val="12"/>
              </w:rPr>
            </w:pPr>
            <w:r w:rsidRPr="00CD1278">
              <w:rPr>
                <w:color w:val="auto"/>
                <w:sz w:val="12"/>
                <w:szCs w:val="12"/>
              </w:rPr>
              <w:t>0.282</w:t>
            </w:r>
          </w:p>
        </w:tc>
        <w:tc>
          <w:tcPr>
            <w:tcW w:w="567" w:type="dxa"/>
            <w:tcBorders>
              <w:top w:val="nil"/>
              <w:left w:val="nil"/>
              <w:bottom w:val="single" w:sz="8" w:space="0" w:color="auto"/>
              <w:right w:val="single" w:sz="8" w:space="0" w:color="auto"/>
            </w:tcBorders>
            <w:shd w:val="clear" w:color="auto" w:fill="auto"/>
            <w:vAlign w:val="center"/>
          </w:tcPr>
          <w:p w14:paraId="6992F098" w14:textId="51B5210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524D926" w14:textId="2CC21BF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AB7028" w14:textId="2DB85CB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FA70D8" w14:textId="14CA1EA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C7DECA" w14:textId="29074A7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BAE0CC" w14:textId="17C0372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4EBDC9" w14:textId="4410CC6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3D3B364"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B95E854"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0FED906"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BD8946C" w14:textId="77777777" w:rsidR="004B0524" w:rsidRPr="00CD1278" w:rsidRDefault="004B0524" w:rsidP="007972CD">
            <w:pPr>
              <w:spacing w:after="60"/>
              <w:jc w:val="center"/>
              <w:rPr>
                <w:color w:val="auto"/>
                <w:sz w:val="12"/>
                <w:szCs w:val="12"/>
              </w:rPr>
            </w:pPr>
            <w:r w:rsidRPr="00CD1278">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0EC2B387" w14:textId="77777777" w:rsidR="004B0524" w:rsidRPr="00CD1278" w:rsidRDefault="004B0524" w:rsidP="007972CD">
            <w:pPr>
              <w:spacing w:after="60"/>
              <w:jc w:val="center"/>
              <w:rPr>
                <w:color w:val="auto"/>
                <w:sz w:val="12"/>
                <w:szCs w:val="12"/>
              </w:rPr>
            </w:pPr>
            <w:r w:rsidRPr="00CD1278">
              <w:rPr>
                <w:color w:val="auto"/>
                <w:sz w:val="12"/>
                <w:szCs w:val="12"/>
              </w:rPr>
              <w:t>0.282</w:t>
            </w:r>
          </w:p>
        </w:tc>
        <w:tc>
          <w:tcPr>
            <w:tcW w:w="567" w:type="dxa"/>
            <w:tcBorders>
              <w:top w:val="nil"/>
              <w:left w:val="nil"/>
              <w:bottom w:val="single" w:sz="8" w:space="0" w:color="auto"/>
              <w:right w:val="single" w:sz="8" w:space="0" w:color="auto"/>
            </w:tcBorders>
            <w:shd w:val="clear" w:color="auto" w:fill="auto"/>
            <w:vAlign w:val="center"/>
          </w:tcPr>
          <w:p w14:paraId="5E6DEFAC" w14:textId="537E613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908B14" w14:textId="32642DA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343FD4" w14:textId="4837719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817F62" w14:textId="120DDAF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00A47F" w14:textId="389519A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FB38A6F" w14:textId="4B060E2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5D28630"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872AC51"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24960D7"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414E188" w14:textId="77777777" w:rsidR="004B0524" w:rsidRPr="00CD1278" w:rsidRDefault="004B0524" w:rsidP="007972CD">
            <w:pPr>
              <w:spacing w:after="60"/>
              <w:jc w:val="center"/>
              <w:rPr>
                <w:color w:val="auto"/>
                <w:sz w:val="12"/>
                <w:szCs w:val="12"/>
              </w:rPr>
            </w:pPr>
          </w:p>
        </w:tc>
      </w:tr>
      <w:tr w:rsidR="003C102E" w:rsidRPr="00CD1278" w14:paraId="655F8A14"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83797E6" w14:textId="77777777" w:rsidR="004B0524" w:rsidRPr="00CD1278" w:rsidRDefault="004B0524" w:rsidP="00DE7A60">
            <w:pPr>
              <w:spacing w:after="60"/>
              <w:rPr>
                <w:color w:val="auto"/>
                <w:sz w:val="12"/>
                <w:szCs w:val="12"/>
              </w:rPr>
            </w:pPr>
            <w:r w:rsidRPr="00CD1278">
              <w:rPr>
                <w:color w:val="auto"/>
                <w:sz w:val="12"/>
                <w:szCs w:val="12"/>
              </w:rPr>
              <w:t xml:space="preserve">Belgium </w:t>
            </w:r>
          </w:p>
        </w:tc>
        <w:tc>
          <w:tcPr>
            <w:tcW w:w="818" w:type="dxa"/>
            <w:tcBorders>
              <w:top w:val="nil"/>
              <w:left w:val="nil"/>
              <w:bottom w:val="single" w:sz="8" w:space="0" w:color="auto"/>
              <w:right w:val="single" w:sz="8" w:space="0" w:color="auto"/>
            </w:tcBorders>
            <w:shd w:val="clear" w:color="auto" w:fill="auto"/>
            <w:vAlign w:val="center"/>
          </w:tcPr>
          <w:p w14:paraId="67CB48CA" w14:textId="77777777" w:rsidR="004B0524" w:rsidRPr="00CD1278" w:rsidRDefault="004B0524" w:rsidP="007972CD">
            <w:pPr>
              <w:spacing w:after="60"/>
              <w:ind w:left="-83"/>
              <w:rPr>
                <w:color w:val="auto"/>
                <w:sz w:val="12"/>
                <w:szCs w:val="12"/>
              </w:rPr>
            </w:pPr>
            <w:r w:rsidRPr="00CD1278">
              <w:rPr>
                <w:color w:val="auto"/>
                <w:sz w:val="12"/>
                <w:szCs w:val="12"/>
              </w:rPr>
              <w:t>Woodworking premises</w:t>
            </w:r>
          </w:p>
        </w:tc>
        <w:tc>
          <w:tcPr>
            <w:tcW w:w="567" w:type="dxa"/>
            <w:tcBorders>
              <w:top w:val="nil"/>
              <w:left w:val="nil"/>
              <w:bottom w:val="single" w:sz="8" w:space="0" w:color="auto"/>
              <w:right w:val="single" w:sz="8" w:space="0" w:color="auto"/>
            </w:tcBorders>
            <w:shd w:val="clear" w:color="auto" w:fill="auto"/>
            <w:vAlign w:val="center"/>
          </w:tcPr>
          <w:p w14:paraId="7CB45F58" w14:textId="77777777" w:rsidR="004B0524" w:rsidRPr="00CD1278" w:rsidRDefault="004B0524" w:rsidP="007972CD">
            <w:pPr>
              <w:spacing w:after="60"/>
              <w:jc w:val="center"/>
              <w:rPr>
                <w:color w:val="auto"/>
                <w:sz w:val="12"/>
                <w:szCs w:val="12"/>
              </w:rPr>
            </w:pPr>
            <w:r w:rsidRPr="00CD1278">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2EBABDBD" w14:textId="77777777" w:rsidR="004B0524" w:rsidRPr="00CD1278" w:rsidRDefault="004B0524" w:rsidP="007972CD">
            <w:pPr>
              <w:spacing w:after="60"/>
              <w:jc w:val="center"/>
              <w:rPr>
                <w:color w:val="auto"/>
                <w:sz w:val="12"/>
                <w:szCs w:val="12"/>
              </w:rPr>
            </w:pPr>
            <w:r w:rsidRPr="00CD1278">
              <w:rPr>
                <w:color w:val="auto"/>
                <w:sz w:val="12"/>
                <w:szCs w:val="12"/>
              </w:rPr>
              <w:t>0.101</w:t>
            </w:r>
          </w:p>
        </w:tc>
        <w:tc>
          <w:tcPr>
            <w:tcW w:w="567" w:type="dxa"/>
            <w:tcBorders>
              <w:top w:val="nil"/>
              <w:left w:val="nil"/>
              <w:bottom w:val="single" w:sz="8" w:space="0" w:color="auto"/>
              <w:right w:val="single" w:sz="8" w:space="0" w:color="auto"/>
            </w:tcBorders>
            <w:shd w:val="clear" w:color="auto" w:fill="auto"/>
            <w:vAlign w:val="center"/>
          </w:tcPr>
          <w:p w14:paraId="4D0DBE6C" w14:textId="425A035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4F0902" w14:textId="123F5FF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19480D" w14:textId="2451A9D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EDE8A6" w14:textId="6BEDD43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02FE8D" w14:textId="1DF3B29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EC1D52" w14:textId="291694D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2DB22C" w14:textId="62588AA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2192497"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99D9031"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CB191C0"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3314699" w14:textId="77777777" w:rsidR="004B0524" w:rsidRPr="00CD1278" w:rsidRDefault="004B0524" w:rsidP="007972CD">
            <w:pPr>
              <w:spacing w:after="60"/>
              <w:jc w:val="center"/>
              <w:rPr>
                <w:color w:val="auto"/>
                <w:sz w:val="12"/>
                <w:szCs w:val="12"/>
              </w:rPr>
            </w:pPr>
            <w:r w:rsidRPr="00CD1278">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046E18E1" w14:textId="77777777" w:rsidR="004B0524" w:rsidRPr="00CD1278" w:rsidRDefault="004B0524" w:rsidP="007972CD">
            <w:pPr>
              <w:spacing w:after="60"/>
              <w:jc w:val="center"/>
              <w:rPr>
                <w:color w:val="auto"/>
                <w:sz w:val="12"/>
                <w:szCs w:val="12"/>
              </w:rPr>
            </w:pPr>
            <w:r w:rsidRPr="00CD1278">
              <w:rPr>
                <w:color w:val="auto"/>
                <w:sz w:val="12"/>
                <w:szCs w:val="12"/>
              </w:rPr>
              <w:t>0.101</w:t>
            </w:r>
          </w:p>
        </w:tc>
        <w:tc>
          <w:tcPr>
            <w:tcW w:w="567" w:type="dxa"/>
            <w:tcBorders>
              <w:top w:val="nil"/>
              <w:left w:val="nil"/>
              <w:bottom w:val="single" w:sz="8" w:space="0" w:color="auto"/>
              <w:right w:val="single" w:sz="8" w:space="0" w:color="auto"/>
            </w:tcBorders>
            <w:shd w:val="clear" w:color="auto" w:fill="auto"/>
            <w:vAlign w:val="center"/>
          </w:tcPr>
          <w:p w14:paraId="0EBD132F" w14:textId="79CB988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95A255" w14:textId="12A87DC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814975" w14:textId="64ED9D8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EBD848" w14:textId="0AC1D96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D526A2" w14:textId="49BF151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93804F2" w14:textId="429831A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5228791"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8B77C60"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22B3947"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4140CB" w14:textId="77777777" w:rsidR="004B0524" w:rsidRPr="00CD1278" w:rsidRDefault="004B0524" w:rsidP="007972CD">
            <w:pPr>
              <w:spacing w:after="60"/>
              <w:jc w:val="center"/>
              <w:rPr>
                <w:color w:val="auto"/>
                <w:sz w:val="12"/>
                <w:szCs w:val="12"/>
              </w:rPr>
            </w:pPr>
          </w:p>
        </w:tc>
      </w:tr>
      <w:tr w:rsidR="003C102E" w:rsidRPr="00CD1278" w14:paraId="339220C8"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D411568" w14:textId="77777777" w:rsidR="004B0524" w:rsidRPr="00CD1278" w:rsidRDefault="004B0524" w:rsidP="00DE7A60">
            <w:pPr>
              <w:spacing w:after="60"/>
              <w:rPr>
                <w:color w:val="auto"/>
                <w:sz w:val="12"/>
                <w:szCs w:val="12"/>
              </w:rPr>
            </w:pPr>
            <w:r w:rsidRPr="00CD1278">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vAlign w:val="center"/>
          </w:tcPr>
          <w:p w14:paraId="64DEFF16" w14:textId="77777777" w:rsidR="004B0524" w:rsidRPr="00CD1278" w:rsidRDefault="004B0524" w:rsidP="007972CD">
            <w:pPr>
              <w:spacing w:after="60"/>
              <w:ind w:left="-83"/>
              <w:rPr>
                <w:color w:val="auto"/>
                <w:sz w:val="12"/>
                <w:szCs w:val="12"/>
              </w:rPr>
            </w:pPr>
            <w:r w:rsidRPr="00CD1278">
              <w:rPr>
                <w:color w:val="auto"/>
                <w:sz w:val="12"/>
                <w:szCs w:val="12"/>
              </w:rPr>
              <w:t>Flour mills</w:t>
            </w:r>
          </w:p>
        </w:tc>
        <w:tc>
          <w:tcPr>
            <w:tcW w:w="567" w:type="dxa"/>
            <w:tcBorders>
              <w:top w:val="nil"/>
              <w:left w:val="nil"/>
              <w:bottom w:val="single" w:sz="8" w:space="0" w:color="auto"/>
              <w:right w:val="single" w:sz="8" w:space="0" w:color="auto"/>
            </w:tcBorders>
            <w:shd w:val="clear" w:color="auto" w:fill="auto"/>
            <w:vAlign w:val="center"/>
          </w:tcPr>
          <w:p w14:paraId="59ECD3B2" w14:textId="77777777" w:rsidR="004B0524" w:rsidRPr="00CD1278" w:rsidRDefault="004B0524" w:rsidP="007972CD">
            <w:pPr>
              <w:spacing w:after="60"/>
              <w:jc w:val="center"/>
              <w:rPr>
                <w:color w:val="auto"/>
                <w:sz w:val="12"/>
                <w:szCs w:val="12"/>
              </w:rPr>
            </w:pPr>
            <w:r w:rsidRPr="00CD1278">
              <w:rPr>
                <w:color w:val="auto"/>
                <w:sz w:val="12"/>
                <w:szCs w:val="12"/>
              </w:rPr>
              <w:t>47.200</w:t>
            </w:r>
          </w:p>
        </w:tc>
        <w:tc>
          <w:tcPr>
            <w:tcW w:w="567" w:type="dxa"/>
            <w:tcBorders>
              <w:top w:val="nil"/>
              <w:left w:val="nil"/>
              <w:bottom w:val="single" w:sz="8" w:space="0" w:color="auto"/>
              <w:right w:val="single" w:sz="8" w:space="0" w:color="auto"/>
            </w:tcBorders>
            <w:shd w:val="clear" w:color="auto" w:fill="auto"/>
            <w:vAlign w:val="center"/>
          </w:tcPr>
          <w:p w14:paraId="6D82324C" w14:textId="77777777" w:rsidR="004B0524" w:rsidRPr="00CD1278" w:rsidRDefault="004B0524" w:rsidP="007972CD">
            <w:pPr>
              <w:spacing w:after="60"/>
              <w:jc w:val="center"/>
              <w:rPr>
                <w:color w:val="auto"/>
                <w:sz w:val="12"/>
                <w:szCs w:val="12"/>
              </w:rPr>
            </w:pPr>
            <w:r w:rsidRPr="00CD1278">
              <w:rPr>
                <w:color w:val="auto"/>
                <w:sz w:val="12"/>
                <w:szCs w:val="12"/>
              </w:rPr>
              <w:t>34.774</w:t>
            </w:r>
          </w:p>
        </w:tc>
        <w:tc>
          <w:tcPr>
            <w:tcW w:w="567" w:type="dxa"/>
            <w:tcBorders>
              <w:top w:val="nil"/>
              <w:left w:val="nil"/>
              <w:bottom w:val="single" w:sz="8" w:space="0" w:color="auto"/>
              <w:right w:val="single" w:sz="8" w:space="0" w:color="auto"/>
            </w:tcBorders>
            <w:shd w:val="clear" w:color="auto" w:fill="auto"/>
            <w:vAlign w:val="center"/>
          </w:tcPr>
          <w:p w14:paraId="36D07742" w14:textId="77777777" w:rsidR="004B0524" w:rsidRPr="00CD1278" w:rsidRDefault="004B0524" w:rsidP="007972CD">
            <w:pPr>
              <w:spacing w:after="60"/>
              <w:jc w:val="center"/>
              <w:rPr>
                <w:color w:val="auto"/>
                <w:sz w:val="12"/>
                <w:szCs w:val="12"/>
              </w:rPr>
            </w:pPr>
            <w:r w:rsidRPr="00CD1278">
              <w:rPr>
                <w:color w:val="auto"/>
                <w:sz w:val="12"/>
                <w:szCs w:val="12"/>
              </w:rPr>
              <w:t>30.167</w:t>
            </w:r>
          </w:p>
        </w:tc>
        <w:tc>
          <w:tcPr>
            <w:tcW w:w="567" w:type="dxa"/>
            <w:tcBorders>
              <w:top w:val="nil"/>
              <w:left w:val="nil"/>
              <w:bottom w:val="single" w:sz="8" w:space="0" w:color="auto"/>
              <w:right w:val="single" w:sz="8" w:space="0" w:color="auto"/>
            </w:tcBorders>
            <w:shd w:val="clear" w:color="auto" w:fill="auto"/>
            <w:vAlign w:val="center"/>
          </w:tcPr>
          <w:p w14:paraId="767BFD4F" w14:textId="77777777" w:rsidR="004B0524" w:rsidRPr="00CD1278" w:rsidRDefault="004B0524" w:rsidP="007972CD">
            <w:pPr>
              <w:spacing w:after="60"/>
              <w:jc w:val="center"/>
              <w:rPr>
                <w:color w:val="auto"/>
                <w:sz w:val="12"/>
                <w:szCs w:val="12"/>
              </w:rPr>
            </w:pPr>
            <w:r w:rsidRPr="00CD1278">
              <w:rPr>
                <w:color w:val="auto"/>
                <w:sz w:val="12"/>
                <w:szCs w:val="12"/>
              </w:rPr>
              <w:t>28.650</w:t>
            </w:r>
          </w:p>
        </w:tc>
        <w:tc>
          <w:tcPr>
            <w:tcW w:w="567" w:type="dxa"/>
            <w:tcBorders>
              <w:top w:val="nil"/>
              <w:left w:val="nil"/>
              <w:bottom w:val="single" w:sz="8" w:space="0" w:color="auto"/>
              <w:right w:val="single" w:sz="8" w:space="0" w:color="auto"/>
            </w:tcBorders>
            <w:shd w:val="clear" w:color="auto" w:fill="auto"/>
            <w:vAlign w:val="center"/>
          </w:tcPr>
          <w:p w14:paraId="0DB1B3D7" w14:textId="77777777" w:rsidR="004B0524" w:rsidRPr="00CD1278" w:rsidRDefault="004B0524" w:rsidP="007972CD">
            <w:pPr>
              <w:spacing w:after="60"/>
              <w:jc w:val="center"/>
              <w:rPr>
                <w:color w:val="auto"/>
                <w:sz w:val="12"/>
                <w:szCs w:val="12"/>
              </w:rPr>
            </w:pPr>
            <w:r w:rsidRPr="00CD1278">
              <w:rPr>
                <w:color w:val="auto"/>
                <w:sz w:val="12"/>
                <w:szCs w:val="12"/>
              </w:rPr>
              <w:t>26.913</w:t>
            </w:r>
          </w:p>
        </w:tc>
        <w:tc>
          <w:tcPr>
            <w:tcW w:w="567" w:type="dxa"/>
            <w:tcBorders>
              <w:top w:val="nil"/>
              <w:left w:val="nil"/>
              <w:bottom w:val="single" w:sz="8" w:space="0" w:color="auto"/>
              <w:right w:val="single" w:sz="8" w:space="0" w:color="auto"/>
            </w:tcBorders>
            <w:shd w:val="clear" w:color="auto" w:fill="auto"/>
            <w:vAlign w:val="center"/>
          </w:tcPr>
          <w:p w14:paraId="754D078F" w14:textId="77777777" w:rsidR="004B0524" w:rsidRPr="00CD1278" w:rsidRDefault="004B0524" w:rsidP="007972CD">
            <w:pPr>
              <w:spacing w:after="60"/>
              <w:jc w:val="center"/>
              <w:rPr>
                <w:color w:val="auto"/>
                <w:sz w:val="12"/>
                <w:szCs w:val="12"/>
              </w:rPr>
            </w:pPr>
            <w:r w:rsidRPr="00CD1278">
              <w:rPr>
                <w:color w:val="auto"/>
                <w:sz w:val="12"/>
                <w:szCs w:val="12"/>
              </w:rPr>
              <w:t>22.878</w:t>
            </w:r>
          </w:p>
        </w:tc>
        <w:tc>
          <w:tcPr>
            <w:tcW w:w="567" w:type="dxa"/>
            <w:tcBorders>
              <w:top w:val="nil"/>
              <w:left w:val="nil"/>
              <w:bottom w:val="single" w:sz="8" w:space="0" w:color="auto"/>
              <w:right w:val="single" w:sz="8" w:space="0" w:color="auto"/>
            </w:tcBorders>
            <w:shd w:val="clear" w:color="auto" w:fill="auto"/>
            <w:vAlign w:val="center"/>
          </w:tcPr>
          <w:p w14:paraId="2727EB97" w14:textId="77777777" w:rsidR="004B0524" w:rsidRPr="00CD1278" w:rsidRDefault="004B0524" w:rsidP="007972CD">
            <w:pPr>
              <w:spacing w:after="60"/>
              <w:jc w:val="center"/>
              <w:rPr>
                <w:color w:val="auto"/>
                <w:sz w:val="12"/>
                <w:szCs w:val="12"/>
              </w:rPr>
            </w:pPr>
            <w:r w:rsidRPr="00CD1278">
              <w:rPr>
                <w:color w:val="auto"/>
                <w:sz w:val="12"/>
                <w:szCs w:val="12"/>
              </w:rPr>
              <w:t>14.107</w:t>
            </w:r>
          </w:p>
        </w:tc>
        <w:tc>
          <w:tcPr>
            <w:tcW w:w="567" w:type="dxa"/>
            <w:tcBorders>
              <w:top w:val="nil"/>
              <w:left w:val="nil"/>
              <w:bottom w:val="single" w:sz="8" w:space="0" w:color="auto"/>
              <w:right w:val="single" w:sz="8" w:space="0" w:color="auto"/>
            </w:tcBorders>
            <w:shd w:val="clear" w:color="auto" w:fill="auto"/>
            <w:vAlign w:val="center"/>
          </w:tcPr>
          <w:p w14:paraId="4185D666" w14:textId="77777777" w:rsidR="004B0524" w:rsidRPr="00CD1278" w:rsidRDefault="004B0524" w:rsidP="007972CD">
            <w:pPr>
              <w:spacing w:after="60"/>
              <w:jc w:val="center"/>
              <w:rPr>
                <w:color w:val="auto"/>
                <w:sz w:val="12"/>
                <w:szCs w:val="12"/>
              </w:rPr>
            </w:pPr>
            <w:r w:rsidRPr="00CD1278">
              <w:rPr>
                <w:color w:val="auto"/>
                <w:sz w:val="12"/>
                <w:szCs w:val="12"/>
              </w:rPr>
              <w:t>11.020</w:t>
            </w:r>
          </w:p>
        </w:tc>
        <w:tc>
          <w:tcPr>
            <w:tcW w:w="567" w:type="dxa"/>
            <w:tcBorders>
              <w:top w:val="nil"/>
              <w:left w:val="nil"/>
              <w:bottom w:val="single" w:sz="8" w:space="0" w:color="auto"/>
              <w:right w:val="single" w:sz="8" w:space="0" w:color="auto"/>
            </w:tcBorders>
            <w:shd w:val="clear" w:color="auto" w:fill="auto"/>
            <w:vAlign w:val="center"/>
          </w:tcPr>
          <w:p w14:paraId="467ED907" w14:textId="77777777" w:rsidR="004B0524" w:rsidRPr="00CD1278" w:rsidRDefault="004B0524" w:rsidP="007972CD">
            <w:pPr>
              <w:spacing w:after="60"/>
              <w:jc w:val="center"/>
              <w:rPr>
                <w:color w:val="auto"/>
                <w:sz w:val="12"/>
                <w:szCs w:val="12"/>
              </w:rPr>
            </w:pPr>
            <w:r w:rsidRPr="00CD1278">
              <w:rPr>
                <w:color w:val="auto"/>
                <w:sz w:val="12"/>
                <w:szCs w:val="12"/>
              </w:rPr>
              <w:t>7.848</w:t>
            </w:r>
          </w:p>
        </w:tc>
        <w:tc>
          <w:tcPr>
            <w:tcW w:w="567" w:type="dxa"/>
            <w:tcBorders>
              <w:top w:val="nil"/>
              <w:left w:val="nil"/>
              <w:bottom w:val="single" w:sz="8" w:space="0" w:color="auto"/>
              <w:right w:val="single" w:sz="4" w:space="0" w:color="auto"/>
            </w:tcBorders>
            <w:vAlign w:val="center"/>
          </w:tcPr>
          <w:p w14:paraId="0B58B072" w14:textId="77777777" w:rsidR="004B0524" w:rsidRPr="00CD1278" w:rsidRDefault="004B0524" w:rsidP="007972CD">
            <w:pPr>
              <w:spacing w:after="60"/>
              <w:jc w:val="center"/>
              <w:rPr>
                <w:color w:val="auto"/>
                <w:sz w:val="12"/>
                <w:szCs w:val="12"/>
              </w:rPr>
            </w:pPr>
            <w:r w:rsidRPr="00CD1278">
              <w:rPr>
                <w:color w:val="auto"/>
                <w:sz w:val="12"/>
                <w:szCs w:val="12"/>
              </w:rPr>
              <w:t>5.044</w:t>
            </w:r>
          </w:p>
        </w:tc>
        <w:tc>
          <w:tcPr>
            <w:tcW w:w="567" w:type="dxa"/>
            <w:tcBorders>
              <w:top w:val="nil"/>
              <w:left w:val="single" w:sz="4" w:space="0" w:color="auto"/>
              <w:bottom w:val="single" w:sz="8" w:space="0" w:color="auto"/>
              <w:right w:val="single" w:sz="4" w:space="0" w:color="auto"/>
            </w:tcBorders>
            <w:vAlign w:val="center"/>
          </w:tcPr>
          <w:p w14:paraId="6475C327" w14:textId="77777777" w:rsidR="004B0524" w:rsidRPr="00CD1278" w:rsidRDefault="004B0524" w:rsidP="007972CD">
            <w:pPr>
              <w:spacing w:after="60"/>
              <w:jc w:val="center"/>
              <w:rPr>
                <w:b/>
                <w:color w:val="auto"/>
                <w:sz w:val="12"/>
                <w:szCs w:val="12"/>
              </w:rPr>
            </w:pPr>
            <w:r w:rsidRPr="00CD1278">
              <w:rPr>
                <w:b/>
                <w:color w:val="auto"/>
                <w:sz w:val="12"/>
                <w:szCs w:val="12"/>
              </w:rPr>
              <w:t>5.044</w:t>
            </w:r>
          </w:p>
        </w:tc>
        <w:tc>
          <w:tcPr>
            <w:tcW w:w="567" w:type="dxa"/>
            <w:tcBorders>
              <w:top w:val="nil"/>
              <w:left w:val="single" w:sz="4" w:space="0" w:color="auto"/>
              <w:bottom w:val="single" w:sz="8" w:space="0" w:color="auto"/>
              <w:right w:val="single" w:sz="4" w:space="0" w:color="auto"/>
            </w:tcBorders>
            <w:vAlign w:val="center"/>
          </w:tcPr>
          <w:p w14:paraId="14CCA2C9" w14:textId="77777777" w:rsidR="004B0524" w:rsidRPr="00CD1278" w:rsidRDefault="004B0524" w:rsidP="007972CD">
            <w:pPr>
              <w:spacing w:after="60"/>
              <w:jc w:val="cente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98DB6EA" w14:textId="77777777" w:rsidR="004B0524" w:rsidRPr="00CD1278" w:rsidRDefault="004B0524" w:rsidP="007972CD">
            <w:pPr>
              <w:spacing w:after="60"/>
              <w:jc w:val="center"/>
              <w:rPr>
                <w:color w:val="auto"/>
                <w:sz w:val="12"/>
                <w:szCs w:val="12"/>
              </w:rPr>
            </w:pPr>
            <w:r w:rsidRPr="00CD1278">
              <w:rPr>
                <w:color w:val="auto"/>
                <w:sz w:val="12"/>
                <w:szCs w:val="12"/>
              </w:rPr>
              <w:t>(a)47</w:t>
            </w:r>
          </w:p>
        </w:tc>
        <w:tc>
          <w:tcPr>
            <w:tcW w:w="567" w:type="dxa"/>
            <w:tcBorders>
              <w:top w:val="nil"/>
              <w:left w:val="nil"/>
              <w:bottom w:val="single" w:sz="8" w:space="0" w:color="auto"/>
              <w:right w:val="single" w:sz="8" w:space="0" w:color="auto"/>
            </w:tcBorders>
            <w:shd w:val="clear" w:color="auto" w:fill="auto"/>
            <w:vAlign w:val="center"/>
          </w:tcPr>
          <w:p w14:paraId="1CAEE3D6" w14:textId="77777777" w:rsidR="004B0524" w:rsidRPr="00CD1278" w:rsidRDefault="004B0524" w:rsidP="007972CD">
            <w:pPr>
              <w:spacing w:after="60"/>
              <w:jc w:val="center"/>
              <w:rPr>
                <w:color w:val="auto"/>
                <w:sz w:val="12"/>
                <w:szCs w:val="12"/>
              </w:rPr>
            </w:pPr>
            <w:r w:rsidRPr="00CD1278">
              <w:rPr>
                <w:color w:val="auto"/>
                <w:sz w:val="12"/>
                <w:szCs w:val="12"/>
              </w:rPr>
              <w:t>34.774</w:t>
            </w:r>
          </w:p>
        </w:tc>
        <w:tc>
          <w:tcPr>
            <w:tcW w:w="567" w:type="dxa"/>
            <w:tcBorders>
              <w:top w:val="nil"/>
              <w:left w:val="nil"/>
              <w:bottom w:val="single" w:sz="8" w:space="0" w:color="auto"/>
              <w:right w:val="single" w:sz="8" w:space="0" w:color="auto"/>
            </w:tcBorders>
            <w:shd w:val="clear" w:color="auto" w:fill="auto"/>
            <w:vAlign w:val="center"/>
          </w:tcPr>
          <w:p w14:paraId="7C673E63" w14:textId="77777777" w:rsidR="004B0524" w:rsidRPr="00CD1278" w:rsidRDefault="004B0524" w:rsidP="007972CD">
            <w:pPr>
              <w:spacing w:after="60"/>
              <w:jc w:val="center"/>
              <w:rPr>
                <w:color w:val="auto"/>
                <w:sz w:val="12"/>
                <w:szCs w:val="12"/>
              </w:rPr>
            </w:pPr>
            <w:r w:rsidRPr="00CD1278">
              <w:rPr>
                <w:color w:val="auto"/>
                <w:sz w:val="12"/>
                <w:szCs w:val="12"/>
              </w:rPr>
              <w:t>30.167</w:t>
            </w:r>
          </w:p>
        </w:tc>
        <w:tc>
          <w:tcPr>
            <w:tcW w:w="567" w:type="dxa"/>
            <w:tcBorders>
              <w:top w:val="nil"/>
              <w:left w:val="nil"/>
              <w:bottom w:val="single" w:sz="8" w:space="0" w:color="auto"/>
              <w:right w:val="single" w:sz="8" w:space="0" w:color="auto"/>
            </w:tcBorders>
            <w:shd w:val="clear" w:color="auto" w:fill="auto"/>
            <w:vAlign w:val="center"/>
          </w:tcPr>
          <w:p w14:paraId="1FD15E44" w14:textId="77777777" w:rsidR="004B0524" w:rsidRPr="00CD1278" w:rsidRDefault="004B0524" w:rsidP="007972CD">
            <w:pPr>
              <w:spacing w:after="60"/>
              <w:jc w:val="center"/>
              <w:rPr>
                <w:color w:val="auto"/>
                <w:sz w:val="12"/>
                <w:szCs w:val="12"/>
              </w:rPr>
            </w:pPr>
            <w:r w:rsidRPr="00CD1278">
              <w:rPr>
                <w:color w:val="auto"/>
                <w:sz w:val="12"/>
                <w:szCs w:val="12"/>
              </w:rPr>
              <w:t>28.65</w:t>
            </w:r>
          </w:p>
        </w:tc>
        <w:tc>
          <w:tcPr>
            <w:tcW w:w="567" w:type="dxa"/>
            <w:tcBorders>
              <w:top w:val="nil"/>
              <w:left w:val="nil"/>
              <w:bottom w:val="single" w:sz="8" w:space="0" w:color="auto"/>
              <w:right w:val="single" w:sz="8" w:space="0" w:color="auto"/>
            </w:tcBorders>
            <w:shd w:val="clear" w:color="auto" w:fill="auto"/>
            <w:vAlign w:val="center"/>
          </w:tcPr>
          <w:p w14:paraId="3E1A2BBF" w14:textId="77777777" w:rsidR="004B0524" w:rsidRPr="00CD1278" w:rsidRDefault="004B0524" w:rsidP="007972CD">
            <w:pPr>
              <w:spacing w:after="60"/>
              <w:jc w:val="center"/>
              <w:rPr>
                <w:color w:val="auto"/>
                <w:sz w:val="12"/>
                <w:szCs w:val="12"/>
              </w:rPr>
            </w:pPr>
            <w:r w:rsidRPr="00CD1278">
              <w:rPr>
                <w:color w:val="auto"/>
                <w:sz w:val="12"/>
                <w:szCs w:val="12"/>
              </w:rPr>
              <w:t>26.913</w:t>
            </w:r>
          </w:p>
        </w:tc>
        <w:tc>
          <w:tcPr>
            <w:tcW w:w="567" w:type="dxa"/>
            <w:tcBorders>
              <w:top w:val="nil"/>
              <w:left w:val="nil"/>
              <w:bottom w:val="single" w:sz="8" w:space="0" w:color="auto"/>
              <w:right w:val="single" w:sz="8" w:space="0" w:color="auto"/>
            </w:tcBorders>
            <w:shd w:val="clear" w:color="auto" w:fill="auto"/>
            <w:vAlign w:val="center"/>
          </w:tcPr>
          <w:p w14:paraId="0D0D1E73" w14:textId="77777777" w:rsidR="004B0524" w:rsidRPr="00CD1278" w:rsidRDefault="004B0524" w:rsidP="007972CD">
            <w:pPr>
              <w:spacing w:after="60"/>
              <w:jc w:val="center"/>
              <w:rPr>
                <w:color w:val="auto"/>
                <w:sz w:val="12"/>
                <w:szCs w:val="12"/>
              </w:rPr>
            </w:pPr>
            <w:r w:rsidRPr="00CD1278">
              <w:rPr>
                <w:color w:val="auto"/>
                <w:sz w:val="12"/>
                <w:szCs w:val="12"/>
              </w:rPr>
              <w:t>22.878</w:t>
            </w:r>
          </w:p>
        </w:tc>
        <w:tc>
          <w:tcPr>
            <w:tcW w:w="567" w:type="dxa"/>
            <w:tcBorders>
              <w:top w:val="nil"/>
              <w:left w:val="nil"/>
              <w:bottom w:val="single" w:sz="8" w:space="0" w:color="auto"/>
              <w:right w:val="single" w:sz="8" w:space="0" w:color="auto"/>
            </w:tcBorders>
            <w:shd w:val="clear" w:color="auto" w:fill="auto"/>
            <w:vAlign w:val="center"/>
          </w:tcPr>
          <w:p w14:paraId="4B55D002" w14:textId="77777777" w:rsidR="004B0524" w:rsidRPr="00CD1278" w:rsidRDefault="004B0524" w:rsidP="007972CD">
            <w:pPr>
              <w:spacing w:after="60"/>
              <w:jc w:val="center"/>
              <w:rPr>
                <w:color w:val="auto"/>
                <w:sz w:val="12"/>
                <w:szCs w:val="12"/>
              </w:rPr>
            </w:pPr>
            <w:r w:rsidRPr="00CD1278">
              <w:rPr>
                <w:color w:val="auto"/>
                <w:sz w:val="12"/>
                <w:szCs w:val="12"/>
              </w:rPr>
              <w:t>14.107</w:t>
            </w:r>
          </w:p>
        </w:tc>
        <w:tc>
          <w:tcPr>
            <w:tcW w:w="567" w:type="dxa"/>
            <w:tcBorders>
              <w:top w:val="nil"/>
              <w:left w:val="nil"/>
              <w:bottom w:val="single" w:sz="8" w:space="0" w:color="auto"/>
              <w:right w:val="single" w:sz="8" w:space="0" w:color="auto"/>
            </w:tcBorders>
            <w:shd w:val="clear" w:color="auto" w:fill="auto"/>
            <w:noWrap/>
            <w:vAlign w:val="center"/>
          </w:tcPr>
          <w:p w14:paraId="3619B957" w14:textId="63B58C89" w:rsidR="004B0524" w:rsidRPr="00CD1278" w:rsidRDefault="004B0524" w:rsidP="007972CD">
            <w:pPr>
              <w:spacing w:after="60"/>
              <w:jc w:val="center"/>
              <w:rPr>
                <w:color w:val="auto"/>
                <w:sz w:val="12"/>
                <w:szCs w:val="12"/>
              </w:rPr>
            </w:pPr>
            <w:r w:rsidRPr="00CD1278">
              <w:rPr>
                <w:color w:val="auto"/>
                <w:sz w:val="12"/>
                <w:szCs w:val="12"/>
              </w:rPr>
              <w:t>11.020</w:t>
            </w:r>
          </w:p>
        </w:tc>
        <w:tc>
          <w:tcPr>
            <w:tcW w:w="567" w:type="dxa"/>
            <w:tcBorders>
              <w:top w:val="nil"/>
              <w:left w:val="nil"/>
              <w:bottom w:val="single" w:sz="8" w:space="0" w:color="auto"/>
              <w:right w:val="single" w:sz="8" w:space="0" w:color="auto"/>
            </w:tcBorders>
            <w:vAlign w:val="center"/>
          </w:tcPr>
          <w:p w14:paraId="13E80591" w14:textId="77777777" w:rsidR="004B0524" w:rsidRPr="00CD1278" w:rsidRDefault="004B0524" w:rsidP="007972CD">
            <w:pPr>
              <w:spacing w:after="60"/>
              <w:jc w:val="center"/>
              <w:rPr>
                <w:color w:val="auto"/>
                <w:sz w:val="12"/>
                <w:szCs w:val="12"/>
              </w:rPr>
            </w:pPr>
            <w:r w:rsidRPr="00CD1278">
              <w:rPr>
                <w:color w:val="auto"/>
                <w:sz w:val="12"/>
                <w:szCs w:val="12"/>
              </w:rPr>
              <w:t>5.044</w:t>
            </w:r>
          </w:p>
        </w:tc>
        <w:tc>
          <w:tcPr>
            <w:tcW w:w="567" w:type="dxa"/>
            <w:tcBorders>
              <w:top w:val="nil"/>
              <w:left w:val="nil"/>
              <w:bottom w:val="single" w:sz="8" w:space="0" w:color="auto"/>
              <w:right w:val="single" w:sz="8" w:space="0" w:color="auto"/>
            </w:tcBorders>
            <w:vAlign w:val="center"/>
          </w:tcPr>
          <w:p w14:paraId="472A3FAD" w14:textId="77777777" w:rsidR="004B0524" w:rsidRPr="00CD1278" w:rsidRDefault="004B0524" w:rsidP="007972CD">
            <w:pPr>
              <w:spacing w:after="60"/>
              <w:jc w:val="center"/>
              <w:rPr>
                <w:b/>
                <w:color w:val="auto"/>
                <w:sz w:val="12"/>
                <w:szCs w:val="12"/>
              </w:rPr>
            </w:pPr>
            <w:r w:rsidRPr="00CD1278">
              <w:rPr>
                <w:b/>
                <w:color w:val="auto"/>
                <w:sz w:val="12"/>
                <w:szCs w:val="12"/>
              </w:rPr>
              <w:t>5.044</w:t>
            </w:r>
          </w:p>
        </w:tc>
        <w:tc>
          <w:tcPr>
            <w:tcW w:w="567" w:type="dxa"/>
            <w:tcBorders>
              <w:top w:val="nil"/>
              <w:left w:val="nil"/>
              <w:bottom w:val="single" w:sz="8" w:space="0" w:color="auto"/>
              <w:right w:val="single" w:sz="8" w:space="0" w:color="auto"/>
            </w:tcBorders>
            <w:vAlign w:val="center"/>
          </w:tcPr>
          <w:p w14:paraId="3AD9ABEF" w14:textId="77777777" w:rsidR="004B0524" w:rsidRPr="00CD1278" w:rsidRDefault="004B0524" w:rsidP="007972CD">
            <w:pPr>
              <w:spacing w:after="60"/>
              <w:jc w:val="center"/>
              <w:rPr>
                <w:b/>
                <w:color w:val="auto"/>
                <w:sz w:val="12"/>
                <w:szCs w:val="12"/>
              </w:rPr>
            </w:pPr>
          </w:p>
        </w:tc>
        <w:tc>
          <w:tcPr>
            <w:tcW w:w="567" w:type="dxa"/>
            <w:tcBorders>
              <w:top w:val="nil"/>
              <w:left w:val="nil"/>
              <w:bottom w:val="single" w:sz="8" w:space="0" w:color="auto"/>
              <w:right w:val="single" w:sz="8" w:space="0" w:color="auto"/>
            </w:tcBorders>
            <w:vAlign w:val="center"/>
          </w:tcPr>
          <w:p w14:paraId="4BA5D2BB" w14:textId="77777777" w:rsidR="004B0524" w:rsidRPr="00CD1278" w:rsidRDefault="004B0524" w:rsidP="007972CD">
            <w:pPr>
              <w:spacing w:after="60"/>
              <w:jc w:val="center"/>
              <w:rPr>
                <w:b/>
                <w:color w:val="auto"/>
                <w:sz w:val="12"/>
                <w:szCs w:val="12"/>
              </w:rPr>
            </w:pPr>
          </w:p>
        </w:tc>
      </w:tr>
      <w:tr w:rsidR="003C102E" w:rsidRPr="00CD1278" w14:paraId="3CEC075C"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8007220" w14:textId="77777777" w:rsidR="004B0524" w:rsidRPr="00CD1278" w:rsidRDefault="004B0524" w:rsidP="00DE7A60">
            <w:pPr>
              <w:spacing w:after="60"/>
              <w:rPr>
                <w:color w:val="auto"/>
                <w:sz w:val="12"/>
                <w:szCs w:val="12"/>
              </w:rPr>
            </w:pPr>
            <w:r w:rsidRPr="00CD1278">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vAlign w:val="center"/>
          </w:tcPr>
          <w:p w14:paraId="1426E475" w14:textId="77777777" w:rsidR="004B0524" w:rsidRPr="00CD1278" w:rsidRDefault="004B0524" w:rsidP="007972CD">
            <w:pPr>
              <w:spacing w:after="60"/>
              <w:ind w:left="-83"/>
              <w:rPr>
                <w:color w:val="auto"/>
                <w:sz w:val="12"/>
                <w:szCs w:val="12"/>
              </w:rPr>
            </w:pPr>
            <w:r w:rsidRPr="00CD1278">
              <w:rPr>
                <w:color w:val="auto"/>
                <w:sz w:val="12"/>
                <w:szCs w:val="12"/>
              </w:rPr>
              <w:t>Pasta manufacturing facilities</w:t>
            </w:r>
          </w:p>
        </w:tc>
        <w:tc>
          <w:tcPr>
            <w:tcW w:w="567" w:type="dxa"/>
            <w:tcBorders>
              <w:top w:val="nil"/>
              <w:left w:val="nil"/>
              <w:bottom w:val="single" w:sz="8" w:space="0" w:color="auto"/>
              <w:right w:val="single" w:sz="8" w:space="0" w:color="auto"/>
            </w:tcBorders>
            <w:shd w:val="clear" w:color="auto" w:fill="auto"/>
            <w:vAlign w:val="center"/>
          </w:tcPr>
          <w:p w14:paraId="33172423" w14:textId="77777777" w:rsidR="004B0524" w:rsidRPr="00CD1278" w:rsidRDefault="004B0524" w:rsidP="007972CD">
            <w:pPr>
              <w:spacing w:after="60"/>
              <w:jc w:val="center"/>
              <w:rPr>
                <w:color w:val="auto"/>
                <w:sz w:val="12"/>
                <w:szCs w:val="12"/>
              </w:rPr>
            </w:pPr>
            <w:r w:rsidRPr="00CD1278">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19D21F12" w14:textId="77777777" w:rsidR="004B0524" w:rsidRPr="00CD1278" w:rsidRDefault="004B0524" w:rsidP="007972CD">
            <w:pPr>
              <w:spacing w:after="60"/>
              <w:jc w:val="center"/>
              <w:rPr>
                <w:color w:val="auto"/>
                <w:sz w:val="12"/>
                <w:szCs w:val="12"/>
              </w:rPr>
            </w:pPr>
            <w:r w:rsidRPr="00CD1278">
              <w:rPr>
                <w:color w:val="auto"/>
                <w:sz w:val="12"/>
                <w:szCs w:val="12"/>
              </w:rPr>
              <w:t>10.457</w:t>
            </w:r>
          </w:p>
        </w:tc>
        <w:tc>
          <w:tcPr>
            <w:tcW w:w="567" w:type="dxa"/>
            <w:tcBorders>
              <w:top w:val="nil"/>
              <w:left w:val="nil"/>
              <w:bottom w:val="single" w:sz="8" w:space="0" w:color="auto"/>
              <w:right w:val="single" w:sz="8" w:space="0" w:color="auto"/>
            </w:tcBorders>
            <w:shd w:val="clear" w:color="auto" w:fill="auto"/>
            <w:vAlign w:val="center"/>
          </w:tcPr>
          <w:p w14:paraId="2CFEAC8A" w14:textId="77777777" w:rsidR="004B0524" w:rsidRPr="00CD1278" w:rsidRDefault="004B0524" w:rsidP="007972CD">
            <w:pPr>
              <w:spacing w:after="60"/>
              <w:jc w:val="center"/>
              <w:rPr>
                <w:color w:val="auto"/>
                <w:sz w:val="12"/>
                <w:szCs w:val="12"/>
              </w:rPr>
            </w:pPr>
            <w:r w:rsidRPr="00CD1278">
              <w:rPr>
                <w:color w:val="auto"/>
                <w:sz w:val="12"/>
                <w:szCs w:val="12"/>
              </w:rPr>
              <w:t>6.757</w:t>
            </w:r>
          </w:p>
        </w:tc>
        <w:tc>
          <w:tcPr>
            <w:tcW w:w="567" w:type="dxa"/>
            <w:tcBorders>
              <w:top w:val="nil"/>
              <w:left w:val="nil"/>
              <w:bottom w:val="single" w:sz="8" w:space="0" w:color="auto"/>
              <w:right w:val="single" w:sz="8" w:space="0" w:color="auto"/>
            </w:tcBorders>
            <w:shd w:val="clear" w:color="auto" w:fill="auto"/>
            <w:vAlign w:val="center"/>
          </w:tcPr>
          <w:p w14:paraId="412DEA0C" w14:textId="77777777" w:rsidR="004B0524" w:rsidRPr="00CD1278" w:rsidRDefault="004B0524" w:rsidP="007972CD">
            <w:pPr>
              <w:spacing w:after="60"/>
              <w:jc w:val="center"/>
              <w:rPr>
                <w:color w:val="auto"/>
                <w:sz w:val="12"/>
                <w:szCs w:val="12"/>
              </w:rPr>
            </w:pPr>
            <w:r w:rsidRPr="00CD1278">
              <w:rPr>
                <w:color w:val="auto"/>
                <w:sz w:val="12"/>
                <w:szCs w:val="12"/>
              </w:rPr>
              <w:t>6.067</w:t>
            </w:r>
          </w:p>
        </w:tc>
        <w:tc>
          <w:tcPr>
            <w:tcW w:w="567" w:type="dxa"/>
            <w:tcBorders>
              <w:top w:val="nil"/>
              <w:left w:val="nil"/>
              <w:bottom w:val="single" w:sz="8" w:space="0" w:color="auto"/>
              <w:right w:val="single" w:sz="8" w:space="0" w:color="auto"/>
            </w:tcBorders>
            <w:shd w:val="clear" w:color="auto" w:fill="auto"/>
            <w:vAlign w:val="center"/>
          </w:tcPr>
          <w:p w14:paraId="1978A5E1" w14:textId="77777777" w:rsidR="004B0524" w:rsidRPr="00CD1278" w:rsidRDefault="004B0524" w:rsidP="007972CD">
            <w:pPr>
              <w:spacing w:after="60"/>
              <w:jc w:val="center"/>
              <w:rPr>
                <w:color w:val="auto"/>
                <w:sz w:val="12"/>
                <w:szCs w:val="12"/>
              </w:rPr>
            </w:pPr>
            <w:r w:rsidRPr="00CD1278">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44806235" w14:textId="77777777" w:rsidR="004B0524" w:rsidRPr="00CD1278" w:rsidRDefault="004B0524" w:rsidP="007972CD">
            <w:pPr>
              <w:spacing w:after="60"/>
              <w:jc w:val="center"/>
              <w:rPr>
                <w:color w:val="auto"/>
                <w:sz w:val="12"/>
                <w:szCs w:val="12"/>
              </w:rPr>
            </w:pPr>
            <w:r w:rsidRPr="00CD1278">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0C44714F" w14:textId="77777777" w:rsidR="004B0524" w:rsidRPr="00CD1278" w:rsidRDefault="004B0524" w:rsidP="007972CD">
            <w:pPr>
              <w:spacing w:after="60"/>
              <w:jc w:val="center"/>
              <w:rPr>
                <w:color w:val="auto"/>
                <w:sz w:val="12"/>
                <w:szCs w:val="12"/>
              </w:rPr>
            </w:pPr>
            <w:r w:rsidRPr="00CD1278">
              <w:rPr>
                <w:color w:val="auto"/>
                <w:sz w:val="12"/>
                <w:szCs w:val="12"/>
              </w:rPr>
              <w:t>2.084</w:t>
            </w:r>
          </w:p>
        </w:tc>
        <w:tc>
          <w:tcPr>
            <w:tcW w:w="567" w:type="dxa"/>
            <w:tcBorders>
              <w:top w:val="nil"/>
              <w:left w:val="nil"/>
              <w:bottom w:val="single" w:sz="8" w:space="0" w:color="auto"/>
              <w:right w:val="single" w:sz="8" w:space="0" w:color="auto"/>
            </w:tcBorders>
            <w:shd w:val="clear" w:color="auto" w:fill="auto"/>
            <w:vAlign w:val="center"/>
          </w:tcPr>
          <w:p w14:paraId="38BBA650" w14:textId="46DD5EC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E810E6" w14:textId="358AC20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EDD0620"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040A070"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A57C5F9"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452C0C3" w14:textId="77777777" w:rsidR="004B0524" w:rsidRPr="00CD1278" w:rsidRDefault="004B0524" w:rsidP="007972CD">
            <w:pPr>
              <w:spacing w:after="60"/>
              <w:jc w:val="center"/>
              <w:rPr>
                <w:color w:val="auto"/>
                <w:sz w:val="12"/>
                <w:szCs w:val="12"/>
              </w:rPr>
            </w:pPr>
            <w:r w:rsidRPr="00CD1278">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25B9FAD8" w14:textId="77777777" w:rsidR="004B0524" w:rsidRPr="00CD1278" w:rsidRDefault="004B0524" w:rsidP="007972CD">
            <w:pPr>
              <w:spacing w:after="60"/>
              <w:jc w:val="center"/>
              <w:rPr>
                <w:color w:val="auto"/>
                <w:sz w:val="12"/>
                <w:szCs w:val="12"/>
              </w:rPr>
            </w:pPr>
            <w:r w:rsidRPr="00CD1278">
              <w:rPr>
                <w:color w:val="auto"/>
                <w:sz w:val="12"/>
                <w:szCs w:val="12"/>
              </w:rPr>
              <w:t>10.457</w:t>
            </w:r>
          </w:p>
        </w:tc>
        <w:tc>
          <w:tcPr>
            <w:tcW w:w="567" w:type="dxa"/>
            <w:tcBorders>
              <w:top w:val="nil"/>
              <w:left w:val="nil"/>
              <w:bottom w:val="single" w:sz="8" w:space="0" w:color="auto"/>
              <w:right w:val="single" w:sz="8" w:space="0" w:color="auto"/>
            </w:tcBorders>
            <w:shd w:val="clear" w:color="auto" w:fill="auto"/>
            <w:vAlign w:val="center"/>
          </w:tcPr>
          <w:p w14:paraId="6AD8E9A3" w14:textId="77777777" w:rsidR="004B0524" w:rsidRPr="00CD1278" w:rsidRDefault="004B0524" w:rsidP="007972CD">
            <w:pPr>
              <w:spacing w:after="60"/>
              <w:jc w:val="center"/>
              <w:rPr>
                <w:color w:val="auto"/>
                <w:sz w:val="12"/>
                <w:szCs w:val="12"/>
              </w:rPr>
            </w:pPr>
            <w:r w:rsidRPr="00CD1278">
              <w:rPr>
                <w:color w:val="auto"/>
                <w:sz w:val="12"/>
                <w:szCs w:val="12"/>
              </w:rPr>
              <w:t>6.757</w:t>
            </w:r>
          </w:p>
        </w:tc>
        <w:tc>
          <w:tcPr>
            <w:tcW w:w="567" w:type="dxa"/>
            <w:tcBorders>
              <w:top w:val="nil"/>
              <w:left w:val="nil"/>
              <w:bottom w:val="single" w:sz="8" w:space="0" w:color="auto"/>
              <w:right w:val="single" w:sz="8" w:space="0" w:color="auto"/>
            </w:tcBorders>
            <w:shd w:val="clear" w:color="auto" w:fill="auto"/>
            <w:vAlign w:val="center"/>
          </w:tcPr>
          <w:p w14:paraId="1E8802C2" w14:textId="77777777" w:rsidR="004B0524" w:rsidRPr="00CD1278" w:rsidRDefault="004B0524" w:rsidP="007972CD">
            <w:pPr>
              <w:spacing w:after="60"/>
              <w:jc w:val="center"/>
              <w:rPr>
                <w:color w:val="auto"/>
                <w:sz w:val="12"/>
                <w:szCs w:val="12"/>
              </w:rPr>
            </w:pPr>
            <w:r w:rsidRPr="00CD1278">
              <w:rPr>
                <w:color w:val="auto"/>
                <w:sz w:val="12"/>
                <w:szCs w:val="12"/>
              </w:rPr>
              <w:t>6.067</w:t>
            </w:r>
          </w:p>
        </w:tc>
        <w:tc>
          <w:tcPr>
            <w:tcW w:w="567" w:type="dxa"/>
            <w:tcBorders>
              <w:top w:val="nil"/>
              <w:left w:val="nil"/>
              <w:bottom w:val="single" w:sz="8" w:space="0" w:color="auto"/>
              <w:right w:val="single" w:sz="8" w:space="0" w:color="auto"/>
            </w:tcBorders>
            <w:shd w:val="clear" w:color="auto" w:fill="auto"/>
            <w:vAlign w:val="center"/>
          </w:tcPr>
          <w:p w14:paraId="62DE9FB8" w14:textId="77777777" w:rsidR="004B0524" w:rsidRPr="00CD1278" w:rsidRDefault="004B0524" w:rsidP="007972CD">
            <w:pPr>
              <w:spacing w:after="60"/>
              <w:jc w:val="center"/>
              <w:rPr>
                <w:color w:val="auto"/>
                <w:sz w:val="12"/>
                <w:szCs w:val="12"/>
              </w:rPr>
            </w:pPr>
            <w:r w:rsidRPr="00CD1278">
              <w:rPr>
                <w:color w:val="auto"/>
                <w:sz w:val="12"/>
                <w:szCs w:val="12"/>
              </w:rPr>
              <w:t>4.740</w:t>
            </w:r>
          </w:p>
        </w:tc>
        <w:tc>
          <w:tcPr>
            <w:tcW w:w="567" w:type="dxa"/>
            <w:tcBorders>
              <w:top w:val="nil"/>
              <w:left w:val="nil"/>
              <w:bottom w:val="single" w:sz="8" w:space="0" w:color="auto"/>
              <w:right w:val="single" w:sz="8" w:space="0" w:color="auto"/>
            </w:tcBorders>
            <w:shd w:val="clear" w:color="auto" w:fill="auto"/>
            <w:vAlign w:val="center"/>
          </w:tcPr>
          <w:p w14:paraId="11A24E7B" w14:textId="77777777" w:rsidR="004B0524" w:rsidRPr="00CD1278" w:rsidRDefault="004B0524" w:rsidP="007972CD">
            <w:pPr>
              <w:spacing w:after="60"/>
              <w:jc w:val="center"/>
              <w:rPr>
                <w:color w:val="auto"/>
                <w:sz w:val="12"/>
                <w:szCs w:val="12"/>
              </w:rPr>
            </w:pPr>
            <w:r w:rsidRPr="00CD1278">
              <w:rPr>
                <w:color w:val="auto"/>
                <w:sz w:val="12"/>
                <w:szCs w:val="12"/>
              </w:rPr>
              <w:t>3.529</w:t>
            </w:r>
          </w:p>
        </w:tc>
        <w:tc>
          <w:tcPr>
            <w:tcW w:w="567" w:type="dxa"/>
            <w:tcBorders>
              <w:top w:val="nil"/>
              <w:left w:val="nil"/>
              <w:bottom w:val="single" w:sz="8" w:space="0" w:color="auto"/>
              <w:right w:val="single" w:sz="8" w:space="0" w:color="auto"/>
            </w:tcBorders>
            <w:shd w:val="clear" w:color="auto" w:fill="auto"/>
            <w:vAlign w:val="center"/>
          </w:tcPr>
          <w:p w14:paraId="1AA98919" w14:textId="274355E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4FD3156" w14:textId="5D44197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05AA55B"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0866A4E"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A8E86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DE9C9B5" w14:textId="77777777" w:rsidR="004B0524" w:rsidRPr="00CD1278" w:rsidRDefault="004B0524" w:rsidP="007972CD">
            <w:pPr>
              <w:spacing w:after="60"/>
              <w:jc w:val="center"/>
              <w:rPr>
                <w:color w:val="auto"/>
                <w:sz w:val="12"/>
                <w:szCs w:val="12"/>
              </w:rPr>
            </w:pPr>
          </w:p>
        </w:tc>
      </w:tr>
      <w:tr w:rsidR="003C102E" w:rsidRPr="00CD1278" w14:paraId="0E5F3296"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5E32FC2" w14:textId="77777777" w:rsidR="004B0524" w:rsidRPr="00CD1278" w:rsidRDefault="004B0524" w:rsidP="00DE7A60">
            <w:pPr>
              <w:spacing w:after="60"/>
              <w:rPr>
                <w:color w:val="auto"/>
                <w:sz w:val="12"/>
                <w:szCs w:val="12"/>
              </w:rPr>
            </w:pPr>
            <w:r w:rsidRPr="00CD1278">
              <w:rPr>
                <w:color w:val="auto"/>
                <w:sz w:val="12"/>
                <w:szCs w:val="12"/>
              </w:rPr>
              <w:t xml:space="preserve">Canada </w:t>
            </w:r>
          </w:p>
        </w:tc>
        <w:tc>
          <w:tcPr>
            <w:tcW w:w="818" w:type="dxa"/>
            <w:tcBorders>
              <w:top w:val="nil"/>
              <w:left w:val="nil"/>
              <w:bottom w:val="single" w:sz="8" w:space="0" w:color="auto"/>
              <w:right w:val="single" w:sz="8" w:space="0" w:color="auto"/>
            </w:tcBorders>
            <w:shd w:val="clear" w:color="auto" w:fill="auto"/>
            <w:vAlign w:val="center"/>
          </w:tcPr>
          <w:p w14:paraId="37AC0F6D" w14:textId="77777777" w:rsidR="004B0524" w:rsidRPr="00CD1278" w:rsidRDefault="004B0524" w:rsidP="007972CD">
            <w:pPr>
              <w:spacing w:after="60"/>
              <w:ind w:left="-83"/>
              <w:rPr>
                <w:color w:val="auto"/>
                <w:sz w:val="12"/>
                <w:szCs w:val="12"/>
              </w:rPr>
            </w:pPr>
            <w:r w:rsidRPr="00CD1278">
              <w:rPr>
                <w:color w:val="auto"/>
                <w:sz w:val="12"/>
                <w:szCs w:val="12"/>
              </w:rPr>
              <w:t>Commodities</w:t>
            </w:r>
          </w:p>
        </w:tc>
        <w:tc>
          <w:tcPr>
            <w:tcW w:w="567" w:type="dxa"/>
            <w:tcBorders>
              <w:top w:val="nil"/>
              <w:left w:val="nil"/>
              <w:bottom w:val="single" w:sz="8" w:space="0" w:color="auto"/>
              <w:right w:val="single" w:sz="8" w:space="0" w:color="auto"/>
            </w:tcBorders>
            <w:shd w:val="clear" w:color="auto" w:fill="auto"/>
            <w:vAlign w:val="center"/>
          </w:tcPr>
          <w:p w14:paraId="5ED89C4A" w14:textId="18920F8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6F0BEF7" w14:textId="366A55F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DADBC7" w14:textId="287150E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2E372A" w14:textId="1E399C2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06FFE1" w14:textId="77777777" w:rsidR="004B0524" w:rsidRPr="00CD1278" w:rsidRDefault="004B0524" w:rsidP="007972CD">
            <w:pPr>
              <w:spacing w:after="60"/>
              <w:jc w:val="center"/>
              <w:rPr>
                <w:color w:val="auto"/>
                <w:sz w:val="12"/>
                <w:szCs w:val="12"/>
              </w:rPr>
            </w:pPr>
            <w:r w:rsidRPr="00CD1278">
              <w:rPr>
                <w:color w:val="auto"/>
                <w:sz w:val="12"/>
                <w:szCs w:val="12"/>
              </w:rPr>
              <w:t>0.068</w:t>
            </w:r>
          </w:p>
        </w:tc>
        <w:tc>
          <w:tcPr>
            <w:tcW w:w="567" w:type="dxa"/>
            <w:tcBorders>
              <w:top w:val="nil"/>
              <w:left w:val="nil"/>
              <w:bottom w:val="single" w:sz="8" w:space="0" w:color="auto"/>
              <w:right w:val="single" w:sz="8" w:space="0" w:color="auto"/>
            </w:tcBorders>
            <w:shd w:val="clear" w:color="auto" w:fill="auto"/>
            <w:vAlign w:val="center"/>
          </w:tcPr>
          <w:p w14:paraId="6A93285D" w14:textId="2327CBF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806F86" w14:textId="48C8E07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C432533" w14:textId="5D57A98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F6CDDF" w14:textId="0710067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544D4A1"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C9DFE8D"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43B4DCC"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2247E80" w14:textId="0CD4322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15C3D9" w14:textId="4395143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074363" w14:textId="4934E96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B0E17D" w14:textId="0DEAFE7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C75EEA" w14:textId="0B300FB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90FD10" w14:textId="4DD7B11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4948A5" w14:textId="66B11EA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274C91E" w14:textId="33F3184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554624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14C4571"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610EA99"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204D4AA" w14:textId="77777777" w:rsidR="004B0524" w:rsidRPr="00CD1278" w:rsidRDefault="004B0524" w:rsidP="007972CD">
            <w:pPr>
              <w:spacing w:after="60"/>
              <w:jc w:val="center"/>
              <w:rPr>
                <w:color w:val="auto"/>
                <w:sz w:val="12"/>
                <w:szCs w:val="12"/>
              </w:rPr>
            </w:pPr>
          </w:p>
        </w:tc>
      </w:tr>
      <w:tr w:rsidR="003C102E" w:rsidRPr="00CD1278" w14:paraId="03E17A9B" w14:textId="77777777" w:rsidTr="00DE7A60">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5245A24" w14:textId="77777777" w:rsidR="004B0524" w:rsidRPr="00CD1278" w:rsidRDefault="004B0524" w:rsidP="00DE7A60">
            <w:pPr>
              <w:spacing w:after="60"/>
              <w:rPr>
                <w:color w:val="auto"/>
                <w:sz w:val="12"/>
                <w:szCs w:val="12"/>
              </w:rPr>
            </w:pPr>
            <w:r w:rsidRPr="00CD1278">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vAlign w:val="center"/>
          </w:tcPr>
          <w:p w14:paraId="0EA30A05" w14:textId="77777777" w:rsidR="004B0524" w:rsidRPr="00CD1278" w:rsidRDefault="004B0524" w:rsidP="007972CD">
            <w:pPr>
              <w:spacing w:after="60"/>
              <w:ind w:left="-83"/>
              <w:rPr>
                <w:color w:val="auto"/>
                <w:sz w:val="12"/>
                <w:szCs w:val="12"/>
              </w:rPr>
            </w:pPr>
            <w:r w:rsidRPr="00CD1278">
              <w:rPr>
                <w:color w:val="auto"/>
                <w:sz w:val="12"/>
                <w:szCs w:val="12"/>
              </w:rPr>
              <w:t>Seeds sold by PLAN-SPG company</w:t>
            </w:r>
          </w:p>
        </w:tc>
        <w:tc>
          <w:tcPr>
            <w:tcW w:w="567" w:type="dxa"/>
            <w:tcBorders>
              <w:top w:val="nil"/>
              <w:left w:val="nil"/>
              <w:bottom w:val="single" w:sz="8" w:space="0" w:color="auto"/>
              <w:right w:val="single" w:sz="8" w:space="0" w:color="auto"/>
            </w:tcBorders>
            <w:shd w:val="clear" w:color="auto" w:fill="auto"/>
            <w:vAlign w:val="center"/>
          </w:tcPr>
          <w:p w14:paraId="1FC42DDF" w14:textId="77777777" w:rsidR="004B0524" w:rsidRPr="00CD1278" w:rsidRDefault="004B0524" w:rsidP="007972CD">
            <w:pPr>
              <w:spacing w:after="60"/>
              <w:jc w:val="center"/>
              <w:rPr>
                <w:color w:val="auto"/>
                <w:sz w:val="12"/>
                <w:szCs w:val="12"/>
              </w:rPr>
            </w:pPr>
            <w:r w:rsidRPr="00CD1278">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44208580" w14:textId="77777777" w:rsidR="004B0524" w:rsidRPr="00CD1278" w:rsidRDefault="004B0524" w:rsidP="007972CD">
            <w:pPr>
              <w:spacing w:after="60"/>
              <w:jc w:val="center"/>
              <w:rPr>
                <w:color w:val="auto"/>
                <w:sz w:val="12"/>
                <w:szCs w:val="12"/>
              </w:rPr>
            </w:pPr>
            <w:r w:rsidRPr="00CD1278">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2EAE4FE6" w14:textId="77777777" w:rsidR="004B0524" w:rsidRPr="00CD1278" w:rsidRDefault="004B0524" w:rsidP="007972CD">
            <w:pPr>
              <w:spacing w:after="60"/>
              <w:jc w:val="center"/>
              <w:rPr>
                <w:color w:val="auto"/>
                <w:sz w:val="12"/>
                <w:szCs w:val="12"/>
              </w:rPr>
            </w:pPr>
            <w:r w:rsidRPr="00CD1278">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703C0092" w14:textId="0FF773E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EECEF5" w14:textId="23260E0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8678D4" w14:textId="05F5FE3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DD61F1B" w14:textId="4926304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740A3A" w14:textId="5916619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B92E7C" w14:textId="4AAAC33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B39159A"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7FE8485"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A2EB86A"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D6562AB" w14:textId="77777777" w:rsidR="004B0524" w:rsidRPr="00CD1278" w:rsidRDefault="004B0524" w:rsidP="007972CD">
            <w:pPr>
              <w:spacing w:after="60"/>
              <w:jc w:val="center"/>
              <w:rPr>
                <w:color w:val="auto"/>
                <w:sz w:val="12"/>
                <w:szCs w:val="12"/>
              </w:rPr>
            </w:pPr>
            <w:r w:rsidRPr="00CD1278">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758721BE" w14:textId="77777777" w:rsidR="004B0524" w:rsidRPr="00CD1278" w:rsidRDefault="004B0524" w:rsidP="007972CD">
            <w:pPr>
              <w:spacing w:after="60"/>
              <w:jc w:val="center"/>
              <w:rPr>
                <w:color w:val="auto"/>
                <w:sz w:val="12"/>
                <w:szCs w:val="12"/>
              </w:rPr>
            </w:pPr>
            <w:r w:rsidRPr="00CD1278">
              <w:rPr>
                <w:color w:val="auto"/>
                <w:sz w:val="12"/>
                <w:szCs w:val="12"/>
              </w:rPr>
              <w:t>0.135</w:t>
            </w:r>
          </w:p>
        </w:tc>
        <w:tc>
          <w:tcPr>
            <w:tcW w:w="567" w:type="dxa"/>
            <w:tcBorders>
              <w:top w:val="nil"/>
              <w:left w:val="nil"/>
              <w:bottom w:val="single" w:sz="8" w:space="0" w:color="auto"/>
              <w:right w:val="single" w:sz="8" w:space="0" w:color="auto"/>
            </w:tcBorders>
            <w:shd w:val="clear" w:color="auto" w:fill="auto"/>
            <w:vAlign w:val="center"/>
          </w:tcPr>
          <w:p w14:paraId="5C267E3E" w14:textId="77777777" w:rsidR="004B0524" w:rsidRPr="00CD1278" w:rsidRDefault="004B0524" w:rsidP="007972CD">
            <w:pPr>
              <w:spacing w:after="60"/>
              <w:jc w:val="center"/>
              <w:rPr>
                <w:color w:val="auto"/>
                <w:sz w:val="12"/>
                <w:szCs w:val="12"/>
              </w:rPr>
            </w:pPr>
            <w:r w:rsidRPr="00CD1278">
              <w:rPr>
                <w:color w:val="auto"/>
                <w:sz w:val="12"/>
                <w:szCs w:val="12"/>
              </w:rPr>
              <w:t>0.096</w:t>
            </w:r>
          </w:p>
        </w:tc>
        <w:tc>
          <w:tcPr>
            <w:tcW w:w="567" w:type="dxa"/>
            <w:tcBorders>
              <w:top w:val="nil"/>
              <w:left w:val="nil"/>
              <w:bottom w:val="single" w:sz="8" w:space="0" w:color="auto"/>
              <w:right w:val="single" w:sz="8" w:space="0" w:color="auto"/>
            </w:tcBorders>
            <w:shd w:val="clear" w:color="auto" w:fill="auto"/>
            <w:vAlign w:val="center"/>
          </w:tcPr>
          <w:p w14:paraId="4BC5F30E" w14:textId="1410A56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0A3476" w14:textId="5DA6E4C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68B3437" w14:textId="66A4214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5ECEEF" w14:textId="419E73D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135A66D" w14:textId="76CEFC6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23E8A5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44D6D1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95FDF0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DFB11A9" w14:textId="77777777" w:rsidR="004B0524" w:rsidRPr="00CD1278" w:rsidRDefault="004B0524" w:rsidP="007972CD">
            <w:pPr>
              <w:spacing w:after="60"/>
              <w:jc w:val="center"/>
              <w:rPr>
                <w:color w:val="auto"/>
                <w:sz w:val="12"/>
                <w:szCs w:val="12"/>
              </w:rPr>
            </w:pPr>
          </w:p>
        </w:tc>
      </w:tr>
      <w:tr w:rsidR="003C102E" w:rsidRPr="00CD1278" w14:paraId="65CEAA47"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C294999" w14:textId="77777777" w:rsidR="004B0524" w:rsidRPr="00CD1278" w:rsidRDefault="004B0524" w:rsidP="00DE7A60">
            <w:pPr>
              <w:spacing w:after="60"/>
              <w:rPr>
                <w:color w:val="auto"/>
                <w:sz w:val="12"/>
                <w:szCs w:val="12"/>
              </w:rPr>
            </w:pPr>
            <w:r w:rsidRPr="00CD1278">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vAlign w:val="center"/>
          </w:tcPr>
          <w:p w14:paraId="56F962C0" w14:textId="77777777" w:rsidR="004B0524" w:rsidRPr="00CD1278" w:rsidRDefault="004B0524" w:rsidP="007972CD">
            <w:pPr>
              <w:spacing w:after="60"/>
              <w:ind w:left="-83"/>
              <w:rPr>
                <w:color w:val="auto"/>
                <w:sz w:val="12"/>
                <w:szCs w:val="12"/>
              </w:rPr>
            </w:pPr>
            <w:r w:rsidRPr="00CD1278">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384E3671" w14:textId="77777777" w:rsidR="004B0524" w:rsidRPr="00CD1278" w:rsidRDefault="004B0524" w:rsidP="007972CD">
            <w:pPr>
              <w:spacing w:after="60"/>
              <w:jc w:val="center"/>
              <w:rPr>
                <w:color w:val="auto"/>
                <w:sz w:val="12"/>
                <w:szCs w:val="12"/>
              </w:rPr>
            </w:pPr>
            <w:r w:rsidRPr="00CD1278">
              <w:rPr>
                <w:color w:val="auto"/>
                <w:sz w:val="12"/>
                <w:szCs w:val="12"/>
              </w:rPr>
              <w:t>55.000</w:t>
            </w:r>
          </w:p>
        </w:tc>
        <w:tc>
          <w:tcPr>
            <w:tcW w:w="567" w:type="dxa"/>
            <w:tcBorders>
              <w:top w:val="nil"/>
              <w:left w:val="nil"/>
              <w:bottom w:val="single" w:sz="8" w:space="0" w:color="auto"/>
              <w:right w:val="single" w:sz="8" w:space="0" w:color="auto"/>
            </w:tcBorders>
            <w:shd w:val="clear" w:color="auto" w:fill="auto"/>
            <w:vAlign w:val="center"/>
          </w:tcPr>
          <w:p w14:paraId="2B8B6CF6" w14:textId="77777777" w:rsidR="004B0524" w:rsidRPr="00CD1278" w:rsidRDefault="004B0524" w:rsidP="007972CD">
            <w:pPr>
              <w:spacing w:after="60"/>
              <w:jc w:val="center"/>
              <w:rPr>
                <w:color w:val="auto"/>
                <w:sz w:val="12"/>
                <w:szCs w:val="12"/>
              </w:rPr>
            </w:pPr>
            <w:r w:rsidRPr="00CD1278">
              <w:rPr>
                <w:color w:val="auto"/>
                <w:sz w:val="12"/>
                <w:szCs w:val="12"/>
              </w:rPr>
              <w:t>40.000</w:t>
            </w:r>
          </w:p>
        </w:tc>
        <w:tc>
          <w:tcPr>
            <w:tcW w:w="567" w:type="dxa"/>
            <w:tcBorders>
              <w:top w:val="nil"/>
              <w:left w:val="nil"/>
              <w:bottom w:val="single" w:sz="8" w:space="0" w:color="auto"/>
              <w:right w:val="single" w:sz="8" w:space="0" w:color="auto"/>
            </w:tcBorders>
            <w:shd w:val="clear" w:color="auto" w:fill="auto"/>
            <w:vAlign w:val="center"/>
          </w:tcPr>
          <w:p w14:paraId="1EDFE007" w14:textId="77777777" w:rsidR="004B0524" w:rsidRPr="00CD1278" w:rsidRDefault="004B0524" w:rsidP="007972CD">
            <w:pPr>
              <w:spacing w:after="60"/>
              <w:jc w:val="center"/>
              <w:rPr>
                <w:color w:val="auto"/>
                <w:sz w:val="12"/>
                <w:szCs w:val="12"/>
              </w:rPr>
            </w:pPr>
            <w:r w:rsidRPr="00CD1278">
              <w:rPr>
                <w:color w:val="auto"/>
                <w:sz w:val="12"/>
                <w:szCs w:val="12"/>
              </w:rPr>
              <w:t>8.000</w:t>
            </w:r>
          </w:p>
        </w:tc>
        <w:tc>
          <w:tcPr>
            <w:tcW w:w="567" w:type="dxa"/>
            <w:tcBorders>
              <w:top w:val="nil"/>
              <w:left w:val="nil"/>
              <w:bottom w:val="single" w:sz="8" w:space="0" w:color="auto"/>
              <w:right w:val="single" w:sz="8" w:space="0" w:color="auto"/>
            </w:tcBorders>
            <w:shd w:val="clear" w:color="auto" w:fill="auto"/>
            <w:vAlign w:val="center"/>
          </w:tcPr>
          <w:p w14:paraId="0DA22B09" w14:textId="7DB5306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59BE7B" w14:textId="2B0F333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ED2FBB" w14:textId="012D982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4CD181" w14:textId="4D34019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0E2106" w14:textId="5F2CDDE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15B0E2" w14:textId="574913F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62F8F71"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99EA483"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61A13DA"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1785901" w14:textId="77777777" w:rsidR="004B0524" w:rsidRPr="00CD1278" w:rsidRDefault="004B0524" w:rsidP="007972CD">
            <w:pPr>
              <w:spacing w:after="60"/>
              <w:jc w:val="center"/>
              <w:rPr>
                <w:color w:val="auto"/>
                <w:sz w:val="12"/>
                <w:szCs w:val="12"/>
              </w:rPr>
            </w:pPr>
            <w:r w:rsidRPr="00CD1278">
              <w:rPr>
                <w:color w:val="auto"/>
                <w:sz w:val="12"/>
                <w:szCs w:val="12"/>
              </w:rPr>
              <w:t>40.000</w:t>
            </w:r>
          </w:p>
        </w:tc>
        <w:tc>
          <w:tcPr>
            <w:tcW w:w="567" w:type="dxa"/>
            <w:tcBorders>
              <w:top w:val="nil"/>
              <w:left w:val="nil"/>
              <w:bottom w:val="single" w:sz="8" w:space="0" w:color="auto"/>
              <w:right w:val="single" w:sz="8" w:space="0" w:color="auto"/>
            </w:tcBorders>
            <w:shd w:val="clear" w:color="auto" w:fill="auto"/>
            <w:vAlign w:val="center"/>
          </w:tcPr>
          <w:p w14:paraId="70FB47CA" w14:textId="77777777" w:rsidR="004B0524" w:rsidRPr="00CD1278" w:rsidRDefault="004B0524" w:rsidP="007972CD">
            <w:pPr>
              <w:spacing w:after="60"/>
              <w:jc w:val="center"/>
              <w:rPr>
                <w:color w:val="auto"/>
                <w:sz w:val="12"/>
                <w:szCs w:val="12"/>
              </w:rPr>
            </w:pPr>
            <w:r w:rsidRPr="00CD1278">
              <w:rPr>
                <w:color w:val="auto"/>
                <w:sz w:val="12"/>
                <w:szCs w:val="12"/>
              </w:rPr>
              <w:t>35.000</w:t>
            </w:r>
          </w:p>
        </w:tc>
        <w:tc>
          <w:tcPr>
            <w:tcW w:w="567" w:type="dxa"/>
            <w:tcBorders>
              <w:top w:val="nil"/>
              <w:left w:val="nil"/>
              <w:bottom w:val="single" w:sz="8" w:space="0" w:color="auto"/>
              <w:right w:val="single" w:sz="8" w:space="0" w:color="auto"/>
            </w:tcBorders>
            <w:shd w:val="clear" w:color="auto" w:fill="auto"/>
            <w:vAlign w:val="center"/>
          </w:tcPr>
          <w:p w14:paraId="72FDF4B6" w14:textId="77777777" w:rsidR="004B0524" w:rsidRPr="00CD1278" w:rsidRDefault="004B0524" w:rsidP="007972CD">
            <w:pPr>
              <w:spacing w:after="60"/>
              <w:jc w:val="center"/>
              <w:rPr>
                <w:color w:val="auto"/>
                <w:sz w:val="12"/>
                <w:szCs w:val="12"/>
              </w:rPr>
            </w:pPr>
            <w:r w:rsidRPr="00CD1278">
              <w:rPr>
                <w:color w:val="auto"/>
                <w:sz w:val="12"/>
                <w:szCs w:val="12"/>
              </w:rPr>
              <w:t>8.000</w:t>
            </w:r>
          </w:p>
        </w:tc>
        <w:tc>
          <w:tcPr>
            <w:tcW w:w="567" w:type="dxa"/>
            <w:tcBorders>
              <w:top w:val="nil"/>
              <w:left w:val="nil"/>
              <w:bottom w:val="single" w:sz="8" w:space="0" w:color="auto"/>
              <w:right w:val="single" w:sz="8" w:space="0" w:color="auto"/>
            </w:tcBorders>
            <w:shd w:val="clear" w:color="auto" w:fill="auto"/>
            <w:vAlign w:val="center"/>
          </w:tcPr>
          <w:p w14:paraId="13A1CC5A" w14:textId="29900E6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295144" w14:textId="1684475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91F7CDC" w14:textId="6BB11BC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805F7FC" w14:textId="0484BA2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8076640" w14:textId="72E7326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EEA67B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1998F61"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B1E4331"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304AF88" w14:textId="77777777" w:rsidR="004B0524" w:rsidRPr="00CD1278" w:rsidRDefault="004B0524" w:rsidP="007972CD">
            <w:pPr>
              <w:spacing w:after="60"/>
              <w:jc w:val="center"/>
              <w:rPr>
                <w:color w:val="auto"/>
                <w:sz w:val="12"/>
                <w:szCs w:val="12"/>
              </w:rPr>
            </w:pPr>
          </w:p>
        </w:tc>
      </w:tr>
      <w:tr w:rsidR="003C102E" w:rsidRPr="00CD1278" w14:paraId="360A10EF"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46756A3" w14:textId="77777777" w:rsidR="004B0524" w:rsidRPr="00CD1278" w:rsidRDefault="004B0524" w:rsidP="00DE7A60">
            <w:pPr>
              <w:spacing w:after="60"/>
              <w:rPr>
                <w:color w:val="auto"/>
                <w:sz w:val="12"/>
                <w:szCs w:val="12"/>
              </w:rPr>
            </w:pPr>
            <w:r w:rsidRPr="00CD1278">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vAlign w:val="center"/>
          </w:tcPr>
          <w:p w14:paraId="4B738AD3" w14:textId="77777777" w:rsidR="004B0524" w:rsidRPr="00CD1278" w:rsidRDefault="004B0524" w:rsidP="007972CD">
            <w:pPr>
              <w:spacing w:after="60"/>
              <w:ind w:left="-83"/>
              <w:rPr>
                <w:color w:val="auto"/>
                <w:sz w:val="12"/>
                <w:szCs w:val="12"/>
              </w:rPr>
            </w:pPr>
            <w:r w:rsidRPr="00CD1278">
              <w:rPr>
                <w:color w:val="auto"/>
                <w:sz w:val="12"/>
                <w:szCs w:val="12"/>
              </w:rPr>
              <w:t>Rice consumer packs</w:t>
            </w:r>
          </w:p>
        </w:tc>
        <w:tc>
          <w:tcPr>
            <w:tcW w:w="567" w:type="dxa"/>
            <w:tcBorders>
              <w:top w:val="nil"/>
              <w:left w:val="nil"/>
              <w:bottom w:val="single" w:sz="8" w:space="0" w:color="auto"/>
              <w:right w:val="single" w:sz="8" w:space="0" w:color="auto"/>
            </w:tcBorders>
            <w:shd w:val="clear" w:color="auto" w:fill="auto"/>
            <w:vAlign w:val="center"/>
          </w:tcPr>
          <w:p w14:paraId="2AA191CD" w14:textId="77777777" w:rsidR="004B0524" w:rsidRPr="00CD1278" w:rsidRDefault="004B0524" w:rsidP="007972CD">
            <w:pPr>
              <w:spacing w:after="60"/>
              <w:jc w:val="center"/>
              <w:rPr>
                <w:color w:val="auto"/>
                <w:sz w:val="12"/>
                <w:szCs w:val="12"/>
              </w:rPr>
            </w:pPr>
            <w:r w:rsidRPr="00CD1278">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13633473" w14:textId="77777777" w:rsidR="004B0524" w:rsidRPr="00CD1278" w:rsidRDefault="004B0524" w:rsidP="007972CD">
            <w:pPr>
              <w:spacing w:after="60"/>
              <w:jc w:val="center"/>
              <w:rPr>
                <w:color w:val="auto"/>
                <w:sz w:val="12"/>
                <w:szCs w:val="12"/>
              </w:rPr>
            </w:pPr>
            <w:r w:rsidRPr="00CD1278">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5FDFE47C" w14:textId="2A8676E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4D588B" w14:textId="038B9C8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4A8AC3" w14:textId="1E0104D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BA3282" w14:textId="28239A7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306CA3" w14:textId="78EA032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C460AA" w14:textId="4487B7E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BD1D1F" w14:textId="25A7C0F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312ED0D"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81CEDCE"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8DBC8C3"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2B19AE9" w14:textId="77777777" w:rsidR="004B0524" w:rsidRPr="00CD1278" w:rsidRDefault="004B0524" w:rsidP="007972CD">
            <w:pPr>
              <w:spacing w:after="60"/>
              <w:jc w:val="center"/>
              <w:rPr>
                <w:color w:val="auto"/>
                <w:sz w:val="12"/>
                <w:szCs w:val="12"/>
              </w:rPr>
            </w:pPr>
            <w:r w:rsidRPr="00CD1278">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3290ADB8" w14:textId="77777777" w:rsidR="004B0524" w:rsidRPr="00CD1278" w:rsidRDefault="004B0524" w:rsidP="007972CD">
            <w:pPr>
              <w:spacing w:after="60"/>
              <w:jc w:val="center"/>
              <w:rPr>
                <w:color w:val="auto"/>
                <w:sz w:val="12"/>
                <w:szCs w:val="12"/>
              </w:rPr>
            </w:pPr>
            <w:r w:rsidRPr="00CD1278">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736533D9" w14:textId="2FA26A3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82FB07" w14:textId="04D2B44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7E5044D" w14:textId="225BB76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7E2BFC2" w14:textId="3397C48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E361BF" w14:textId="605C692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E29C849" w14:textId="543A064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3F5619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7AD2211"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8009BC0"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A63E9B9" w14:textId="77777777" w:rsidR="004B0524" w:rsidRPr="00CD1278" w:rsidRDefault="004B0524" w:rsidP="007972CD">
            <w:pPr>
              <w:spacing w:after="60"/>
              <w:jc w:val="center"/>
              <w:rPr>
                <w:color w:val="auto"/>
                <w:sz w:val="12"/>
                <w:szCs w:val="12"/>
              </w:rPr>
            </w:pPr>
          </w:p>
        </w:tc>
      </w:tr>
      <w:tr w:rsidR="003C102E" w:rsidRPr="00CD1278" w14:paraId="16F757E1"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B38798A" w14:textId="77777777" w:rsidR="004B0524" w:rsidRPr="00CD1278" w:rsidRDefault="004B0524" w:rsidP="00DE7A60">
            <w:pPr>
              <w:spacing w:after="60"/>
              <w:rPr>
                <w:color w:val="auto"/>
                <w:sz w:val="12"/>
                <w:szCs w:val="12"/>
              </w:rPr>
            </w:pPr>
            <w:r w:rsidRPr="00CD1278">
              <w:rPr>
                <w:color w:val="auto"/>
                <w:sz w:val="12"/>
                <w:szCs w:val="12"/>
              </w:rPr>
              <w:t xml:space="preserve">France </w:t>
            </w:r>
          </w:p>
        </w:tc>
        <w:tc>
          <w:tcPr>
            <w:tcW w:w="818" w:type="dxa"/>
            <w:tcBorders>
              <w:top w:val="nil"/>
              <w:left w:val="nil"/>
              <w:bottom w:val="single" w:sz="8" w:space="0" w:color="auto"/>
              <w:right w:val="single" w:sz="8" w:space="0" w:color="auto"/>
            </w:tcBorders>
            <w:shd w:val="clear" w:color="auto" w:fill="auto"/>
            <w:vAlign w:val="center"/>
          </w:tcPr>
          <w:p w14:paraId="009B7F60" w14:textId="77777777" w:rsidR="004B0524" w:rsidRPr="00CD1278" w:rsidRDefault="004B0524" w:rsidP="007972CD">
            <w:pPr>
              <w:spacing w:after="60"/>
              <w:ind w:left="-83"/>
              <w:rPr>
                <w:color w:val="auto"/>
                <w:sz w:val="12"/>
                <w:szCs w:val="12"/>
              </w:rPr>
            </w:pPr>
            <w:r w:rsidRPr="00CD1278">
              <w:rPr>
                <w:color w:val="auto"/>
                <w:sz w:val="12"/>
                <w:szCs w:val="12"/>
              </w:rPr>
              <w:t>Chestnuts</w:t>
            </w:r>
          </w:p>
        </w:tc>
        <w:tc>
          <w:tcPr>
            <w:tcW w:w="567" w:type="dxa"/>
            <w:tcBorders>
              <w:top w:val="nil"/>
              <w:left w:val="nil"/>
              <w:bottom w:val="single" w:sz="8" w:space="0" w:color="auto"/>
              <w:right w:val="single" w:sz="8" w:space="0" w:color="auto"/>
            </w:tcBorders>
            <w:shd w:val="clear" w:color="auto" w:fill="auto"/>
            <w:vAlign w:val="center"/>
          </w:tcPr>
          <w:p w14:paraId="687229FD" w14:textId="77777777" w:rsidR="004B0524" w:rsidRPr="00CD1278" w:rsidRDefault="004B0524" w:rsidP="007972CD">
            <w:pPr>
              <w:spacing w:after="60"/>
              <w:jc w:val="center"/>
              <w:rPr>
                <w:color w:val="auto"/>
                <w:sz w:val="12"/>
                <w:szCs w:val="12"/>
              </w:rPr>
            </w:pPr>
            <w:r w:rsidRPr="00CD1278">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7EC1BDE0" w14:textId="77777777" w:rsidR="004B0524" w:rsidRPr="00CD1278" w:rsidRDefault="004B0524" w:rsidP="007972CD">
            <w:pPr>
              <w:spacing w:after="60"/>
              <w:jc w:val="center"/>
              <w:rPr>
                <w:color w:val="auto"/>
                <w:sz w:val="12"/>
                <w:szCs w:val="12"/>
              </w:rPr>
            </w:pPr>
            <w:r w:rsidRPr="00CD1278">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699E466A" w14:textId="77777777" w:rsidR="004B0524" w:rsidRPr="00CD1278" w:rsidRDefault="004B0524" w:rsidP="007972CD">
            <w:pPr>
              <w:spacing w:after="60"/>
              <w:jc w:val="center"/>
              <w:rPr>
                <w:color w:val="auto"/>
                <w:sz w:val="12"/>
                <w:szCs w:val="12"/>
              </w:rPr>
            </w:pPr>
            <w:r w:rsidRPr="00CD1278">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78003D13" w14:textId="510EE1B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3409AC" w14:textId="42F5740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63EA6B" w14:textId="5D7229B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B24EA08" w14:textId="7FB7D34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233029B" w14:textId="4A32588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F7DC03" w14:textId="087A792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4C0218E"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9D3FC7B"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489E7DA"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990890F" w14:textId="77777777" w:rsidR="004B0524" w:rsidRPr="00CD1278" w:rsidRDefault="004B0524" w:rsidP="007972CD">
            <w:pPr>
              <w:spacing w:after="60"/>
              <w:jc w:val="center"/>
              <w:rPr>
                <w:color w:val="auto"/>
                <w:sz w:val="12"/>
                <w:szCs w:val="12"/>
              </w:rPr>
            </w:pPr>
            <w:r w:rsidRPr="00CD1278">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48E6EFBF" w14:textId="77777777" w:rsidR="004B0524" w:rsidRPr="00CD1278" w:rsidRDefault="004B0524" w:rsidP="007972CD">
            <w:pPr>
              <w:spacing w:after="60"/>
              <w:jc w:val="center"/>
              <w:rPr>
                <w:color w:val="auto"/>
                <w:sz w:val="12"/>
                <w:szCs w:val="12"/>
              </w:rPr>
            </w:pPr>
            <w:r w:rsidRPr="00CD1278">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5E88506C" w14:textId="77777777" w:rsidR="004B0524" w:rsidRPr="00CD1278" w:rsidRDefault="004B0524" w:rsidP="007972CD">
            <w:pPr>
              <w:spacing w:after="60"/>
              <w:jc w:val="center"/>
              <w:rPr>
                <w:color w:val="auto"/>
                <w:sz w:val="12"/>
                <w:szCs w:val="12"/>
              </w:rPr>
            </w:pPr>
            <w:r w:rsidRPr="00CD1278">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2E821780" w14:textId="5D858AC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FCC624A" w14:textId="672AD3E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E39416" w14:textId="71113C2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B4FCB7" w14:textId="3D3DBD8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94FC189" w14:textId="049D76C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3C0826E"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B5891B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FDC39C8"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A18EFC" w14:textId="77777777" w:rsidR="004B0524" w:rsidRPr="00CD1278" w:rsidRDefault="004B0524" w:rsidP="007972CD">
            <w:pPr>
              <w:spacing w:after="60"/>
              <w:jc w:val="center"/>
              <w:rPr>
                <w:color w:val="auto"/>
                <w:sz w:val="12"/>
                <w:szCs w:val="12"/>
              </w:rPr>
            </w:pPr>
          </w:p>
        </w:tc>
      </w:tr>
      <w:tr w:rsidR="003C102E" w:rsidRPr="00CD1278" w14:paraId="64CCF880"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9F30FCE" w14:textId="77777777" w:rsidR="004B0524" w:rsidRPr="00CD1278" w:rsidRDefault="004B0524" w:rsidP="00DE7A60">
            <w:pPr>
              <w:spacing w:after="60"/>
              <w:rPr>
                <w:color w:val="auto"/>
                <w:sz w:val="12"/>
                <w:szCs w:val="12"/>
              </w:rPr>
            </w:pPr>
            <w:r w:rsidRPr="00CD1278">
              <w:rPr>
                <w:color w:val="auto"/>
                <w:sz w:val="12"/>
                <w:szCs w:val="12"/>
              </w:rPr>
              <w:t xml:space="preserve">Germany </w:t>
            </w:r>
          </w:p>
        </w:tc>
        <w:tc>
          <w:tcPr>
            <w:tcW w:w="818" w:type="dxa"/>
            <w:tcBorders>
              <w:top w:val="nil"/>
              <w:left w:val="nil"/>
              <w:bottom w:val="single" w:sz="8" w:space="0" w:color="auto"/>
              <w:right w:val="single" w:sz="8" w:space="0" w:color="auto"/>
            </w:tcBorders>
            <w:shd w:val="clear" w:color="auto" w:fill="auto"/>
            <w:vAlign w:val="center"/>
          </w:tcPr>
          <w:p w14:paraId="6CB22D19" w14:textId="77777777" w:rsidR="004B0524" w:rsidRPr="00CD1278" w:rsidRDefault="004B0524" w:rsidP="007972CD">
            <w:pPr>
              <w:spacing w:after="60"/>
              <w:ind w:left="-83"/>
              <w:rPr>
                <w:color w:val="auto"/>
                <w:sz w:val="12"/>
                <w:szCs w:val="12"/>
              </w:rPr>
            </w:pPr>
            <w:r w:rsidRPr="00CD1278">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0A78FB11" w14:textId="77777777" w:rsidR="004B0524" w:rsidRPr="00CD1278" w:rsidRDefault="004B0524" w:rsidP="007972CD">
            <w:pPr>
              <w:spacing w:after="60"/>
              <w:jc w:val="center"/>
              <w:rPr>
                <w:color w:val="auto"/>
                <w:sz w:val="12"/>
                <w:szCs w:val="12"/>
              </w:rPr>
            </w:pPr>
            <w:r w:rsidRPr="00CD1278">
              <w:rPr>
                <w:color w:val="auto"/>
                <w:sz w:val="12"/>
                <w:szCs w:val="12"/>
              </w:rPr>
              <w:t>0.250</w:t>
            </w:r>
          </w:p>
        </w:tc>
        <w:tc>
          <w:tcPr>
            <w:tcW w:w="567" w:type="dxa"/>
            <w:tcBorders>
              <w:top w:val="nil"/>
              <w:left w:val="nil"/>
              <w:bottom w:val="single" w:sz="8" w:space="0" w:color="auto"/>
              <w:right w:val="single" w:sz="8" w:space="0" w:color="auto"/>
            </w:tcBorders>
            <w:shd w:val="clear" w:color="auto" w:fill="auto"/>
            <w:vAlign w:val="center"/>
          </w:tcPr>
          <w:p w14:paraId="5E446CB4" w14:textId="77777777" w:rsidR="004B0524" w:rsidRPr="00CD1278" w:rsidRDefault="004B0524" w:rsidP="007972CD">
            <w:pPr>
              <w:spacing w:after="60"/>
              <w:jc w:val="center"/>
              <w:rPr>
                <w:color w:val="auto"/>
                <w:sz w:val="12"/>
                <w:szCs w:val="12"/>
              </w:rPr>
            </w:pPr>
            <w:r w:rsidRPr="00CD1278">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020B11B5" w14:textId="27E3999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B2F7D6" w14:textId="6188577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DAB797" w14:textId="4690B57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2C20D86" w14:textId="388D8CE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8D9636" w14:textId="2962BC5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C868DD" w14:textId="4BDFB08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E6BB88F" w14:textId="5F83952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5940A5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B5E3F0B"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9A557BF"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724108E" w14:textId="77777777" w:rsidR="004B0524" w:rsidRPr="00CD1278" w:rsidRDefault="004B0524" w:rsidP="007972CD">
            <w:pPr>
              <w:spacing w:after="60"/>
              <w:jc w:val="center"/>
              <w:rPr>
                <w:color w:val="auto"/>
                <w:sz w:val="12"/>
                <w:szCs w:val="12"/>
              </w:rPr>
            </w:pPr>
            <w:r w:rsidRPr="00CD1278">
              <w:rPr>
                <w:color w:val="auto"/>
                <w:sz w:val="12"/>
                <w:szCs w:val="12"/>
              </w:rPr>
              <w:t>0.250</w:t>
            </w:r>
          </w:p>
        </w:tc>
        <w:tc>
          <w:tcPr>
            <w:tcW w:w="567" w:type="dxa"/>
            <w:tcBorders>
              <w:top w:val="nil"/>
              <w:left w:val="nil"/>
              <w:bottom w:val="single" w:sz="8" w:space="0" w:color="auto"/>
              <w:right w:val="single" w:sz="8" w:space="0" w:color="auto"/>
            </w:tcBorders>
            <w:shd w:val="clear" w:color="auto" w:fill="auto"/>
            <w:vAlign w:val="center"/>
          </w:tcPr>
          <w:p w14:paraId="4D9BED14" w14:textId="77777777" w:rsidR="004B0524" w:rsidRPr="00CD1278" w:rsidRDefault="004B0524" w:rsidP="007972CD">
            <w:pPr>
              <w:spacing w:after="60"/>
              <w:jc w:val="center"/>
              <w:rPr>
                <w:color w:val="auto"/>
                <w:sz w:val="12"/>
                <w:szCs w:val="12"/>
              </w:rPr>
            </w:pPr>
            <w:r w:rsidRPr="00CD1278">
              <w:rPr>
                <w:color w:val="auto"/>
                <w:sz w:val="12"/>
                <w:szCs w:val="12"/>
              </w:rPr>
              <w:t>0.100</w:t>
            </w:r>
          </w:p>
        </w:tc>
        <w:tc>
          <w:tcPr>
            <w:tcW w:w="567" w:type="dxa"/>
            <w:tcBorders>
              <w:top w:val="nil"/>
              <w:left w:val="nil"/>
              <w:bottom w:val="single" w:sz="8" w:space="0" w:color="auto"/>
              <w:right w:val="single" w:sz="8" w:space="0" w:color="auto"/>
            </w:tcBorders>
            <w:shd w:val="clear" w:color="auto" w:fill="auto"/>
            <w:vAlign w:val="center"/>
          </w:tcPr>
          <w:p w14:paraId="71E2FBC5" w14:textId="55FE449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E196CD" w14:textId="169A815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62EF0C" w14:textId="4060C5B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795827" w14:textId="5B8CDE0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37C43C" w14:textId="462EC4B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E6FF322" w14:textId="0B3DFC0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CF482E"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610C49C"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C535B7B"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E94A1C" w14:textId="77777777" w:rsidR="004B0524" w:rsidRPr="00CD1278" w:rsidRDefault="004B0524" w:rsidP="007972CD">
            <w:pPr>
              <w:spacing w:after="60"/>
              <w:jc w:val="center"/>
              <w:rPr>
                <w:color w:val="auto"/>
                <w:sz w:val="12"/>
                <w:szCs w:val="12"/>
              </w:rPr>
            </w:pPr>
          </w:p>
        </w:tc>
      </w:tr>
      <w:tr w:rsidR="003C102E" w:rsidRPr="00CD1278" w14:paraId="4DC4C7F7"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66628A8" w14:textId="77777777" w:rsidR="004B0524" w:rsidRPr="00CD1278" w:rsidRDefault="004B0524" w:rsidP="00DE7A60">
            <w:pPr>
              <w:spacing w:after="60"/>
              <w:rPr>
                <w:color w:val="auto"/>
                <w:sz w:val="12"/>
                <w:szCs w:val="12"/>
              </w:rPr>
            </w:pPr>
            <w:r w:rsidRPr="00CD1278">
              <w:rPr>
                <w:color w:val="auto"/>
                <w:sz w:val="12"/>
                <w:szCs w:val="12"/>
              </w:rPr>
              <w:t xml:space="preserve">Germany </w:t>
            </w:r>
          </w:p>
        </w:tc>
        <w:tc>
          <w:tcPr>
            <w:tcW w:w="818" w:type="dxa"/>
            <w:tcBorders>
              <w:top w:val="nil"/>
              <w:left w:val="nil"/>
              <w:bottom w:val="single" w:sz="8" w:space="0" w:color="auto"/>
              <w:right w:val="single" w:sz="8" w:space="0" w:color="auto"/>
            </w:tcBorders>
            <w:shd w:val="clear" w:color="auto" w:fill="auto"/>
            <w:vAlign w:val="center"/>
          </w:tcPr>
          <w:p w14:paraId="38328CEC" w14:textId="477B3F58" w:rsidR="004B0524" w:rsidRPr="00CD1278" w:rsidRDefault="004B0524" w:rsidP="007972CD">
            <w:pPr>
              <w:spacing w:after="60"/>
              <w:ind w:left="-83"/>
              <w:rPr>
                <w:color w:val="auto"/>
                <w:sz w:val="12"/>
                <w:szCs w:val="12"/>
              </w:rPr>
            </w:pPr>
            <w:r w:rsidRPr="00CD1278">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0655160D" w14:textId="77777777" w:rsidR="004B0524" w:rsidRPr="00CD1278" w:rsidRDefault="004B0524" w:rsidP="007972CD">
            <w:pPr>
              <w:spacing w:after="60"/>
              <w:jc w:val="center"/>
              <w:rPr>
                <w:color w:val="auto"/>
                <w:sz w:val="12"/>
                <w:szCs w:val="12"/>
              </w:rPr>
            </w:pPr>
            <w:r w:rsidRPr="00CD1278">
              <w:rPr>
                <w:color w:val="auto"/>
                <w:sz w:val="12"/>
                <w:szCs w:val="12"/>
              </w:rPr>
              <w:t>45.000</w:t>
            </w:r>
          </w:p>
        </w:tc>
        <w:tc>
          <w:tcPr>
            <w:tcW w:w="567" w:type="dxa"/>
            <w:tcBorders>
              <w:top w:val="nil"/>
              <w:left w:val="nil"/>
              <w:bottom w:val="single" w:sz="8" w:space="0" w:color="auto"/>
              <w:right w:val="single" w:sz="8" w:space="0" w:color="auto"/>
            </w:tcBorders>
            <w:shd w:val="clear" w:color="auto" w:fill="auto"/>
            <w:vAlign w:val="center"/>
          </w:tcPr>
          <w:p w14:paraId="093B9BCF" w14:textId="77777777" w:rsidR="004B0524" w:rsidRPr="00CD1278" w:rsidRDefault="004B0524" w:rsidP="007972CD">
            <w:pPr>
              <w:spacing w:after="60"/>
              <w:jc w:val="center"/>
              <w:rPr>
                <w:color w:val="auto"/>
                <w:sz w:val="12"/>
                <w:szCs w:val="12"/>
              </w:rPr>
            </w:pPr>
            <w:r w:rsidRPr="00CD1278">
              <w:rPr>
                <w:color w:val="auto"/>
                <w:sz w:val="12"/>
                <w:szCs w:val="12"/>
              </w:rPr>
              <w:t>19.350</w:t>
            </w:r>
          </w:p>
        </w:tc>
        <w:tc>
          <w:tcPr>
            <w:tcW w:w="567" w:type="dxa"/>
            <w:tcBorders>
              <w:top w:val="nil"/>
              <w:left w:val="nil"/>
              <w:bottom w:val="single" w:sz="8" w:space="0" w:color="auto"/>
              <w:right w:val="single" w:sz="8" w:space="0" w:color="auto"/>
            </w:tcBorders>
            <w:shd w:val="clear" w:color="auto" w:fill="auto"/>
            <w:vAlign w:val="center"/>
          </w:tcPr>
          <w:p w14:paraId="4ED518AF" w14:textId="63FA2D9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20CC29" w14:textId="0FB421F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4531E2" w14:textId="0C88FE3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97A802" w14:textId="7E8C6D5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71526B3" w14:textId="6C4CD1F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7A6FEE" w14:textId="5A1FE5B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124BB33" w14:textId="14BBA5F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92E8725"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9035467"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FC9FBF1"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2D2FE3A" w14:textId="77777777" w:rsidR="004B0524" w:rsidRPr="00CD1278" w:rsidRDefault="004B0524" w:rsidP="007972CD">
            <w:pPr>
              <w:spacing w:after="60"/>
              <w:jc w:val="center"/>
              <w:rPr>
                <w:color w:val="auto"/>
                <w:sz w:val="12"/>
                <w:szCs w:val="12"/>
              </w:rPr>
            </w:pPr>
            <w:r w:rsidRPr="00CD1278">
              <w:rPr>
                <w:color w:val="auto"/>
                <w:sz w:val="12"/>
                <w:szCs w:val="12"/>
              </w:rPr>
              <w:t>45.000</w:t>
            </w:r>
          </w:p>
        </w:tc>
        <w:tc>
          <w:tcPr>
            <w:tcW w:w="567" w:type="dxa"/>
            <w:tcBorders>
              <w:top w:val="nil"/>
              <w:left w:val="nil"/>
              <w:bottom w:val="single" w:sz="8" w:space="0" w:color="auto"/>
              <w:right w:val="single" w:sz="8" w:space="0" w:color="auto"/>
            </w:tcBorders>
            <w:shd w:val="clear" w:color="auto" w:fill="auto"/>
            <w:vAlign w:val="center"/>
          </w:tcPr>
          <w:p w14:paraId="036FE153" w14:textId="77777777" w:rsidR="004B0524" w:rsidRPr="00CD1278" w:rsidRDefault="004B0524" w:rsidP="007972CD">
            <w:pPr>
              <w:spacing w:after="60"/>
              <w:jc w:val="center"/>
              <w:rPr>
                <w:color w:val="auto"/>
                <w:sz w:val="12"/>
                <w:szCs w:val="12"/>
              </w:rPr>
            </w:pPr>
            <w:r w:rsidRPr="00CD1278">
              <w:rPr>
                <w:color w:val="auto"/>
                <w:sz w:val="12"/>
                <w:szCs w:val="12"/>
              </w:rPr>
              <w:t>19.350</w:t>
            </w:r>
          </w:p>
        </w:tc>
        <w:tc>
          <w:tcPr>
            <w:tcW w:w="567" w:type="dxa"/>
            <w:tcBorders>
              <w:top w:val="nil"/>
              <w:left w:val="nil"/>
              <w:bottom w:val="single" w:sz="8" w:space="0" w:color="auto"/>
              <w:right w:val="single" w:sz="8" w:space="0" w:color="auto"/>
            </w:tcBorders>
            <w:shd w:val="clear" w:color="auto" w:fill="auto"/>
            <w:vAlign w:val="center"/>
          </w:tcPr>
          <w:p w14:paraId="7623CFFE" w14:textId="7DDAFFC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EF2EDF" w14:textId="559413B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E5F48F" w14:textId="2CC649C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E3D9BC" w14:textId="4E08098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24B539" w14:textId="2562D53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B4920D3" w14:textId="5B9A6FE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F7D312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0D320E6"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EA1E3D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3AE38C6" w14:textId="77777777" w:rsidR="004B0524" w:rsidRPr="00CD1278" w:rsidRDefault="004B0524" w:rsidP="007972CD">
            <w:pPr>
              <w:spacing w:after="60"/>
              <w:jc w:val="center"/>
              <w:rPr>
                <w:color w:val="auto"/>
                <w:sz w:val="12"/>
                <w:szCs w:val="12"/>
              </w:rPr>
            </w:pPr>
          </w:p>
        </w:tc>
      </w:tr>
      <w:tr w:rsidR="003C102E" w:rsidRPr="00CD1278" w14:paraId="5E95AC70"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13825E0" w14:textId="77777777" w:rsidR="004B0524" w:rsidRPr="00CD1278" w:rsidRDefault="004B0524" w:rsidP="00DE7A60">
            <w:pPr>
              <w:spacing w:after="60"/>
              <w:rPr>
                <w:color w:val="auto"/>
                <w:sz w:val="12"/>
                <w:szCs w:val="12"/>
              </w:rPr>
            </w:pPr>
            <w:r w:rsidRPr="00CD1278">
              <w:rPr>
                <w:color w:val="auto"/>
                <w:sz w:val="12"/>
                <w:szCs w:val="12"/>
              </w:rPr>
              <w:t xml:space="preserve">Greece </w:t>
            </w:r>
          </w:p>
        </w:tc>
        <w:tc>
          <w:tcPr>
            <w:tcW w:w="818" w:type="dxa"/>
            <w:tcBorders>
              <w:top w:val="nil"/>
              <w:left w:val="nil"/>
              <w:bottom w:val="single" w:sz="8" w:space="0" w:color="auto"/>
              <w:right w:val="single" w:sz="8" w:space="0" w:color="auto"/>
            </w:tcBorders>
            <w:shd w:val="clear" w:color="auto" w:fill="auto"/>
            <w:vAlign w:val="center"/>
          </w:tcPr>
          <w:p w14:paraId="3211BF5E" w14:textId="77777777" w:rsidR="004B0524" w:rsidRPr="00CD1278" w:rsidRDefault="004B0524" w:rsidP="007972CD">
            <w:pPr>
              <w:spacing w:after="60"/>
              <w:ind w:left="-83"/>
              <w:rPr>
                <w:color w:val="auto"/>
                <w:sz w:val="12"/>
                <w:szCs w:val="12"/>
              </w:rPr>
            </w:pPr>
            <w:r w:rsidRPr="00CD1278">
              <w:rPr>
                <w:color w:val="auto"/>
                <w:sz w:val="12"/>
                <w:szCs w:val="12"/>
              </w:rPr>
              <w:t>Dried fruit</w:t>
            </w:r>
          </w:p>
        </w:tc>
        <w:tc>
          <w:tcPr>
            <w:tcW w:w="567" w:type="dxa"/>
            <w:tcBorders>
              <w:top w:val="nil"/>
              <w:left w:val="nil"/>
              <w:bottom w:val="single" w:sz="8" w:space="0" w:color="auto"/>
              <w:right w:val="single" w:sz="8" w:space="0" w:color="auto"/>
            </w:tcBorders>
            <w:shd w:val="clear" w:color="auto" w:fill="auto"/>
            <w:vAlign w:val="center"/>
          </w:tcPr>
          <w:p w14:paraId="6DE74D71" w14:textId="77777777" w:rsidR="004B0524" w:rsidRPr="00CD1278" w:rsidRDefault="004B0524" w:rsidP="007972CD">
            <w:pPr>
              <w:spacing w:after="60"/>
              <w:jc w:val="center"/>
              <w:rPr>
                <w:color w:val="auto"/>
                <w:sz w:val="12"/>
                <w:szCs w:val="12"/>
              </w:rPr>
            </w:pPr>
            <w:r w:rsidRPr="00CD1278">
              <w:rPr>
                <w:color w:val="auto"/>
                <w:sz w:val="12"/>
                <w:szCs w:val="12"/>
              </w:rPr>
              <w:t>4.280</w:t>
            </w:r>
          </w:p>
        </w:tc>
        <w:tc>
          <w:tcPr>
            <w:tcW w:w="567" w:type="dxa"/>
            <w:tcBorders>
              <w:top w:val="nil"/>
              <w:left w:val="nil"/>
              <w:bottom w:val="single" w:sz="8" w:space="0" w:color="auto"/>
              <w:right w:val="single" w:sz="8" w:space="0" w:color="auto"/>
            </w:tcBorders>
            <w:shd w:val="clear" w:color="auto" w:fill="auto"/>
            <w:vAlign w:val="center"/>
          </w:tcPr>
          <w:p w14:paraId="5D92CF27" w14:textId="77777777" w:rsidR="004B0524" w:rsidRPr="00CD1278" w:rsidRDefault="004B0524" w:rsidP="007972CD">
            <w:pPr>
              <w:spacing w:after="60"/>
              <w:jc w:val="center"/>
              <w:rPr>
                <w:color w:val="auto"/>
                <w:sz w:val="12"/>
                <w:szCs w:val="12"/>
              </w:rPr>
            </w:pPr>
            <w:r w:rsidRPr="00CD1278">
              <w:rPr>
                <w:color w:val="auto"/>
                <w:sz w:val="12"/>
                <w:szCs w:val="12"/>
              </w:rPr>
              <w:t>3.081</w:t>
            </w:r>
          </w:p>
        </w:tc>
        <w:tc>
          <w:tcPr>
            <w:tcW w:w="567" w:type="dxa"/>
            <w:tcBorders>
              <w:top w:val="nil"/>
              <w:left w:val="nil"/>
              <w:bottom w:val="single" w:sz="8" w:space="0" w:color="auto"/>
              <w:right w:val="single" w:sz="8" w:space="0" w:color="auto"/>
            </w:tcBorders>
            <w:shd w:val="clear" w:color="auto" w:fill="auto"/>
            <w:vAlign w:val="center"/>
          </w:tcPr>
          <w:p w14:paraId="6421E29B" w14:textId="77777777" w:rsidR="004B0524" w:rsidRPr="00CD1278" w:rsidRDefault="004B0524" w:rsidP="007972CD">
            <w:pPr>
              <w:spacing w:after="60"/>
              <w:jc w:val="center"/>
              <w:rPr>
                <w:color w:val="auto"/>
                <w:sz w:val="12"/>
                <w:szCs w:val="12"/>
              </w:rPr>
            </w:pPr>
            <w:r w:rsidRPr="00CD1278">
              <w:rPr>
                <w:color w:val="auto"/>
                <w:sz w:val="12"/>
                <w:szCs w:val="12"/>
              </w:rPr>
              <w:t>0.900</w:t>
            </w:r>
          </w:p>
        </w:tc>
        <w:tc>
          <w:tcPr>
            <w:tcW w:w="567" w:type="dxa"/>
            <w:tcBorders>
              <w:top w:val="nil"/>
              <w:left w:val="nil"/>
              <w:bottom w:val="single" w:sz="8" w:space="0" w:color="auto"/>
              <w:right w:val="single" w:sz="8" w:space="0" w:color="auto"/>
            </w:tcBorders>
            <w:shd w:val="clear" w:color="auto" w:fill="auto"/>
            <w:vAlign w:val="center"/>
          </w:tcPr>
          <w:p w14:paraId="02FF538A" w14:textId="4EC3D15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3498F2" w14:textId="49433AC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DC3E27" w14:textId="33325F9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493E88" w14:textId="2E89533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F08B26" w14:textId="654AED8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16FCEE" w14:textId="0688226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BF233A5"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5B436A7"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DA18C4C"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98FFB1B" w14:textId="77777777" w:rsidR="004B0524" w:rsidRPr="00CD1278" w:rsidRDefault="004B0524" w:rsidP="007972CD">
            <w:pPr>
              <w:spacing w:after="60"/>
              <w:jc w:val="center"/>
              <w:rPr>
                <w:color w:val="auto"/>
                <w:sz w:val="12"/>
                <w:szCs w:val="12"/>
              </w:rPr>
            </w:pPr>
            <w:r w:rsidRPr="00CD1278">
              <w:rPr>
                <w:color w:val="auto"/>
                <w:sz w:val="12"/>
                <w:szCs w:val="12"/>
              </w:rPr>
              <w:t>4.280</w:t>
            </w:r>
          </w:p>
        </w:tc>
        <w:tc>
          <w:tcPr>
            <w:tcW w:w="567" w:type="dxa"/>
            <w:tcBorders>
              <w:top w:val="nil"/>
              <w:left w:val="nil"/>
              <w:bottom w:val="single" w:sz="8" w:space="0" w:color="auto"/>
              <w:right w:val="single" w:sz="8" w:space="0" w:color="auto"/>
            </w:tcBorders>
            <w:shd w:val="clear" w:color="auto" w:fill="auto"/>
            <w:vAlign w:val="center"/>
          </w:tcPr>
          <w:p w14:paraId="13A0F6D4" w14:textId="77777777" w:rsidR="004B0524" w:rsidRPr="00CD1278" w:rsidRDefault="004B0524" w:rsidP="007972CD">
            <w:pPr>
              <w:spacing w:after="60"/>
              <w:jc w:val="center"/>
              <w:rPr>
                <w:color w:val="auto"/>
                <w:sz w:val="12"/>
                <w:szCs w:val="12"/>
              </w:rPr>
            </w:pPr>
            <w:r w:rsidRPr="00CD1278">
              <w:rPr>
                <w:color w:val="auto"/>
                <w:sz w:val="12"/>
                <w:szCs w:val="12"/>
              </w:rPr>
              <w:t>3.081</w:t>
            </w:r>
          </w:p>
        </w:tc>
        <w:tc>
          <w:tcPr>
            <w:tcW w:w="567" w:type="dxa"/>
            <w:tcBorders>
              <w:top w:val="nil"/>
              <w:left w:val="nil"/>
              <w:bottom w:val="single" w:sz="8" w:space="0" w:color="auto"/>
              <w:right w:val="single" w:sz="8" w:space="0" w:color="auto"/>
            </w:tcBorders>
            <w:shd w:val="clear" w:color="auto" w:fill="auto"/>
            <w:vAlign w:val="center"/>
          </w:tcPr>
          <w:p w14:paraId="2129E973" w14:textId="77777777" w:rsidR="004B0524" w:rsidRPr="00CD1278" w:rsidRDefault="004B0524" w:rsidP="007972CD">
            <w:pPr>
              <w:spacing w:after="60"/>
              <w:jc w:val="center"/>
              <w:rPr>
                <w:color w:val="auto"/>
                <w:sz w:val="12"/>
                <w:szCs w:val="12"/>
              </w:rPr>
            </w:pPr>
            <w:r w:rsidRPr="00CD1278">
              <w:rPr>
                <w:color w:val="auto"/>
                <w:sz w:val="12"/>
                <w:szCs w:val="12"/>
              </w:rPr>
              <w:t>0.450</w:t>
            </w:r>
          </w:p>
        </w:tc>
        <w:tc>
          <w:tcPr>
            <w:tcW w:w="567" w:type="dxa"/>
            <w:tcBorders>
              <w:top w:val="nil"/>
              <w:left w:val="nil"/>
              <w:bottom w:val="single" w:sz="8" w:space="0" w:color="auto"/>
              <w:right w:val="single" w:sz="8" w:space="0" w:color="auto"/>
            </w:tcBorders>
            <w:shd w:val="clear" w:color="auto" w:fill="auto"/>
            <w:vAlign w:val="center"/>
          </w:tcPr>
          <w:p w14:paraId="5FEDB0B9" w14:textId="2F9B82C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A1A224" w14:textId="7BF51E8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D61F5D" w14:textId="05A1F6A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47DF5EB" w14:textId="317FCF5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F502EFC" w14:textId="0F4112D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22741B3"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7106D29"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C387E68"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E5644AE" w14:textId="77777777" w:rsidR="004B0524" w:rsidRPr="00CD1278" w:rsidRDefault="004B0524" w:rsidP="007972CD">
            <w:pPr>
              <w:spacing w:after="60"/>
              <w:jc w:val="center"/>
              <w:rPr>
                <w:color w:val="auto"/>
                <w:sz w:val="12"/>
                <w:szCs w:val="12"/>
              </w:rPr>
            </w:pPr>
          </w:p>
        </w:tc>
      </w:tr>
      <w:tr w:rsidR="003C102E" w:rsidRPr="00CD1278" w14:paraId="6218B6C6"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F052DBD" w14:textId="77777777" w:rsidR="004B0524" w:rsidRPr="00CD1278" w:rsidRDefault="004B0524" w:rsidP="00DE7A60">
            <w:pPr>
              <w:spacing w:after="60"/>
              <w:rPr>
                <w:color w:val="auto"/>
                <w:sz w:val="12"/>
                <w:szCs w:val="12"/>
              </w:rPr>
            </w:pPr>
            <w:r w:rsidRPr="00CD1278">
              <w:rPr>
                <w:color w:val="auto"/>
                <w:sz w:val="12"/>
                <w:szCs w:val="12"/>
              </w:rPr>
              <w:t xml:space="preserve">Greece </w:t>
            </w:r>
          </w:p>
        </w:tc>
        <w:tc>
          <w:tcPr>
            <w:tcW w:w="818" w:type="dxa"/>
            <w:tcBorders>
              <w:top w:val="nil"/>
              <w:left w:val="nil"/>
              <w:bottom w:val="single" w:sz="8" w:space="0" w:color="auto"/>
              <w:right w:val="single" w:sz="8" w:space="0" w:color="auto"/>
            </w:tcBorders>
            <w:shd w:val="clear" w:color="auto" w:fill="auto"/>
            <w:vAlign w:val="center"/>
          </w:tcPr>
          <w:p w14:paraId="74B87875" w14:textId="5E39F0DA" w:rsidR="004B0524" w:rsidRPr="00CD1278" w:rsidRDefault="004B0524" w:rsidP="007972CD">
            <w:pPr>
              <w:spacing w:after="60"/>
              <w:ind w:left="-83"/>
              <w:rPr>
                <w:color w:val="auto"/>
                <w:sz w:val="12"/>
                <w:szCs w:val="12"/>
              </w:rPr>
            </w:pPr>
            <w:r w:rsidRPr="00CD1278">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63F227AC" w14:textId="77777777" w:rsidR="004B0524" w:rsidRPr="00CD1278" w:rsidRDefault="004B0524" w:rsidP="007972CD">
            <w:pPr>
              <w:spacing w:after="60"/>
              <w:jc w:val="center"/>
              <w:rPr>
                <w:color w:val="auto"/>
                <w:sz w:val="12"/>
                <w:szCs w:val="12"/>
              </w:rPr>
            </w:pPr>
            <w:r w:rsidRPr="00CD1278">
              <w:rPr>
                <w:color w:val="auto"/>
                <w:sz w:val="12"/>
                <w:szCs w:val="12"/>
              </w:rPr>
              <w:t>23.000</w:t>
            </w:r>
          </w:p>
        </w:tc>
        <w:tc>
          <w:tcPr>
            <w:tcW w:w="567" w:type="dxa"/>
            <w:tcBorders>
              <w:top w:val="nil"/>
              <w:left w:val="nil"/>
              <w:bottom w:val="single" w:sz="8" w:space="0" w:color="auto"/>
              <w:right w:val="single" w:sz="8" w:space="0" w:color="auto"/>
            </w:tcBorders>
            <w:shd w:val="clear" w:color="auto" w:fill="auto"/>
            <w:vAlign w:val="center"/>
          </w:tcPr>
          <w:p w14:paraId="5BE8E566" w14:textId="77777777" w:rsidR="004B0524" w:rsidRPr="00CD1278" w:rsidRDefault="004B0524" w:rsidP="007972CD">
            <w:pPr>
              <w:spacing w:after="60"/>
              <w:jc w:val="center"/>
              <w:rPr>
                <w:color w:val="auto"/>
                <w:sz w:val="12"/>
                <w:szCs w:val="12"/>
              </w:rPr>
            </w:pPr>
            <w:r w:rsidRPr="00CD1278">
              <w:rPr>
                <w:color w:val="auto"/>
                <w:sz w:val="12"/>
                <w:szCs w:val="12"/>
              </w:rPr>
              <w:t>16.000</w:t>
            </w:r>
          </w:p>
        </w:tc>
        <w:tc>
          <w:tcPr>
            <w:tcW w:w="567" w:type="dxa"/>
            <w:tcBorders>
              <w:top w:val="nil"/>
              <w:left w:val="nil"/>
              <w:bottom w:val="single" w:sz="8" w:space="0" w:color="auto"/>
              <w:right w:val="single" w:sz="8" w:space="0" w:color="auto"/>
            </w:tcBorders>
            <w:shd w:val="clear" w:color="auto" w:fill="auto"/>
            <w:vAlign w:val="center"/>
          </w:tcPr>
          <w:p w14:paraId="10B553D2" w14:textId="77777777" w:rsidR="004B0524" w:rsidRPr="00CD1278" w:rsidRDefault="004B0524" w:rsidP="007972CD">
            <w:pPr>
              <w:spacing w:after="60"/>
              <w:jc w:val="center"/>
              <w:rPr>
                <w:color w:val="auto"/>
                <w:sz w:val="12"/>
                <w:szCs w:val="12"/>
              </w:rPr>
            </w:pPr>
            <w:r w:rsidRPr="00CD1278">
              <w:rPr>
                <w:color w:val="auto"/>
                <w:sz w:val="12"/>
                <w:szCs w:val="12"/>
              </w:rPr>
              <w:t>1.340</w:t>
            </w:r>
          </w:p>
        </w:tc>
        <w:tc>
          <w:tcPr>
            <w:tcW w:w="567" w:type="dxa"/>
            <w:tcBorders>
              <w:top w:val="nil"/>
              <w:left w:val="nil"/>
              <w:bottom w:val="single" w:sz="8" w:space="0" w:color="auto"/>
              <w:right w:val="single" w:sz="8" w:space="0" w:color="auto"/>
            </w:tcBorders>
            <w:shd w:val="clear" w:color="auto" w:fill="auto"/>
            <w:vAlign w:val="center"/>
          </w:tcPr>
          <w:p w14:paraId="175D69FF" w14:textId="4E7BC53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B812C8" w14:textId="7D49173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B576DF" w14:textId="780D2D3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99E185D" w14:textId="2C8D724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1968F9" w14:textId="4965BDA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DCF359" w14:textId="5F2A4BF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5705D79"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2BEB104"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899B9ED"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C7E79EA" w14:textId="77777777" w:rsidR="004B0524" w:rsidRPr="00CD1278" w:rsidRDefault="004B0524" w:rsidP="007972CD">
            <w:pPr>
              <w:spacing w:after="60"/>
              <w:jc w:val="center"/>
              <w:rPr>
                <w:color w:val="auto"/>
                <w:sz w:val="12"/>
                <w:szCs w:val="12"/>
              </w:rPr>
            </w:pPr>
            <w:r w:rsidRPr="00CD1278">
              <w:rPr>
                <w:color w:val="auto"/>
                <w:sz w:val="12"/>
                <w:szCs w:val="12"/>
              </w:rPr>
              <w:t>23.000</w:t>
            </w:r>
          </w:p>
        </w:tc>
        <w:tc>
          <w:tcPr>
            <w:tcW w:w="567" w:type="dxa"/>
            <w:tcBorders>
              <w:top w:val="nil"/>
              <w:left w:val="nil"/>
              <w:bottom w:val="single" w:sz="8" w:space="0" w:color="auto"/>
              <w:right w:val="single" w:sz="8" w:space="0" w:color="auto"/>
            </w:tcBorders>
            <w:shd w:val="clear" w:color="auto" w:fill="auto"/>
            <w:vAlign w:val="center"/>
          </w:tcPr>
          <w:p w14:paraId="0B17BE0F" w14:textId="77777777" w:rsidR="004B0524" w:rsidRPr="00CD1278" w:rsidRDefault="004B0524" w:rsidP="007972CD">
            <w:pPr>
              <w:spacing w:after="60"/>
              <w:jc w:val="center"/>
              <w:rPr>
                <w:color w:val="auto"/>
                <w:sz w:val="12"/>
                <w:szCs w:val="12"/>
              </w:rPr>
            </w:pPr>
            <w:r w:rsidRPr="00CD1278">
              <w:rPr>
                <w:color w:val="auto"/>
                <w:sz w:val="12"/>
                <w:szCs w:val="12"/>
              </w:rPr>
              <w:t>15.445</w:t>
            </w:r>
          </w:p>
        </w:tc>
        <w:tc>
          <w:tcPr>
            <w:tcW w:w="567" w:type="dxa"/>
            <w:tcBorders>
              <w:top w:val="nil"/>
              <w:left w:val="nil"/>
              <w:bottom w:val="single" w:sz="8" w:space="0" w:color="auto"/>
              <w:right w:val="single" w:sz="8" w:space="0" w:color="auto"/>
            </w:tcBorders>
            <w:shd w:val="clear" w:color="auto" w:fill="auto"/>
            <w:vAlign w:val="center"/>
          </w:tcPr>
          <w:p w14:paraId="28E2F3D5" w14:textId="77777777" w:rsidR="004B0524" w:rsidRPr="00CD1278" w:rsidRDefault="004B0524" w:rsidP="007972CD">
            <w:pPr>
              <w:spacing w:after="60"/>
              <w:jc w:val="center"/>
              <w:rPr>
                <w:color w:val="auto"/>
                <w:sz w:val="12"/>
                <w:szCs w:val="12"/>
              </w:rPr>
            </w:pPr>
            <w:r w:rsidRPr="00CD1278">
              <w:rPr>
                <w:color w:val="auto"/>
                <w:sz w:val="12"/>
                <w:szCs w:val="12"/>
              </w:rPr>
              <w:t>1.340</w:t>
            </w:r>
          </w:p>
        </w:tc>
        <w:tc>
          <w:tcPr>
            <w:tcW w:w="567" w:type="dxa"/>
            <w:tcBorders>
              <w:top w:val="nil"/>
              <w:left w:val="nil"/>
              <w:bottom w:val="single" w:sz="8" w:space="0" w:color="auto"/>
              <w:right w:val="single" w:sz="8" w:space="0" w:color="auto"/>
            </w:tcBorders>
            <w:shd w:val="clear" w:color="auto" w:fill="auto"/>
            <w:vAlign w:val="center"/>
          </w:tcPr>
          <w:p w14:paraId="25B0F691" w14:textId="74B0624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EFD765" w14:textId="2DB7E03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26F271" w14:textId="0221795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2FAE18" w14:textId="5938026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936AEC8" w14:textId="54BFF09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1DBDCE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AB5CD1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B893F38"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B4B4813" w14:textId="77777777" w:rsidR="004B0524" w:rsidRPr="00CD1278" w:rsidRDefault="004B0524" w:rsidP="007972CD">
            <w:pPr>
              <w:spacing w:after="60"/>
              <w:jc w:val="center"/>
              <w:rPr>
                <w:color w:val="auto"/>
                <w:sz w:val="12"/>
                <w:szCs w:val="12"/>
              </w:rPr>
            </w:pPr>
          </w:p>
        </w:tc>
      </w:tr>
      <w:tr w:rsidR="003C102E" w:rsidRPr="00CD1278" w14:paraId="656F8D09"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928BAC5" w14:textId="77777777" w:rsidR="004B0524" w:rsidRPr="00CD1278" w:rsidRDefault="004B0524" w:rsidP="00DE7A60">
            <w:pPr>
              <w:spacing w:after="60"/>
              <w:rPr>
                <w:color w:val="auto"/>
                <w:sz w:val="12"/>
                <w:szCs w:val="12"/>
              </w:rPr>
            </w:pPr>
            <w:r w:rsidRPr="00CD1278">
              <w:rPr>
                <w:color w:val="auto"/>
                <w:sz w:val="12"/>
                <w:szCs w:val="12"/>
              </w:rPr>
              <w:t xml:space="preserve">Greece </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5A920689" w14:textId="77777777" w:rsidR="004B0524" w:rsidRPr="00CD1278" w:rsidRDefault="004B0524" w:rsidP="007972CD">
            <w:pPr>
              <w:spacing w:after="60"/>
              <w:ind w:left="-83"/>
              <w:rPr>
                <w:color w:val="auto"/>
                <w:sz w:val="12"/>
                <w:szCs w:val="12"/>
              </w:rPr>
            </w:pPr>
            <w:r w:rsidRPr="00CD1278">
              <w:rPr>
                <w:color w:val="auto"/>
                <w:sz w:val="12"/>
                <w:szCs w:val="12"/>
              </w:rPr>
              <w:t>Rice and legumes</w:t>
            </w:r>
          </w:p>
        </w:tc>
        <w:tc>
          <w:tcPr>
            <w:tcW w:w="567" w:type="dxa"/>
            <w:tcBorders>
              <w:top w:val="nil"/>
              <w:left w:val="nil"/>
              <w:bottom w:val="single" w:sz="8" w:space="0" w:color="auto"/>
              <w:right w:val="single" w:sz="8" w:space="0" w:color="auto"/>
            </w:tcBorders>
            <w:shd w:val="clear" w:color="auto" w:fill="auto"/>
            <w:vAlign w:val="center"/>
          </w:tcPr>
          <w:p w14:paraId="2F118FFC" w14:textId="77777777" w:rsidR="004B0524" w:rsidRPr="00CD1278" w:rsidRDefault="004B0524" w:rsidP="007972CD">
            <w:pPr>
              <w:spacing w:after="60"/>
              <w:jc w:val="center"/>
              <w:rPr>
                <w:color w:val="auto"/>
                <w:sz w:val="12"/>
                <w:szCs w:val="12"/>
              </w:rPr>
            </w:pPr>
            <w:r w:rsidRPr="00CD1278">
              <w:rPr>
                <w:color w:val="auto"/>
                <w:sz w:val="12"/>
                <w:szCs w:val="12"/>
              </w:rPr>
              <w:t>2.355</w:t>
            </w:r>
          </w:p>
        </w:tc>
        <w:tc>
          <w:tcPr>
            <w:tcW w:w="567" w:type="dxa"/>
            <w:tcBorders>
              <w:top w:val="nil"/>
              <w:left w:val="nil"/>
              <w:bottom w:val="single" w:sz="8" w:space="0" w:color="auto"/>
              <w:right w:val="single" w:sz="8" w:space="0" w:color="auto"/>
            </w:tcBorders>
            <w:shd w:val="clear" w:color="auto" w:fill="auto"/>
            <w:vAlign w:val="center"/>
          </w:tcPr>
          <w:p w14:paraId="4FCD84B2" w14:textId="6FD9CBE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688BD0" w14:textId="116FA48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C87AA9" w14:textId="03067EA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1685E8" w14:textId="2B363A7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81BC6F5" w14:textId="5A6EBB7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CAC8F40" w14:textId="651B480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0079F7" w14:textId="62A644E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453F244"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381E602"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961A341"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1C0EE38" w14:textId="1FAE130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7FD2FB" w14:textId="77777777" w:rsidR="004B0524" w:rsidRPr="00CD1278" w:rsidRDefault="004B0524" w:rsidP="007972CD">
            <w:pPr>
              <w:spacing w:after="60"/>
              <w:jc w:val="center"/>
              <w:rPr>
                <w:color w:val="auto"/>
                <w:sz w:val="12"/>
                <w:szCs w:val="12"/>
              </w:rPr>
            </w:pPr>
            <w:r w:rsidRPr="00CD1278">
              <w:rPr>
                <w:color w:val="auto"/>
                <w:sz w:val="12"/>
                <w:szCs w:val="12"/>
              </w:rPr>
              <w:t>2.355</w:t>
            </w:r>
          </w:p>
        </w:tc>
        <w:tc>
          <w:tcPr>
            <w:tcW w:w="567" w:type="dxa"/>
            <w:tcBorders>
              <w:top w:val="nil"/>
              <w:left w:val="nil"/>
              <w:bottom w:val="single" w:sz="8" w:space="0" w:color="auto"/>
              <w:right w:val="single" w:sz="8" w:space="0" w:color="auto"/>
            </w:tcBorders>
            <w:shd w:val="clear" w:color="auto" w:fill="auto"/>
            <w:vAlign w:val="center"/>
          </w:tcPr>
          <w:p w14:paraId="5FCDAB97" w14:textId="741CEDD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03CB9D6" w14:textId="14DCA24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4B23BDA" w14:textId="6F4A438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AF16CE" w14:textId="0F0E563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0A92EF" w14:textId="340D1A5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CB3BA35" w14:textId="75B98B6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5FB65E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882643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D4B0BB0"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30C2EE2" w14:textId="77777777" w:rsidR="004B0524" w:rsidRPr="00CD1278" w:rsidRDefault="004B0524" w:rsidP="007972CD">
            <w:pPr>
              <w:spacing w:after="60"/>
              <w:jc w:val="center"/>
              <w:rPr>
                <w:color w:val="auto"/>
                <w:sz w:val="12"/>
                <w:szCs w:val="12"/>
              </w:rPr>
            </w:pPr>
          </w:p>
        </w:tc>
      </w:tr>
      <w:tr w:rsidR="003C102E" w:rsidRPr="00CD1278" w14:paraId="5E75D335"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382728E" w14:textId="77777777" w:rsidR="004B0524" w:rsidRPr="00CD1278" w:rsidRDefault="004B0524" w:rsidP="00DE7A60">
            <w:pPr>
              <w:spacing w:after="60"/>
              <w:rPr>
                <w:color w:val="auto"/>
                <w:sz w:val="12"/>
                <w:szCs w:val="12"/>
              </w:rPr>
            </w:pPr>
            <w:r w:rsidRPr="00CD1278">
              <w:rPr>
                <w:color w:val="auto"/>
                <w:sz w:val="12"/>
                <w:szCs w:val="12"/>
              </w:rPr>
              <w:t xml:space="preserve">Ireland </w:t>
            </w:r>
          </w:p>
        </w:tc>
        <w:tc>
          <w:tcPr>
            <w:tcW w:w="818" w:type="dxa"/>
            <w:tcBorders>
              <w:top w:val="nil"/>
              <w:left w:val="nil"/>
              <w:bottom w:val="single" w:sz="8" w:space="0" w:color="auto"/>
              <w:right w:val="single" w:sz="8" w:space="0" w:color="auto"/>
            </w:tcBorders>
            <w:shd w:val="clear" w:color="auto" w:fill="auto"/>
            <w:vAlign w:val="center"/>
          </w:tcPr>
          <w:p w14:paraId="3E7174B9" w14:textId="77777777" w:rsidR="004B0524" w:rsidRPr="00CD1278" w:rsidRDefault="004B0524" w:rsidP="007972CD">
            <w:pPr>
              <w:spacing w:after="60"/>
              <w:ind w:left="-83"/>
              <w:rPr>
                <w:color w:val="auto"/>
                <w:sz w:val="12"/>
                <w:szCs w:val="12"/>
              </w:rPr>
            </w:pPr>
            <w:r w:rsidRPr="00CD1278">
              <w:rPr>
                <w:color w:val="auto"/>
                <w:sz w:val="12"/>
                <w:szCs w:val="12"/>
              </w:rPr>
              <w:t>Mills</w:t>
            </w:r>
          </w:p>
        </w:tc>
        <w:tc>
          <w:tcPr>
            <w:tcW w:w="567" w:type="dxa"/>
            <w:tcBorders>
              <w:top w:val="nil"/>
              <w:left w:val="nil"/>
              <w:bottom w:val="single" w:sz="8" w:space="0" w:color="auto"/>
              <w:right w:val="single" w:sz="8" w:space="0" w:color="auto"/>
            </w:tcBorders>
            <w:shd w:val="clear" w:color="auto" w:fill="auto"/>
            <w:vAlign w:val="center"/>
          </w:tcPr>
          <w:p w14:paraId="2197AD75" w14:textId="6A26911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2E62996" w14:textId="77777777" w:rsidR="004B0524" w:rsidRPr="00CD1278" w:rsidRDefault="004B0524" w:rsidP="007972CD">
            <w:pPr>
              <w:spacing w:after="60"/>
              <w:jc w:val="center"/>
              <w:rPr>
                <w:color w:val="auto"/>
                <w:sz w:val="12"/>
                <w:szCs w:val="12"/>
              </w:rPr>
            </w:pPr>
            <w:r w:rsidRPr="00CD1278">
              <w:rPr>
                <w:color w:val="auto"/>
                <w:sz w:val="12"/>
                <w:szCs w:val="12"/>
              </w:rPr>
              <w:t>0.888</w:t>
            </w:r>
          </w:p>
        </w:tc>
        <w:tc>
          <w:tcPr>
            <w:tcW w:w="567" w:type="dxa"/>
            <w:tcBorders>
              <w:top w:val="nil"/>
              <w:left w:val="nil"/>
              <w:bottom w:val="single" w:sz="8" w:space="0" w:color="auto"/>
              <w:right w:val="single" w:sz="8" w:space="0" w:color="auto"/>
            </w:tcBorders>
            <w:shd w:val="clear" w:color="auto" w:fill="auto"/>
            <w:vAlign w:val="center"/>
          </w:tcPr>
          <w:p w14:paraId="62D62F4A" w14:textId="77777777" w:rsidR="004B0524" w:rsidRPr="00CD1278" w:rsidRDefault="004B0524" w:rsidP="007972CD">
            <w:pPr>
              <w:spacing w:after="60"/>
              <w:jc w:val="center"/>
              <w:rPr>
                <w:color w:val="auto"/>
                <w:sz w:val="12"/>
                <w:szCs w:val="12"/>
              </w:rPr>
            </w:pPr>
            <w:r w:rsidRPr="00CD1278">
              <w:rPr>
                <w:color w:val="auto"/>
                <w:sz w:val="12"/>
                <w:szCs w:val="12"/>
              </w:rPr>
              <w:t>0.611</w:t>
            </w:r>
          </w:p>
        </w:tc>
        <w:tc>
          <w:tcPr>
            <w:tcW w:w="567" w:type="dxa"/>
            <w:tcBorders>
              <w:top w:val="nil"/>
              <w:left w:val="nil"/>
              <w:bottom w:val="single" w:sz="8" w:space="0" w:color="auto"/>
              <w:right w:val="single" w:sz="8" w:space="0" w:color="auto"/>
            </w:tcBorders>
            <w:shd w:val="clear" w:color="auto" w:fill="auto"/>
            <w:vAlign w:val="center"/>
          </w:tcPr>
          <w:p w14:paraId="4DE114E1" w14:textId="6498032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EAE443" w14:textId="36BCED8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43C717" w14:textId="08F1BE3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3994A5" w14:textId="3D1A4FB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086F3B" w14:textId="357016B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A01CD9" w14:textId="2825178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E7F98B0"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011421F"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1228337"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410BAA8" w14:textId="320502E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0D5AB86" w14:textId="77777777" w:rsidR="004B0524" w:rsidRPr="00CD1278" w:rsidRDefault="004B0524" w:rsidP="007972CD">
            <w:pPr>
              <w:spacing w:after="60"/>
              <w:jc w:val="center"/>
              <w:rPr>
                <w:color w:val="auto"/>
                <w:sz w:val="12"/>
                <w:szCs w:val="12"/>
              </w:rPr>
            </w:pPr>
            <w:r w:rsidRPr="00CD1278">
              <w:rPr>
                <w:color w:val="auto"/>
                <w:sz w:val="12"/>
                <w:szCs w:val="12"/>
              </w:rPr>
              <w:t>0.888</w:t>
            </w:r>
          </w:p>
        </w:tc>
        <w:tc>
          <w:tcPr>
            <w:tcW w:w="567" w:type="dxa"/>
            <w:tcBorders>
              <w:top w:val="nil"/>
              <w:left w:val="nil"/>
              <w:bottom w:val="single" w:sz="8" w:space="0" w:color="auto"/>
              <w:right w:val="single" w:sz="8" w:space="0" w:color="auto"/>
            </w:tcBorders>
            <w:shd w:val="clear" w:color="auto" w:fill="auto"/>
            <w:vAlign w:val="center"/>
          </w:tcPr>
          <w:p w14:paraId="5022347B" w14:textId="054CC50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4435D0" w14:textId="6D2FCCC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D15251" w14:textId="5DD0A8D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4FBA88" w14:textId="28EA2E2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B3A35D" w14:textId="3AFA47A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A8EE3DB" w14:textId="2E9C445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6C8147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4C5CCC7"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34DED4B"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F9551F4" w14:textId="77777777" w:rsidR="004B0524" w:rsidRPr="00CD1278" w:rsidRDefault="004B0524" w:rsidP="007972CD">
            <w:pPr>
              <w:spacing w:after="60"/>
              <w:jc w:val="center"/>
              <w:rPr>
                <w:color w:val="auto"/>
                <w:sz w:val="12"/>
                <w:szCs w:val="12"/>
              </w:rPr>
            </w:pPr>
          </w:p>
        </w:tc>
      </w:tr>
      <w:tr w:rsidR="003C102E" w:rsidRPr="00CD1278" w14:paraId="5F6253BE"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93482BA" w14:textId="77777777" w:rsidR="004B0524" w:rsidRPr="00CD1278" w:rsidRDefault="004B0524" w:rsidP="00DE7A60">
            <w:pPr>
              <w:spacing w:after="60"/>
              <w:rPr>
                <w:color w:val="auto"/>
                <w:sz w:val="12"/>
                <w:szCs w:val="12"/>
              </w:rPr>
            </w:pPr>
            <w:r w:rsidRPr="00CD1278">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vAlign w:val="center"/>
          </w:tcPr>
          <w:p w14:paraId="1E87F7AF" w14:textId="77777777" w:rsidR="004B0524" w:rsidRPr="00CD1278" w:rsidRDefault="004B0524" w:rsidP="007972CD">
            <w:pPr>
              <w:spacing w:after="60"/>
              <w:ind w:left="-83"/>
              <w:rPr>
                <w:color w:val="auto"/>
                <w:sz w:val="12"/>
                <w:szCs w:val="12"/>
              </w:rPr>
            </w:pPr>
            <w:r w:rsidRPr="00CD1278">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6135AD71" w14:textId="77777777" w:rsidR="004B0524" w:rsidRPr="00CD1278" w:rsidRDefault="004B0524" w:rsidP="007972CD">
            <w:pPr>
              <w:spacing w:after="60"/>
              <w:jc w:val="center"/>
              <w:rPr>
                <w:color w:val="auto"/>
                <w:sz w:val="12"/>
                <w:szCs w:val="12"/>
              </w:rPr>
            </w:pPr>
            <w:r w:rsidRPr="00CD1278">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634BC315" w14:textId="77777777" w:rsidR="004B0524" w:rsidRPr="00CD1278" w:rsidRDefault="004B0524" w:rsidP="007972CD">
            <w:pPr>
              <w:spacing w:after="60"/>
              <w:jc w:val="center"/>
              <w:rPr>
                <w:color w:val="auto"/>
                <w:sz w:val="12"/>
                <w:szCs w:val="12"/>
              </w:rPr>
            </w:pPr>
            <w:r w:rsidRPr="00CD1278">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6C87E035" w14:textId="77777777" w:rsidR="004B0524" w:rsidRPr="00CD1278" w:rsidRDefault="004B0524" w:rsidP="007972CD">
            <w:pPr>
              <w:spacing w:after="60"/>
              <w:jc w:val="center"/>
              <w:rPr>
                <w:color w:val="auto"/>
                <w:sz w:val="12"/>
                <w:szCs w:val="12"/>
              </w:rPr>
            </w:pPr>
            <w:r w:rsidRPr="00CD1278">
              <w:rPr>
                <w:color w:val="auto"/>
                <w:sz w:val="12"/>
                <w:szCs w:val="12"/>
              </w:rPr>
              <w:t>0.600</w:t>
            </w:r>
          </w:p>
        </w:tc>
        <w:tc>
          <w:tcPr>
            <w:tcW w:w="567" w:type="dxa"/>
            <w:tcBorders>
              <w:top w:val="nil"/>
              <w:left w:val="nil"/>
              <w:bottom w:val="single" w:sz="8" w:space="0" w:color="auto"/>
              <w:right w:val="single" w:sz="8" w:space="0" w:color="auto"/>
            </w:tcBorders>
            <w:shd w:val="clear" w:color="auto" w:fill="auto"/>
            <w:vAlign w:val="center"/>
          </w:tcPr>
          <w:p w14:paraId="33B13A74" w14:textId="3BF7641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1C4EE1" w14:textId="1CC700E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0AE64E" w14:textId="197A42C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B320CA4" w14:textId="0260DA9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1B9BF0" w14:textId="58AE5D7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3A0E0C" w14:textId="3445A30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E399D41"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352979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28F2312"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8415CDA" w14:textId="77777777" w:rsidR="004B0524" w:rsidRPr="00CD1278" w:rsidRDefault="004B0524" w:rsidP="007972CD">
            <w:pPr>
              <w:spacing w:after="60"/>
              <w:jc w:val="center"/>
              <w:rPr>
                <w:color w:val="auto"/>
                <w:sz w:val="12"/>
                <w:szCs w:val="12"/>
              </w:rPr>
            </w:pPr>
            <w:r w:rsidRPr="00CD1278">
              <w:rPr>
                <w:color w:val="auto"/>
                <w:sz w:val="12"/>
                <w:szCs w:val="12"/>
              </w:rPr>
              <w:t>0.650</w:t>
            </w:r>
          </w:p>
        </w:tc>
        <w:tc>
          <w:tcPr>
            <w:tcW w:w="567" w:type="dxa"/>
            <w:tcBorders>
              <w:top w:val="nil"/>
              <w:left w:val="nil"/>
              <w:bottom w:val="single" w:sz="8" w:space="0" w:color="auto"/>
              <w:right w:val="single" w:sz="8" w:space="0" w:color="auto"/>
            </w:tcBorders>
            <w:shd w:val="clear" w:color="auto" w:fill="auto"/>
            <w:vAlign w:val="center"/>
          </w:tcPr>
          <w:p w14:paraId="5E9405F0" w14:textId="77777777" w:rsidR="004B0524" w:rsidRPr="00CD1278" w:rsidRDefault="004B0524" w:rsidP="007972CD">
            <w:pPr>
              <w:spacing w:after="60"/>
              <w:jc w:val="center"/>
              <w:rPr>
                <w:color w:val="auto"/>
                <w:sz w:val="12"/>
                <w:szCs w:val="12"/>
              </w:rPr>
            </w:pPr>
            <w:r w:rsidRPr="00CD1278">
              <w:rPr>
                <w:color w:val="auto"/>
                <w:sz w:val="12"/>
                <w:szCs w:val="12"/>
              </w:rPr>
              <w:t>0.6500</w:t>
            </w:r>
          </w:p>
        </w:tc>
        <w:tc>
          <w:tcPr>
            <w:tcW w:w="567" w:type="dxa"/>
            <w:tcBorders>
              <w:top w:val="nil"/>
              <w:left w:val="nil"/>
              <w:bottom w:val="single" w:sz="8" w:space="0" w:color="auto"/>
              <w:right w:val="single" w:sz="8" w:space="0" w:color="auto"/>
            </w:tcBorders>
            <w:shd w:val="clear" w:color="auto" w:fill="auto"/>
            <w:vAlign w:val="center"/>
          </w:tcPr>
          <w:p w14:paraId="6FB4B3DB" w14:textId="6E8C6F3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64D970" w14:textId="1C92FD0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1F66158" w14:textId="4E02A96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016E00" w14:textId="572A7BE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E5B850" w14:textId="13E168A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8DCA563" w14:textId="4978869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3C1960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4A4E32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AA545C"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573326C" w14:textId="77777777" w:rsidR="004B0524" w:rsidRPr="00CD1278" w:rsidRDefault="004B0524" w:rsidP="007972CD">
            <w:pPr>
              <w:spacing w:after="60"/>
              <w:jc w:val="center"/>
              <w:rPr>
                <w:color w:val="auto"/>
                <w:sz w:val="12"/>
                <w:szCs w:val="12"/>
              </w:rPr>
            </w:pPr>
          </w:p>
        </w:tc>
      </w:tr>
      <w:tr w:rsidR="003C102E" w:rsidRPr="00CD1278" w14:paraId="79B98E70"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A337943" w14:textId="77777777" w:rsidR="004B0524" w:rsidRPr="00CD1278" w:rsidRDefault="004B0524" w:rsidP="00DE7A60">
            <w:pPr>
              <w:spacing w:after="60"/>
              <w:rPr>
                <w:color w:val="auto"/>
                <w:sz w:val="12"/>
                <w:szCs w:val="12"/>
              </w:rPr>
            </w:pPr>
            <w:r w:rsidRPr="00CD1278">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vAlign w:val="center"/>
          </w:tcPr>
          <w:p w14:paraId="03BFE5FF" w14:textId="77777777" w:rsidR="004B0524" w:rsidRPr="00CD1278" w:rsidRDefault="004B0524" w:rsidP="007972CD">
            <w:pPr>
              <w:spacing w:after="60"/>
              <w:ind w:left="-83"/>
              <w:rPr>
                <w:color w:val="auto"/>
                <w:sz w:val="12"/>
                <w:szCs w:val="12"/>
              </w:rPr>
            </w:pPr>
            <w:r w:rsidRPr="00CD1278">
              <w:rPr>
                <w:color w:val="auto"/>
                <w:sz w:val="12"/>
                <w:szCs w:val="12"/>
              </w:rPr>
              <w:t>Dates (post harvest)</w:t>
            </w:r>
          </w:p>
        </w:tc>
        <w:tc>
          <w:tcPr>
            <w:tcW w:w="567" w:type="dxa"/>
            <w:tcBorders>
              <w:top w:val="nil"/>
              <w:left w:val="nil"/>
              <w:bottom w:val="single" w:sz="8" w:space="0" w:color="auto"/>
              <w:right w:val="single" w:sz="8" w:space="0" w:color="auto"/>
            </w:tcBorders>
            <w:shd w:val="clear" w:color="auto" w:fill="auto"/>
            <w:vAlign w:val="center"/>
          </w:tcPr>
          <w:p w14:paraId="73E71544" w14:textId="77777777" w:rsidR="004B0524" w:rsidRPr="00CD1278" w:rsidRDefault="004B0524" w:rsidP="007972CD">
            <w:pPr>
              <w:spacing w:after="60"/>
              <w:jc w:val="center"/>
              <w:rPr>
                <w:color w:val="auto"/>
                <w:sz w:val="12"/>
                <w:szCs w:val="12"/>
              </w:rPr>
            </w:pPr>
            <w:r w:rsidRPr="00CD1278">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0327C34C" w14:textId="77777777" w:rsidR="004B0524" w:rsidRPr="00CD1278" w:rsidRDefault="004B0524" w:rsidP="007972CD">
            <w:pPr>
              <w:spacing w:after="60"/>
              <w:jc w:val="center"/>
              <w:rPr>
                <w:color w:val="auto"/>
                <w:sz w:val="12"/>
                <w:szCs w:val="12"/>
              </w:rPr>
            </w:pPr>
            <w:r w:rsidRPr="00CD1278">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277BFC2C" w14:textId="77777777" w:rsidR="004B0524" w:rsidRPr="00CD1278" w:rsidRDefault="004B0524" w:rsidP="007972CD">
            <w:pPr>
              <w:spacing w:after="60"/>
              <w:jc w:val="center"/>
              <w:rPr>
                <w:color w:val="auto"/>
                <w:sz w:val="12"/>
                <w:szCs w:val="12"/>
              </w:rPr>
            </w:pPr>
            <w:r w:rsidRPr="00CD1278">
              <w:rPr>
                <w:color w:val="auto"/>
                <w:sz w:val="12"/>
                <w:szCs w:val="12"/>
              </w:rPr>
              <w:t>2.200</w:t>
            </w:r>
          </w:p>
        </w:tc>
        <w:tc>
          <w:tcPr>
            <w:tcW w:w="567" w:type="dxa"/>
            <w:tcBorders>
              <w:top w:val="nil"/>
              <w:left w:val="nil"/>
              <w:bottom w:val="single" w:sz="8" w:space="0" w:color="auto"/>
              <w:right w:val="single" w:sz="8" w:space="0" w:color="auto"/>
            </w:tcBorders>
            <w:shd w:val="clear" w:color="auto" w:fill="auto"/>
            <w:vAlign w:val="center"/>
          </w:tcPr>
          <w:p w14:paraId="5A85FB5A" w14:textId="77777777" w:rsidR="004B0524" w:rsidRPr="00CD1278" w:rsidRDefault="004B0524" w:rsidP="007972CD">
            <w:pPr>
              <w:spacing w:after="60"/>
              <w:jc w:val="center"/>
              <w:rPr>
                <w:color w:val="auto"/>
                <w:sz w:val="12"/>
                <w:szCs w:val="12"/>
              </w:rPr>
            </w:pPr>
            <w:r w:rsidRPr="00CD1278">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61089498" w14:textId="77777777" w:rsidR="004B0524" w:rsidRPr="00CD1278" w:rsidRDefault="004B0524" w:rsidP="007972CD">
            <w:pPr>
              <w:spacing w:after="60"/>
              <w:jc w:val="center"/>
              <w:rPr>
                <w:color w:val="auto"/>
                <w:sz w:val="12"/>
                <w:szCs w:val="12"/>
              </w:rPr>
            </w:pPr>
            <w:r w:rsidRPr="00CD1278">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21397073" w14:textId="2FCF2F7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9BAE77" w14:textId="3A5D747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680D807" w14:textId="2E4A2A4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7EC8BB7" w14:textId="6E4514A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8B8B908"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19F41A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5A72E31"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9A3C4F3" w14:textId="77777777" w:rsidR="004B0524" w:rsidRPr="00CD1278" w:rsidRDefault="004B0524" w:rsidP="007972CD">
            <w:pPr>
              <w:spacing w:after="60"/>
              <w:jc w:val="center"/>
              <w:rPr>
                <w:color w:val="auto"/>
                <w:sz w:val="12"/>
                <w:szCs w:val="12"/>
              </w:rPr>
            </w:pPr>
            <w:r w:rsidRPr="00CD1278">
              <w:rPr>
                <w:color w:val="auto"/>
                <w:sz w:val="12"/>
                <w:szCs w:val="12"/>
              </w:rPr>
              <w:t>3.444</w:t>
            </w:r>
          </w:p>
        </w:tc>
        <w:tc>
          <w:tcPr>
            <w:tcW w:w="567" w:type="dxa"/>
            <w:tcBorders>
              <w:top w:val="nil"/>
              <w:left w:val="nil"/>
              <w:bottom w:val="single" w:sz="8" w:space="0" w:color="auto"/>
              <w:right w:val="single" w:sz="8" w:space="0" w:color="auto"/>
            </w:tcBorders>
            <w:shd w:val="clear" w:color="auto" w:fill="auto"/>
            <w:vAlign w:val="center"/>
          </w:tcPr>
          <w:p w14:paraId="2AC76C21" w14:textId="77777777" w:rsidR="004B0524" w:rsidRPr="00CD1278" w:rsidRDefault="004B0524" w:rsidP="007972CD">
            <w:pPr>
              <w:spacing w:after="60"/>
              <w:jc w:val="center"/>
              <w:rPr>
                <w:color w:val="auto"/>
                <w:sz w:val="12"/>
                <w:szCs w:val="12"/>
              </w:rPr>
            </w:pPr>
            <w:r w:rsidRPr="00CD1278">
              <w:rPr>
                <w:color w:val="auto"/>
                <w:sz w:val="12"/>
                <w:szCs w:val="12"/>
              </w:rPr>
              <w:t>2.755</w:t>
            </w:r>
          </w:p>
        </w:tc>
        <w:tc>
          <w:tcPr>
            <w:tcW w:w="567" w:type="dxa"/>
            <w:tcBorders>
              <w:top w:val="nil"/>
              <w:left w:val="nil"/>
              <w:bottom w:val="single" w:sz="8" w:space="0" w:color="auto"/>
              <w:right w:val="single" w:sz="8" w:space="0" w:color="auto"/>
            </w:tcBorders>
            <w:shd w:val="clear" w:color="auto" w:fill="auto"/>
            <w:vAlign w:val="center"/>
          </w:tcPr>
          <w:p w14:paraId="3F8BFD43" w14:textId="77777777" w:rsidR="004B0524" w:rsidRPr="00CD1278" w:rsidRDefault="004B0524" w:rsidP="007972CD">
            <w:pPr>
              <w:spacing w:after="60"/>
              <w:jc w:val="center"/>
              <w:rPr>
                <w:color w:val="auto"/>
                <w:sz w:val="12"/>
                <w:szCs w:val="12"/>
              </w:rPr>
            </w:pPr>
            <w:r w:rsidRPr="00CD1278">
              <w:rPr>
                <w:color w:val="auto"/>
                <w:sz w:val="12"/>
                <w:szCs w:val="12"/>
              </w:rPr>
              <w:t>2.200</w:t>
            </w:r>
          </w:p>
        </w:tc>
        <w:tc>
          <w:tcPr>
            <w:tcW w:w="567" w:type="dxa"/>
            <w:tcBorders>
              <w:top w:val="nil"/>
              <w:left w:val="nil"/>
              <w:bottom w:val="single" w:sz="8" w:space="0" w:color="auto"/>
              <w:right w:val="single" w:sz="8" w:space="0" w:color="auto"/>
            </w:tcBorders>
            <w:shd w:val="clear" w:color="auto" w:fill="auto"/>
            <w:vAlign w:val="center"/>
          </w:tcPr>
          <w:p w14:paraId="787FD3EB" w14:textId="77777777" w:rsidR="004B0524" w:rsidRPr="00CD1278" w:rsidRDefault="004B0524" w:rsidP="007972CD">
            <w:pPr>
              <w:spacing w:after="60"/>
              <w:jc w:val="center"/>
              <w:rPr>
                <w:color w:val="auto"/>
                <w:sz w:val="12"/>
                <w:szCs w:val="12"/>
              </w:rPr>
            </w:pPr>
            <w:r w:rsidRPr="00CD1278">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5AF1E3BE" w14:textId="77777777" w:rsidR="004B0524" w:rsidRPr="00CD1278" w:rsidRDefault="004B0524" w:rsidP="007972CD">
            <w:pPr>
              <w:spacing w:after="60"/>
              <w:jc w:val="center"/>
              <w:rPr>
                <w:color w:val="auto"/>
                <w:sz w:val="12"/>
                <w:szCs w:val="12"/>
              </w:rPr>
            </w:pPr>
            <w:r w:rsidRPr="00CD1278">
              <w:rPr>
                <w:color w:val="auto"/>
                <w:sz w:val="12"/>
                <w:szCs w:val="12"/>
              </w:rPr>
              <w:t>2.100</w:t>
            </w:r>
          </w:p>
        </w:tc>
        <w:tc>
          <w:tcPr>
            <w:tcW w:w="567" w:type="dxa"/>
            <w:tcBorders>
              <w:top w:val="nil"/>
              <w:left w:val="nil"/>
              <w:bottom w:val="single" w:sz="8" w:space="0" w:color="auto"/>
              <w:right w:val="single" w:sz="8" w:space="0" w:color="auto"/>
            </w:tcBorders>
            <w:shd w:val="clear" w:color="auto" w:fill="auto"/>
            <w:vAlign w:val="center"/>
          </w:tcPr>
          <w:p w14:paraId="0CBAD627" w14:textId="77777777" w:rsidR="004B0524" w:rsidRPr="00CD1278" w:rsidRDefault="004B0524" w:rsidP="007972CD">
            <w:pPr>
              <w:spacing w:after="60"/>
              <w:jc w:val="center"/>
              <w:rPr>
                <w:color w:val="auto"/>
                <w:sz w:val="12"/>
                <w:szCs w:val="12"/>
              </w:rPr>
            </w:pPr>
            <w:r w:rsidRPr="00CD1278">
              <w:rPr>
                <w:color w:val="auto"/>
                <w:sz w:val="12"/>
                <w:szCs w:val="12"/>
              </w:rPr>
              <w:t>1.040</w:t>
            </w:r>
          </w:p>
        </w:tc>
        <w:tc>
          <w:tcPr>
            <w:tcW w:w="567" w:type="dxa"/>
            <w:tcBorders>
              <w:top w:val="nil"/>
              <w:left w:val="nil"/>
              <w:bottom w:val="single" w:sz="8" w:space="0" w:color="auto"/>
              <w:right w:val="single" w:sz="8" w:space="0" w:color="auto"/>
            </w:tcBorders>
            <w:shd w:val="clear" w:color="auto" w:fill="auto"/>
            <w:vAlign w:val="center"/>
          </w:tcPr>
          <w:p w14:paraId="76B65FBF" w14:textId="6B3708B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D840A76" w14:textId="3957170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D92363E"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D37DF8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386692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67CB85D" w14:textId="77777777" w:rsidR="004B0524" w:rsidRPr="00CD1278" w:rsidRDefault="004B0524" w:rsidP="007972CD">
            <w:pPr>
              <w:spacing w:after="60"/>
              <w:jc w:val="center"/>
              <w:rPr>
                <w:color w:val="auto"/>
                <w:sz w:val="12"/>
                <w:szCs w:val="12"/>
              </w:rPr>
            </w:pPr>
          </w:p>
        </w:tc>
      </w:tr>
      <w:tr w:rsidR="003C102E" w:rsidRPr="00CD1278" w14:paraId="44C96C64"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E9A69E7" w14:textId="77777777" w:rsidR="004B0524" w:rsidRPr="00CD1278" w:rsidRDefault="004B0524" w:rsidP="00DE7A60">
            <w:pPr>
              <w:spacing w:after="60"/>
              <w:rPr>
                <w:color w:val="auto"/>
                <w:sz w:val="12"/>
                <w:szCs w:val="12"/>
              </w:rPr>
            </w:pPr>
            <w:r w:rsidRPr="00CD1278">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vAlign w:val="center"/>
          </w:tcPr>
          <w:p w14:paraId="64DDAFA3" w14:textId="77777777" w:rsidR="004B0524" w:rsidRPr="00CD1278" w:rsidRDefault="004B0524" w:rsidP="007972CD">
            <w:pPr>
              <w:spacing w:after="60"/>
              <w:ind w:left="-83"/>
              <w:rPr>
                <w:color w:val="auto"/>
                <w:sz w:val="12"/>
                <w:szCs w:val="12"/>
              </w:rPr>
            </w:pPr>
            <w:r w:rsidRPr="00CD1278">
              <w:rPr>
                <w:color w:val="auto"/>
                <w:sz w:val="12"/>
                <w:szCs w:val="12"/>
              </w:rPr>
              <w:t>Flour mills (machinery &amp; storage)</w:t>
            </w:r>
          </w:p>
        </w:tc>
        <w:tc>
          <w:tcPr>
            <w:tcW w:w="567" w:type="dxa"/>
            <w:tcBorders>
              <w:top w:val="nil"/>
              <w:left w:val="nil"/>
              <w:bottom w:val="single" w:sz="8" w:space="0" w:color="auto"/>
              <w:right w:val="single" w:sz="8" w:space="0" w:color="auto"/>
            </w:tcBorders>
            <w:shd w:val="clear" w:color="auto" w:fill="auto"/>
            <w:vAlign w:val="center"/>
          </w:tcPr>
          <w:p w14:paraId="27A7EF8F" w14:textId="77777777" w:rsidR="004B0524" w:rsidRPr="00CD1278" w:rsidRDefault="004B0524" w:rsidP="007972CD">
            <w:pPr>
              <w:spacing w:after="60"/>
              <w:jc w:val="center"/>
              <w:rPr>
                <w:color w:val="auto"/>
                <w:sz w:val="12"/>
                <w:szCs w:val="12"/>
              </w:rPr>
            </w:pPr>
            <w:r w:rsidRPr="00CD1278">
              <w:rPr>
                <w:color w:val="auto"/>
                <w:sz w:val="12"/>
                <w:szCs w:val="12"/>
              </w:rPr>
              <w:t>2.140</w:t>
            </w:r>
          </w:p>
        </w:tc>
        <w:tc>
          <w:tcPr>
            <w:tcW w:w="567" w:type="dxa"/>
            <w:tcBorders>
              <w:top w:val="nil"/>
              <w:left w:val="nil"/>
              <w:bottom w:val="single" w:sz="8" w:space="0" w:color="auto"/>
              <w:right w:val="single" w:sz="8" w:space="0" w:color="auto"/>
            </w:tcBorders>
            <w:shd w:val="clear" w:color="auto" w:fill="auto"/>
            <w:vAlign w:val="center"/>
          </w:tcPr>
          <w:p w14:paraId="709E17A3" w14:textId="77777777" w:rsidR="004B0524" w:rsidRPr="00CD1278" w:rsidRDefault="004B0524" w:rsidP="007972CD">
            <w:pPr>
              <w:spacing w:after="60"/>
              <w:jc w:val="center"/>
              <w:rPr>
                <w:color w:val="auto"/>
                <w:sz w:val="12"/>
                <w:szCs w:val="12"/>
              </w:rPr>
            </w:pPr>
            <w:r w:rsidRPr="00CD1278">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7BFDCE7C" w14:textId="77777777" w:rsidR="004B0524" w:rsidRPr="00CD1278" w:rsidRDefault="004B0524" w:rsidP="007972CD">
            <w:pPr>
              <w:spacing w:after="60"/>
              <w:jc w:val="center"/>
              <w:rPr>
                <w:color w:val="auto"/>
                <w:sz w:val="12"/>
                <w:szCs w:val="12"/>
              </w:rPr>
            </w:pPr>
            <w:r w:rsidRPr="00CD1278">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52E75811" w14:textId="77777777" w:rsidR="004B0524" w:rsidRPr="00CD1278" w:rsidRDefault="004B0524" w:rsidP="007972CD">
            <w:pPr>
              <w:spacing w:after="60"/>
              <w:jc w:val="center"/>
              <w:rPr>
                <w:color w:val="auto"/>
                <w:sz w:val="12"/>
                <w:szCs w:val="12"/>
              </w:rPr>
            </w:pPr>
            <w:r w:rsidRPr="00CD1278">
              <w:rPr>
                <w:color w:val="auto"/>
                <w:sz w:val="12"/>
                <w:szCs w:val="12"/>
              </w:rPr>
              <w:t>0.800</w:t>
            </w:r>
          </w:p>
        </w:tc>
        <w:tc>
          <w:tcPr>
            <w:tcW w:w="567" w:type="dxa"/>
            <w:tcBorders>
              <w:top w:val="nil"/>
              <w:left w:val="nil"/>
              <w:bottom w:val="single" w:sz="8" w:space="0" w:color="auto"/>
              <w:right w:val="single" w:sz="8" w:space="0" w:color="auto"/>
            </w:tcBorders>
            <w:shd w:val="clear" w:color="auto" w:fill="auto"/>
            <w:vAlign w:val="center"/>
          </w:tcPr>
          <w:p w14:paraId="102A691C" w14:textId="77777777" w:rsidR="004B0524" w:rsidRPr="00CD1278" w:rsidRDefault="004B0524" w:rsidP="007972CD">
            <w:pPr>
              <w:spacing w:after="60"/>
              <w:jc w:val="center"/>
              <w:rPr>
                <w:color w:val="auto"/>
                <w:sz w:val="12"/>
                <w:szCs w:val="12"/>
              </w:rPr>
            </w:pPr>
            <w:r w:rsidRPr="00CD1278">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460EFDFC" w14:textId="5D1BFFD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3289D5" w14:textId="1633158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DE8FB0" w14:textId="40CDB2E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63B2E93" w14:textId="2E5475F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7769CDD"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C6C8D7F"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B7D185A"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91C1F05" w14:textId="77777777" w:rsidR="004B0524" w:rsidRPr="00CD1278" w:rsidRDefault="004B0524" w:rsidP="007972CD">
            <w:pPr>
              <w:spacing w:after="60"/>
              <w:jc w:val="center"/>
              <w:rPr>
                <w:color w:val="auto"/>
                <w:sz w:val="12"/>
                <w:szCs w:val="12"/>
              </w:rPr>
            </w:pPr>
            <w:r w:rsidRPr="00CD1278">
              <w:rPr>
                <w:color w:val="auto"/>
                <w:sz w:val="12"/>
                <w:szCs w:val="12"/>
              </w:rPr>
              <w:t>2.140</w:t>
            </w:r>
          </w:p>
        </w:tc>
        <w:tc>
          <w:tcPr>
            <w:tcW w:w="567" w:type="dxa"/>
            <w:tcBorders>
              <w:top w:val="nil"/>
              <w:left w:val="nil"/>
              <w:bottom w:val="single" w:sz="8" w:space="0" w:color="auto"/>
              <w:right w:val="single" w:sz="8" w:space="0" w:color="auto"/>
            </w:tcBorders>
            <w:shd w:val="clear" w:color="auto" w:fill="auto"/>
            <w:vAlign w:val="center"/>
          </w:tcPr>
          <w:p w14:paraId="66DED2FD" w14:textId="77777777" w:rsidR="004B0524" w:rsidRPr="00CD1278" w:rsidRDefault="004B0524" w:rsidP="007972CD">
            <w:pPr>
              <w:spacing w:after="60"/>
              <w:jc w:val="center"/>
              <w:rPr>
                <w:color w:val="auto"/>
                <w:sz w:val="12"/>
                <w:szCs w:val="12"/>
              </w:rPr>
            </w:pPr>
            <w:r w:rsidRPr="00CD1278">
              <w:rPr>
                <w:color w:val="auto"/>
                <w:sz w:val="12"/>
                <w:szCs w:val="12"/>
              </w:rPr>
              <w:t>1.490</w:t>
            </w:r>
          </w:p>
        </w:tc>
        <w:tc>
          <w:tcPr>
            <w:tcW w:w="567" w:type="dxa"/>
            <w:tcBorders>
              <w:top w:val="nil"/>
              <w:left w:val="nil"/>
              <w:bottom w:val="single" w:sz="8" w:space="0" w:color="auto"/>
              <w:right w:val="single" w:sz="8" w:space="0" w:color="auto"/>
            </w:tcBorders>
            <w:shd w:val="clear" w:color="auto" w:fill="auto"/>
            <w:vAlign w:val="center"/>
          </w:tcPr>
          <w:p w14:paraId="0D511B64" w14:textId="77777777" w:rsidR="004B0524" w:rsidRPr="00CD1278" w:rsidRDefault="004B0524" w:rsidP="007972CD">
            <w:pPr>
              <w:spacing w:after="60"/>
              <w:jc w:val="center"/>
              <w:rPr>
                <w:color w:val="auto"/>
                <w:sz w:val="12"/>
                <w:szCs w:val="12"/>
              </w:rPr>
            </w:pPr>
            <w:r w:rsidRPr="00CD1278">
              <w:rPr>
                <w:color w:val="auto"/>
                <w:sz w:val="12"/>
                <w:szCs w:val="12"/>
              </w:rPr>
              <w:t>1.040</w:t>
            </w:r>
          </w:p>
        </w:tc>
        <w:tc>
          <w:tcPr>
            <w:tcW w:w="567" w:type="dxa"/>
            <w:tcBorders>
              <w:top w:val="nil"/>
              <w:left w:val="nil"/>
              <w:bottom w:val="single" w:sz="8" w:space="0" w:color="auto"/>
              <w:right w:val="single" w:sz="8" w:space="0" w:color="auto"/>
            </w:tcBorders>
            <w:shd w:val="clear" w:color="auto" w:fill="auto"/>
            <w:vAlign w:val="center"/>
          </w:tcPr>
          <w:p w14:paraId="7B9478E2" w14:textId="77777777" w:rsidR="004B0524" w:rsidRPr="00CD1278" w:rsidRDefault="004B0524" w:rsidP="007972CD">
            <w:pPr>
              <w:spacing w:after="60"/>
              <w:jc w:val="center"/>
              <w:rPr>
                <w:color w:val="auto"/>
                <w:sz w:val="12"/>
                <w:szCs w:val="12"/>
              </w:rPr>
            </w:pPr>
            <w:r w:rsidRPr="00CD1278">
              <w:rPr>
                <w:color w:val="auto"/>
                <w:sz w:val="12"/>
                <w:szCs w:val="12"/>
              </w:rPr>
              <w:t>0.312</w:t>
            </w:r>
          </w:p>
        </w:tc>
        <w:tc>
          <w:tcPr>
            <w:tcW w:w="567" w:type="dxa"/>
            <w:tcBorders>
              <w:top w:val="nil"/>
              <w:left w:val="nil"/>
              <w:bottom w:val="single" w:sz="8" w:space="0" w:color="auto"/>
              <w:right w:val="single" w:sz="8" w:space="0" w:color="auto"/>
            </w:tcBorders>
            <w:shd w:val="clear" w:color="auto" w:fill="auto"/>
            <w:vAlign w:val="center"/>
          </w:tcPr>
          <w:p w14:paraId="09EE60BA" w14:textId="77777777" w:rsidR="004B0524" w:rsidRPr="00CD1278" w:rsidRDefault="004B0524" w:rsidP="007972CD">
            <w:pPr>
              <w:spacing w:after="60"/>
              <w:jc w:val="center"/>
              <w:rPr>
                <w:color w:val="auto"/>
                <w:sz w:val="12"/>
                <w:szCs w:val="12"/>
              </w:rPr>
            </w:pPr>
            <w:r w:rsidRPr="00CD1278">
              <w:rPr>
                <w:color w:val="auto"/>
                <w:sz w:val="12"/>
                <w:szCs w:val="12"/>
              </w:rPr>
              <w:t>0.300</w:t>
            </w:r>
          </w:p>
        </w:tc>
        <w:tc>
          <w:tcPr>
            <w:tcW w:w="567" w:type="dxa"/>
            <w:tcBorders>
              <w:top w:val="nil"/>
              <w:left w:val="nil"/>
              <w:bottom w:val="single" w:sz="8" w:space="0" w:color="auto"/>
              <w:right w:val="single" w:sz="8" w:space="0" w:color="auto"/>
            </w:tcBorders>
            <w:shd w:val="clear" w:color="auto" w:fill="auto"/>
            <w:vAlign w:val="center"/>
          </w:tcPr>
          <w:p w14:paraId="19018555" w14:textId="793DA9B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A64C579" w14:textId="4DA3D0E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6F8AA9E" w14:textId="2092137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CB64C4E"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89A5587"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D00C5C"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F770A0C" w14:textId="77777777" w:rsidR="004B0524" w:rsidRPr="00CD1278" w:rsidRDefault="004B0524" w:rsidP="007972CD">
            <w:pPr>
              <w:spacing w:after="60"/>
              <w:jc w:val="center"/>
              <w:rPr>
                <w:color w:val="auto"/>
                <w:sz w:val="12"/>
                <w:szCs w:val="12"/>
              </w:rPr>
            </w:pPr>
          </w:p>
        </w:tc>
      </w:tr>
      <w:tr w:rsidR="003C102E" w:rsidRPr="00CD1278" w14:paraId="2B75B696"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E4FFFE2" w14:textId="77777777" w:rsidR="004B0524" w:rsidRPr="00CD1278" w:rsidRDefault="004B0524" w:rsidP="00DE7A60">
            <w:pPr>
              <w:spacing w:after="60"/>
              <w:rPr>
                <w:color w:val="auto"/>
                <w:sz w:val="12"/>
                <w:szCs w:val="12"/>
              </w:rPr>
            </w:pPr>
            <w:r w:rsidRPr="00CD1278">
              <w:rPr>
                <w:color w:val="auto"/>
                <w:sz w:val="12"/>
                <w:szCs w:val="12"/>
              </w:rPr>
              <w:t xml:space="preserve">Israel </w:t>
            </w:r>
          </w:p>
        </w:tc>
        <w:tc>
          <w:tcPr>
            <w:tcW w:w="818" w:type="dxa"/>
            <w:tcBorders>
              <w:top w:val="nil"/>
              <w:left w:val="nil"/>
              <w:bottom w:val="single" w:sz="8" w:space="0" w:color="auto"/>
              <w:right w:val="single" w:sz="8" w:space="0" w:color="auto"/>
            </w:tcBorders>
            <w:shd w:val="clear" w:color="auto" w:fill="auto"/>
            <w:vAlign w:val="center"/>
          </w:tcPr>
          <w:p w14:paraId="5E186CD9" w14:textId="77777777" w:rsidR="004B0524" w:rsidRPr="00CD1278" w:rsidRDefault="004B0524" w:rsidP="007972CD">
            <w:pPr>
              <w:spacing w:after="60"/>
              <w:ind w:left="-83"/>
              <w:rPr>
                <w:color w:val="auto"/>
                <w:sz w:val="12"/>
                <w:szCs w:val="12"/>
              </w:rPr>
            </w:pPr>
            <w:r w:rsidRPr="00CD1278">
              <w:rPr>
                <w:color w:val="auto"/>
                <w:sz w:val="12"/>
                <w:szCs w:val="12"/>
              </w:rPr>
              <w:t>Furniture– imported</w:t>
            </w:r>
          </w:p>
        </w:tc>
        <w:tc>
          <w:tcPr>
            <w:tcW w:w="567" w:type="dxa"/>
            <w:tcBorders>
              <w:top w:val="nil"/>
              <w:left w:val="nil"/>
              <w:bottom w:val="single" w:sz="8" w:space="0" w:color="auto"/>
              <w:right w:val="single" w:sz="8" w:space="0" w:color="auto"/>
            </w:tcBorders>
            <w:shd w:val="clear" w:color="auto" w:fill="auto"/>
            <w:vAlign w:val="center"/>
          </w:tcPr>
          <w:p w14:paraId="6A14A276" w14:textId="77777777" w:rsidR="004B0524" w:rsidRPr="00CD1278" w:rsidRDefault="004B0524" w:rsidP="007972CD">
            <w:pPr>
              <w:spacing w:after="60"/>
              <w:jc w:val="center"/>
              <w:rPr>
                <w:color w:val="auto"/>
                <w:sz w:val="12"/>
                <w:szCs w:val="12"/>
              </w:rPr>
            </w:pPr>
            <w:r w:rsidRPr="00CD1278">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34A97CB5" w14:textId="77777777" w:rsidR="004B0524" w:rsidRPr="00CD1278" w:rsidRDefault="004B0524" w:rsidP="007972CD">
            <w:pPr>
              <w:spacing w:after="60"/>
              <w:jc w:val="center"/>
              <w:rPr>
                <w:color w:val="auto"/>
                <w:sz w:val="12"/>
                <w:szCs w:val="12"/>
              </w:rPr>
            </w:pPr>
            <w:r w:rsidRPr="00CD1278">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6521FE8C" w14:textId="77777777" w:rsidR="004B0524" w:rsidRPr="00CD1278" w:rsidRDefault="004B0524" w:rsidP="007972CD">
            <w:pPr>
              <w:spacing w:after="60"/>
              <w:jc w:val="center"/>
              <w:rPr>
                <w:color w:val="auto"/>
                <w:sz w:val="12"/>
                <w:szCs w:val="12"/>
              </w:rPr>
            </w:pPr>
            <w:r w:rsidRPr="00CD1278">
              <w:rPr>
                <w:color w:val="auto"/>
                <w:sz w:val="12"/>
                <w:szCs w:val="12"/>
              </w:rPr>
              <w:t>2.0420</w:t>
            </w:r>
          </w:p>
        </w:tc>
        <w:tc>
          <w:tcPr>
            <w:tcW w:w="567" w:type="dxa"/>
            <w:tcBorders>
              <w:top w:val="nil"/>
              <w:left w:val="nil"/>
              <w:bottom w:val="single" w:sz="8" w:space="0" w:color="auto"/>
              <w:right w:val="single" w:sz="8" w:space="0" w:color="auto"/>
            </w:tcBorders>
            <w:shd w:val="clear" w:color="auto" w:fill="auto"/>
            <w:vAlign w:val="center"/>
          </w:tcPr>
          <w:p w14:paraId="642F360C" w14:textId="1F00DAF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394780" w14:textId="7EDD652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A78A482" w14:textId="0E7DD20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4BF31C" w14:textId="0BEEEFA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BA4885" w14:textId="686C610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7CFDDF" w14:textId="20D2824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8240889"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9685646"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2C2817D"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AEE6BE2" w14:textId="77777777" w:rsidR="004B0524" w:rsidRPr="00CD1278" w:rsidRDefault="004B0524" w:rsidP="007972CD">
            <w:pPr>
              <w:spacing w:after="60"/>
              <w:jc w:val="center"/>
              <w:rPr>
                <w:color w:val="auto"/>
                <w:sz w:val="12"/>
                <w:szCs w:val="12"/>
              </w:rPr>
            </w:pPr>
            <w:r w:rsidRPr="00CD1278">
              <w:rPr>
                <w:color w:val="auto"/>
                <w:sz w:val="12"/>
                <w:szCs w:val="12"/>
              </w:rPr>
              <w:t>1.4220</w:t>
            </w:r>
          </w:p>
        </w:tc>
        <w:tc>
          <w:tcPr>
            <w:tcW w:w="567" w:type="dxa"/>
            <w:tcBorders>
              <w:top w:val="nil"/>
              <w:left w:val="nil"/>
              <w:bottom w:val="single" w:sz="8" w:space="0" w:color="auto"/>
              <w:right w:val="single" w:sz="8" w:space="0" w:color="auto"/>
            </w:tcBorders>
            <w:shd w:val="clear" w:color="auto" w:fill="auto"/>
            <w:vAlign w:val="center"/>
          </w:tcPr>
          <w:p w14:paraId="77AD7DE9" w14:textId="77777777" w:rsidR="004B0524" w:rsidRPr="00CD1278" w:rsidRDefault="004B0524" w:rsidP="007972CD">
            <w:pPr>
              <w:spacing w:after="60"/>
              <w:jc w:val="center"/>
              <w:rPr>
                <w:color w:val="auto"/>
                <w:sz w:val="12"/>
                <w:szCs w:val="12"/>
              </w:rPr>
            </w:pPr>
            <w:r w:rsidRPr="00CD1278">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55C4586B" w14:textId="46DD0E5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880D59D" w14:textId="297B5DE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8FD296" w14:textId="7CCDE89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8E8334" w14:textId="025FDC5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74C635D" w14:textId="3295C5F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88CE231" w14:textId="36D8309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CE51E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92A196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F1CC37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D8326D5" w14:textId="77777777" w:rsidR="004B0524" w:rsidRPr="00CD1278" w:rsidRDefault="004B0524" w:rsidP="007972CD">
            <w:pPr>
              <w:spacing w:after="60"/>
              <w:jc w:val="center"/>
              <w:rPr>
                <w:color w:val="auto"/>
                <w:sz w:val="12"/>
                <w:szCs w:val="12"/>
              </w:rPr>
            </w:pPr>
          </w:p>
        </w:tc>
      </w:tr>
      <w:tr w:rsidR="003C102E" w:rsidRPr="00CD1278" w14:paraId="2B989E38"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DEA600C" w14:textId="77777777" w:rsidR="004B0524" w:rsidRPr="00CD1278" w:rsidRDefault="004B0524" w:rsidP="00DE7A60">
            <w:pPr>
              <w:spacing w:after="60"/>
              <w:rPr>
                <w:color w:val="auto"/>
                <w:sz w:val="12"/>
                <w:szCs w:val="12"/>
              </w:rPr>
            </w:pPr>
            <w:r w:rsidRPr="00CD1278">
              <w:rPr>
                <w:color w:val="auto"/>
                <w:sz w:val="12"/>
                <w:szCs w:val="12"/>
              </w:rPr>
              <w:t xml:space="preserve">Italy </w:t>
            </w:r>
          </w:p>
        </w:tc>
        <w:tc>
          <w:tcPr>
            <w:tcW w:w="818" w:type="dxa"/>
            <w:tcBorders>
              <w:top w:val="nil"/>
              <w:left w:val="nil"/>
              <w:bottom w:val="single" w:sz="8" w:space="0" w:color="auto"/>
              <w:right w:val="single" w:sz="8" w:space="0" w:color="auto"/>
            </w:tcBorders>
            <w:shd w:val="clear" w:color="auto" w:fill="auto"/>
            <w:vAlign w:val="center"/>
          </w:tcPr>
          <w:p w14:paraId="0373981C" w14:textId="77777777" w:rsidR="004B0524" w:rsidRPr="00CD1278" w:rsidRDefault="004B0524" w:rsidP="007972CD">
            <w:pPr>
              <w:spacing w:after="60"/>
              <w:ind w:left="-83"/>
              <w:rPr>
                <w:color w:val="auto"/>
                <w:sz w:val="12"/>
                <w:szCs w:val="12"/>
              </w:rPr>
            </w:pPr>
            <w:r w:rsidRPr="00CD1278">
              <w:rPr>
                <w:color w:val="auto"/>
                <w:sz w:val="12"/>
                <w:szCs w:val="12"/>
              </w:rPr>
              <w:t>Artefacts</w:t>
            </w:r>
          </w:p>
        </w:tc>
        <w:tc>
          <w:tcPr>
            <w:tcW w:w="567" w:type="dxa"/>
            <w:tcBorders>
              <w:top w:val="nil"/>
              <w:left w:val="nil"/>
              <w:bottom w:val="single" w:sz="8" w:space="0" w:color="auto"/>
              <w:right w:val="single" w:sz="8" w:space="0" w:color="auto"/>
            </w:tcBorders>
            <w:shd w:val="clear" w:color="auto" w:fill="auto"/>
            <w:vAlign w:val="center"/>
          </w:tcPr>
          <w:p w14:paraId="049F254B" w14:textId="77777777" w:rsidR="004B0524" w:rsidRPr="00CD1278" w:rsidRDefault="004B0524" w:rsidP="007972CD">
            <w:pPr>
              <w:spacing w:after="60"/>
              <w:jc w:val="center"/>
              <w:rPr>
                <w:color w:val="auto"/>
                <w:sz w:val="12"/>
                <w:szCs w:val="12"/>
              </w:rPr>
            </w:pPr>
            <w:r w:rsidRPr="00CD1278">
              <w:rPr>
                <w:color w:val="auto"/>
                <w:sz w:val="12"/>
                <w:szCs w:val="12"/>
              </w:rPr>
              <w:t>5.500</w:t>
            </w:r>
          </w:p>
        </w:tc>
        <w:tc>
          <w:tcPr>
            <w:tcW w:w="567" w:type="dxa"/>
            <w:tcBorders>
              <w:top w:val="nil"/>
              <w:left w:val="nil"/>
              <w:bottom w:val="single" w:sz="8" w:space="0" w:color="auto"/>
              <w:right w:val="single" w:sz="8" w:space="0" w:color="auto"/>
            </w:tcBorders>
            <w:shd w:val="clear" w:color="auto" w:fill="auto"/>
            <w:vAlign w:val="center"/>
          </w:tcPr>
          <w:p w14:paraId="68666DC8" w14:textId="77777777" w:rsidR="004B0524" w:rsidRPr="00CD1278" w:rsidRDefault="004B0524" w:rsidP="007972CD">
            <w:pPr>
              <w:spacing w:after="60"/>
              <w:jc w:val="center"/>
              <w:rPr>
                <w:color w:val="auto"/>
                <w:sz w:val="12"/>
                <w:szCs w:val="12"/>
              </w:rPr>
            </w:pPr>
            <w:r w:rsidRPr="00CD1278">
              <w:rPr>
                <w:color w:val="auto"/>
                <w:sz w:val="12"/>
                <w:szCs w:val="12"/>
              </w:rPr>
              <w:t>5.500</w:t>
            </w:r>
          </w:p>
        </w:tc>
        <w:tc>
          <w:tcPr>
            <w:tcW w:w="567" w:type="dxa"/>
            <w:tcBorders>
              <w:top w:val="nil"/>
              <w:left w:val="nil"/>
              <w:bottom w:val="single" w:sz="8" w:space="0" w:color="auto"/>
              <w:right w:val="single" w:sz="8" w:space="0" w:color="auto"/>
            </w:tcBorders>
            <w:shd w:val="clear" w:color="auto" w:fill="auto"/>
            <w:vAlign w:val="center"/>
          </w:tcPr>
          <w:p w14:paraId="3C8E930F" w14:textId="77777777" w:rsidR="004B0524" w:rsidRPr="00CD1278" w:rsidRDefault="004B0524" w:rsidP="007972CD">
            <w:pPr>
              <w:spacing w:after="60"/>
              <w:jc w:val="center"/>
              <w:rPr>
                <w:color w:val="auto"/>
                <w:sz w:val="12"/>
                <w:szCs w:val="12"/>
              </w:rPr>
            </w:pPr>
            <w:r w:rsidRPr="00CD1278">
              <w:rPr>
                <w:color w:val="auto"/>
                <w:sz w:val="12"/>
                <w:szCs w:val="12"/>
              </w:rPr>
              <w:t>5.000</w:t>
            </w:r>
          </w:p>
        </w:tc>
        <w:tc>
          <w:tcPr>
            <w:tcW w:w="567" w:type="dxa"/>
            <w:tcBorders>
              <w:top w:val="nil"/>
              <w:left w:val="nil"/>
              <w:bottom w:val="single" w:sz="8" w:space="0" w:color="auto"/>
              <w:right w:val="single" w:sz="8" w:space="0" w:color="auto"/>
            </w:tcBorders>
            <w:shd w:val="clear" w:color="auto" w:fill="auto"/>
            <w:vAlign w:val="center"/>
          </w:tcPr>
          <w:p w14:paraId="44AC7486" w14:textId="1ECD8AA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FF1CDC" w14:textId="4E4D8C3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402F825" w14:textId="1009593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F65D37" w14:textId="51AFC1F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62BC2E" w14:textId="5EB1ACD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4DA0934" w14:textId="613FF10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B9FD739"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E107C8D"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986F4B4"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966822B" w14:textId="77777777" w:rsidR="004B0524" w:rsidRPr="00CD1278" w:rsidRDefault="004B0524" w:rsidP="007972CD">
            <w:pPr>
              <w:spacing w:after="60"/>
              <w:jc w:val="center"/>
              <w:rPr>
                <w:color w:val="auto"/>
                <w:sz w:val="12"/>
                <w:szCs w:val="12"/>
              </w:rPr>
            </w:pPr>
            <w:r w:rsidRPr="00CD1278">
              <w:rPr>
                <w:color w:val="auto"/>
                <w:sz w:val="12"/>
                <w:szCs w:val="12"/>
              </w:rPr>
              <w:t>5.225</w:t>
            </w:r>
          </w:p>
        </w:tc>
        <w:tc>
          <w:tcPr>
            <w:tcW w:w="567" w:type="dxa"/>
            <w:tcBorders>
              <w:top w:val="nil"/>
              <w:left w:val="nil"/>
              <w:bottom w:val="single" w:sz="8" w:space="0" w:color="auto"/>
              <w:right w:val="single" w:sz="8" w:space="0" w:color="auto"/>
            </w:tcBorders>
            <w:shd w:val="clear" w:color="auto" w:fill="auto"/>
            <w:vAlign w:val="center"/>
          </w:tcPr>
          <w:p w14:paraId="4C9C9139" w14:textId="77777777" w:rsidR="004B0524" w:rsidRPr="00CD1278" w:rsidRDefault="004B0524" w:rsidP="007972CD">
            <w:pPr>
              <w:spacing w:after="60"/>
              <w:jc w:val="center"/>
              <w:rPr>
                <w:color w:val="auto"/>
                <w:sz w:val="12"/>
                <w:szCs w:val="12"/>
              </w:rPr>
            </w:pPr>
            <w:r w:rsidRPr="00CD1278">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2D7C1D3C" w14:textId="77777777" w:rsidR="004B0524" w:rsidRPr="00CD1278" w:rsidRDefault="004B0524" w:rsidP="007972CD">
            <w:pPr>
              <w:spacing w:after="60"/>
              <w:jc w:val="center"/>
              <w:rPr>
                <w:color w:val="auto"/>
                <w:sz w:val="12"/>
                <w:szCs w:val="12"/>
              </w:rPr>
            </w:pPr>
            <w:r w:rsidRPr="00CD1278">
              <w:rPr>
                <w:color w:val="auto"/>
                <w:sz w:val="12"/>
                <w:szCs w:val="12"/>
              </w:rPr>
              <w:t>5.000</w:t>
            </w:r>
          </w:p>
        </w:tc>
        <w:tc>
          <w:tcPr>
            <w:tcW w:w="567" w:type="dxa"/>
            <w:tcBorders>
              <w:top w:val="nil"/>
              <w:left w:val="nil"/>
              <w:bottom w:val="single" w:sz="8" w:space="0" w:color="auto"/>
              <w:right w:val="single" w:sz="8" w:space="0" w:color="auto"/>
            </w:tcBorders>
            <w:shd w:val="clear" w:color="auto" w:fill="auto"/>
            <w:vAlign w:val="center"/>
          </w:tcPr>
          <w:p w14:paraId="0D7A655C" w14:textId="6D0F1D6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B8F36BE" w14:textId="77E782D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33D2F8" w14:textId="079308D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F31338F" w14:textId="2EC5C88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D93C905" w14:textId="74AB19B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993970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E1531E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E27F5E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12A032" w14:textId="77777777" w:rsidR="004B0524" w:rsidRPr="00CD1278" w:rsidRDefault="004B0524" w:rsidP="007972CD">
            <w:pPr>
              <w:spacing w:after="60"/>
              <w:jc w:val="center"/>
              <w:rPr>
                <w:color w:val="auto"/>
                <w:sz w:val="12"/>
                <w:szCs w:val="12"/>
              </w:rPr>
            </w:pPr>
          </w:p>
        </w:tc>
      </w:tr>
      <w:tr w:rsidR="003C102E" w:rsidRPr="00CD1278" w14:paraId="0BCA33F6"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8FA8E28" w14:textId="77777777" w:rsidR="004B0524" w:rsidRPr="00CD1278" w:rsidRDefault="004B0524" w:rsidP="00DE7A60">
            <w:pPr>
              <w:spacing w:after="60"/>
              <w:rPr>
                <w:color w:val="auto"/>
                <w:sz w:val="12"/>
                <w:szCs w:val="12"/>
              </w:rPr>
            </w:pPr>
            <w:r w:rsidRPr="00CD1278">
              <w:rPr>
                <w:color w:val="auto"/>
                <w:sz w:val="12"/>
                <w:szCs w:val="12"/>
              </w:rPr>
              <w:t xml:space="preserve">Italy </w:t>
            </w:r>
          </w:p>
        </w:tc>
        <w:tc>
          <w:tcPr>
            <w:tcW w:w="818" w:type="dxa"/>
            <w:tcBorders>
              <w:top w:val="nil"/>
              <w:left w:val="nil"/>
              <w:bottom w:val="single" w:sz="8" w:space="0" w:color="auto"/>
              <w:right w:val="single" w:sz="8" w:space="0" w:color="auto"/>
            </w:tcBorders>
            <w:shd w:val="clear" w:color="auto" w:fill="auto"/>
            <w:vAlign w:val="center"/>
          </w:tcPr>
          <w:p w14:paraId="5F2C56C4" w14:textId="77777777" w:rsidR="004B0524" w:rsidRPr="00CD1278" w:rsidRDefault="004B0524" w:rsidP="007972CD">
            <w:pPr>
              <w:spacing w:after="60"/>
              <w:ind w:left="-83"/>
              <w:rPr>
                <w:color w:val="auto"/>
                <w:sz w:val="12"/>
                <w:szCs w:val="12"/>
              </w:rPr>
            </w:pPr>
            <w:r w:rsidRPr="00CD1278">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43098CEC" w14:textId="77777777" w:rsidR="004B0524" w:rsidRPr="00CD1278" w:rsidRDefault="004B0524" w:rsidP="007972CD">
            <w:pPr>
              <w:spacing w:after="60"/>
              <w:jc w:val="center"/>
              <w:rPr>
                <w:color w:val="auto"/>
                <w:sz w:val="12"/>
                <w:szCs w:val="12"/>
              </w:rPr>
            </w:pPr>
            <w:r w:rsidRPr="00CD1278">
              <w:rPr>
                <w:color w:val="auto"/>
                <w:sz w:val="12"/>
                <w:szCs w:val="12"/>
              </w:rPr>
              <w:t>160.000</w:t>
            </w:r>
          </w:p>
        </w:tc>
        <w:tc>
          <w:tcPr>
            <w:tcW w:w="567" w:type="dxa"/>
            <w:tcBorders>
              <w:top w:val="nil"/>
              <w:left w:val="nil"/>
              <w:bottom w:val="single" w:sz="8" w:space="0" w:color="auto"/>
              <w:right w:val="single" w:sz="8" w:space="0" w:color="auto"/>
            </w:tcBorders>
            <w:shd w:val="clear" w:color="auto" w:fill="auto"/>
            <w:vAlign w:val="center"/>
          </w:tcPr>
          <w:p w14:paraId="60700CE7" w14:textId="77777777" w:rsidR="004B0524" w:rsidRPr="00CD1278" w:rsidRDefault="004B0524" w:rsidP="007972CD">
            <w:pPr>
              <w:spacing w:after="60"/>
              <w:jc w:val="center"/>
              <w:rPr>
                <w:color w:val="auto"/>
                <w:sz w:val="12"/>
                <w:szCs w:val="12"/>
              </w:rPr>
            </w:pPr>
            <w:r w:rsidRPr="00CD1278">
              <w:rPr>
                <w:color w:val="auto"/>
                <w:sz w:val="12"/>
                <w:szCs w:val="12"/>
              </w:rPr>
              <w:t>130.000</w:t>
            </w:r>
          </w:p>
        </w:tc>
        <w:tc>
          <w:tcPr>
            <w:tcW w:w="567" w:type="dxa"/>
            <w:tcBorders>
              <w:top w:val="nil"/>
              <w:left w:val="nil"/>
              <w:bottom w:val="single" w:sz="8" w:space="0" w:color="auto"/>
              <w:right w:val="single" w:sz="8" w:space="0" w:color="auto"/>
            </w:tcBorders>
            <w:shd w:val="clear" w:color="auto" w:fill="auto"/>
            <w:vAlign w:val="center"/>
          </w:tcPr>
          <w:p w14:paraId="45ABEB96" w14:textId="77777777" w:rsidR="004B0524" w:rsidRPr="00CD1278" w:rsidRDefault="004B0524" w:rsidP="007972CD">
            <w:pPr>
              <w:spacing w:after="60"/>
              <w:jc w:val="center"/>
              <w:rPr>
                <w:color w:val="auto"/>
                <w:sz w:val="12"/>
                <w:szCs w:val="12"/>
              </w:rPr>
            </w:pPr>
            <w:r w:rsidRPr="00CD1278">
              <w:rPr>
                <w:color w:val="auto"/>
                <w:sz w:val="12"/>
                <w:szCs w:val="12"/>
              </w:rPr>
              <w:t>25.000</w:t>
            </w:r>
          </w:p>
        </w:tc>
        <w:tc>
          <w:tcPr>
            <w:tcW w:w="567" w:type="dxa"/>
            <w:tcBorders>
              <w:top w:val="nil"/>
              <w:left w:val="nil"/>
              <w:bottom w:val="single" w:sz="8" w:space="0" w:color="auto"/>
              <w:right w:val="single" w:sz="8" w:space="0" w:color="auto"/>
            </w:tcBorders>
            <w:shd w:val="clear" w:color="auto" w:fill="auto"/>
            <w:vAlign w:val="center"/>
          </w:tcPr>
          <w:p w14:paraId="6F79A205" w14:textId="63067B8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49936D" w14:textId="0ABE32E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A98EF2" w14:textId="3DB4871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8DDA54A" w14:textId="51B0354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1AFDBF" w14:textId="6FF8EB8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855784" w14:textId="3B6FF10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E7B0F3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204580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BB2A9BC"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0268848" w14:textId="77777777" w:rsidR="004B0524" w:rsidRPr="00CD1278" w:rsidRDefault="004B0524" w:rsidP="007972CD">
            <w:pPr>
              <w:spacing w:after="60"/>
              <w:jc w:val="center"/>
              <w:rPr>
                <w:color w:val="auto"/>
                <w:sz w:val="12"/>
                <w:szCs w:val="12"/>
              </w:rPr>
            </w:pPr>
            <w:r w:rsidRPr="00CD1278">
              <w:rPr>
                <w:color w:val="auto"/>
                <w:sz w:val="12"/>
                <w:szCs w:val="12"/>
              </w:rPr>
              <w:t>160.000</w:t>
            </w:r>
          </w:p>
        </w:tc>
        <w:tc>
          <w:tcPr>
            <w:tcW w:w="567" w:type="dxa"/>
            <w:tcBorders>
              <w:top w:val="nil"/>
              <w:left w:val="nil"/>
              <w:bottom w:val="single" w:sz="8" w:space="0" w:color="auto"/>
              <w:right w:val="single" w:sz="8" w:space="0" w:color="auto"/>
            </w:tcBorders>
            <w:shd w:val="clear" w:color="auto" w:fill="auto"/>
            <w:vAlign w:val="center"/>
          </w:tcPr>
          <w:p w14:paraId="11471D15" w14:textId="77777777" w:rsidR="004B0524" w:rsidRPr="00CD1278" w:rsidRDefault="004B0524" w:rsidP="007972CD">
            <w:pPr>
              <w:spacing w:after="60"/>
              <w:jc w:val="center"/>
              <w:rPr>
                <w:color w:val="auto"/>
                <w:sz w:val="12"/>
                <w:szCs w:val="12"/>
              </w:rPr>
            </w:pPr>
            <w:r w:rsidRPr="00CD1278">
              <w:rPr>
                <w:color w:val="auto"/>
                <w:sz w:val="12"/>
                <w:szCs w:val="12"/>
              </w:rPr>
              <w:t>65.000</w:t>
            </w:r>
          </w:p>
        </w:tc>
        <w:tc>
          <w:tcPr>
            <w:tcW w:w="567" w:type="dxa"/>
            <w:tcBorders>
              <w:top w:val="nil"/>
              <w:left w:val="nil"/>
              <w:bottom w:val="single" w:sz="8" w:space="0" w:color="auto"/>
              <w:right w:val="single" w:sz="8" w:space="0" w:color="auto"/>
            </w:tcBorders>
            <w:shd w:val="clear" w:color="auto" w:fill="auto"/>
            <w:vAlign w:val="center"/>
          </w:tcPr>
          <w:p w14:paraId="703369E5" w14:textId="77777777" w:rsidR="004B0524" w:rsidRPr="00CD1278" w:rsidRDefault="004B0524" w:rsidP="007972CD">
            <w:pPr>
              <w:spacing w:after="60"/>
              <w:jc w:val="center"/>
              <w:rPr>
                <w:color w:val="auto"/>
                <w:sz w:val="12"/>
                <w:szCs w:val="12"/>
              </w:rPr>
            </w:pPr>
            <w:r w:rsidRPr="00CD1278">
              <w:rPr>
                <w:color w:val="auto"/>
                <w:sz w:val="12"/>
                <w:szCs w:val="12"/>
              </w:rPr>
              <w:t>25.000</w:t>
            </w:r>
          </w:p>
        </w:tc>
        <w:tc>
          <w:tcPr>
            <w:tcW w:w="567" w:type="dxa"/>
            <w:tcBorders>
              <w:top w:val="nil"/>
              <w:left w:val="nil"/>
              <w:bottom w:val="single" w:sz="8" w:space="0" w:color="auto"/>
              <w:right w:val="single" w:sz="8" w:space="0" w:color="auto"/>
            </w:tcBorders>
            <w:shd w:val="clear" w:color="auto" w:fill="auto"/>
            <w:vAlign w:val="center"/>
          </w:tcPr>
          <w:p w14:paraId="7F726A07" w14:textId="507F98A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35A87DA" w14:textId="4A100E1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1A9309" w14:textId="64F976D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D8775C5" w14:textId="5152462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0BDD491" w14:textId="5C59B9F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D909BE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FB92BCE"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DD25DAB"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A604F2C" w14:textId="77777777" w:rsidR="004B0524" w:rsidRPr="00CD1278" w:rsidRDefault="004B0524" w:rsidP="007972CD">
            <w:pPr>
              <w:spacing w:after="60"/>
              <w:jc w:val="center"/>
              <w:rPr>
                <w:color w:val="auto"/>
                <w:sz w:val="12"/>
                <w:szCs w:val="12"/>
              </w:rPr>
            </w:pPr>
          </w:p>
        </w:tc>
      </w:tr>
      <w:tr w:rsidR="003C102E" w:rsidRPr="00CD1278" w14:paraId="1339BECB"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7382A33" w14:textId="77777777" w:rsidR="004B0524" w:rsidRPr="00CD1278" w:rsidRDefault="004B0524" w:rsidP="00DE7A60">
            <w:pPr>
              <w:spacing w:after="60"/>
              <w:rPr>
                <w:color w:val="auto"/>
                <w:sz w:val="12"/>
                <w:szCs w:val="12"/>
              </w:rPr>
            </w:pPr>
            <w:r w:rsidRPr="00CD1278">
              <w:rPr>
                <w:color w:val="auto"/>
                <w:sz w:val="12"/>
                <w:szCs w:val="12"/>
              </w:rPr>
              <w:t xml:space="preserve">Japan </w:t>
            </w:r>
          </w:p>
        </w:tc>
        <w:tc>
          <w:tcPr>
            <w:tcW w:w="818" w:type="dxa"/>
            <w:tcBorders>
              <w:top w:val="nil"/>
              <w:left w:val="nil"/>
              <w:bottom w:val="single" w:sz="8" w:space="0" w:color="auto"/>
              <w:right w:val="single" w:sz="8" w:space="0" w:color="auto"/>
            </w:tcBorders>
            <w:shd w:val="clear" w:color="auto" w:fill="auto"/>
            <w:vAlign w:val="center"/>
          </w:tcPr>
          <w:p w14:paraId="70B7CB74" w14:textId="77777777" w:rsidR="004B0524" w:rsidRPr="00CD1278" w:rsidRDefault="004B0524" w:rsidP="007972CD">
            <w:pPr>
              <w:spacing w:after="60"/>
              <w:ind w:left="-83"/>
              <w:rPr>
                <w:color w:val="auto"/>
                <w:sz w:val="12"/>
                <w:szCs w:val="12"/>
              </w:rPr>
            </w:pPr>
            <w:r w:rsidRPr="00CD1278">
              <w:rPr>
                <w:color w:val="auto"/>
                <w:sz w:val="12"/>
                <w:szCs w:val="12"/>
              </w:rPr>
              <w:t>Chestnuts</w:t>
            </w:r>
          </w:p>
        </w:tc>
        <w:tc>
          <w:tcPr>
            <w:tcW w:w="567" w:type="dxa"/>
            <w:tcBorders>
              <w:top w:val="nil"/>
              <w:left w:val="nil"/>
              <w:bottom w:val="single" w:sz="8" w:space="0" w:color="auto"/>
              <w:right w:val="single" w:sz="8" w:space="0" w:color="auto"/>
            </w:tcBorders>
            <w:shd w:val="clear" w:color="auto" w:fill="auto"/>
            <w:vAlign w:val="center"/>
          </w:tcPr>
          <w:p w14:paraId="560514AE" w14:textId="77777777" w:rsidR="004B0524" w:rsidRPr="00CD1278" w:rsidRDefault="004B0524" w:rsidP="007972CD">
            <w:pPr>
              <w:spacing w:after="60"/>
              <w:jc w:val="center"/>
              <w:rPr>
                <w:color w:val="auto"/>
                <w:sz w:val="12"/>
                <w:szCs w:val="12"/>
              </w:rPr>
            </w:pPr>
            <w:r w:rsidRPr="00CD1278">
              <w:rPr>
                <w:color w:val="auto"/>
                <w:sz w:val="12"/>
                <w:szCs w:val="12"/>
              </w:rPr>
              <w:t>7.100</w:t>
            </w:r>
          </w:p>
        </w:tc>
        <w:tc>
          <w:tcPr>
            <w:tcW w:w="567" w:type="dxa"/>
            <w:tcBorders>
              <w:top w:val="nil"/>
              <w:left w:val="nil"/>
              <w:bottom w:val="single" w:sz="8" w:space="0" w:color="auto"/>
              <w:right w:val="single" w:sz="8" w:space="0" w:color="auto"/>
            </w:tcBorders>
            <w:shd w:val="clear" w:color="auto" w:fill="auto"/>
            <w:vAlign w:val="center"/>
          </w:tcPr>
          <w:p w14:paraId="1BF734A6" w14:textId="77777777" w:rsidR="004B0524" w:rsidRPr="00CD1278" w:rsidRDefault="004B0524" w:rsidP="007972CD">
            <w:pPr>
              <w:spacing w:after="60"/>
              <w:jc w:val="center"/>
              <w:rPr>
                <w:color w:val="auto"/>
                <w:sz w:val="12"/>
                <w:szCs w:val="12"/>
              </w:rPr>
            </w:pPr>
            <w:r w:rsidRPr="00CD1278">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75AB8B2F" w14:textId="77777777" w:rsidR="004B0524" w:rsidRPr="00CD1278" w:rsidRDefault="004B0524" w:rsidP="007972CD">
            <w:pPr>
              <w:spacing w:after="60"/>
              <w:jc w:val="center"/>
              <w:rPr>
                <w:color w:val="auto"/>
                <w:sz w:val="12"/>
                <w:szCs w:val="12"/>
              </w:rPr>
            </w:pPr>
            <w:r w:rsidRPr="00CD1278">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510783D5" w14:textId="77777777" w:rsidR="004B0524" w:rsidRPr="00CD1278" w:rsidRDefault="004B0524" w:rsidP="007972CD">
            <w:pPr>
              <w:spacing w:after="60"/>
              <w:jc w:val="center"/>
              <w:rPr>
                <w:color w:val="auto"/>
                <w:sz w:val="12"/>
                <w:szCs w:val="12"/>
              </w:rPr>
            </w:pPr>
            <w:r w:rsidRPr="00CD1278">
              <w:rPr>
                <w:color w:val="auto"/>
                <w:sz w:val="12"/>
                <w:szCs w:val="12"/>
              </w:rPr>
              <w:t>6.300</w:t>
            </w:r>
          </w:p>
        </w:tc>
        <w:tc>
          <w:tcPr>
            <w:tcW w:w="567" w:type="dxa"/>
            <w:tcBorders>
              <w:top w:val="nil"/>
              <w:left w:val="nil"/>
              <w:bottom w:val="single" w:sz="8" w:space="0" w:color="auto"/>
              <w:right w:val="single" w:sz="8" w:space="0" w:color="auto"/>
            </w:tcBorders>
            <w:shd w:val="clear" w:color="auto" w:fill="auto"/>
            <w:vAlign w:val="center"/>
          </w:tcPr>
          <w:p w14:paraId="285962AA" w14:textId="77777777" w:rsidR="004B0524" w:rsidRPr="00CD1278" w:rsidRDefault="004B0524" w:rsidP="007972CD">
            <w:pPr>
              <w:spacing w:after="60"/>
              <w:jc w:val="center"/>
              <w:rPr>
                <w:color w:val="auto"/>
                <w:sz w:val="12"/>
                <w:szCs w:val="12"/>
              </w:rPr>
            </w:pPr>
            <w:r w:rsidRPr="00CD1278">
              <w:rPr>
                <w:color w:val="auto"/>
                <w:sz w:val="12"/>
                <w:szCs w:val="12"/>
              </w:rPr>
              <w:t>5.800</w:t>
            </w:r>
          </w:p>
        </w:tc>
        <w:tc>
          <w:tcPr>
            <w:tcW w:w="567" w:type="dxa"/>
            <w:tcBorders>
              <w:top w:val="nil"/>
              <w:left w:val="nil"/>
              <w:bottom w:val="single" w:sz="8" w:space="0" w:color="auto"/>
              <w:right w:val="single" w:sz="8" w:space="0" w:color="auto"/>
            </w:tcBorders>
            <w:shd w:val="clear" w:color="auto" w:fill="auto"/>
            <w:vAlign w:val="center"/>
          </w:tcPr>
          <w:p w14:paraId="082AD6E6" w14:textId="77777777" w:rsidR="004B0524" w:rsidRPr="00CD1278" w:rsidRDefault="004B0524" w:rsidP="007972CD">
            <w:pPr>
              <w:spacing w:after="60"/>
              <w:jc w:val="center"/>
              <w:rPr>
                <w:color w:val="auto"/>
                <w:sz w:val="12"/>
                <w:szCs w:val="12"/>
              </w:rPr>
            </w:pPr>
            <w:r w:rsidRPr="00CD1278">
              <w:rPr>
                <w:color w:val="auto"/>
                <w:sz w:val="12"/>
                <w:szCs w:val="12"/>
              </w:rPr>
              <w:t>5.400</w:t>
            </w:r>
          </w:p>
        </w:tc>
        <w:tc>
          <w:tcPr>
            <w:tcW w:w="567" w:type="dxa"/>
            <w:tcBorders>
              <w:top w:val="nil"/>
              <w:left w:val="nil"/>
              <w:bottom w:val="single" w:sz="8" w:space="0" w:color="auto"/>
              <w:right w:val="single" w:sz="8" w:space="0" w:color="auto"/>
            </w:tcBorders>
            <w:shd w:val="clear" w:color="auto" w:fill="auto"/>
            <w:vAlign w:val="center"/>
          </w:tcPr>
          <w:p w14:paraId="6E82DF70" w14:textId="77777777" w:rsidR="004B0524" w:rsidRPr="00CD1278" w:rsidRDefault="004B0524" w:rsidP="007972CD">
            <w:pPr>
              <w:spacing w:after="60"/>
              <w:jc w:val="center"/>
              <w:rPr>
                <w:color w:val="auto"/>
                <w:sz w:val="12"/>
                <w:szCs w:val="12"/>
              </w:rPr>
            </w:pPr>
            <w:r w:rsidRPr="00CD1278">
              <w:rPr>
                <w:color w:val="auto"/>
                <w:sz w:val="12"/>
                <w:szCs w:val="12"/>
              </w:rPr>
              <w:t>5.350</w:t>
            </w:r>
          </w:p>
        </w:tc>
        <w:tc>
          <w:tcPr>
            <w:tcW w:w="567" w:type="dxa"/>
            <w:tcBorders>
              <w:top w:val="nil"/>
              <w:left w:val="nil"/>
              <w:bottom w:val="single" w:sz="8" w:space="0" w:color="auto"/>
              <w:right w:val="single" w:sz="8" w:space="0" w:color="auto"/>
            </w:tcBorders>
            <w:shd w:val="clear" w:color="auto" w:fill="auto"/>
            <w:vAlign w:val="center"/>
          </w:tcPr>
          <w:p w14:paraId="2DC2BA22" w14:textId="77777777" w:rsidR="004B0524" w:rsidRPr="00CD1278" w:rsidRDefault="004B0524" w:rsidP="007972CD">
            <w:pPr>
              <w:spacing w:after="60"/>
              <w:jc w:val="center"/>
              <w:rPr>
                <w:color w:val="auto"/>
                <w:sz w:val="12"/>
                <w:szCs w:val="12"/>
              </w:rPr>
            </w:pPr>
            <w:r w:rsidRPr="00CD1278">
              <w:rPr>
                <w:color w:val="auto"/>
                <w:sz w:val="12"/>
                <w:szCs w:val="12"/>
              </w:rPr>
              <w:t>3.489</w:t>
            </w:r>
          </w:p>
        </w:tc>
        <w:tc>
          <w:tcPr>
            <w:tcW w:w="567" w:type="dxa"/>
            <w:tcBorders>
              <w:top w:val="nil"/>
              <w:left w:val="nil"/>
              <w:bottom w:val="single" w:sz="8" w:space="0" w:color="auto"/>
              <w:right w:val="single" w:sz="8" w:space="0" w:color="auto"/>
            </w:tcBorders>
            <w:shd w:val="clear" w:color="auto" w:fill="auto"/>
            <w:vAlign w:val="center"/>
          </w:tcPr>
          <w:p w14:paraId="226B7A4D" w14:textId="77777777" w:rsidR="004B0524" w:rsidRPr="00CD1278" w:rsidRDefault="004B0524" w:rsidP="007972CD">
            <w:pPr>
              <w:spacing w:after="60"/>
              <w:jc w:val="center"/>
              <w:rPr>
                <w:color w:val="auto"/>
                <w:sz w:val="12"/>
                <w:szCs w:val="12"/>
              </w:rPr>
            </w:pPr>
            <w:r w:rsidRPr="00CD1278">
              <w:rPr>
                <w:color w:val="auto"/>
                <w:sz w:val="12"/>
                <w:szCs w:val="12"/>
              </w:rPr>
              <w:t>3.317</w:t>
            </w:r>
          </w:p>
        </w:tc>
        <w:tc>
          <w:tcPr>
            <w:tcW w:w="567" w:type="dxa"/>
            <w:tcBorders>
              <w:top w:val="nil"/>
              <w:left w:val="nil"/>
              <w:bottom w:val="single" w:sz="8" w:space="0" w:color="auto"/>
              <w:right w:val="single" w:sz="4" w:space="0" w:color="auto"/>
            </w:tcBorders>
            <w:vAlign w:val="center"/>
          </w:tcPr>
          <w:p w14:paraId="103FAE8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617EAC7"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E96BDCC"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7FBE4FE" w14:textId="77777777" w:rsidR="004B0524" w:rsidRPr="00CD1278" w:rsidRDefault="004B0524" w:rsidP="007972CD">
            <w:pPr>
              <w:spacing w:after="60"/>
              <w:jc w:val="center"/>
              <w:rPr>
                <w:color w:val="auto"/>
                <w:sz w:val="12"/>
                <w:szCs w:val="12"/>
              </w:rPr>
            </w:pPr>
            <w:r w:rsidRPr="00CD1278">
              <w:rPr>
                <w:color w:val="auto"/>
                <w:sz w:val="12"/>
                <w:szCs w:val="12"/>
              </w:rPr>
              <w:t>7.100</w:t>
            </w:r>
          </w:p>
        </w:tc>
        <w:tc>
          <w:tcPr>
            <w:tcW w:w="567" w:type="dxa"/>
            <w:tcBorders>
              <w:top w:val="nil"/>
              <w:left w:val="nil"/>
              <w:bottom w:val="single" w:sz="8" w:space="0" w:color="auto"/>
              <w:right w:val="single" w:sz="8" w:space="0" w:color="auto"/>
            </w:tcBorders>
            <w:shd w:val="clear" w:color="auto" w:fill="auto"/>
            <w:vAlign w:val="center"/>
          </w:tcPr>
          <w:p w14:paraId="258CD2B8" w14:textId="77777777" w:rsidR="004B0524" w:rsidRPr="00CD1278" w:rsidRDefault="004B0524" w:rsidP="007972CD">
            <w:pPr>
              <w:spacing w:after="60"/>
              <w:jc w:val="center"/>
              <w:rPr>
                <w:color w:val="auto"/>
                <w:sz w:val="12"/>
                <w:szCs w:val="12"/>
              </w:rPr>
            </w:pPr>
            <w:r w:rsidRPr="00CD1278">
              <w:rPr>
                <w:color w:val="auto"/>
                <w:sz w:val="12"/>
                <w:szCs w:val="12"/>
              </w:rPr>
              <w:t>6.800</w:t>
            </w:r>
          </w:p>
        </w:tc>
        <w:tc>
          <w:tcPr>
            <w:tcW w:w="567" w:type="dxa"/>
            <w:tcBorders>
              <w:top w:val="nil"/>
              <w:left w:val="nil"/>
              <w:bottom w:val="single" w:sz="8" w:space="0" w:color="auto"/>
              <w:right w:val="single" w:sz="8" w:space="0" w:color="auto"/>
            </w:tcBorders>
            <w:shd w:val="clear" w:color="auto" w:fill="auto"/>
            <w:vAlign w:val="center"/>
          </w:tcPr>
          <w:p w14:paraId="267CACA5" w14:textId="77777777" w:rsidR="004B0524" w:rsidRPr="00CD1278" w:rsidRDefault="004B0524" w:rsidP="007972CD">
            <w:pPr>
              <w:spacing w:after="60"/>
              <w:jc w:val="center"/>
              <w:rPr>
                <w:color w:val="auto"/>
                <w:sz w:val="12"/>
                <w:szCs w:val="12"/>
              </w:rPr>
            </w:pPr>
            <w:r w:rsidRPr="00CD1278">
              <w:rPr>
                <w:color w:val="auto"/>
                <w:sz w:val="12"/>
                <w:szCs w:val="12"/>
              </w:rPr>
              <w:t>6.500</w:t>
            </w:r>
          </w:p>
        </w:tc>
        <w:tc>
          <w:tcPr>
            <w:tcW w:w="567" w:type="dxa"/>
            <w:tcBorders>
              <w:top w:val="nil"/>
              <w:left w:val="nil"/>
              <w:bottom w:val="single" w:sz="8" w:space="0" w:color="auto"/>
              <w:right w:val="single" w:sz="8" w:space="0" w:color="auto"/>
            </w:tcBorders>
            <w:shd w:val="clear" w:color="auto" w:fill="auto"/>
            <w:vAlign w:val="center"/>
          </w:tcPr>
          <w:p w14:paraId="17F7FA94" w14:textId="77777777" w:rsidR="004B0524" w:rsidRPr="00CD1278" w:rsidRDefault="004B0524" w:rsidP="007972CD">
            <w:pPr>
              <w:spacing w:after="60"/>
              <w:jc w:val="center"/>
              <w:rPr>
                <w:color w:val="auto"/>
                <w:sz w:val="12"/>
                <w:szCs w:val="12"/>
              </w:rPr>
            </w:pPr>
            <w:r w:rsidRPr="00CD1278">
              <w:rPr>
                <w:color w:val="auto"/>
                <w:sz w:val="12"/>
                <w:szCs w:val="12"/>
              </w:rPr>
              <w:t>6.300</w:t>
            </w:r>
          </w:p>
        </w:tc>
        <w:tc>
          <w:tcPr>
            <w:tcW w:w="567" w:type="dxa"/>
            <w:tcBorders>
              <w:top w:val="nil"/>
              <w:left w:val="nil"/>
              <w:bottom w:val="single" w:sz="8" w:space="0" w:color="auto"/>
              <w:right w:val="single" w:sz="8" w:space="0" w:color="auto"/>
            </w:tcBorders>
            <w:shd w:val="clear" w:color="auto" w:fill="auto"/>
            <w:vAlign w:val="center"/>
          </w:tcPr>
          <w:p w14:paraId="1F54C1EE" w14:textId="77777777" w:rsidR="004B0524" w:rsidRPr="00CD1278" w:rsidRDefault="004B0524" w:rsidP="007972CD">
            <w:pPr>
              <w:spacing w:after="60"/>
              <w:jc w:val="center"/>
              <w:rPr>
                <w:color w:val="auto"/>
                <w:sz w:val="12"/>
                <w:szCs w:val="12"/>
              </w:rPr>
            </w:pPr>
            <w:r w:rsidRPr="00CD1278">
              <w:rPr>
                <w:color w:val="auto"/>
                <w:sz w:val="12"/>
                <w:szCs w:val="12"/>
              </w:rPr>
              <w:t>5.800</w:t>
            </w:r>
          </w:p>
        </w:tc>
        <w:tc>
          <w:tcPr>
            <w:tcW w:w="567" w:type="dxa"/>
            <w:tcBorders>
              <w:top w:val="nil"/>
              <w:left w:val="nil"/>
              <w:bottom w:val="single" w:sz="8" w:space="0" w:color="auto"/>
              <w:right w:val="single" w:sz="8" w:space="0" w:color="auto"/>
            </w:tcBorders>
            <w:shd w:val="clear" w:color="auto" w:fill="auto"/>
            <w:vAlign w:val="center"/>
          </w:tcPr>
          <w:p w14:paraId="11A089DA" w14:textId="77777777" w:rsidR="004B0524" w:rsidRPr="00CD1278" w:rsidRDefault="004B0524" w:rsidP="007972CD">
            <w:pPr>
              <w:spacing w:after="60"/>
              <w:jc w:val="center"/>
              <w:rPr>
                <w:color w:val="auto"/>
                <w:sz w:val="12"/>
                <w:szCs w:val="12"/>
              </w:rPr>
            </w:pPr>
            <w:r w:rsidRPr="00CD1278">
              <w:rPr>
                <w:color w:val="auto"/>
                <w:sz w:val="12"/>
                <w:szCs w:val="12"/>
              </w:rPr>
              <w:t>5.400</w:t>
            </w:r>
          </w:p>
        </w:tc>
        <w:tc>
          <w:tcPr>
            <w:tcW w:w="567" w:type="dxa"/>
            <w:tcBorders>
              <w:top w:val="nil"/>
              <w:left w:val="nil"/>
              <w:bottom w:val="single" w:sz="8" w:space="0" w:color="auto"/>
              <w:right w:val="single" w:sz="8" w:space="0" w:color="auto"/>
            </w:tcBorders>
            <w:shd w:val="clear" w:color="auto" w:fill="auto"/>
            <w:vAlign w:val="center"/>
          </w:tcPr>
          <w:p w14:paraId="56D5211F" w14:textId="77777777" w:rsidR="004B0524" w:rsidRPr="00CD1278" w:rsidRDefault="004B0524" w:rsidP="007972CD">
            <w:pPr>
              <w:spacing w:after="60"/>
              <w:jc w:val="center"/>
              <w:rPr>
                <w:color w:val="auto"/>
                <w:sz w:val="12"/>
                <w:szCs w:val="12"/>
              </w:rPr>
            </w:pPr>
            <w:r w:rsidRPr="00CD1278">
              <w:rPr>
                <w:color w:val="auto"/>
                <w:sz w:val="12"/>
                <w:szCs w:val="12"/>
              </w:rPr>
              <w:t>5.350</w:t>
            </w:r>
          </w:p>
        </w:tc>
        <w:tc>
          <w:tcPr>
            <w:tcW w:w="567" w:type="dxa"/>
            <w:tcBorders>
              <w:top w:val="nil"/>
              <w:left w:val="nil"/>
              <w:bottom w:val="single" w:sz="8" w:space="0" w:color="auto"/>
              <w:right w:val="single" w:sz="8" w:space="0" w:color="auto"/>
            </w:tcBorders>
            <w:shd w:val="clear" w:color="auto" w:fill="auto"/>
            <w:noWrap/>
            <w:vAlign w:val="center"/>
          </w:tcPr>
          <w:p w14:paraId="4964938E" w14:textId="793FAE89" w:rsidR="004B0524" w:rsidRPr="00CD1278" w:rsidRDefault="004B0524" w:rsidP="007972CD">
            <w:pPr>
              <w:spacing w:after="60"/>
              <w:jc w:val="center"/>
              <w:rPr>
                <w:color w:val="auto"/>
                <w:sz w:val="12"/>
                <w:szCs w:val="12"/>
              </w:rPr>
            </w:pPr>
            <w:r w:rsidRPr="00CD1278">
              <w:rPr>
                <w:color w:val="auto"/>
                <w:sz w:val="12"/>
                <w:szCs w:val="12"/>
              </w:rPr>
              <w:t>3.489</w:t>
            </w:r>
          </w:p>
        </w:tc>
        <w:tc>
          <w:tcPr>
            <w:tcW w:w="567" w:type="dxa"/>
            <w:tcBorders>
              <w:top w:val="nil"/>
              <w:left w:val="nil"/>
              <w:bottom w:val="single" w:sz="8" w:space="0" w:color="auto"/>
              <w:right w:val="single" w:sz="8" w:space="0" w:color="auto"/>
            </w:tcBorders>
            <w:vAlign w:val="center"/>
          </w:tcPr>
          <w:p w14:paraId="327D7AA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2D6A71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FD40793"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433686C" w14:textId="77777777" w:rsidR="004B0524" w:rsidRPr="00CD1278" w:rsidRDefault="004B0524" w:rsidP="007972CD">
            <w:pPr>
              <w:spacing w:after="60"/>
              <w:jc w:val="center"/>
              <w:rPr>
                <w:color w:val="auto"/>
                <w:sz w:val="12"/>
                <w:szCs w:val="12"/>
              </w:rPr>
            </w:pPr>
          </w:p>
        </w:tc>
      </w:tr>
      <w:tr w:rsidR="003C102E" w:rsidRPr="00CD1278" w14:paraId="474498F9"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9593722" w14:textId="77777777" w:rsidR="004B0524" w:rsidRPr="00CD1278" w:rsidRDefault="004B0524" w:rsidP="00DE7A60">
            <w:pPr>
              <w:spacing w:after="60"/>
              <w:rPr>
                <w:color w:val="auto"/>
                <w:sz w:val="12"/>
                <w:szCs w:val="12"/>
              </w:rPr>
            </w:pPr>
            <w:r w:rsidRPr="00CD1278">
              <w:rPr>
                <w:color w:val="auto"/>
                <w:sz w:val="12"/>
                <w:szCs w:val="12"/>
              </w:rPr>
              <w:t xml:space="preserve">Latvia </w:t>
            </w:r>
          </w:p>
        </w:tc>
        <w:tc>
          <w:tcPr>
            <w:tcW w:w="818" w:type="dxa"/>
            <w:tcBorders>
              <w:top w:val="nil"/>
              <w:left w:val="nil"/>
              <w:bottom w:val="single" w:sz="8" w:space="0" w:color="auto"/>
              <w:right w:val="single" w:sz="8" w:space="0" w:color="auto"/>
            </w:tcBorders>
            <w:shd w:val="clear" w:color="auto" w:fill="auto"/>
            <w:vAlign w:val="center"/>
          </w:tcPr>
          <w:p w14:paraId="5EA4CE78" w14:textId="77777777" w:rsidR="004B0524" w:rsidRPr="00CD1278" w:rsidRDefault="004B0524" w:rsidP="007972CD">
            <w:pPr>
              <w:spacing w:after="60"/>
              <w:ind w:left="-83"/>
              <w:rPr>
                <w:color w:val="auto"/>
                <w:sz w:val="12"/>
                <w:szCs w:val="12"/>
              </w:rPr>
            </w:pPr>
            <w:r w:rsidRPr="00CD1278">
              <w:rPr>
                <w:color w:val="auto"/>
                <w:sz w:val="12"/>
                <w:szCs w:val="12"/>
              </w:rPr>
              <w:t>Grains</w:t>
            </w:r>
          </w:p>
        </w:tc>
        <w:tc>
          <w:tcPr>
            <w:tcW w:w="567" w:type="dxa"/>
            <w:tcBorders>
              <w:top w:val="nil"/>
              <w:left w:val="nil"/>
              <w:bottom w:val="single" w:sz="8" w:space="0" w:color="auto"/>
              <w:right w:val="single" w:sz="8" w:space="0" w:color="auto"/>
            </w:tcBorders>
            <w:shd w:val="clear" w:color="auto" w:fill="auto"/>
            <w:vAlign w:val="center"/>
          </w:tcPr>
          <w:p w14:paraId="7391B77E" w14:textId="1B17C95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395E2D" w14:textId="77777777" w:rsidR="004B0524" w:rsidRPr="00CD1278" w:rsidRDefault="004B0524" w:rsidP="007972CD">
            <w:pPr>
              <w:spacing w:after="60"/>
              <w:jc w:val="center"/>
              <w:rPr>
                <w:color w:val="auto"/>
                <w:sz w:val="12"/>
                <w:szCs w:val="12"/>
              </w:rPr>
            </w:pPr>
            <w:r w:rsidRPr="00CD1278">
              <w:rPr>
                <w:color w:val="auto"/>
                <w:sz w:val="12"/>
                <w:szCs w:val="12"/>
              </w:rPr>
              <w:t>2.502</w:t>
            </w:r>
          </w:p>
        </w:tc>
        <w:tc>
          <w:tcPr>
            <w:tcW w:w="567" w:type="dxa"/>
            <w:tcBorders>
              <w:top w:val="nil"/>
              <w:left w:val="nil"/>
              <w:bottom w:val="single" w:sz="8" w:space="0" w:color="auto"/>
              <w:right w:val="single" w:sz="8" w:space="0" w:color="auto"/>
            </w:tcBorders>
            <w:shd w:val="clear" w:color="auto" w:fill="auto"/>
            <w:vAlign w:val="center"/>
          </w:tcPr>
          <w:p w14:paraId="0BDEB280" w14:textId="7A94B78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729D48" w14:textId="365249A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08C99E" w14:textId="0DDF822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52B92FC" w14:textId="5291C64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B28631" w14:textId="3D7041A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2D2EBEE" w14:textId="16943FF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B1D30A" w14:textId="5066064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0FA0EB6"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4131B0F"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C01D81A"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DCC4C7D" w14:textId="750C743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19F3898" w14:textId="77777777" w:rsidR="004B0524" w:rsidRPr="00CD1278" w:rsidRDefault="004B0524" w:rsidP="007972CD">
            <w:pPr>
              <w:spacing w:after="60"/>
              <w:jc w:val="center"/>
              <w:rPr>
                <w:color w:val="auto"/>
                <w:sz w:val="12"/>
                <w:szCs w:val="12"/>
              </w:rPr>
            </w:pPr>
            <w:r w:rsidRPr="00CD1278">
              <w:rPr>
                <w:color w:val="auto"/>
                <w:sz w:val="12"/>
                <w:szCs w:val="12"/>
              </w:rPr>
              <w:t>2.502</w:t>
            </w:r>
          </w:p>
        </w:tc>
        <w:tc>
          <w:tcPr>
            <w:tcW w:w="567" w:type="dxa"/>
            <w:tcBorders>
              <w:top w:val="nil"/>
              <w:left w:val="nil"/>
              <w:bottom w:val="single" w:sz="8" w:space="0" w:color="auto"/>
              <w:right w:val="single" w:sz="8" w:space="0" w:color="auto"/>
            </w:tcBorders>
            <w:shd w:val="clear" w:color="auto" w:fill="auto"/>
            <w:vAlign w:val="center"/>
          </w:tcPr>
          <w:p w14:paraId="444AE93F" w14:textId="79D33D5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8E3016A" w14:textId="37E4367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7B9E5BA" w14:textId="4909B48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AEB61D" w14:textId="145F048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8D2A16" w14:textId="1C3D309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09466A3" w14:textId="727EF01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8324120"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AF92E29"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46CA3F3"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6DA7EF0" w14:textId="77777777" w:rsidR="004B0524" w:rsidRPr="00CD1278" w:rsidRDefault="004B0524" w:rsidP="007972CD">
            <w:pPr>
              <w:spacing w:after="60"/>
              <w:jc w:val="center"/>
              <w:rPr>
                <w:color w:val="auto"/>
                <w:sz w:val="12"/>
                <w:szCs w:val="12"/>
              </w:rPr>
            </w:pPr>
          </w:p>
        </w:tc>
      </w:tr>
      <w:tr w:rsidR="003C102E" w:rsidRPr="00CD1278" w14:paraId="61373C5D" w14:textId="77777777" w:rsidTr="00DE7A60">
        <w:trPr>
          <w:cantSplit/>
          <w:trHeight w:val="359"/>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DAD75DB" w14:textId="77777777" w:rsidR="004B0524" w:rsidRPr="00CD1278" w:rsidRDefault="004B0524" w:rsidP="00DE7A60">
            <w:pPr>
              <w:spacing w:after="60"/>
              <w:rPr>
                <w:color w:val="auto"/>
                <w:sz w:val="12"/>
                <w:szCs w:val="12"/>
              </w:rPr>
            </w:pPr>
            <w:r w:rsidRPr="00CD1278">
              <w:rPr>
                <w:color w:val="auto"/>
                <w:sz w:val="12"/>
                <w:szCs w:val="12"/>
              </w:rPr>
              <w:t xml:space="preserve">Netherlands </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728F0D86" w14:textId="77777777" w:rsidR="004B0524" w:rsidRPr="00CD1278" w:rsidRDefault="004B0524" w:rsidP="007972CD">
            <w:pPr>
              <w:spacing w:after="60"/>
              <w:ind w:left="-83"/>
              <w:rPr>
                <w:color w:val="auto"/>
                <w:sz w:val="12"/>
                <w:szCs w:val="12"/>
              </w:rPr>
            </w:pPr>
            <w:r w:rsidRPr="00CD1278">
              <w:rPr>
                <w:color w:val="auto"/>
                <w:sz w:val="12"/>
                <w:szCs w:val="12"/>
              </w:rPr>
              <w:t>Strawberry runners post harvest</w:t>
            </w:r>
          </w:p>
        </w:tc>
        <w:tc>
          <w:tcPr>
            <w:tcW w:w="567" w:type="dxa"/>
            <w:tcBorders>
              <w:top w:val="nil"/>
              <w:left w:val="nil"/>
              <w:bottom w:val="single" w:sz="8" w:space="0" w:color="auto"/>
              <w:right w:val="single" w:sz="8" w:space="0" w:color="auto"/>
            </w:tcBorders>
            <w:shd w:val="clear" w:color="auto" w:fill="auto"/>
            <w:vAlign w:val="center"/>
          </w:tcPr>
          <w:p w14:paraId="7506CC02" w14:textId="77777777" w:rsidR="004B0524" w:rsidRPr="00CD1278" w:rsidRDefault="004B0524" w:rsidP="007972CD">
            <w:pPr>
              <w:spacing w:after="60"/>
              <w:jc w:val="center"/>
              <w:rPr>
                <w:color w:val="auto"/>
                <w:sz w:val="12"/>
                <w:szCs w:val="12"/>
              </w:rPr>
            </w:pPr>
            <w:r w:rsidRPr="00CD1278">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20CD4C29" w14:textId="77777777" w:rsidR="004B0524" w:rsidRPr="00CD1278" w:rsidRDefault="004B0524" w:rsidP="007972CD">
            <w:pPr>
              <w:spacing w:after="60"/>
              <w:jc w:val="center"/>
              <w:rPr>
                <w:color w:val="auto"/>
                <w:sz w:val="12"/>
                <w:szCs w:val="12"/>
              </w:rPr>
            </w:pPr>
            <w:r w:rsidRPr="00CD1278">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7EEF75DE" w14:textId="0ACE9D1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89AF99" w14:textId="77777777" w:rsidR="004B0524" w:rsidRPr="00CD1278" w:rsidRDefault="004B0524" w:rsidP="007972CD">
            <w:pPr>
              <w:spacing w:after="60"/>
              <w:jc w:val="center"/>
              <w:rPr>
                <w:color w:val="auto"/>
                <w:sz w:val="12"/>
                <w:szCs w:val="12"/>
              </w:rPr>
            </w:pPr>
            <w:r w:rsidRPr="00CD1278">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1422546E" w14:textId="336E693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0DBD42" w14:textId="2DC7D46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E22306C" w14:textId="662C305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A84F7E" w14:textId="4847209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3FE4759"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D041278"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0459097"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27C8A23C" w14:textId="6BB945E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04A62C" w14:textId="77777777" w:rsidR="004B0524" w:rsidRPr="00CD1278" w:rsidRDefault="004B0524" w:rsidP="007972CD">
            <w:pPr>
              <w:spacing w:after="60"/>
              <w:jc w:val="center"/>
              <w:rPr>
                <w:color w:val="auto"/>
                <w:sz w:val="12"/>
                <w:szCs w:val="12"/>
              </w:rPr>
            </w:pPr>
            <w:r w:rsidRPr="00CD1278">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6867BFAC" w14:textId="77777777" w:rsidR="004B0524" w:rsidRPr="00CD1278" w:rsidRDefault="004B0524" w:rsidP="007972CD">
            <w:pPr>
              <w:spacing w:after="60"/>
              <w:jc w:val="center"/>
              <w:rPr>
                <w:color w:val="auto"/>
                <w:sz w:val="12"/>
                <w:szCs w:val="12"/>
              </w:rPr>
            </w:pPr>
            <w:r w:rsidRPr="00CD1278">
              <w:rPr>
                <w:color w:val="auto"/>
                <w:sz w:val="12"/>
                <w:szCs w:val="12"/>
              </w:rPr>
              <w:t>0.120</w:t>
            </w:r>
          </w:p>
        </w:tc>
        <w:tc>
          <w:tcPr>
            <w:tcW w:w="567" w:type="dxa"/>
            <w:tcBorders>
              <w:top w:val="nil"/>
              <w:left w:val="nil"/>
              <w:bottom w:val="single" w:sz="8" w:space="0" w:color="auto"/>
              <w:right w:val="single" w:sz="8" w:space="0" w:color="auto"/>
            </w:tcBorders>
            <w:shd w:val="clear" w:color="auto" w:fill="auto"/>
            <w:vAlign w:val="center"/>
          </w:tcPr>
          <w:p w14:paraId="6F311395" w14:textId="3DBB5F9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8C91CC3" w14:textId="5850332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6613263" w14:textId="17C7113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9D70018" w14:textId="4AEC781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082B636D"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39203C0"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3A6843E"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62BE76E"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D5A6DE9" w14:textId="77777777" w:rsidR="004B0524" w:rsidRPr="00CD1278" w:rsidRDefault="004B0524" w:rsidP="007972CD">
            <w:pPr>
              <w:spacing w:after="60"/>
              <w:jc w:val="center"/>
              <w:rPr>
                <w:color w:val="auto"/>
                <w:sz w:val="12"/>
                <w:szCs w:val="12"/>
              </w:rPr>
            </w:pPr>
          </w:p>
        </w:tc>
      </w:tr>
      <w:tr w:rsidR="003C102E" w:rsidRPr="00CD1278" w14:paraId="48270D6A" w14:textId="77777777" w:rsidTr="00DE7A60">
        <w:trPr>
          <w:cantSplit/>
          <w:trHeight w:val="1148"/>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F13A8E2" w14:textId="77777777" w:rsidR="004B0524" w:rsidRPr="00CD1278" w:rsidRDefault="004B0524" w:rsidP="00DE7A60">
            <w:pPr>
              <w:spacing w:after="60"/>
              <w:rPr>
                <w:color w:val="auto"/>
                <w:sz w:val="12"/>
                <w:szCs w:val="12"/>
              </w:rPr>
            </w:pPr>
            <w:r w:rsidRPr="00CD1278">
              <w:rPr>
                <w:color w:val="auto"/>
                <w:sz w:val="12"/>
                <w:szCs w:val="12"/>
              </w:rPr>
              <w:t xml:space="preserve">Poland </w:t>
            </w:r>
          </w:p>
        </w:tc>
        <w:tc>
          <w:tcPr>
            <w:tcW w:w="818" w:type="dxa"/>
            <w:tcBorders>
              <w:top w:val="nil"/>
              <w:left w:val="nil"/>
              <w:bottom w:val="single" w:sz="8" w:space="0" w:color="auto"/>
              <w:right w:val="single" w:sz="8" w:space="0" w:color="auto"/>
            </w:tcBorders>
            <w:shd w:val="clear" w:color="auto" w:fill="auto"/>
            <w:vAlign w:val="center"/>
          </w:tcPr>
          <w:p w14:paraId="5042AB8F" w14:textId="77777777" w:rsidR="004B0524" w:rsidRPr="00CD1278" w:rsidRDefault="004B0524" w:rsidP="007972CD">
            <w:pPr>
              <w:spacing w:after="60"/>
              <w:ind w:left="-83"/>
              <w:rPr>
                <w:color w:val="auto"/>
                <w:sz w:val="12"/>
                <w:szCs w:val="12"/>
              </w:rPr>
            </w:pPr>
            <w:r w:rsidRPr="00CD1278">
              <w:rPr>
                <w:color w:val="auto"/>
                <w:sz w:val="12"/>
                <w:szCs w:val="12"/>
              </w:rPr>
              <w:t>Medicinal herbs &amp; dried mushrooms as dry commodities</w:t>
            </w:r>
          </w:p>
        </w:tc>
        <w:tc>
          <w:tcPr>
            <w:tcW w:w="567" w:type="dxa"/>
            <w:tcBorders>
              <w:top w:val="nil"/>
              <w:left w:val="nil"/>
              <w:bottom w:val="single" w:sz="8" w:space="0" w:color="auto"/>
              <w:right w:val="single" w:sz="8" w:space="0" w:color="auto"/>
            </w:tcBorders>
            <w:shd w:val="clear" w:color="auto" w:fill="auto"/>
            <w:vAlign w:val="center"/>
          </w:tcPr>
          <w:p w14:paraId="28BC7567" w14:textId="77777777" w:rsidR="004B0524" w:rsidRPr="00CD1278" w:rsidRDefault="004B0524" w:rsidP="007972CD">
            <w:pPr>
              <w:spacing w:after="60"/>
              <w:jc w:val="center"/>
              <w:rPr>
                <w:color w:val="auto"/>
                <w:sz w:val="12"/>
                <w:szCs w:val="12"/>
              </w:rPr>
            </w:pPr>
            <w:r w:rsidRPr="00CD1278">
              <w:rPr>
                <w:color w:val="auto"/>
                <w:sz w:val="12"/>
                <w:szCs w:val="12"/>
              </w:rPr>
              <w:t>4.000</w:t>
            </w:r>
          </w:p>
        </w:tc>
        <w:tc>
          <w:tcPr>
            <w:tcW w:w="567" w:type="dxa"/>
            <w:tcBorders>
              <w:top w:val="nil"/>
              <w:left w:val="nil"/>
              <w:bottom w:val="single" w:sz="8" w:space="0" w:color="auto"/>
              <w:right w:val="single" w:sz="8" w:space="0" w:color="auto"/>
            </w:tcBorders>
            <w:shd w:val="clear" w:color="auto" w:fill="auto"/>
            <w:vAlign w:val="center"/>
          </w:tcPr>
          <w:p w14:paraId="60F0ABD6" w14:textId="77777777" w:rsidR="004B0524" w:rsidRPr="00CD1278" w:rsidRDefault="004B0524" w:rsidP="007972CD">
            <w:pPr>
              <w:spacing w:after="60"/>
              <w:jc w:val="center"/>
              <w:rPr>
                <w:color w:val="auto"/>
                <w:sz w:val="12"/>
                <w:szCs w:val="12"/>
              </w:rPr>
            </w:pPr>
            <w:r w:rsidRPr="00CD1278">
              <w:rPr>
                <w:color w:val="auto"/>
                <w:sz w:val="12"/>
                <w:szCs w:val="12"/>
              </w:rPr>
              <w:t>3.560</w:t>
            </w:r>
          </w:p>
        </w:tc>
        <w:tc>
          <w:tcPr>
            <w:tcW w:w="567" w:type="dxa"/>
            <w:tcBorders>
              <w:top w:val="nil"/>
              <w:left w:val="nil"/>
              <w:bottom w:val="single" w:sz="8" w:space="0" w:color="auto"/>
              <w:right w:val="single" w:sz="8" w:space="0" w:color="auto"/>
            </w:tcBorders>
            <w:shd w:val="clear" w:color="auto" w:fill="auto"/>
            <w:vAlign w:val="center"/>
          </w:tcPr>
          <w:p w14:paraId="0BFD0C29" w14:textId="77777777" w:rsidR="004B0524" w:rsidRPr="00CD1278" w:rsidRDefault="004B0524" w:rsidP="007972CD">
            <w:pPr>
              <w:spacing w:after="60"/>
              <w:jc w:val="center"/>
              <w:rPr>
                <w:color w:val="auto"/>
                <w:sz w:val="12"/>
                <w:szCs w:val="12"/>
              </w:rPr>
            </w:pPr>
            <w:r w:rsidRPr="00CD1278">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05C82517" w14:textId="77777777" w:rsidR="004B0524" w:rsidRPr="00CD1278" w:rsidRDefault="004B0524" w:rsidP="007972CD">
            <w:pPr>
              <w:spacing w:after="60"/>
              <w:jc w:val="center"/>
              <w:rPr>
                <w:color w:val="auto"/>
                <w:sz w:val="12"/>
                <w:szCs w:val="12"/>
              </w:rPr>
            </w:pPr>
            <w:r w:rsidRPr="00CD1278">
              <w:rPr>
                <w:color w:val="auto"/>
                <w:sz w:val="12"/>
                <w:szCs w:val="12"/>
              </w:rPr>
              <w:t>0.500</w:t>
            </w:r>
          </w:p>
        </w:tc>
        <w:tc>
          <w:tcPr>
            <w:tcW w:w="567" w:type="dxa"/>
            <w:tcBorders>
              <w:top w:val="nil"/>
              <w:left w:val="nil"/>
              <w:bottom w:val="single" w:sz="8" w:space="0" w:color="auto"/>
              <w:right w:val="single" w:sz="8" w:space="0" w:color="auto"/>
            </w:tcBorders>
            <w:shd w:val="clear" w:color="auto" w:fill="auto"/>
            <w:vAlign w:val="center"/>
          </w:tcPr>
          <w:p w14:paraId="6A438C90" w14:textId="6CC7258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C746CC5" w14:textId="2EF68CF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97D9017" w14:textId="438AEE7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0DA9FB" w14:textId="43EB4C6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3EE40A" w14:textId="34DF115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3BBF3604"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187FDE3"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923BD6A"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B265E13" w14:textId="77777777" w:rsidR="004B0524" w:rsidRPr="00CD1278" w:rsidRDefault="004B0524" w:rsidP="007972CD">
            <w:pPr>
              <w:spacing w:after="60"/>
              <w:jc w:val="center"/>
              <w:rPr>
                <w:color w:val="auto"/>
                <w:sz w:val="12"/>
                <w:szCs w:val="12"/>
              </w:rPr>
            </w:pPr>
            <w:r w:rsidRPr="00CD1278">
              <w:rPr>
                <w:color w:val="auto"/>
                <w:sz w:val="12"/>
                <w:szCs w:val="12"/>
              </w:rPr>
              <w:t>4.100</w:t>
            </w:r>
          </w:p>
        </w:tc>
        <w:tc>
          <w:tcPr>
            <w:tcW w:w="567" w:type="dxa"/>
            <w:tcBorders>
              <w:top w:val="nil"/>
              <w:left w:val="nil"/>
              <w:bottom w:val="single" w:sz="8" w:space="0" w:color="auto"/>
              <w:right w:val="single" w:sz="8" w:space="0" w:color="auto"/>
            </w:tcBorders>
            <w:shd w:val="clear" w:color="auto" w:fill="auto"/>
            <w:vAlign w:val="center"/>
          </w:tcPr>
          <w:p w14:paraId="09F4058D" w14:textId="77777777" w:rsidR="004B0524" w:rsidRPr="00CD1278" w:rsidRDefault="004B0524" w:rsidP="007972CD">
            <w:pPr>
              <w:spacing w:after="60"/>
              <w:jc w:val="center"/>
              <w:rPr>
                <w:color w:val="auto"/>
                <w:sz w:val="12"/>
                <w:szCs w:val="12"/>
              </w:rPr>
            </w:pPr>
            <w:r w:rsidRPr="00CD1278">
              <w:rPr>
                <w:color w:val="auto"/>
                <w:sz w:val="12"/>
                <w:szCs w:val="12"/>
              </w:rPr>
              <w:t>3.560</w:t>
            </w:r>
          </w:p>
        </w:tc>
        <w:tc>
          <w:tcPr>
            <w:tcW w:w="567" w:type="dxa"/>
            <w:tcBorders>
              <w:top w:val="nil"/>
              <w:left w:val="nil"/>
              <w:bottom w:val="single" w:sz="8" w:space="0" w:color="auto"/>
              <w:right w:val="single" w:sz="8" w:space="0" w:color="auto"/>
            </w:tcBorders>
            <w:shd w:val="clear" w:color="auto" w:fill="auto"/>
            <w:vAlign w:val="center"/>
          </w:tcPr>
          <w:p w14:paraId="7185B56E" w14:textId="77777777" w:rsidR="004B0524" w:rsidRPr="00CD1278" w:rsidRDefault="004B0524" w:rsidP="007972CD">
            <w:pPr>
              <w:spacing w:after="60"/>
              <w:jc w:val="center"/>
              <w:rPr>
                <w:color w:val="auto"/>
                <w:sz w:val="12"/>
                <w:szCs w:val="12"/>
              </w:rPr>
            </w:pPr>
            <w:r w:rsidRPr="00CD1278">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318E3A8B" w14:textId="77777777" w:rsidR="004B0524" w:rsidRPr="00CD1278" w:rsidRDefault="004B0524" w:rsidP="007972CD">
            <w:pPr>
              <w:spacing w:after="60"/>
              <w:jc w:val="center"/>
              <w:rPr>
                <w:color w:val="auto"/>
                <w:sz w:val="12"/>
                <w:szCs w:val="12"/>
              </w:rPr>
            </w:pPr>
            <w:r w:rsidRPr="00CD1278">
              <w:rPr>
                <w:color w:val="auto"/>
                <w:sz w:val="12"/>
                <w:szCs w:val="12"/>
              </w:rPr>
              <w:t>1.800</w:t>
            </w:r>
          </w:p>
        </w:tc>
        <w:tc>
          <w:tcPr>
            <w:tcW w:w="567" w:type="dxa"/>
            <w:tcBorders>
              <w:top w:val="nil"/>
              <w:left w:val="nil"/>
              <w:bottom w:val="single" w:sz="8" w:space="0" w:color="auto"/>
              <w:right w:val="single" w:sz="8" w:space="0" w:color="auto"/>
            </w:tcBorders>
            <w:shd w:val="clear" w:color="auto" w:fill="auto"/>
            <w:vAlign w:val="center"/>
          </w:tcPr>
          <w:p w14:paraId="3868AA75" w14:textId="6CA81A9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601AAE" w14:textId="08117F6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BEC4652" w14:textId="22517D3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252B213" w14:textId="2B3C946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986472A"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F64DBF0"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B56838B"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10140FE" w14:textId="77777777" w:rsidR="004B0524" w:rsidRPr="00CD1278" w:rsidRDefault="004B0524" w:rsidP="007972CD">
            <w:pPr>
              <w:spacing w:after="60"/>
              <w:jc w:val="center"/>
              <w:rPr>
                <w:color w:val="auto"/>
                <w:sz w:val="12"/>
                <w:szCs w:val="12"/>
              </w:rPr>
            </w:pPr>
          </w:p>
        </w:tc>
      </w:tr>
      <w:tr w:rsidR="003C102E" w:rsidRPr="00CD1278" w14:paraId="64D4542D"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D3A7DBE" w14:textId="77777777" w:rsidR="004B0524" w:rsidRPr="00CD1278" w:rsidRDefault="004B0524" w:rsidP="00DE7A60">
            <w:pPr>
              <w:spacing w:after="60"/>
              <w:rPr>
                <w:color w:val="auto"/>
                <w:sz w:val="12"/>
                <w:szCs w:val="12"/>
              </w:rPr>
            </w:pPr>
            <w:r w:rsidRPr="00CD1278">
              <w:rPr>
                <w:color w:val="auto"/>
                <w:sz w:val="12"/>
                <w:szCs w:val="12"/>
              </w:rPr>
              <w:t xml:space="preserve">Poland </w:t>
            </w:r>
          </w:p>
        </w:tc>
        <w:tc>
          <w:tcPr>
            <w:tcW w:w="818" w:type="dxa"/>
            <w:tcBorders>
              <w:top w:val="nil"/>
              <w:left w:val="nil"/>
              <w:bottom w:val="single" w:sz="8" w:space="0" w:color="auto"/>
              <w:right w:val="single" w:sz="8" w:space="0" w:color="auto"/>
            </w:tcBorders>
            <w:shd w:val="clear" w:color="auto" w:fill="auto"/>
            <w:vAlign w:val="center"/>
          </w:tcPr>
          <w:p w14:paraId="67F69A84" w14:textId="77777777" w:rsidR="004B0524" w:rsidRPr="00CD1278" w:rsidRDefault="004B0524" w:rsidP="007972CD">
            <w:pPr>
              <w:spacing w:after="60"/>
              <w:ind w:left="-83"/>
              <w:rPr>
                <w:color w:val="auto"/>
                <w:sz w:val="12"/>
                <w:szCs w:val="12"/>
              </w:rPr>
            </w:pPr>
            <w:r w:rsidRPr="00CD1278">
              <w:rPr>
                <w:color w:val="auto"/>
                <w:sz w:val="12"/>
                <w:szCs w:val="12"/>
              </w:rPr>
              <w:t>Coffee, cocoa beans</w:t>
            </w:r>
          </w:p>
        </w:tc>
        <w:tc>
          <w:tcPr>
            <w:tcW w:w="567" w:type="dxa"/>
            <w:tcBorders>
              <w:top w:val="nil"/>
              <w:left w:val="nil"/>
              <w:bottom w:val="single" w:sz="8" w:space="0" w:color="auto"/>
              <w:right w:val="single" w:sz="8" w:space="0" w:color="auto"/>
            </w:tcBorders>
            <w:shd w:val="clear" w:color="auto" w:fill="auto"/>
            <w:vAlign w:val="center"/>
          </w:tcPr>
          <w:p w14:paraId="7A92B881" w14:textId="77777777" w:rsidR="004B0524" w:rsidRPr="00CD1278" w:rsidRDefault="004B0524" w:rsidP="007972CD">
            <w:pPr>
              <w:spacing w:after="60"/>
              <w:jc w:val="center"/>
              <w:rPr>
                <w:color w:val="auto"/>
                <w:sz w:val="12"/>
                <w:szCs w:val="12"/>
              </w:rPr>
            </w:pPr>
            <w:r w:rsidRPr="00CD1278">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69BD250C" w14:textId="77777777" w:rsidR="004B0524" w:rsidRPr="00CD1278" w:rsidRDefault="004B0524" w:rsidP="007972CD">
            <w:pPr>
              <w:spacing w:after="60"/>
              <w:jc w:val="center"/>
              <w:rPr>
                <w:color w:val="auto"/>
                <w:sz w:val="12"/>
                <w:szCs w:val="12"/>
              </w:rPr>
            </w:pPr>
            <w:r w:rsidRPr="00CD1278">
              <w:rPr>
                <w:color w:val="auto"/>
                <w:sz w:val="12"/>
                <w:szCs w:val="12"/>
              </w:rPr>
              <w:t>2.160</w:t>
            </w:r>
          </w:p>
        </w:tc>
        <w:tc>
          <w:tcPr>
            <w:tcW w:w="567" w:type="dxa"/>
            <w:tcBorders>
              <w:top w:val="nil"/>
              <w:left w:val="nil"/>
              <w:bottom w:val="single" w:sz="8" w:space="0" w:color="auto"/>
              <w:right w:val="single" w:sz="8" w:space="0" w:color="auto"/>
            </w:tcBorders>
            <w:shd w:val="clear" w:color="auto" w:fill="auto"/>
            <w:vAlign w:val="center"/>
          </w:tcPr>
          <w:p w14:paraId="184324B0" w14:textId="77777777" w:rsidR="004B0524" w:rsidRPr="00CD1278" w:rsidRDefault="004B0524" w:rsidP="007972CD">
            <w:pPr>
              <w:spacing w:after="60"/>
              <w:jc w:val="center"/>
              <w:rPr>
                <w:color w:val="auto"/>
                <w:sz w:val="12"/>
                <w:szCs w:val="12"/>
              </w:rPr>
            </w:pPr>
            <w:r w:rsidRPr="00CD1278">
              <w:rPr>
                <w:color w:val="auto"/>
                <w:sz w:val="12"/>
                <w:szCs w:val="12"/>
              </w:rPr>
              <w:t>2.000</w:t>
            </w:r>
          </w:p>
        </w:tc>
        <w:tc>
          <w:tcPr>
            <w:tcW w:w="567" w:type="dxa"/>
            <w:tcBorders>
              <w:top w:val="nil"/>
              <w:left w:val="nil"/>
              <w:bottom w:val="single" w:sz="8" w:space="0" w:color="auto"/>
              <w:right w:val="single" w:sz="8" w:space="0" w:color="auto"/>
            </w:tcBorders>
            <w:shd w:val="clear" w:color="auto" w:fill="auto"/>
            <w:vAlign w:val="center"/>
          </w:tcPr>
          <w:p w14:paraId="62E339EB" w14:textId="77777777" w:rsidR="004B0524" w:rsidRPr="00CD1278" w:rsidRDefault="004B0524" w:rsidP="007972CD">
            <w:pPr>
              <w:spacing w:after="60"/>
              <w:jc w:val="center"/>
              <w:rPr>
                <w:color w:val="auto"/>
                <w:sz w:val="12"/>
                <w:szCs w:val="12"/>
              </w:rPr>
            </w:pPr>
            <w:r w:rsidRPr="00CD1278">
              <w:rPr>
                <w:color w:val="auto"/>
                <w:sz w:val="12"/>
                <w:szCs w:val="12"/>
              </w:rPr>
              <w:t>0.500</w:t>
            </w:r>
          </w:p>
        </w:tc>
        <w:tc>
          <w:tcPr>
            <w:tcW w:w="567" w:type="dxa"/>
            <w:tcBorders>
              <w:top w:val="nil"/>
              <w:left w:val="nil"/>
              <w:bottom w:val="single" w:sz="8" w:space="0" w:color="auto"/>
              <w:right w:val="single" w:sz="8" w:space="0" w:color="auto"/>
            </w:tcBorders>
            <w:shd w:val="clear" w:color="auto" w:fill="auto"/>
            <w:vAlign w:val="center"/>
          </w:tcPr>
          <w:p w14:paraId="4231DF3D" w14:textId="4E16C1F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E4DEC19" w14:textId="5A1CB6B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6732C1" w14:textId="1A9A5FF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12EE61" w14:textId="2F60B6F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4FD807" w14:textId="2C57DD9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171F67C0"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ADBF71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3A3B627"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A8FCCDC" w14:textId="41DD157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B2F3D5" w14:textId="77777777" w:rsidR="004B0524" w:rsidRPr="00CD1278" w:rsidRDefault="004B0524" w:rsidP="007972CD">
            <w:pPr>
              <w:spacing w:after="60"/>
              <w:jc w:val="center"/>
              <w:rPr>
                <w:color w:val="auto"/>
                <w:sz w:val="12"/>
                <w:szCs w:val="12"/>
              </w:rPr>
            </w:pPr>
            <w:r w:rsidRPr="00CD1278">
              <w:rPr>
                <w:color w:val="auto"/>
                <w:sz w:val="12"/>
                <w:szCs w:val="12"/>
              </w:rPr>
              <w:t>2.160</w:t>
            </w:r>
          </w:p>
        </w:tc>
        <w:tc>
          <w:tcPr>
            <w:tcW w:w="567" w:type="dxa"/>
            <w:tcBorders>
              <w:top w:val="nil"/>
              <w:left w:val="nil"/>
              <w:bottom w:val="single" w:sz="8" w:space="0" w:color="auto"/>
              <w:right w:val="single" w:sz="8" w:space="0" w:color="auto"/>
            </w:tcBorders>
            <w:shd w:val="clear" w:color="auto" w:fill="auto"/>
            <w:vAlign w:val="center"/>
          </w:tcPr>
          <w:p w14:paraId="3140F90A" w14:textId="77777777" w:rsidR="004B0524" w:rsidRPr="00CD1278" w:rsidRDefault="004B0524" w:rsidP="007972CD">
            <w:pPr>
              <w:spacing w:after="60"/>
              <w:jc w:val="center"/>
              <w:rPr>
                <w:color w:val="auto"/>
                <w:sz w:val="12"/>
                <w:szCs w:val="12"/>
              </w:rPr>
            </w:pPr>
            <w:r w:rsidRPr="00CD1278">
              <w:rPr>
                <w:color w:val="auto"/>
                <w:sz w:val="12"/>
                <w:szCs w:val="12"/>
              </w:rPr>
              <w:t>1.420</w:t>
            </w:r>
          </w:p>
        </w:tc>
        <w:tc>
          <w:tcPr>
            <w:tcW w:w="567" w:type="dxa"/>
            <w:tcBorders>
              <w:top w:val="nil"/>
              <w:left w:val="nil"/>
              <w:bottom w:val="single" w:sz="8" w:space="0" w:color="auto"/>
              <w:right w:val="single" w:sz="8" w:space="0" w:color="auto"/>
            </w:tcBorders>
            <w:shd w:val="clear" w:color="auto" w:fill="auto"/>
            <w:vAlign w:val="center"/>
          </w:tcPr>
          <w:p w14:paraId="249EB320" w14:textId="77777777" w:rsidR="004B0524" w:rsidRPr="00CD1278" w:rsidRDefault="004B0524" w:rsidP="007972CD">
            <w:pPr>
              <w:spacing w:after="60"/>
              <w:jc w:val="center"/>
              <w:rPr>
                <w:color w:val="auto"/>
                <w:sz w:val="12"/>
                <w:szCs w:val="12"/>
              </w:rPr>
            </w:pPr>
            <w:r w:rsidRPr="00CD1278">
              <w:rPr>
                <w:color w:val="auto"/>
                <w:sz w:val="12"/>
                <w:szCs w:val="12"/>
              </w:rPr>
              <w:t>1.420</w:t>
            </w:r>
          </w:p>
        </w:tc>
        <w:tc>
          <w:tcPr>
            <w:tcW w:w="567" w:type="dxa"/>
            <w:tcBorders>
              <w:top w:val="nil"/>
              <w:left w:val="nil"/>
              <w:bottom w:val="single" w:sz="8" w:space="0" w:color="auto"/>
              <w:right w:val="single" w:sz="8" w:space="0" w:color="auto"/>
            </w:tcBorders>
            <w:shd w:val="clear" w:color="auto" w:fill="auto"/>
            <w:vAlign w:val="center"/>
          </w:tcPr>
          <w:p w14:paraId="774A98D4" w14:textId="598C683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D604CA" w14:textId="7A87E45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48271F4" w14:textId="4A4FEB4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B5A7CCC" w14:textId="770288A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972922D"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B5E89A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4D4E76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6BE1264" w14:textId="77777777" w:rsidR="004B0524" w:rsidRPr="00CD1278" w:rsidRDefault="004B0524" w:rsidP="007972CD">
            <w:pPr>
              <w:spacing w:after="60"/>
              <w:jc w:val="center"/>
              <w:rPr>
                <w:color w:val="auto"/>
                <w:sz w:val="12"/>
                <w:szCs w:val="12"/>
              </w:rPr>
            </w:pPr>
          </w:p>
        </w:tc>
      </w:tr>
      <w:tr w:rsidR="003C102E" w:rsidRPr="00CD1278" w14:paraId="16CBACEB"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0AE37FC" w14:textId="77777777" w:rsidR="004B0524" w:rsidRPr="00CD1278" w:rsidRDefault="004B0524" w:rsidP="00DE7A60">
            <w:pPr>
              <w:spacing w:after="60"/>
              <w:rPr>
                <w:color w:val="auto"/>
                <w:sz w:val="12"/>
                <w:szCs w:val="12"/>
              </w:rPr>
            </w:pPr>
            <w:r w:rsidRPr="00CD1278">
              <w:rPr>
                <w:color w:val="auto"/>
                <w:sz w:val="12"/>
                <w:szCs w:val="12"/>
              </w:rPr>
              <w:t xml:space="preserve">Spain </w:t>
            </w:r>
          </w:p>
        </w:tc>
        <w:tc>
          <w:tcPr>
            <w:tcW w:w="818" w:type="dxa"/>
            <w:tcBorders>
              <w:top w:val="nil"/>
              <w:left w:val="nil"/>
              <w:bottom w:val="single" w:sz="8" w:space="0" w:color="auto"/>
              <w:right w:val="single" w:sz="8" w:space="0" w:color="auto"/>
            </w:tcBorders>
            <w:shd w:val="clear" w:color="auto" w:fill="auto"/>
            <w:vAlign w:val="center"/>
          </w:tcPr>
          <w:p w14:paraId="76A69F20" w14:textId="77777777" w:rsidR="004B0524" w:rsidRPr="00CD1278" w:rsidRDefault="004B0524" w:rsidP="007972CD">
            <w:pPr>
              <w:spacing w:after="60"/>
              <w:ind w:left="-83"/>
              <w:rPr>
                <w:color w:val="auto"/>
                <w:sz w:val="12"/>
                <w:szCs w:val="12"/>
              </w:rPr>
            </w:pPr>
            <w:r w:rsidRPr="00CD1278">
              <w:rPr>
                <w:color w:val="auto"/>
                <w:sz w:val="12"/>
                <w:szCs w:val="12"/>
              </w:rPr>
              <w:t>Rice</w:t>
            </w:r>
          </w:p>
        </w:tc>
        <w:tc>
          <w:tcPr>
            <w:tcW w:w="567" w:type="dxa"/>
            <w:tcBorders>
              <w:top w:val="nil"/>
              <w:left w:val="nil"/>
              <w:bottom w:val="single" w:sz="8" w:space="0" w:color="auto"/>
              <w:right w:val="single" w:sz="8" w:space="0" w:color="auto"/>
            </w:tcBorders>
            <w:shd w:val="clear" w:color="auto" w:fill="auto"/>
            <w:vAlign w:val="center"/>
          </w:tcPr>
          <w:p w14:paraId="713393FF" w14:textId="3741DB9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C183C3" w14:textId="77777777" w:rsidR="004B0524" w:rsidRPr="00CD1278" w:rsidRDefault="004B0524" w:rsidP="007972CD">
            <w:pPr>
              <w:spacing w:after="60"/>
              <w:jc w:val="center"/>
              <w:rPr>
                <w:color w:val="auto"/>
                <w:sz w:val="12"/>
                <w:szCs w:val="12"/>
              </w:rPr>
            </w:pPr>
            <w:r w:rsidRPr="00CD1278">
              <w:rPr>
                <w:color w:val="auto"/>
                <w:sz w:val="12"/>
                <w:szCs w:val="12"/>
              </w:rPr>
              <w:t>50.000</w:t>
            </w:r>
          </w:p>
        </w:tc>
        <w:tc>
          <w:tcPr>
            <w:tcW w:w="567" w:type="dxa"/>
            <w:tcBorders>
              <w:top w:val="nil"/>
              <w:left w:val="nil"/>
              <w:bottom w:val="single" w:sz="8" w:space="0" w:color="auto"/>
              <w:right w:val="single" w:sz="8" w:space="0" w:color="auto"/>
            </w:tcBorders>
            <w:shd w:val="clear" w:color="auto" w:fill="auto"/>
            <w:vAlign w:val="center"/>
          </w:tcPr>
          <w:p w14:paraId="34E8BFDC" w14:textId="7492170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015239A" w14:textId="238A6C5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03AC21" w14:textId="106A342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EF3804" w14:textId="5560402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44DCF9" w14:textId="688A96B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DE2F78" w14:textId="27C42C2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FD007E6" w14:textId="2BDE362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ACC05C0"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005990D"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1CD5CC4"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E6CAB43" w14:textId="06CF235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9F2FDEF" w14:textId="77777777" w:rsidR="004B0524" w:rsidRPr="00CD1278" w:rsidRDefault="004B0524" w:rsidP="007972CD">
            <w:pPr>
              <w:spacing w:after="60"/>
              <w:jc w:val="center"/>
              <w:rPr>
                <w:color w:val="auto"/>
                <w:sz w:val="12"/>
                <w:szCs w:val="12"/>
              </w:rPr>
            </w:pPr>
            <w:r w:rsidRPr="00CD1278">
              <w:rPr>
                <w:color w:val="auto"/>
                <w:sz w:val="12"/>
                <w:szCs w:val="12"/>
              </w:rPr>
              <w:t>42.065</w:t>
            </w:r>
          </w:p>
        </w:tc>
        <w:tc>
          <w:tcPr>
            <w:tcW w:w="567" w:type="dxa"/>
            <w:tcBorders>
              <w:top w:val="nil"/>
              <w:left w:val="nil"/>
              <w:bottom w:val="single" w:sz="8" w:space="0" w:color="auto"/>
              <w:right w:val="single" w:sz="8" w:space="0" w:color="auto"/>
            </w:tcBorders>
            <w:shd w:val="clear" w:color="auto" w:fill="auto"/>
            <w:vAlign w:val="center"/>
          </w:tcPr>
          <w:p w14:paraId="0A049670" w14:textId="538AD56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0C0DA4" w14:textId="1028ED3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744D4F" w14:textId="0D211DF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2C68593" w14:textId="4A865A8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FF22E2" w14:textId="1F4CAF5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AEA17B5" w14:textId="5BEE4C9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19C7243"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9D869AD"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E5AFCEC"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A5B2DD" w14:textId="77777777" w:rsidR="004B0524" w:rsidRPr="00CD1278" w:rsidRDefault="004B0524" w:rsidP="007972CD">
            <w:pPr>
              <w:spacing w:after="60"/>
              <w:jc w:val="center"/>
              <w:rPr>
                <w:color w:val="auto"/>
                <w:sz w:val="12"/>
                <w:szCs w:val="12"/>
              </w:rPr>
            </w:pPr>
          </w:p>
        </w:tc>
      </w:tr>
      <w:tr w:rsidR="003C102E" w:rsidRPr="00CD1278" w14:paraId="4320F011"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EB564AD" w14:textId="77777777" w:rsidR="004B0524" w:rsidRPr="00CD1278" w:rsidRDefault="004B0524" w:rsidP="00DE7A60">
            <w:pPr>
              <w:spacing w:after="60"/>
              <w:rPr>
                <w:color w:val="auto"/>
                <w:sz w:val="12"/>
                <w:szCs w:val="12"/>
              </w:rPr>
            </w:pPr>
            <w:r w:rsidRPr="00CD1278">
              <w:rPr>
                <w:color w:val="auto"/>
                <w:sz w:val="12"/>
                <w:szCs w:val="12"/>
              </w:rPr>
              <w:t xml:space="preserve">Switzerland </w:t>
            </w:r>
          </w:p>
        </w:tc>
        <w:tc>
          <w:tcPr>
            <w:tcW w:w="818" w:type="dxa"/>
            <w:tcBorders>
              <w:top w:val="nil"/>
              <w:left w:val="nil"/>
              <w:bottom w:val="single" w:sz="8" w:space="0" w:color="auto"/>
              <w:right w:val="single" w:sz="8" w:space="0" w:color="auto"/>
            </w:tcBorders>
            <w:shd w:val="clear" w:color="auto" w:fill="auto"/>
            <w:vAlign w:val="center"/>
          </w:tcPr>
          <w:p w14:paraId="2FE40841" w14:textId="77777777" w:rsidR="004B0524" w:rsidRPr="00CD1278" w:rsidRDefault="004B0524" w:rsidP="007972CD">
            <w:pPr>
              <w:spacing w:after="60"/>
              <w:ind w:left="-83"/>
              <w:rPr>
                <w:color w:val="auto"/>
                <w:sz w:val="12"/>
                <w:szCs w:val="12"/>
              </w:rPr>
            </w:pPr>
            <w:r w:rsidRPr="00CD1278">
              <w:rPr>
                <w:color w:val="auto"/>
                <w:sz w:val="12"/>
                <w:szCs w:val="12"/>
              </w:rPr>
              <w:t>Mills &amp; Processors</w:t>
            </w:r>
          </w:p>
        </w:tc>
        <w:tc>
          <w:tcPr>
            <w:tcW w:w="567" w:type="dxa"/>
            <w:tcBorders>
              <w:top w:val="nil"/>
              <w:left w:val="nil"/>
              <w:bottom w:val="single" w:sz="8" w:space="0" w:color="auto"/>
              <w:right w:val="single" w:sz="8" w:space="0" w:color="auto"/>
            </w:tcBorders>
            <w:shd w:val="clear" w:color="auto" w:fill="auto"/>
            <w:vAlign w:val="center"/>
          </w:tcPr>
          <w:p w14:paraId="5A1D836C" w14:textId="77777777" w:rsidR="004B0524" w:rsidRPr="00CD1278" w:rsidRDefault="004B0524" w:rsidP="007972CD">
            <w:pPr>
              <w:spacing w:after="60"/>
              <w:jc w:val="center"/>
              <w:rPr>
                <w:color w:val="auto"/>
                <w:sz w:val="12"/>
                <w:szCs w:val="12"/>
              </w:rPr>
            </w:pPr>
            <w:r w:rsidRPr="00CD1278">
              <w:rPr>
                <w:color w:val="auto"/>
                <w:sz w:val="12"/>
                <w:szCs w:val="12"/>
              </w:rPr>
              <w:t>8.700</w:t>
            </w:r>
          </w:p>
        </w:tc>
        <w:tc>
          <w:tcPr>
            <w:tcW w:w="567" w:type="dxa"/>
            <w:tcBorders>
              <w:top w:val="nil"/>
              <w:left w:val="nil"/>
              <w:bottom w:val="single" w:sz="8" w:space="0" w:color="auto"/>
              <w:right w:val="single" w:sz="8" w:space="0" w:color="auto"/>
            </w:tcBorders>
            <w:shd w:val="clear" w:color="auto" w:fill="auto"/>
            <w:vAlign w:val="center"/>
          </w:tcPr>
          <w:p w14:paraId="3947AFF5" w14:textId="77777777" w:rsidR="004B0524" w:rsidRPr="00CD1278" w:rsidRDefault="004B0524" w:rsidP="007972CD">
            <w:pPr>
              <w:spacing w:after="60"/>
              <w:jc w:val="center"/>
              <w:rPr>
                <w:color w:val="auto"/>
                <w:sz w:val="12"/>
                <w:szCs w:val="12"/>
              </w:rPr>
            </w:pPr>
            <w:r w:rsidRPr="00CD1278">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0E362F29" w14:textId="5FFDA72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FBBF39D" w14:textId="210282F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87D9EF4" w14:textId="786845D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47FD71" w14:textId="534BC40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D282D7" w14:textId="1CAB737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0F21AB8" w14:textId="7878936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2F7C98D" w14:textId="44BC096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6FC15B8"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FD9F21D"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729F3D7"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F7C4683" w14:textId="77777777" w:rsidR="004B0524" w:rsidRPr="00CD1278" w:rsidRDefault="004B0524" w:rsidP="007972CD">
            <w:pPr>
              <w:spacing w:after="60"/>
              <w:jc w:val="center"/>
              <w:rPr>
                <w:color w:val="auto"/>
                <w:sz w:val="12"/>
                <w:szCs w:val="12"/>
              </w:rPr>
            </w:pPr>
            <w:r w:rsidRPr="00CD1278">
              <w:rPr>
                <w:color w:val="auto"/>
                <w:sz w:val="12"/>
                <w:szCs w:val="12"/>
              </w:rPr>
              <w:t>8.700</w:t>
            </w:r>
          </w:p>
        </w:tc>
        <w:tc>
          <w:tcPr>
            <w:tcW w:w="567" w:type="dxa"/>
            <w:tcBorders>
              <w:top w:val="nil"/>
              <w:left w:val="nil"/>
              <w:bottom w:val="single" w:sz="8" w:space="0" w:color="auto"/>
              <w:right w:val="single" w:sz="8" w:space="0" w:color="auto"/>
            </w:tcBorders>
            <w:shd w:val="clear" w:color="auto" w:fill="auto"/>
            <w:vAlign w:val="center"/>
          </w:tcPr>
          <w:p w14:paraId="3DA9ED67" w14:textId="77777777" w:rsidR="004B0524" w:rsidRPr="00CD1278" w:rsidRDefault="004B0524" w:rsidP="007972CD">
            <w:pPr>
              <w:spacing w:after="60"/>
              <w:jc w:val="center"/>
              <w:rPr>
                <w:color w:val="auto"/>
                <w:sz w:val="12"/>
                <w:szCs w:val="12"/>
              </w:rPr>
            </w:pPr>
            <w:r w:rsidRPr="00CD1278">
              <w:rPr>
                <w:color w:val="auto"/>
                <w:sz w:val="12"/>
                <w:szCs w:val="12"/>
              </w:rPr>
              <w:t>7.000</w:t>
            </w:r>
          </w:p>
        </w:tc>
        <w:tc>
          <w:tcPr>
            <w:tcW w:w="567" w:type="dxa"/>
            <w:tcBorders>
              <w:top w:val="nil"/>
              <w:left w:val="nil"/>
              <w:bottom w:val="single" w:sz="8" w:space="0" w:color="auto"/>
              <w:right w:val="single" w:sz="8" w:space="0" w:color="auto"/>
            </w:tcBorders>
            <w:shd w:val="clear" w:color="auto" w:fill="auto"/>
            <w:vAlign w:val="center"/>
          </w:tcPr>
          <w:p w14:paraId="3B054BC7" w14:textId="7CC24BD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538F672" w14:textId="44E3C47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535580" w14:textId="70F4781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903BA0F" w14:textId="6DAF33E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F05B1E2" w14:textId="7566742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2885FC2D" w14:textId="7682597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728125B"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754F5E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169F496"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8D8E047" w14:textId="77777777" w:rsidR="004B0524" w:rsidRPr="00CD1278" w:rsidRDefault="004B0524" w:rsidP="007972CD">
            <w:pPr>
              <w:spacing w:after="60"/>
              <w:jc w:val="center"/>
              <w:rPr>
                <w:color w:val="auto"/>
                <w:sz w:val="12"/>
                <w:szCs w:val="12"/>
              </w:rPr>
            </w:pPr>
          </w:p>
        </w:tc>
      </w:tr>
      <w:tr w:rsidR="003C102E" w:rsidRPr="00CD1278" w14:paraId="77EAE77B"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1A681B5" w14:textId="77777777" w:rsidR="004B0524" w:rsidRPr="00CD1278" w:rsidRDefault="004B0524" w:rsidP="00DE7A60">
            <w:pPr>
              <w:spacing w:after="60"/>
              <w:rPr>
                <w:color w:val="auto"/>
                <w:sz w:val="12"/>
                <w:szCs w:val="12"/>
              </w:rPr>
            </w:pPr>
            <w:r w:rsidRPr="00CD1278">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4BCAEC2C" w14:textId="77777777" w:rsidR="004B0524" w:rsidRPr="00CD1278" w:rsidRDefault="004B0524" w:rsidP="007972CD">
            <w:pPr>
              <w:spacing w:after="60"/>
              <w:ind w:left="-83"/>
              <w:rPr>
                <w:color w:val="auto"/>
                <w:sz w:val="12"/>
                <w:szCs w:val="12"/>
              </w:rPr>
            </w:pPr>
            <w:r w:rsidRPr="00CD1278">
              <w:rPr>
                <w:color w:val="auto"/>
                <w:sz w:val="12"/>
                <w:szCs w:val="12"/>
              </w:rPr>
              <w:t>Aircraft</w:t>
            </w:r>
          </w:p>
        </w:tc>
        <w:tc>
          <w:tcPr>
            <w:tcW w:w="567" w:type="dxa"/>
            <w:tcBorders>
              <w:top w:val="nil"/>
              <w:left w:val="nil"/>
              <w:bottom w:val="single" w:sz="8" w:space="0" w:color="auto"/>
              <w:right w:val="single" w:sz="8" w:space="0" w:color="auto"/>
            </w:tcBorders>
            <w:shd w:val="clear" w:color="auto" w:fill="auto"/>
            <w:vAlign w:val="center"/>
          </w:tcPr>
          <w:p w14:paraId="42D331A5" w14:textId="01AF736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2462BB" w14:textId="42EB781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EC66F6" w14:textId="77777777" w:rsidR="004B0524" w:rsidRPr="00CD1278" w:rsidRDefault="004B0524" w:rsidP="007972CD">
            <w:pPr>
              <w:spacing w:after="60"/>
              <w:jc w:val="center"/>
              <w:rPr>
                <w:color w:val="auto"/>
                <w:sz w:val="12"/>
                <w:szCs w:val="12"/>
              </w:rPr>
            </w:pPr>
            <w:r w:rsidRPr="00CD1278">
              <w:rPr>
                <w:color w:val="auto"/>
                <w:sz w:val="12"/>
                <w:szCs w:val="12"/>
              </w:rPr>
              <w:t>0.165</w:t>
            </w:r>
          </w:p>
        </w:tc>
        <w:tc>
          <w:tcPr>
            <w:tcW w:w="567" w:type="dxa"/>
            <w:tcBorders>
              <w:top w:val="nil"/>
              <w:left w:val="nil"/>
              <w:bottom w:val="single" w:sz="8" w:space="0" w:color="auto"/>
              <w:right w:val="single" w:sz="8" w:space="0" w:color="auto"/>
            </w:tcBorders>
            <w:shd w:val="clear" w:color="auto" w:fill="auto"/>
            <w:vAlign w:val="center"/>
          </w:tcPr>
          <w:p w14:paraId="7136F30F" w14:textId="5E6B926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41784DA" w14:textId="5FDC6E2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508984" w14:textId="267ACE3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B8837E" w14:textId="5046247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993A0A" w14:textId="2DF0E4A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544D21" w14:textId="0D81DB0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41FA701"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D56BE29"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3CA11D8"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A1B7B56" w14:textId="49BD548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577359" w14:textId="7F60412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F106C2" w14:textId="77777777" w:rsidR="004B0524" w:rsidRPr="00CD1278" w:rsidRDefault="004B0524" w:rsidP="007972CD">
            <w:pPr>
              <w:spacing w:after="60"/>
              <w:jc w:val="center"/>
              <w:rPr>
                <w:color w:val="auto"/>
                <w:sz w:val="12"/>
                <w:szCs w:val="12"/>
              </w:rPr>
            </w:pPr>
            <w:r w:rsidRPr="00CD1278">
              <w:rPr>
                <w:color w:val="auto"/>
                <w:sz w:val="12"/>
                <w:szCs w:val="12"/>
              </w:rPr>
              <w:t>0.165</w:t>
            </w:r>
          </w:p>
        </w:tc>
        <w:tc>
          <w:tcPr>
            <w:tcW w:w="567" w:type="dxa"/>
            <w:tcBorders>
              <w:top w:val="nil"/>
              <w:left w:val="nil"/>
              <w:bottom w:val="single" w:sz="8" w:space="0" w:color="auto"/>
              <w:right w:val="single" w:sz="8" w:space="0" w:color="auto"/>
            </w:tcBorders>
            <w:shd w:val="clear" w:color="auto" w:fill="auto"/>
            <w:vAlign w:val="center"/>
          </w:tcPr>
          <w:p w14:paraId="7D9D09D4" w14:textId="2AAFDF3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8F038E" w14:textId="3813126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8803AC" w14:textId="4EB6CA7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E01DA51" w14:textId="5581520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821206F" w14:textId="5D33BAF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9E5EEFB"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50DF6EB"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3C63FC8"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789AE26" w14:textId="77777777" w:rsidR="004B0524" w:rsidRPr="00CD1278" w:rsidRDefault="004B0524" w:rsidP="007972CD">
            <w:pPr>
              <w:spacing w:after="60"/>
              <w:jc w:val="center"/>
              <w:rPr>
                <w:color w:val="auto"/>
                <w:sz w:val="12"/>
                <w:szCs w:val="12"/>
              </w:rPr>
            </w:pPr>
          </w:p>
        </w:tc>
      </w:tr>
      <w:tr w:rsidR="003C102E" w:rsidRPr="00CD1278" w14:paraId="410AFED9"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09BF474F" w14:textId="77777777" w:rsidR="004B0524" w:rsidRPr="00CD1278" w:rsidRDefault="004B0524" w:rsidP="00DE7A60">
            <w:pPr>
              <w:spacing w:after="60"/>
              <w:rPr>
                <w:color w:val="auto"/>
                <w:sz w:val="12"/>
                <w:szCs w:val="12"/>
              </w:rPr>
            </w:pPr>
            <w:r w:rsidRPr="00CD1278">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0A1F4B4A" w14:textId="77777777" w:rsidR="004B0524" w:rsidRPr="00CD1278" w:rsidRDefault="004B0524" w:rsidP="007972CD">
            <w:pPr>
              <w:spacing w:after="60"/>
              <w:ind w:left="-83"/>
              <w:rPr>
                <w:color w:val="auto"/>
                <w:sz w:val="12"/>
                <w:szCs w:val="12"/>
              </w:rPr>
            </w:pPr>
            <w:r w:rsidRPr="00CD1278">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6D980217" w14:textId="77777777" w:rsidR="004B0524" w:rsidRPr="00CD1278" w:rsidRDefault="004B0524" w:rsidP="007972CD">
            <w:pPr>
              <w:spacing w:after="60"/>
              <w:jc w:val="center"/>
              <w:rPr>
                <w:color w:val="auto"/>
                <w:sz w:val="12"/>
                <w:szCs w:val="12"/>
              </w:rPr>
            </w:pPr>
            <w:r w:rsidRPr="00CD1278">
              <w:rPr>
                <w:color w:val="auto"/>
                <w:sz w:val="12"/>
                <w:szCs w:val="12"/>
              </w:rPr>
              <w:t>47.130</w:t>
            </w:r>
          </w:p>
        </w:tc>
        <w:tc>
          <w:tcPr>
            <w:tcW w:w="567" w:type="dxa"/>
            <w:tcBorders>
              <w:top w:val="nil"/>
              <w:left w:val="nil"/>
              <w:bottom w:val="single" w:sz="8" w:space="0" w:color="auto"/>
              <w:right w:val="single" w:sz="8" w:space="0" w:color="auto"/>
            </w:tcBorders>
            <w:shd w:val="clear" w:color="auto" w:fill="auto"/>
            <w:vAlign w:val="center"/>
          </w:tcPr>
          <w:p w14:paraId="7B950CA3" w14:textId="77777777" w:rsidR="004B0524" w:rsidRPr="00CD1278" w:rsidRDefault="004B0524" w:rsidP="007972CD">
            <w:pPr>
              <w:spacing w:after="60"/>
              <w:jc w:val="center"/>
              <w:rPr>
                <w:color w:val="auto"/>
                <w:sz w:val="12"/>
                <w:szCs w:val="12"/>
              </w:rPr>
            </w:pPr>
            <w:r w:rsidRPr="00CD1278">
              <w:rPr>
                <w:color w:val="auto"/>
                <w:sz w:val="12"/>
                <w:szCs w:val="12"/>
              </w:rPr>
              <w:t>10.195</w:t>
            </w:r>
          </w:p>
        </w:tc>
        <w:tc>
          <w:tcPr>
            <w:tcW w:w="567" w:type="dxa"/>
            <w:tcBorders>
              <w:top w:val="nil"/>
              <w:left w:val="nil"/>
              <w:bottom w:val="single" w:sz="8" w:space="0" w:color="auto"/>
              <w:right w:val="single" w:sz="8" w:space="0" w:color="auto"/>
            </w:tcBorders>
            <w:shd w:val="clear" w:color="auto" w:fill="auto"/>
            <w:vAlign w:val="center"/>
          </w:tcPr>
          <w:p w14:paraId="2012B2CB" w14:textId="77777777" w:rsidR="004B0524" w:rsidRPr="00CD1278" w:rsidRDefault="004B0524" w:rsidP="007972CD">
            <w:pPr>
              <w:spacing w:after="60"/>
              <w:jc w:val="center"/>
              <w:rPr>
                <w:color w:val="auto"/>
                <w:sz w:val="12"/>
                <w:szCs w:val="12"/>
              </w:rPr>
            </w:pPr>
            <w:r w:rsidRPr="00CD1278">
              <w:rPr>
                <w:color w:val="auto"/>
                <w:sz w:val="12"/>
                <w:szCs w:val="12"/>
              </w:rPr>
              <w:t>4.509</w:t>
            </w:r>
          </w:p>
        </w:tc>
        <w:tc>
          <w:tcPr>
            <w:tcW w:w="567" w:type="dxa"/>
            <w:tcBorders>
              <w:top w:val="nil"/>
              <w:left w:val="nil"/>
              <w:bottom w:val="single" w:sz="8" w:space="0" w:color="auto"/>
              <w:right w:val="single" w:sz="8" w:space="0" w:color="auto"/>
            </w:tcBorders>
            <w:shd w:val="clear" w:color="auto" w:fill="auto"/>
            <w:vAlign w:val="center"/>
          </w:tcPr>
          <w:p w14:paraId="0861C6AE" w14:textId="249978D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0FA5C7" w14:textId="2EBCBBE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5578F59" w14:textId="1981357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B230AD1" w14:textId="0CEC874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A62EAB1" w14:textId="690D492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FD23809" w14:textId="3DBBA7F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EBC596F"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ABFB896"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8193459"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9FA1CB6" w14:textId="77777777" w:rsidR="004B0524" w:rsidRPr="00CD1278" w:rsidRDefault="004B0524" w:rsidP="007972CD">
            <w:pPr>
              <w:spacing w:after="60"/>
              <w:jc w:val="center"/>
              <w:rPr>
                <w:color w:val="auto"/>
                <w:sz w:val="12"/>
                <w:szCs w:val="12"/>
              </w:rPr>
            </w:pPr>
            <w:r w:rsidRPr="00CD1278">
              <w:rPr>
                <w:color w:val="auto"/>
                <w:sz w:val="12"/>
                <w:szCs w:val="12"/>
              </w:rPr>
              <w:t>47.130</w:t>
            </w:r>
          </w:p>
        </w:tc>
        <w:tc>
          <w:tcPr>
            <w:tcW w:w="567" w:type="dxa"/>
            <w:tcBorders>
              <w:top w:val="nil"/>
              <w:left w:val="nil"/>
              <w:bottom w:val="single" w:sz="8" w:space="0" w:color="auto"/>
              <w:right w:val="single" w:sz="8" w:space="0" w:color="auto"/>
            </w:tcBorders>
            <w:shd w:val="clear" w:color="auto" w:fill="auto"/>
            <w:vAlign w:val="center"/>
          </w:tcPr>
          <w:p w14:paraId="6B2C5EE9" w14:textId="77777777" w:rsidR="004B0524" w:rsidRPr="00CD1278" w:rsidRDefault="004B0524" w:rsidP="007972CD">
            <w:pPr>
              <w:spacing w:after="60"/>
              <w:jc w:val="center"/>
              <w:rPr>
                <w:color w:val="auto"/>
                <w:sz w:val="12"/>
                <w:szCs w:val="12"/>
              </w:rPr>
            </w:pPr>
            <w:r w:rsidRPr="00CD1278">
              <w:rPr>
                <w:color w:val="auto"/>
                <w:sz w:val="12"/>
                <w:szCs w:val="12"/>
              </w:rPr>
              <w:t>10.195</w:t>
            </w:r>
          </w:p>
        </w:tc>
        <w:tc>
          <w:tcPr>
            <w:tcW w:w="567" w:type="dxa"/>
            <w:tcBorders>
              <w:top w:val="nil"/>
              <w:left w:val="nil"/>
              <w:bottom w:val="single" w:sz="8" w:space="0" w:color="auto"/>
              <w:right w:val="single" w:sz="8" w:space="0" w:color="auto"/>
            </w:tcBorders>
            <w:shd w:val="clear" w:color="auto" w:fill="auto"/>
            <w:vAlign w:val="center"/>
          </w:tcPr>
          <w:p w14:paraId="204206F5" w14:textId="77777777" w:rsidR="004B0524" w:rsidRPr="00CD1278" w:rsidRDefault="004B0524" w:rsidP="007972CD">
            <w:pPr>
              <w:spacing w:after="60"/>
              <w:jc w:val="center"/>
              <w:rPr>
                <w:color w:val="auto"/>
                <w:sz w:val="12"/>
                <w:szCs w:val="12"/>
              </w:rPr>
            </w:pPr>
            <w:r w:rsidRPr="00CD1278">
              <w:rPr>
                <w:color w:val="auto"/>
                <w:sz w:val="12"/>
                <w:szCs w:val="12"/>
              </w:rPr>
              <w:t>4.509</w:t>
            </w:r>
          </w:p>
        </w:tc>
        <w:tc>
          <w:tcPr>
            <w:tcW w:w="567" w:type="dxa"/>
            <w:tcBorders>
              <w:top w:val="nil"/>
              <w:left w:val="nil"/>
              <w:bottom w:val="single" w:sz="8" w:space="0" w:color="auto"/>
              <w:right w:val="single" w:sz="8" w:space="0" w:color="auto"/>
            </w:tcBorders>
            <w:shd w:val="clear" w:color="auto" w:fill="auto"/>
            <w:vAlign w:val="center"/>
          </w:tcPr>
          <w:p w14:paraId="2011B7A7" w14:textId="6327B04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BF428E" w14:textId="04A2962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E6926F6" w14:textId="6C67CB8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08A25B" w14:textId="64F901E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D49419D" w14:textId="3FCB6D7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672BF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70E3397"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6DDFCC0"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D3623E0" w14:textId="77777777" w:rsidR="004B0524" w:rsidRPr="00CD1278" w:rsidRDefault="004B0524" w:rsidP="007972CD">
            <w:pPr>
              <w:spacing w:after="60"/>
              <w:jc w:val="center"/>
              <w:rPr>
                <w:color w:val="auto"/>
                <w:sz w:val="12"/>
                <w:szCs w:val="12"/>
              </w:rPr>
            </w:pPr>
          </w:p>
        </w:tc>
      </w:tr>
      <w:tr w:rsidR="003C102E" w:rsidRPr="00CD1278" w14:paraId="6C09A066" w14:textId="77777777" w:rsidTr="00DE7A60">
        <w:trPr>
          <w:cantSplit/>
          <w:trHeight w:val="27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5DDFA6B1" w14:textId="77777777" w:rsidR="004B0524" w:rsidRPr="00CD1278" w:rsidRDefault="004B0524" w:rsidP="00DE7A60">
            <w:pPr>
              <w:spacing w:after="60"/>
              <w:rPr>
                <w:color w:val="auto"/>
                <w:sz w:val="12"/>
                <w:szCs w:val="12"/>
              </w:rPr>
            </w:pPr>
            <w:r w:rsidRPr="00CD1278">
              <w:rPr>
                <w:color w:val="auto"/>
                <w:sz w:val="12"/>
                <w:szCs w:val="12"/>
              </w:rPr>
              <w:t xml:space="preserve">UK </w:t>
            </w:r>
          </w:p>
        </w:tc>
        <w:tc>
          <w:tcPr>
            <w:tcW w:w="1385" w:type="dxa"/>
            <w:gridSpan w:val="2"/>
            <w:tcBorders>
              <w:top w:val="single" w:sz="8" w:space="0" w:color="auto"/>
              <w:left w:val="nil"/>
              <w:bottom w:val="single" w:sz="8" w:space="0" w:color="auto"/>
              <w:right w:val="single" w:sz="8" w:space="0" w:color="000000"/>
            </w:tcBorders>
            <w:shd w:val="clear" w:color="auto" w:fill="auto"/>
            <w:vAlign w:val="center"/>
          </w:tcPr>
          <w:p w14:paraId="680AC8AA" w14:textId="77777777" w:rsidR="004B0524" w:rsidRPr="00CD1278" w:rsidRDefault="004B0524" w:rsidP="007972CD">
            <w:pPr>
              <w:spacing w:after="60"/>
              <w:ind w:left="-83"/>
              <w:rPr>
                <w:color w:val="auto"/>
                <w:sz w:val="12"/>
                <w:szCs w:val="12"/>
              </w:rPr>
            </w:pPr>
            <w:r w:rsidRPr="00CD1278">
              <w:rPr>
                <w:color w:val="auto"/>
                <w:sz w:val="12"/>
                <w:szCs w:val="12"/>
              </w:rPr>
              <w:t>Cereal processing plants</w:t>
            </w:r>
          </w:p>
        </w:tc>
        <w:tc>
          <w:tcPr>
            <w:tcW w:w="567" w:type="dxa"/>
            <w:tcBorders>
              <w:top w:val="nil"/>
              <w:left w:val="nil"/>
              <w:bottom w:val="single" w:sz="8" w:space="0" w:color="auto"/>
              <w:right w:val="single" w:sz="8" w:space="0" w:color="auto"/>
            </w:tcBorders>
            <w:shd w:val="clear" w:color="auto" w:fill="auto"/>
            <w:vAlign w:val="center"/>
          </w:tcPr>
          <w:p w14:paraId="00C0FEF9" w14:textId="77777777" w:rsidR="004B0524" w:rsidRPr="00CD1278" w:rsidRDefault="004B0524" w:rsidP="007972CD">
            <w:pPr>
              <w:spacing w:after="60"/>
              <w:jc w:val="center"/>
              <w:rPr>
                <w:color w:val="auto"/>
                <w:sz w:val="12"/>
                <w:szCs w:val="12"/>
              </w:rPr>
            </w:pPr>
            <w:r w:rsidRPr="00CD1278">
              <w:rPr>
                <w:color w:val="auto"/>
                <w:sz w:val="12"/>
                <w:szCs w:val="12"/>
              </w:rPr>
              <w:t>8.131</w:t>
            </w:r>
          </w:p>
        </w:tc>
        <w:tc>
          <w:tcPr>
            <w:tcW w:w="567" w:type="dxa"/>
            <w:tcBorders>
              <w:top w:val="nil"/>
              <w:left w:val="nil"/>
              <w:bottom w:val="single" w:sz="8" w:space="0" w:color="auto"/>
              <w:right w:val="single" w:sz="8" w:space="0" w:color="auto"/>
            </w:tcBorders>
            <w:shd w:val="clear" w:color="auto" w:fill="auto"/>
            <w:vAlign w:val="center"/>
          </w:tcPr>
          <w:p w14:paraId="07024870" w14:textId="77777777" w:rsidR="004B0524" w:rsidRPr="00CD1278" w:rsidRDefault="004B0524" w:rsidP="007972CD">
            <w:pPr>
              <w:spacing w:after="60"/>
              <w:jc w:val="center"/>
              <w:rPr>
                <w:color w:val="auto"/>
                <w:sz w:val="12"/>
                <w:szCs w:val="12"/>
              </w:rPr>
            </w:pPr>
            <w:r w:rsidRPr="00CD1278">
              <w:rPr>
                <w:color w:val="auto"/>
                <w:sz w:val="12"/>
                <w:szCs w:val="12"/>
              </w:rPr>
              <w:t>3.480</w:t>
            </w:r>
          </w:p>
        </w:tc>
        <w:tc>
          <w:tcPr>
            <w:tcW w:w="567" w:type="dxa"/>
            <w:tcBorders>
              <w:top w:val="nil"/>
              <w:left w:val="nil"/>
              <w:bottom w:val="single" w:sz="8" w:space="0" w:color="auto"/>
              <w:right w:val="single" w:sz="8" w:space="0" w:color="auto"/>
            </w:tcBorders>
            <w:shd w:val="clear" w:color="auto" w:fill="auto"/>
            <w:vAlign w:val="center"/>
          </w:tcPr>
          <w:p w14:paraId="7DA1AA15" w14:textId="7A33209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06D237" w14:textId="1675D05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BB5D7A" w14:textId="40C770B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CFDCE75" w14:textId="3E3B78F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FE66719" w14:textId="77777777" w:rsidR="004B0524" w:rsidRPr="00CD1278" w:rsidRDefault="004B0524" w:rsidP="007972CD">
            <w:pPr>
              <w:spacing w:after="60"/>
              <w:jc w:val="center"/>
              <w:rPr>
                <w:color w:val="auto"/>
                <w:sz w:val="12"/>
                <w:szCs w:val="12"/>
              </w:rPr>
            </w:pPr>
            <w:r w:rsidRPr="00CD1278">
              <w:rPr>
                <w:color w:val="auto"/>
                <w:sz w:val="12"/>
                <w:szCs w:val="12"/>
              </w:rPr>
              <w:t>(a)</w:t>
            </w:r>
          </w:p>
        </w:tc>
        <w:tc>
          <w:tcPr>
            <w:tcW w:w="567" w:type="dxa"/>
            <w:tcBorders>
              <w:top w:val="nil"/>
              <w:left w:val="nil"/>
              <w:bottom w:val="single" w:sz="8" w:space="0" w:color="auto"/>
              <w:right w:val="single" w:sz="8" w:space="0" w:color="auto"/>
            </w:tcBorders>
            <w:shd w:val="clear" w:color="auto" w:fill="auto"/>
            <w:vAlign w:val="center"/>
          </w:tcPr>
          <w:p w14:paraId="350E0904" w14:textId="0A9C71D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67CBD9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A82FDBD"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E4CFD12"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6A958B54" w14:textId="2EC77A2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0F1606" w14:textId="77777777" w:rsidR="004B0524" w:rsidRPr="00CD1278" w:rsidRDefault="004B0524" w:rsidP="007972CD">
            <w:pPr>
              <w:spacing w:after="60"/>
              <w:jc w:val="center"/>
              <w:rPr>
                <w:color w:val="auto"/>
                <w:sz w:val="12"/>
                <w:szCs w:val="12"/>
              </w:rPr>
            </w:pPr>
            <w:r w:rsidRPr="00CD1278">
              <w:rPr>
                <w:color w:val="auto"/>
                <w:sz w:val="12"/>
                <w:szCs w:val="12"/>
              </w:rPr>
              <w:t>8.131</w:t>
            </w:r>
          </w:p>
        </w:tc>
        <w:tc>
          <w:tcPr>
            <w:tcW w:w="567" w:type="dxa"/>
            <w:tcBorders>
              <w:top w:val="nil"/>
              <w:left w:val="nil"/>
              <w:bottom w:val="single" w:sz="8" w:space="0" w:color="auto"/>
              <w:right w:val="single" w:sz="8" w:space="0" w:color="auto"/>
            </w:tcBorders>
            <w:shd w:val="clear" w:color="auto" w:fill="auto"/>
            <w:vAlign w:val="center"/>
          </w:tcPr>
          <w:p w14:paraId="0BCC8500" w14:textId="35A6F7F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01719E8" w14:textId="6183ED5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49A901" w14:textId="1D33F87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1E56F65" w14:textId="6DCEF3D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9EF3BFA" w14:textId="376D9BC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59DCA7D5" w14:textId="02FE1A4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11F713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E464456"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8B8616C"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47E4AD5" w14:textId="77777777" w:rsidR="004B0524" w:rsidRPr="00CD1278" w:rsidRDefault="004B0524" w:rsidP="007972CD">
            <w:pPr>
              <w:spacing w:after="60"/>
              <w:jc w:val="center"/>
              <w:rPr>
                <w:color w:val="auto"/>
                <w:sz w:val="12"/>
                <w:szCs w:val="12"/>
              </w:rPr>
            </w:pPr>
          </w:p>
        </w:tc>
      </w:tr>
      <w:tr w:rsidR="003C102E" w:rsidRPr="00CD1278" w14:paraId="6728FF6F"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85B4CC9" w14:textId="77777777" w:rsidR="004B0524" w:rsidRPr="00CD1278" w:rsidRDefault="004B0524" w:rsidP="00DE7A60">
            <w:pPr>
              <w:spacing w:after="60"/>
              <w:rPr>
                <w:color w:val="auto"/>
                <w:sz w:val="12"/>
                <w:szCs w:val="12"/>
              </w:rPr>
            </w:pPr>
            <w:r w:rsidRPr="00CD1278">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719D8BDD" w14:textId="77777777" w:rsidR="004B0524" w:rsidRPr="00CD1278" w:rsidRDefault="004B0524" w:rsidP="007972CD">
            <w:pPr>
              <w:spacing w:after="60"/>
              <w:ind w:left="-83"/>
              <w:rPr>
                <w:color w:val="auto"/>
                <w:sz w:val="12"/>
                <w:szCs w:val="12"/>
              </w:rPr>
            </w:pPr>
            <w:r w:rsidRPr="00CD1278">
              <w:rPr>
                <w:color w:val="auto"/>
                <w:sz w:val="12"/>
                <w:szCs w:val="12"/>
              </w:rPr>
              <w:t>Cheese stores</w:t>
            </w:r>
          </w:p>
        </w:tc>
        <w:tc>
          <w:tcPr>
            <w:tcW w:w="567" w:type="dxa"/>
            <w:tcBorders>
              <w:top w:val="nil"/>
              <w:left w:val="nil"/>
              <w:bottom w:val="single" w:sz="8" w:space="0" w:color="auto"/>
              <w:right w:val="single" w:sz="8" w:space="0" w:color="auto"/>
            </w:tcBorders>
            <w:shd w:val="clear" w:color="auto" w:fill="auto"/>
            <w:vAlign w:val="center"/>
          </w:tcPr>
          <w:p w14:paraId="440B9D1D" w14:textId="77777777" w:rsidR="004B0524" w:rsidRPr="00CD1278" w:rsidRDefault="004B0524" w:rsidP="007972CD">
            <w:pPr>
              <w:spacing w:after="60"/>
              <w:jc w:val="center"/>
              <w:rPr>
                <w:color w:val="auto"/>
                <w:sz w:val="12"/>
                <w:szCs w:val="12"/>
              </w:rPr>
            </w:pPr>
            <w:r w:rsidRPr="00CD1278">
              <w:rPr>
                <w:color w:val="auto"/>
                <w:sz w:val="12"/>
                <w:szCs w:val="12"/>
              </w:rPr>
              <w:t>1.640</w:t>
            </w:r>
          </w:p>
        </w:tc>
        <w:tc>
          <w:tcPr>
            <w:tcW w:w="567" w:type="dxa"/>
            <w:tcBorders>
              <w:top w:val="nil"/>
              <w:left w:val="nil"/>
              <w:bottom w:val="single" w:sz="8" w:space="0" w:color="auto"/>
              <w:right w:val="single" w:sz="8" w:space="0" w:color="auto"/>
            </w:tcBorders>
            <w:shd w:val="clear" w:color="auto" w:fill="auto"/>
            <w:vAlign w:val="center"/>
          </w:tcPr>
          <w:p w14:paraId="0C9736E2" w14:textId="77777777" w:rsidR="004B0524" w:rsidRPr="00CD1278" w:rsidRDefault="004B0524" w:rsidP="007972CD">
            <w:pPr>
              <w:spacing w:after="60"/>
              <w:jc w:val="center"/>
              <w:rPr>
                <w:color w:val="auto"/>
                <w:sz w:val="12"/>
                <w:szCs w:val="12"/>
              </w:rPr>
            </w:pPr>
            <w:r w:rsidRPr="00CD1278">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20212B4F" w14:textId="77777777" w:rsidR="004B0524" w:rsidRPr="00CD1278" w:rsidRDefault="004B0524" w:rsidP="007972CD">
            <w:pPr>
              <w:spacing w:after="60"/>
              <w:jc w:val="center"/>
              <w:rPr>
                <w:color w:val="auto"/>
                <w:sz w:val="12"/>
                <w:szCs w:val="12"/>
              </w:rPr>
            </w:pPr>
            <w:r w:rsidRPr="00CD1278">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338739CF" w14:textId="6943E33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C1984F" w14:textId="6C70E71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EFCEDEF" w14:textId="425E1E9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840BE7E" w14:textId="2FC9755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D8CB5A" w14:textId="5EA700D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FE24E6" w14:textId="47D906F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1DA3FEF"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CD36607"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4FDE8D8"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BDA9031" w14:textId="77777777" w:rsidR="004B0524" w:rsidRPr="00CD1278" w:rsidRDefault="004B0524" w:rsidP="007972CD">
            <w:pPr>
              <w:spacing w:after="60"/>
              <w:jc w:val="center"/>
              <w:rPr>
                <w:color w:val="auto"/>
                <w:sz w:val="12"/>
                <w:szCs w:val="12"/>
              </w:rPr>
            </w:pPr>
            <w:r w:rsidRPr="00CD1278">
              <w:rPr>
                <w:color w:val="auto"/>
                <w:sz w:val="12"/>
                <w:szCs w:val="12"/>
              </w:rPr>
              <w:t>1.640</w:t>
            </w:r>
          </w:p>
        </w:tc>
        <w:tc>
          <w:tcPr>
            <w:tcW w:w="567" w:type="dxa"/>
            <w:tcBorders>
              <w:top w:val="nil"/>
              <w:left w:val="nil"/>
              <w:bottom w:val="single" w:sz="8" w:space="0" w:color="auto"/>
              <w:right w:val="single" w:sz="8" w:space="0" w:color="auto"/>
            </w:tcBorders>
            <w:shd w:val="clear" w:color="auto" w:fill="auto"/>
            <w:vAlign w:val="center"/>
          </w:tcPr>
          <w:p w14:paraId="6ADA8CF4" w14:textId="77777777" w:rsidR="004B0524" w:rsidRPr="00CD1278" w:rsidRDefault="004B0524" w:rsidP="007972CD">
            <w:pPr>
              <w:spacing w:after="60"/>
              <w:jc w:val="center"/>
              <w:rPr>
                <w:color w:val="auto"/>
                <w:sz w:val="12"/>
                <w:szCs w:val="12"/>
              </w:rPr>
            </w:pPr>
            <w:r w:rsidRPr="00CD1278">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5D5E4EB8" w14:textId="77777777" w:rsidR="004B0524" w:rsidRPr="00CD1278" w:rsidRDefault="004B0524" w:rsidP="007972CD">
            <w:pPr>
              <w:spacing w:after="60"/>
              <w:jc w:val="center"/>
              <w:rPr>
                <w:color w:val="auto"/>
                <w:sz w:val="12"/>
                <w:szCs w:val="12"/>
              </w:rPr>
            </w:pPr>
            <w:r w:rsidRPr="00CD1278">
              <w:rPr>
                <w:color w:val="auto"/>
                <w:sz w:val="12"/>
                <w:szCs w:val="12"/>
              </w:rPr>
              <w:t>1.248</w:t>
            </w:r>
          </w:p>
        </w:tc>
        <w:tc>
          <w:tcPr>
            <w:tcW w:w="567" w:type="dxa"/>
            <w:tcBorders>
              <w:top w:val="nil"/>
              <w:left w:val="nil"/>
              <w:bottom w:val="single" w:sz="8" w:space="0" w:color="auto"/>
              <w:right w:val="single" w:sz="8" w:space="0" w:color="auto"/>
            </w:tcBorders>
            <w:shd w:val="clear" w:color="auto" w:fill="auto"/>
            <w:vAlign w:val="center"/>
          </w:tcPr>
          <w:p w14:paraId="05FEE035" w14:textId="6BECDBB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DEC124B" w14:textId="78B4E45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869434" w14:textId="4EA91C7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9F030E9" w14:textId="48B533D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E911FF4" w14:textId="6A9233D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083AE28"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6BCF831"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A8A4A76"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65788D5" w14:textId="77777777" w:rsidR="004B0524" w:rsidRPr="00CD1278" w:rsidRDefault="004B0524" w:rsidP="007972CD">
            <w:pPr>
              <w:spacing w:after="60"/>
              <w:jc w:val="center"/>
              <w:rPr>
                <w:color w:val="auto"/>
                <w:sz w:val="12"/>
                <w:szCs w:val="12"/>
              </w:rPr>
            </w:pPr>
          </w:p>
        </w:tc>
      </w:tr>
      <w:tr w:rsidR="003C102E" w:rsidRPr="00CD1278" w14:paraId="7B59E4EB" w14:textId="77777777" w:rsidTr="00DE7A60">
        <w:trPr>
          <w:cantSplit/>
          <w:trHeight w:val="13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ADC3E09" w14:textId="77777777" w:rsidR="004B0524" w:rsidRPr="00CD1278" w:rsidRDefault="004B0524" w:rsidP="00DE7A60">
            <w:pPr>
              <w:spacing w:after="60"/>
              <w:rPr>
                <w:color w:val="auto"/>
                <w:sz w:val="12"/>
                <w:szCs w:val="12"/>
              </w:rPr>
            </w:pPr>
            <w:r w:rsidRPr="00CD1278">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5E44AAA5" w14:textId="05DC9C0D" w:rsidR="004B0524" w:rsidRPr="00CD1278" w:rsidRDefault="004B0524" w:rsidP="007972CD">
            <w:pPr>
              <w:spacing w:after="60"/>
              <w:ind w:left="-83"/>
              <w:rPr>
                <w:color w:val="auto"/>
                <w:sz w:val="12"/>
                <w:szCs w:val="12"/>
              </w:rPr>
            </w:pPr>
            <w:r w:rsidRPr="00CD1278">
              <w:rPr>
                <w:color w:val="auto"/>
                <w:sz w:val="12"/>
                <w:szCs w:val="12"/>
              </w:rPr>
              <w:t>Dried  commodities (rice, fruits and nuts)  Whitworths</w:t>
            </w:r>
          </w:p>
        </w:tc>
        <w:tc>
          <w:tcPr>
            <w:tcW w:w="567" w:type="dxa"/>
            <w:tcBorders>
              <w:top w:val="nil"/>
              <w:left w:val="nil"/>
              <w:bottom w:val="single" w:sz="8" w:space="0" w:color="auto"/>
              <w:right w:val="single" w:sz="8" w:space="0" w:color="auto"/>
            </w:tcBorders>
            <w:shd w:val="clear" w:color="auto" w:fill="auto"/>
            <w:vAlign w:val="center"/>
          </w:tcPr>
          <w:p w14:paraId="0B5371CF" w14:textId="78DAA6CB" w:rsidR="004B0524" w:rsidRPr="00CD1278" w:rsidRDefault="004B0524" w:rsidP="007972CD">
            <w:pPr>
              <w:spacing w:after="60"/>
              <w:jc w:val="center"/>
              <w:rPr>
                <w:color w:val="auto"/>
                <w:sz w:val="12"/>
                <w:szCs w:val="12"/>
              </w:rPr>
            </w:pPr>
            <w:r w:rsidRPr="00CD1278">
              <w:rPr>
                <w:color w:val="auto"/>
                <w:sz w:val="12"/>
                <w:szCs w:val="12"/>
              </w:rPr>
              <w:t>2.400</w:t>
            </w:r>
          </w:p>
        </w:tc>
        <w:tc>
          <w:tcPr>
            <w:tcW w:w="567" w:type="dxa"/>
            <w:tcBorders>
              <w:top w:val="nil"/>
              <w:left w:val="nil"/>
              <w:bottom w:val="single" w:sz="8" w:space="0" w:color="auto"/>
              <w:right w:val="single" w:sz="8" w:space="0" w:color="auto"/>
            </w:tcBorders>
            <w:shd w:val="clear" w:color="auto" w:fill="auto"/>
            <w:vAlign w:val="center"/>
          </w:tcPr>
          <w:p w14:paraId="1B41BAF6" w14:textId="77777777" w:rsidR="004B0524" w:rsidRPr="00CD1278" w:rsidRDefault="004B0524" w:rsidP="007972CD">
            <w:pPr>
              <w:spacing w:after="60"/>
              <w:jc w:val="center"/>
              <w:rPr>
                <w:color w:val="auto"/>
                <w:sz w:val="12"/>
                <w:szCs w:val="12"/>
              </w:rPr>
            </w:pPr>
            <w:r w:rsidRPr="00CD1278">
              <w:rPr>
                <w:color w:val="auto"/>
                <w:sz w:val="12"/>
                <w:szCs w:val="12"/>
              </w:rPr>
              <w:t>1.256</w:t>
            </w:r>
          </w:p>
        </w:tc>
        <w:tc>
          <w:tcPr>
            <w:tcW w:w="567" w:type="dxa"/>
            <w:tcBorders>
              <w:top w:val="nil"/>
              <w:left w:val="nil"/>
              <w:bottom w:val="single" w:sz="8" w:space="0" w:color="auto"/>
              <w:right w:val="single" w:sz="8" w:space="0" w:color="auto"/>
            </w:tcBorders>
            <w:shd w:val="clear" w:color="auto" w:fill="auto"/>
            <w:vAlign w:val="center"/>
          </w:tcPr>
          <w:p w14:paraId="43AE4203" w14:textId="773DA59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F275458" w14:textId="1305943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2DB72FB" w14:textId="5813515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7D6FE2B" w14:textId="7824C7F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E1A28B" w14:textId="3617C8D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425900E" w14:textId="497FA01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142F99" w14:textId="402C711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172B123"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8025A2A"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D49EB8E"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7DE6873" w14:textId="77777777" w:rsidR="004B0524" w:rsidRPr="00CD1278" w:rsidRDefault="004B0524" w:rsidP="007972CD">
            <w:pPr>
              <w:spacing w:after="60"/>
              <w:jc w:val="center"/>
              <w:rPr>
                <w:color w:val="auto"/>
                <w:sz w:val="12"/>
                <w:szCs w:val="12"/>
              </w:rPr>
            </w:pPr>
            <w:r w:rsidRPr="00CD1278">
              <w:rPr>
                <w:color w:val="auto"/>
                <w:sz w:val="12"/>
                <w:szCs w:val="12"/>
              </w:rPr>
              <w:t>2.400</w:t>
            </w:r>
          </w:p>
        </w:tc>
        <w:tc>
          <w:tcPr>
            <w:tcW w:w="567" w:type="dxa"/>
            <w:tcBorders>
              <w:top w:val="nil"/>
              <w:left w:val="nil"/>
              <w:bottom w:val="single" w:sz="8" w:space="0" w:color="auto"/>
              <w:right w:val="single" w:sz="8" w:space="0" w:color="auto"/>
            </w:tcBorders>
            <w:shd w:val="clear" w:color="auto" w:fill="auto"/>
            <w:vAlign w:val="center"/>
          </w:tcPr>
          <w:p w14:paraId="6A59D0A7" w14:textId="77777777" w:rsidR="004B0524" w:rsidRPr="00CD1278" w:rsidRDefault="004B0524" w:rsidP="007972CD">
            <w:pPr>
              <w:spacing w:after="60"/>
              <w:jc w:val="center"/>
              <w:rPr>
                <w:color w:val="auto"/>
                <w:sz w:val="12"/>
                <w:szCs w:val="12"/>
              </w:rPr>
            </w:pPr>
            <w:r w:rsidRPr="00CD1278">
              <w:rPr>
                <w:color w:val="auto"/>
                <w:sz w:val="12"/>
                <w:szCs w:val="12"/>
              </w:rPr>
              <w:t>1.256</w:t>
            </w:r>
          </w:p>
        </w:tc>
        <w:tc>
          <w:tcPr>
            <w:tcW w:w="567" w:type="dxa"/>
            <w:tcBorders>
              <w:top w:val="nil"/>
              <w:left w:val="nil"/>
              <w:bottom w:val="single" w:sz="8" w:space="0" w:color="auto"/>
              <w:right w:val="single" w:sz="8" w:space="0" w:color="auto"/>
            </w:tcBorders>
            <w:shd w:val="clear" w:color="auto" w:fill="auto"/>
            <w:vAlign w:val="center"/>
          </w:tcPr>
          <w:p w14:paraId="12A67E72" w14:textId="03FC1D3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4DA4D9" w14:textId="79F9528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B9CC9B" w14:textId="6CDF911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3EB43DA" w14:textId="57CE9C1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96F19E" w14:textId="2C46EBC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0BFF1C5" w14:textId="37CF3D4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EAAF553"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F923436"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6E9EB43"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6F3358B" w14:textId="77777777" w:rsidR="004B0524" w:rsidRPr="00CD1278" w:rsidRDefault="004B0524" w:rsidP="007972CD">
            <w:pPr>
              <w:spacing w:after="60"/>
              <w:jc w:val="center"/>
              <w:rPr>
                <w:color w:val="auto"/>
                <w:sz w:val="12"/>
                <w:szCs w:val="12"/>
              </w:rPr>
            </w:pPr>
          </w:p>
        </w:tc>
      </w:tr>
      <w:tr w:rsidR="003C102E" w:rsidRPr="00CD1278" w14:paraId="2F18AFB0"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2AFF9E4" w14:textId="77777777" w:rsidR="004B0524" w:rsidRPr="00CD1278" w:rsidRDefault="004B0524" w:rsidP="00DE7A60">
            <w:pPr>
              <w:spacing w:after="60"/>
              <w:rPr>
                <w:color w:val="auto"/>
                <w:sz w:val="12"/>
                <w:szCs w:val="12"/>
              </w:rPr>
            </w:pPr>
            <w:r w:rsidRPr="00CD1278">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741276AB" w14:textId="77777777" w:rsidR="004B0524" w:rsidRPr="00CD1278" w:rsidRDefault="004B0524" w:rsidP="007972CD">
            <w:pPr>
              <w:spacing w:after="60"/>
              <w:ind w:left="-83"/>
              <w:rPr>
                <w:color w:val="auto"/>
                <w:sz w:val="12"/>
                <w:szCs w:val="12"/>
              </w:rPr>
            </w:pPr>
            <w:r w:rsidRPr="00CD1278">
              <w:rPr>
                <w:color w:val="auto"/>
                <w:sz w:val="12"/>
                <w:szCs w:val="12"/>
              </w:rPr>
              <w:t>Herbs and spices</w:t>
            </w:r>
          </w:p>
        </w:tc>
        <w:tc>
          <w:tcPr>
            <w:tcW w:w="567" w:type="dxa"/>
            <w:tcBorders>
              <w:top w:val="nil"/>
              <w:left w:val="nil"/>
              <w:bottom w:val="single" w:sz="8" w:space="0" w:color="auto"/>
              <w:right w:val="single" w:sz="8" w:space="0" w:color="auto"/>
            </w:tcBorders>
            <w:shd w:val="clear" w:color="auto" w:fill="auto"/>
            <w:vAlign w:val="center"/>
          </w:tcPr>
          <w:p w14:paraId="035F6BF8" w14:textId="77777777" w:rsidR="004B0524" w:rsidRPr="00CD1278" w:rsidRDefault="004B0524" w:rsidP="007972CD">
            <w:pPr>
              <w:spacing w:after="60"/>
              <w:jc w:val="center"/>
              <w:rPr>
                <w:color w:val="auto"/>
                <w:sz w:val="12"/>
                <w:szCs w:val="12"/>
              </w:rPr>
            </w:pPr>
            <w:r w:rsidRPr="00CD1278">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7EBDC7A8" w14:textId="77777777" w:rsidR="004B0524" w:rsidRPr="00CD1278" w:rsidRDefault="004B0524" w:rsidP="007972CD">
            <w:pPr>
              <w:spacing w:after="60"/>
              <w:jc w:val="center"/>
              <w:rPr>
                <w:color w:val="auto"/>
                <w:sz w:val="12"/>
                <w:szCs w:val="12"/>
              </w:rPr>
            </w:pPr>
            <w:r w:rsidRPr="00CD1278">
              <w:rPr>
                <w:color w:val="auto"/>
                <w:sz w:val="12"/>
                <w:szCs w:val="12"/>
              </w:rPr>
              <w:t>0.037</w:t>
            </w:r>
          </w:p>
        </w:tc>
        <w:tc>
          <w:tcPr>
            <w:tcW w:w="567" w:type="dxa"/>
            <w:tcBorders>
              <w:top w:val="nil"/>
              <w:left w:val="nil"/>
              <w:bottom w:val="single" w:sz="8" w:space="0" w:color="auto"/>
              <w:right w:val="single" w:sz="8" w:space="0" w:color="auto"/>
            </w:tcBorders>
            <w:shd w:val="clear" w:color="auto" w:fill="auto"/>
            <w:vAlign w:val="center"/>
          </w:tcPr>
          <w:p w14:paraId="51A16B92" w14:textId="77777777" w:rsidR="004B0524" w:rsidRPr="00CD1278" w:rsidRDefault="004B0524" w:rsidP="007972CD">
            <w:pPr>
              <w:spacing w:after="60"/>
              <w:jc w:val="center"/>
              <w:rPr>
                <w:color w:val="auto"/>
                <w:sz w:val="12"/>
                <w:szCs w:val="12"/>
              </w:rPr>
            </w:pPr>
            <w:r w:rsidRPr="00CD1278">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38A89D7A" w14:textId="246FAC4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7AE1834" w14:textId="6B3122E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CE3564A" w14:textId="5715664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720EBB" w14:textId="6B0110E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AABD81A" w14:textId="22F22B5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8E31D0" w14:textId="3F76402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0319E6A3"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3B1A840"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1905919"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9B6E741" w14:textId="77777777" w:rsidR="004B0524" w:rsidRPr="00CD1278" w:rsidRDefault="004B0524" w:rsidP="007972CD">
            <w:pPr>
              <w:spacing w:after="60"/>
              <w:jc w:val="center"/>
              <w:rPr>
                <w:color w:val="auto"/>
                <w:sz w:val="12"/>
                <w:szCs w:val="12"/>
              </w:rPr>
            </w:pPr>
            <w:r w:rsidRPr="00CD1278">
              <w:rPr>
                <w:color w:val="auto"/>
                <w:sz w:val="12"/>
                <w:szCs w:val="12"/>
              </w:rPr>
              <w:t>0.035</w:t>
            </w:r>
          </w:p>
        </w:tc>
        <w:tc>
          <w:tcPr>
            <w:tcW w:w="567" w:type="dxa"/>
            <w:tcBorders>
              <w:top w:val="nil"/>
              <w:left w:val="nil"/>
              <w:bottom w:val="single" w:sz="8" w:space="0" w:color="auto"/>
              <w:right w:val="single" w:sz="8" w:space="0" w:color="auto"/>
            </w:tcBorders>
            <w:shd w:val="clear" w:color="auto" w:fill="auto"/>
            <w:vAlign w:val="center"/>
          </w:tcPr>
          <w:p w14:paraId="38D273EB" w14:textId="77777777" w:rsidR="004B0524" w:rsidRPr="00CD1278" w:rsidRDefault="004B0524" w:rsidP="007972CD">
            <w:pPr>
              <w:spacing w:after="60"/>
              <w:jc w:val="center"/>
              <w:rPr>
                <w:color w:val="auto"/>
                <w:sz w:val="12"/>
                <w:szCs w:val="12"/>
              </w:rPr>
            </w:pPr>
            <w:r w:rsidRPr="00CD1278">
              <w:rPr>
                <w:color w:val="auto"/>
                <w:sz w:val="12"/>
                <w:szCs w:val="12"/>
              </w:rPr>
              <w:t>0.037</w:t>
            </w:r>
          </w:p>
        </w:tc>
        <w:tc>
          <w:tcPr>
            <w:tcW w:w="567" w:type="dxa"/>
            <w:tcBorders>
              <w:top w:val="nil"/>
              <w:left w:val="nil"/>
              <w:bottom w:val="single" w:sz="8" w:space="0" w:color="auto"/>
              <w:right w:val="single" w:sz="8" w:space="0" w:color="auto"/>
            </w:tcBorders>
            <w:shd w:val="clear" w:color="auto" w:fill="auto"/>
            <w:vAlign w:val="center"/>
          </w:tcPr>
          <w:p w14:paraId="7CB5C6E6" w14:textId="368859A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49C5F29" w14:textId="27E3758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FBA09A" w14:textId="5C21193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94D25B0" w14:textId="7CD1CE1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FABA070" w14:textId="17DB2FA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636B7D0" w14:textId="4EBFEC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C36793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D4CD8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EDCB363"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3DAE1E3" w14:textId="77777777" w:rsidR="004B0524" w:rsidRPr="00CD1278" w:rsidRDefault="004B0524" w:rsidP="007972CD">
            <w:pPr>
              <w:spacing w:after="60"/>
              <w:jc w:val="center"/>
              <w:rPr>
                <w:color w:val="auto"/>
                <w:sz w:val="12"/>
                <w:szCs w:val="12"/>
              </w:rPr>
            </w:pPr>
          </w:p>
        </w:tc>
      </w:tr>
      <w:tr w:rsidR="003C102E" w:rsidRPr="00CD1278" w14:paraId="68DE838E"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118ADE8" w14:textId="77777777" w:rsidR="004B0524" w:rsidRPr="00CD1278" w:rsidRDefault="004B0524" w:rsidP="00DE7A60">
            <w:pPr>
              <w:spacing w:after="60"/>
              <w:rPr>
                <w:color w:val="auto"/>
                <w:sz w:val="12"/>
                <w:szCs w:val="12"/>
              </w:rPr>
            </w:pPr>
            <w:r w:rsidRPr="00CD1278">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0AD47540" w14:textId="33DF600E" w:rsidR="004B0524" w:rsidRPr="00CD1278" w:rsidRDefault="004B0524" w:rsidP="007972CD">
            <w:pPr>
              <w:spacing w:after="60"/>
              <w:ind w:left="-83"/>
              <w:rPr>
                <w:color w:val="auto"/>
                <w:sz w:val="12"/>
                <w:szCs w:val="12"/>
              </w:rPr>
            </w:pPr>
            <w:r w:rsidRPr="00CD1278">
              <w:rPr>
                <w:color w:val="auto"/>
                <w:sz w:val="12"/>
                <w:szCs w:val="12"/>
              </w:rPr>
              <w:t>Mills and Processors (biscuits)</w:t>
            </w:r>
          </w:p>
        </w:tc>
        <w:tc>
          <w:tcPr>
            <w:tcW w:w="567" w:type="dxa"/>
            <w:tcBorders>
              <w:top w:val="nil"/>
              <w:left w:val="nil"/>
              <w:bottom w:val="single" w:sz="8" w:space="0" w:color="auto"/>
              <w:right w:val="single" w:sz="8" w:space="0" w:color="auto"/>
            </w:tcBorders>
            <w:shd w:val="clear" w:color="auto" w:fill="auto"/>
            <w:vAlign w:val="center"/>
          </w:tcPr>
          <w:p w14:paraId="13A2D52B" w14:textId="77777777" w:rsidR="004B0524" w:rsidRPr="00CD1278" w:rsidRDefault="004B0524" w:rsidP="007972CD">
            <w:pPr>
              <w:spacing w:after="60"/>
              <w:jc w:val="center"/>
              <w:rPr>
                <w:color w:val="auto"/>
                <w:sz w:val="12"/>
                <w:szCs w:val="12"/>
              </w:rPr>
            </w:pPr>
            <w:r w:rsidRPr="00CD1278">
              <w:rPr>
                <w:color w:val="auto"/>
                <w:sz w:val="12"/>
                <w:szCs w:val="12"/>
              </w:rPr>
              <w:t>2.525</w:t>
            </w:r>
          </w:p>
        </w:tc>
        <w:tc>
          <w:tcPr>
            <w:tcW w:w="567" w:type="dxa"/>
            <w:tcBorders>
              <w:top w:val="nil"/>
              <w:left w:val="nil"/>
              <w:bottom w:val="single" w:sz="8" w:space="0" w:color="auto"/>
              <w:right w:val="single" w:sz="8" w:space="0" w:color="auto"/>
            </w:tcBorders>
            <w:shd w:val="clear" w:color="auto" w:fill="auto"/>
            <w:vAlign w:val="center"/>
          </w:tcPr>
          <w:p w14:paraId="68D89FF2" w14:textId="77777777" w:rsidR="004B0524" w:rsidRPr="00CD1278" w:rsidRDefault="004B0524" w:rsidP="007972CD">
            <w:pPr>
              <w:spacing w:after="60"/>
              <w:jc w:val="center"/>
              <w:rPr>
                <w:color w:val="auto"/>
                <w:sz w:val="12"/>
                <w:szCs w:val="12"/>
              </w:rPr>
            </w:pPr>
            <w:r w:rsidRPr="00CD1278">
              <w:rPr>
                <w:color w:val="auto"/>
                <w:sz w:val="12"/>
                <w:szCs w:val="12"/>
              </w:rPr>
              <w:t>1.787</w:t>
            </w:r>
          </w:p>
        </w:tc>
        <w:tc>
          <w:tcPr>
            <w:tcW w:w="567" w:type="dxa"/>
            <w:tcBorders>
              <w:top w:val="nil"/>
              <w:left w:val="nil"/>
              <w:bottom w:val="single" w:sz="8" w:space="0" w:color="auto"/>
              <w:right w:val="single" w:sz="8" w:space="0" w:color="auto"/>
            </w:tcBorders>
            <w:shd w:val="clear" w:color="auto" w:fill="auto"/>
            <w:vAlign w:val="center"/>
          </w:tcPr>
          <w:p w14:paraId="597CF223" w14:textId="77777777" w:rsidR="004B0524" w:rsidRPr="00CD1278" w:rsidRDefault="004B0524" w:rsidP="007972CD">
            <w:pPr>
              <w:spacing w:after="60"/>
              <w:jc w:val="center"/>
              <w:rPr>
                <w:color w:val="auto"/>
                <w:sz w:val="12"/>
                <w:szCs w:val="12"/>
              </w:rPr>
            </w:pPr>
            <w:r w:rsidRPr="00CD1278">
              <w:rPr>
                <w:color w:val="auto"/>
                <w:sz w:val="12"/>
                <w:szCs w:val="12"/>
              </w:rPr>
              <w:t>0.479</w:t>
            </w:r>
          </w:p>
        </w:tc>
        <w:tc>
          <w:tcPr>
            <w:tcW w:w="567" w:type="dxa"/>
            <w:tcBorders>
              <w:top w:val="nil"/>
              <w:left w:val="nil"/>
              <w:bottom w:val="single" w:sz="8" w:space="0" w:color="auto"/>
              <w:right w:val="single" w:sz="8" w:space="0" w:color="auto"/>
            </w:tcBorders>
            <w:shd w:val="clear" w:color="auto" w:fill="auto"/>
            <w:vAlign w:val="center"/>
          </w:tcPr>
          <w:p w14:paraId="2961FFC9" w14:textId="1B74D63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F9E780B" w14:textId="6C4B1A1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701669" w14:textId="1834552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018A0E0" w14:textId="2AB34B3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E0660D" w14:textId="3B59C14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AB7CECC" w14:textId="7D59302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88559E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ED7AFA4"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379F8A0"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1943E7FF" w14:textId="77777777" w:rsidR="004B0524" w:rsidRPr="00CD1278" w:rsidRDefault="004B0524" w:rsidP="007972CD">
            <w:pPr>
              <w:spacing w:after="60"/>
              <w:jc w:val="center"/>
              <w:rPr>
                <w:color w:val="auto"/>
                <w:sz w:val="12"/>
                <w:szCs w:val="12"/>
              </w:rPr>
            </w:pPr>
            <w:r w:rsidRPr="00CD1278">
              <w:rPr>
                <w:color w:val="auto"/>
                <w:sz w:val="12"/>
                <w:szCs w:val="12"/>
              </w:rPr>
              <w:t>2.525</w:t>
            </w:r>
          </w:p>
        </w:tc>
        <w:tc>
          <w:tcPr>
            <w:tcW w:w="567" w:type="dxa"/>
            <w:tcBorders>
              <w:top w:val="nil"/>
              <w:left w:val="nil"/>
              <w:bottom w:val="single" w:sz="8" w:space="0" w:color="auto"/>
              <w:right w:val="single" w:sz="8" w:space="0" w:color="auto"/>
            </w:tcBorders>
            <w:shd w:val="clear" w:color="auto" w:fill="auto"/>
            <w:vAlign w:val="center"/>
          </w:tcPr>
          <w:p w14:paraId="5D27DB41" w14:textId="77777777" w:rsidR="004B0524" w:rsidRPr="00CD1278" w:rsidRDefault="004B0524" w:rsidP="007972CD">
            <w:pPr>
              <w:spacing w:after="60"/>
              <w:jc w:val="center"/>
              <w:rPr>
                <w:color w:val="auto"/>
                <w:sz w:val="12"/>
                <w:szCs w:val="12"/>
              </w:rPr>
            </w:pPr>
            <w:r w:rsidRPr="00CD1278">
              <w:rPr>
                <w:color w:val="auto"/>
                <w:sz w:val="12"/>
                <w:szCs w:val="12"/>
              </w:rPr>
              <w:t>1.787</w:t>
            </w:r>
          </w:p>
        </w:tc>
        <w:tc>
          <w:tcPr>
            <w:tcW w:w="567" w:type="dxa"/>
            <w:tcBorders>
              <w:top w:val="nil"/>
              <w:left w:val="nil"/>
              <w:bottom w:val="single" w:sz="8" w:space="0" w:color="auto"/>
              <w:right w:val="single" w:sz="8" w:space="0" w:color="auto"/>
            </w:tcBorders>
            <w:shd w:val="clear" w:color="auto" w:fill="auto"/>
            <w:vAlign w:val="center"/>
          </w:tcPr>
          <w:p w14:paraId="5D13409A" w14:textId="619A886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A234AD" w14:textId="006F2DD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7CBBDCB" w14:textId="443E257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3CF2A2" w14:textId="1F30EF7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334FB2E" w14:textId="335FC9B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294F4BE" w14:textId="7CC9C29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7DFF7C"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7BEDF17"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0811AD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3EEBD3C" w14:textId="77777777" w:rsidR="004B0524" w:rsidRPr="00CD1278" w:rsidRDefault="004B0524" w:rsidP="007972CD">
            <w:pPr>
              <w:spacing w:after="60"/>
              <w:jc w:val="center"/>
              <w:rPr>
                <w:color w:val="auto"/>
                <w:sz w:val="12"/>
                <w:szCs w:val="12"/>
              </w:rPr>
            </w:pPr>
          </w:p>
        </w:tc>
      </w:tr>
      <w:tr w:rsidR="003C102E" w:rsidRPr="00CD1278" w14:paraId="41EACDEA" w14:textId="77777777" w:rsidTr="00DE7A60">
        <w:trPr>
          <w:cantSplit/>
          <w:trHeight w:val="69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B69D9D8" w14:textId="77777777" w:rsidR="004B0524" w:rsidRPr="00CD1278" w:rsidRDefault="004B0524" w:rsidP="00DE7A60">
            <w:pPr>
              <w:spacing w:after="60"/>
              <w:rPr>
                <w:color w:val="auto"/>
                <w:sz w:val="12"/>
                <w:szCs w:val="12"/>
              </w:rPr>
            </w:pPr>
            <w:r w:rsidRPr="00CD1278">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66D70597" w14:textId="77777777" w:rsidR="004B0524" w:rsidRPr="00CD1278" w:rsidRDefault="004B0524" w:rsidP="007972CD">
            <w:pPr>
              <w:spacing w:after="60"/>
              <w:ind w:left="-83"/>
              <w:rPr>
                <w:color w:val="auto"/>
                <w:sz w:val="12"/>
                <w:szCs w:val="12"/>
              </w:rPr>
            </w:pPr>
            <w:r w:rsidRPr="00CD1278">
              <w:rPr>
                <w:color w:val="auto"/>
                <w:sz w:val="12"/>
                <w:szCs w:val="12"/>
              </w:rPr>
              <w:t>Spices structural equip.</w:t>
            </w:r>
          </w:p>
        </w:tc>
        <w:tc>
          <w:tcPr>
            <w:tcW w:w="567" w:type="dxa"/>
            <w:tcBorders>
              <w:top w:val="nil"/>
              <w:left w:val="nil"/>
              <w:bottom w:val="single" w:sz="8" w:space="0" w:color="auto"/>
              <w:right w:val="single" w:sz="8" w:space="0" w:color="auto"/>
            </w:tcBorders>
            <w:shd w:val="clear" w:color="auto" w:fill="auto"/>
            <w:vAlign w:val="center"/>
          </w:tcPr>
          <w:p w14:paraId="61FE4EB1" w14:textId="77777777" w:rsidR="004B0524" w:rsidRPr="00CD1278" w:rsidRDefault="004B0524" w:rsidP="007972CD">
            <w:pPr>
              <w:spacing w:after="60"/>
              <w:jc w:val="center"/>
              <w:rPr>
                <w:color w:val="auto"/>
                <w:sz w:val="12"/>
                <w:szCs w:val="12"/>
              </w:rPr>
            </w:pPr>
            <w:r w:rsidRPr="00CD1278">
              <w:rPr>
                <w:color w:val="auto"/>
                <w:sz w:val="12"/>
                <w:szCs w:val="12"/>
              </w:rPr>
              <w:t>1.728</w:t>
            </w:r>
          </w:p>
        </w:tc>
        <w:tc>
          <w:tcPr>
            <w:tcW w:w="567" w:type="dxa"/>
            <w:tcBorders>
              <w:top w:val="nil"/>
              <w:left w:val="nil"/>
              <w:bottom w:val="single" w:sz="8" w:space="0" w:color="auto"/>
              <w:right w:val="single" w:sz="8" w:space="0" w:color="auto"/>
            </w:tcBorders>
            <w:shd w:val="clear" w:color="auto" w:fill="auto"/>
            <w:vAlign w:val="center"/>
          </w:tcPr>
          <w:p w14:paraId="741DB829" w14:textId="633A667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2EF142" w14:textId="527A57D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AEA4E44" w14:textId="3A89E20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C93FA5" w14:textId="56B0DC1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89B9EF1" w14:textId="59F93FD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52D6316" w14:textId="4A1400B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93F0D2B" w14:textId="7C6D2B5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2E92415" w14:textId="0325DE1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519FE0A"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1339942"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038B385F"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EFE3B41" w14:textId="77777777" w:rsidR="004B0524" w:rsidRPr="00CD1278" w:rsidRDefault="004B0524" w:rsidP="007972CD">
            <w:pPr>
              <w:spacing w:after="60"/>
              <w:jc w:val="center"/>
              <w:rPr>
                <w:color w:val="auto"/>
                <w:sz w:val="12"/>
                <w:szCs w:val="12"/>
              </w:rPr>
            </w:pPr>
            <w:r w:rsidRPr="00CD1278">
              <w:rPr>
                <w:color w:val="auto"/>
                <w:sz w:val="12"/>
                <w:szCs w:val="12"/>
              </w:rPr>
              <w:t>1.728</w:t>
            </w:r>
          </w:p>
        </w:tc>
        <w:tc>
          <w:tcPr>
            <w:tcW w:w="567" w:type="dxa"/>
            <w:tcBorders>
              <w:top w:val="nil"/>
              <w:left w:val="nil"/>
              <w:bottom w:val="single" w:sz="8" w:space="0" w:color="auto"/>
              <w:right w:val="single" w:sz="8" w:space="0" w:color="auto"/>
            </w:tcBorders>
            <w:shd w:val="clear" w:color="auto" w:fill="auto"/>
            <w:vAlign w:val="center"/>
          </w:tcPr>
          <w:p w14:paraId="4A33DC91" w14:textId="77777777" w:rsidR="004B0524" w:rsidRPr="00CD1278" w:rsidRDefault="004B0524" w:rsidP="007972CD">
            <w:pPr>
              <w:spacing w:after="60"/>
              <w:jc w:val="center"/>
              <w:rPr>
                <w:color w:val="auto"/>
                <w:sz w:val="12"/>
                <w:szCs w:val="12"/>
              </w:rPr>
            </w:pPr>
            <w:r w:rsidRPr="00CD1278">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42A18A1B" w14:textId="77777777" w:rsidR="004B0524" w:rsidRPr="00CD1278" w:rsidRDefault="004B0524" w:rsidP="007972CD">
            <w:pPr>
              <w:spacing w:after="60"/>
              <w:jc w:val="center"/>
              <w:rPr>
                <w:color w:val="auto"/>
                <w:sz w:val="12"/>
                <w:szCs w:val="12"/>
              </w:rPr>
            </w:pPr>
            <w:r w:rsidRPr="00CD1278">
              <w:rPr>
                <w:color w:val="auto"/>
                <w:sz w:val="12"/>
                <w:szCs w:val="12"/>
              </w:rPr>
              <w:t>0.479</w:t>
            </w:r>
          </w:p>
        </w:tc>
        <w:tc>
          <w:tcPr>
            <w:tcW w:w="567" w:type="dxa"/>
            <w:tcBorders>
              <w:top w:val="nil"/>
              <w:left w:val="nil"/>
              <w:bottom w:val="single" w:sz="8" w:space="0" w:color="auto"/>
              <w:right w:val="single" w:sz="8" w:space="0" w:color="auto"/>
            </w:tcBorders>
            <w:shd w:val="clear" w:color="auto" w:fill="auto"/>
            <w:vAlign w:val="center"/>
          </w:tcPr>
          <w:p w14:paraId="4A3C0912" w14:textId="5EC6C91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C34DA84" w14:textId="0B1D46E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2AFF823" w14:textId="7D37058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CF05B3" w14:textId="42DD046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81A533C" w14:textId="33FEF24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4F7E8E8"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5AEEA6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262DD8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5DAB1FB" w14:textId="77777777" w:rsidR="004B0524" w:rsidRPr="00CD1278" w:rsidRDefault="004B0524" w:rsidP="007972CD">
            <w:pPr>
              <w:spacing w:after="60"/>
              <w:jc w:val="center"/>
              <w:rPr>
                <w:color w:val="auto"/>
                <w:sz w:val="12"/>
                <w:szCs w:val="12"/>
              </w:rPr>
            </w:pPr>
          </w:p>
        </w:tc>
      </w:tr>
      <w:tr w:rsidR="003C102E" w:rsidRPr="00CD1278" w14:paraId="45146E2E"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7EA5AC7" w14:textId="77777777" w:rsidR="004B0524" w:rsidRPr="00CD1278" w:rsidRDefault="004B0524" w:rsidP="00DE7A60">
            <w:pPr>
              <w:spacing w:after="60"/>
              <w:rPr>
                <w:color w:val="auto"/>
                <w:sz w:val="12"/>
                <w:szCs w:val="12"/>
              </w:rPr>
            </w:pPr>
            <w:r w:rsidRPr="00CD1278">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24A97D27" w14:textId="77777777" w:rsidR="004B0524" w:rsidRPr="00CD1278" w:rsidRDefault="004B0524" w:rsidP="007972CD">
            <w:pPr>
              <w:spacing w:after="60"/>
              <w:ind w:left="-83"/>
              <w:rPr>
                <w:color w:val="auto"/>
                <w:sz w:val="12"/>
                <w:szCs w:val="12"/>
              </w:rPr>
            </w:pPr>
            <w:r w:rsidRPr="00CD1278">
              <w:rPr>
                <w:color w:val="auto"/>
                <w:sz w:val="12"/>
                <w:szCs w:val="12"/>
              </w:rPr>
              <w:t>Spices stored</w:t>
            </w:r>
          </w:p>
        </w:tc>
        <w:tc>
          <w:tcPr>
            <w:tcW w:w="567" w:type="dxa"/>
            <w:tcBorders>
              <w:top w:val="nil"/>
              <w:left w:val="nil"/>
              <w:bottom w:val="single" w:sz="8" w:space="0" w:color="auto"/>
              <w:right w:val="single" w:sz="8" w:space="0" w:color="auto"/>
            </w:tcBorders>
            <w:shd w:val="clear" w:color="auto" w:fill="auto"/>
            <w:vAlign w:val="center"/>
          </w:tcPr>
          <w:p w14:paraId="15331A7C" w14:textId="77777777" w:rsidR="004B0524" w:rsidRPr="00CD1278" w:rsidRDefault="004B0524" w:rsidP="007972CD">
            <w:pPr>
              <w:spacing w:after="60"/>
              <w:jc w:val="center"/>
              <w:rPr>
                <w:color w:val="auto"/>
                <w:sz w:val="12"/>
                <w:szCs w:val="12"/>
              </w:rPr>
            </w:pPr>
            <w:r w:rsidRPr="00CD1278">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648BCE4D" w14:textId="56A2831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2765635" w14:textId="338BBA4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0D62138" w14:textId="12764D7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1C545BF" w14:textId="5F8600D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8119982" w14:textId="32DAACD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3B0A5D" w14:textId="0A26910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209481C" w14:textId="04974F6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9202819" w14:textId="3BCD03C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1AF1D53"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604D59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283C76C"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486368E" w14:textId="77777777" w:rsidR="004B0524" w:rsidRPr="00CD1278" w:rsidRDefault="004B0524" w:rsidP="007972CD">
            <w:pPr>
              <w:spacing w:after="60"/>
              <w:jc w:val="center"/>
              <w:rPr>
                <w:color w:val="auto"/>
                <w:sz w:val="12"/>
                <w:szCs w:val="12"/>
              </w:rPr>
            </w:pPr>
            <w:r w:rsidRPr="00CD1278">
              <w:rPr>
                <w:color w:val="auto"/>
                <w:sz w:val="12"/>
                <w:szCs w:val="12"/>
              </w:rPr>
              <w:t>0.030</w:t>
            </w:r>
          </w:p>
        </w:tc>
        <w:tc>
          <w:tcPr>
            <w:tcW w:w="567" w:type="dxa"/>
            <w:tcBorders>
              <w:top w:val="nil"/>
              <w:left w:val="nil"/>
              <w:bottom w:val="single" w:sz="8" w:space="0" w:color="auto"/>
              <w:right w:val="single" w:sz="8" w:space="0" w:color="auto"/>
            </w:tcBorders>
            <w:shd w:val="clear" w:color="auto" w:fill="auto"/>
            <w:vAlign w:val="center"/>
          </w:tcPr>
          <w:p w14:paraId="2BE7A188" w14:textId="77777777" w:rsidR="004B0524" w:rsidRPr="00CD1278" w:rsidRDefault="004B0524" w:rsidP="007972CD">
            <w:pPr>
              <w:spacing w:after="60"/>
              <w:jc w:val="center"/>
              <w:rPr>
                <w:color w:val="auto"/>
                <w:sz w:val="12"/>
                <w:szCs w:val="12"/>
              </w:rPr>
            </w:pPr>
            <w:r w:rsidRPr="00CD1278">
              <w:rPr>
                <w:color w:val="auto"/>
                <w:sz w:val="12"/>
                <w:szCs w:val="12"/>
              </w:rPr>
              <w:t>0</w:t>
            </w:r>
          </w:p>
        </w:tc>
        <w:tc>
          <w:tcPr>
            <w:tcW w:w="567" w:type="dxa"/>
            <w:tcBorders>
              <w:top w:val="nil"/>
              <w:left w:val="nil"/>
              <w:bottom w:val="single" w:sz="8" w:space="0" w:color="auto"/>
              <w:right w:val="single" w:sz="8" w:space="0" w:color="auto"/>
            </w:tcBorders>
            <w:shd w:val="clear" w:color="auto" w:fill="auto"/>
            <w:vAlign w:val="center"/>
          </w:tcPr>
          <w:p w14:paraId="702C9DDE" w14:textId="43176E7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AB14814" w14:textId="74F6B94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E271FF9" w14:textId="382DD88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E028546" w14:textId="51D81AF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BFA4FA" w14:textId="6A90505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3028B66E" w14:textId="3D674A8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4EB68DD"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622BB07"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D6DE618"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C20E595" w14:textId="77777777" w:rsidR="004B0524" w:rsidRPr="00CD1278" w:rsidRDefault="004B0524" w:rsidP="007972CD">
            <w:pPr>
              <w:spacing w:after="60"/>
              <w:jc w:val="center"/>
              <w:rPr>
                <w:color w:val="auto"/>
                <w:sz w:val="12"/>
                <w:szCs w:val="12"/>
              </w:rPr>
            </w:pPr>
          </w:p>
        </w:tc>
      </w:tr>
      <w:tr w:rsidR="003C102E" w:rsidRPr="00CD1278" w14:paraId="0216DA7E" w14:textId="77777777" w:rsidTr="00DE7A60">
        <w:trPr>
          <w:cantSplit/>
          <w:trHeight w:val="91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BD3A7AA" w14:textId="77777777" w:rsidR="004B0524" w:rsidRPr="00CD1278" w:rsidRDefault="004B0524" w:rsidP="00DE7A60">
            <w:pPr>
              <w:spacing w:after="60"/>
              <w:rPr>
                <w:color w:val="auto"/>
                <w:sz w:val="12"/>
                <w:szCs w:val="12"/>
              </w:rPr>
            </w:pPr>
            <w:r w:rsidRPr="00CD1278">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41D3ED24" w14:textId="77777777" w:rsidR="004B0524" w:rsidRPr="00CD1278" w:rsidRDefault="004B0524" w:rsidP="007972CD">
            <w:pPr>
              <w:spacing w:after="60"/>
              <w:ind w:left="-83"/>
              <w:rPr>
                <w:color w:val="auto"/>
                <w:sz w:val="12"/>
                <w:szCs w:val="12"/>
              </w:rPr>
            </w:pPr>
            <w:r w:rsidRPr="00CD1278">
              <w:rPr>
                <w:color w:val="auto"/>
                <w:sz w:val="12"/>
                <w:szCs w:val="12"/>
              </w:rPr>
              <w:t>Structures buildings (herbs and spices)</w:t>
            </w:r>
          </w:p>
        </w:tc>
        <w:tc>
          <w:tcPr>
            <w:tcW w:w="567" w:type="dxa"/>
            <w:tcBorders>
              <w:top w:val="nil"/>
              <w:left w:val="nil"/>
              <w:bottom w:val="single" w:sz="8" w:space="0" w:color="auto"/>
              <w:right w:val="single" w:sz="8" w:space="0" w:color="auto"/>
            </w:tcBorders>
            <w:shd w:val="clear" w:color="auto" w:fill="auto"/>
            <w:vAlign w:val="center"/>
          </w:tcPr>
          <w:p w14:paraId="7A3D4362" w14:textId="77777777" w:rsidR="004B0524" w:rsidRPr="00CD1278" w:rsidRDefault="004B0524" w:rsidP="007972CD">
            <w:pPr>
              <w:spacing w:after="60"/>
              <w:jc w:val="center"/>
              <w:rPr>
                <w:color w:val="auto"/>
                <w:sz w:val="12"/>
                <w:szCs w:val="12"/>
              </w:rPr>
            </w:pPr>
            <w:r w:rsidRPr="00CD1278">
              <w:rPr>
                <w:color w:val="auto"/>
                <w:sz w:val="12"/>
                <w:szCs w:val="12"/>
              </w:rPr>
              <w:t>3.000</w:t>
            </w:r>
          </w:p>
        </w:tc>
        <w:tc>
          <w:tcPr>
            <w:tcW w:w="567" w:type="dxa"/>
            <w:tcBorders>
              <w:top w:val="nil"/>
              <w:left w:val="nil"/>
              <w:bottom w:val="single" w:sz="8" w:space="0" w:color="auto"/>
              <w:right w:val="single" w:sz="8" w:space="0" w:color="auto"/>
            </w:tcBorders>
            <w:shd w:val="clear" w:color="auto" w:fill="auto"/>
            <w:vAlign w:val="center"/>
          </w:tcPr>
          <w:p w14:paraId="1B4F077B" w14:textId="77777777" w:rsidR="004B0524" w:rsidRPr="00CD1278" w:rsidRDefault="004B0524" w:rsidP="007972CD">
            <w:pPr>
              <w:spacing w:after="60"/>
              <w:jc w:val="center"/>
              <w:rPr>
                <w:color w:val="auto"/>
                <w:sz w:val="12"/>
                <w:szCs w:val="12"/>
              </w:rPr>
            </w:pPr>
            <w:r w:rsidRPr="00CD1278">
              <w:rPr>
                <w:color w:val="auto"/>
                <w:sz w:val="12"/>
                <w:szCs w:val="12"/>
              </w:rPr>
              <w:t>1.872</w:t>
            </w:r>
          </w:p>
        </w:tc>
        <w:tc>
          <w:tcPr>
            <w:tcW w:w="567" w:type="dxa"/>
            <w:tcBorders>
              <w:top w:val="nil"/>
              <w:left w:val="nil"/>
              <w:bottom w:val="single" w:sz="8" w:space="0" w:color="auto"/>
              <w:right w:val="single" w:sz="8" w:space="0" w:color="auto"/>
            </w:tcBorders>
            <w:shd w:val="clear" w:color="auto" w:fill="auto"/>
            <w:vAlign w:val="center"/>
          </w:tcPr>
          <w:p w14:paraId="41DEBD58" w14:textId="77777777" w:rsidR="004B0524" w:rsidRPr="00CD1278" w:rsidRDefault="004B0524" w:rsidP="007972CD">
            <w:pPr>
              <w:spacing w:after="60"/>
              <w:jc w:val="center"/>
              <w:rPr>
                <w:color w:val="auto"/>
                <w:sz w:val="12"/>
                <w:szCs w:val="12"/>
              </w:rPr>
            </w:pPr>
            <w:r w:rsidRPr="00CD1278">
              <w:rPr>
                <w:color w:val="auto"/>
                <w:sz w:val="12"/>
                <w:szCs w:val="12"/>
              </w:rPr>
              <w:t>0.908</w:t>
            </w:r>
          </w:p>
        </w:tc>
        <w:tc>
          <w:tcPr>
            <w:tcW w:w="567" w:type="dxa"/>
            <w:tcBorders>
              <w:top w:val="nil"/>
              <w:left w:val="nil"/>
              <w:bottom w:val="single" w:sz="8" w:space="0" w:color="auto"/>
              <w:right w:val="single" w:sz="8" w:space="0" w:color="auto"/>
            </w:tcBorders>
            <w:shd w:val="clear" w:color="auto" w:fill="auto"/>
            <w:vAlign w:val="center"/>
          </w:tcPr>
          <w:p w14:paraId="1912B3A2" w14:textId="3EA257C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D821F72" w14:textId="750F805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FD5134" w14:textId="6EBB187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20E3E0" w14:textId="1AA57F8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D2D3C2" w14:textId="5A1ABEE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312629E" w14:textId="4F1A81B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35DF028"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75D3278A"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0A0D763"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7573CD59" w14:textId="77777777" w:rsidR="004B0524" w:rsidRPr="00CD1278" w:rsidRDefault="004B0524" w:rsidP="007972CD">
            <w:pPr>
              <w:spacing w:after="60"/>
              <w:jc w:val="center"/>
              <w:rPr>
                <w:color w:val="auto"/>
                <w:sz w:val="12"/>
                <w:szCs w:val="12"/>
              </w:rPr>
            </w:pPr>
            <w:r w:rsidRPr="00CD1278">
              <w:rPr>
                <w:color w:val="auto"/>
                <w:sz w:val="12"/>
                <w:szCs w:val="12"/>
              </w:rPr>
              <w:t>3.000</w:t>
            </w:r>
          </w:p>
        </w:tc>
        <w:tc>
          <w:tcPr>
            <w:tcW w:w="567" w:type="dxa"/>
            <w:tcBorders>
              <w:top w:val="nil"/>
              <w:left w:val="nil"/>
              <w:bottom w:val="single" w:sz="8" w:space="0" w:color="auto"/>
              <w:right w:val="single" w:sz="8" w:space="0" w:color="auto"/>
            </w:tcBorders>
            <w:shd w:val="clear" w:color="auto" w:fill="auto"/>
            <w:vAlign w:val="center"/>
          </w:tcPr>
          <w:p w14:paraId="7699CE1C" w14:textId="77777777" w:rsidR="004B0524" w:rsidRPr="00CD1278" w:rsidRDefault="004B0524" w:rsidP="007972CD">
            <w:pPr>
              <w:spacing w:after="60"/>
              <w:jc w:val="center"/>
              <w:rPr>
                <w:color w:val="auto"/>
                <w:sz w:val="12"/>
                <w:szCs w:val="12"/>
              </w:rPr>
            </w:pPr>
            <w:r w:rsidRPr="00CD1278">
              <w:rPr>
                <w:color w:val="auto"/>
                <w:sz w:val="12"/>
                <w:szCs w:val="12"/>
              </w:rPr>
              <w:t>1.872</w:t>
            </w:r>
          </w:p>
        </w:tc>
        <w:tc>
          <w:tcPr>
            <w:tcW w:w="567" w:type="dxa"/>
            <w:tcBorders>
              <w:top w:val="nil"/>
              <w:left w:val="nil"/>
              <w:bottom w:val="single" w:sz="8" w:space="0" w:color="auto"/>
              <w:right w:val="single" w:sz="8" w:space="0" w:color="auto"/>
            </w:tcBorders>
            <w:shd w:val="clear" w:color="auto" w:fill="auto"/>
            <w:vAlign w:val="center"/>
          </w:tcPr>
          <w:p w14:paraId="0584EEE7" w14:textId="77777777" w:rsidR="004B0524" w:rsidRPr="00CD1278" w:rsidRDefault="004B0524" w:rsidP="007972CD">
            <w:pPr>
              <w:spacing w:after="60"/>
              <w:jc w:val="center"/>
              <w:rPr>
                <w:color w:val="auto"/>
                <w:sz w:val="12"/>
                <w:szCs w:val="12"/>
              </w:rPr>
            </w:pPr>
            <w:r w:rsidRPr="00CD1278">
              <w:rPr>
                <w:color w:val="auto"/>
                <w:sz w:val="12"/>
                <w:szCs w:val="12"/>
              </w:rPr>
              <w:t>0.908</w:t>
            </w:r>
          </w:p>
        </w:tc>
        <w:tc>
          <w:tcPr>
            <w:tcW w:w="567" w:type="dxa"/>
            <w:tcBorders>
              <w:top w:val="nil"/>
              <w:left w:val="nil"/>
              <w:bottom w:val="single" w:sz="8" w:space="0" w:color="auto"/>
              <w:right w:val="single" w:sz="8" w:space="0" w:color="auto"/>
            </w:tcBorders>
            <w:shd w:val="clear" w:color="auto" w:fill="auto"/>
            <w:vAlign w:val="center"/>
          </w:tcPr>
          <w:p w14:paraId="57CDC897" w14:textId="46EFA64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C953D4C" w14:textId="72CB706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45D4A6D" w14:textId="01A3DB2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9FD0BD2" w14:textId="061A9EB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BBB3110" w14:textId="4647938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755E80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5B2939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ED4828A"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9A09F94" w14:textId="77777777" w:rsidR="004B0524" w:rsidRPr="00CD1278" w:rsidRDefault="004B0524" w:rsidP="007972CD">
            <w:pPr>
              <w:spacing w:after="60"/>
              <w:jc w:val="center"/>
              <w:rPr>
                <w:color w:val="auto"/>
                <w:sz w:val="12"/>
                <w:szCs w:val="12"/>
              </w:rPr>
            </w:pPr>
          </w:p>
        </w:tc>
      </w:tr>
      <w:tr w:rsidR="003C102E" w:rsidRPr="00CD1278" w14:paraId="3C855E82" w14:textId="77777777" w:rsidTr="00DE7A60">
        <w:trPr>
          <w:cantSplit/>
          <w:trHeight w:val="781"/>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41C8D290" w14:textId="77777777" w:rsidR="004B0524" w:rsidRPr="00CD1278" w:rsidRDefault="004B0524" w:rsidP="00DE7A60">
            <w:pPr>
              <w:spacing w:after="60"/>
              <w:rPr>
                <w:color w:val="auto"/>
                <w:sz w:val="12"/>
                <w:szCs w:val="12"/>
              </w:rPr>
            </w:pPr>
            <w:r w:rsidRPr="00CD1278">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5042C065" w14:textId="42F32DC5" w:rsidR="004B0524" w:rsidRPr="00CD1278" w:rsidRDefault="004B0524" w:rsidP="007972CD">
            <w:pPr>
              <w:spacing w:after="60"/>
              <w:ind w:left="-83"/>
              <w:rPr>
                <w:color w:val="auto"/>
                <w:sz w:val="12"/>
                <w:szCs w:val="12"/>
              </w:rPr>
            </w:pPr>
            <w:r w:rsidRPr="00CD1278">
              <w:rPr>
                <w:color w:val="auto"/>
                <w:sz w:val="12"/>
                <w:szCs w:val="12"/>
              </w:rPr>
              <w:t>Structures, processors and storage (Whitworths)</w:t>
            </w:r>
          </w:p>
        </w:tc>
        <w:tc>
          <w:tcPr>
            <w:tcW w:w="567" w:type="dxa"/>
            <w:tcBorders>
              <w:top w:val="nil"/>
              <w:left w:val="nil"/>
              <w:bottom w:val="single" w:sz="8" w:space="0" w:color="auto"/>
              <w:right w:val="single" w:sz="8" w:space="0" w:color="auto"/>
            </w:tcBorders>
            <w:shd w:val="clear" w:color="auto" w:fill="auto"/>
            <w:vAlign w:val="center"/>
          </w:tcPr>
          <w:p w14:paraId="2BDBCA9E" w14:textId="77777777" w:rsidR="004B0524" w:rsidRPr="00CD1278" w:rsidRDefault="004B0524" w:rsidP="007972CD">
            <w:pPr>
              <w:spacing w:after="60"/>
              <w:jc w:val="center"/>
              <w:rPr>
                <w:color w:val="auto"/>
                <w:sz w:val="12"/>
                <w:szCs w:val="12"/>
              </w:rPr>
            </w:pPr>
            <w:r w:rsidRPr="00CD1278">
              <w:rPr>
                <w:color w:val="auto"/>
                <w:sz w:val="12"/>
                <w:szCs w:val="12"/>
              </w:rPr>
              <w:t>1.100</w:t>
            </w:r>
          </w:p>
        </w:tc>
        <w:tc>
          <w:tcPr>
            <w:tcW w:w="567" w:type="dxa"/>
            <w:tcBorders>
              <w:top w:val="nil"/>
              <w:left w:val="nil"/>
              <w:bottom w:val="single" w:sz="8" w:space="0" w:color="auto"/>
              <w:right w:val="single" w:sz="8" w:space="0" w:color="auto"/>
            </w:tcBorders>
            <w:shd w:val="clear" w:color="auto" w:fill="auto"/>
            <w:vAlign w:val="center"/>
          </w:tcPr>
          <w:p w14:paraId="29F8E6C4" w14:textId="77777777" w:rsidR="004B0524" w:rsidRPr="00CD1278" w:rsidRDefault="004B0524" w:rsidP="007972CD">
            <w:pPr>
              <w:spacing w:after="60"/>
              <w:jc w:val="center"/>
              <w:rPr>
                <w:color w:val="auto"/>
                <w:sz w:val="12"/>
                <w:szCs w:val="12"/>
              </w:rPr>
            </w:pPr>
            <w:r w:rsidRPr="00CD1278">
              <w:rPr>
                <w:color w:val="auto"/>
                <w:sz w:val="12"/>
                <w:szCs w:val="12"/>
              </w:rPr>
              <w:t>0.880</w:t>
            </w:r>
          </w:p>
        </w:tc>
        <w:tc>
          <w:tcPr>
            <w:tcW w:w="567" w:type="dxa"/>
            <w:tcBorders>
              <w:top w:val="nil"/>
              <w:left w:val="nil"/>
              <w:bottom w:val="single" w:sz="8" w:space="0" w:color="auto"/>
              <w:right w:val="single" w:sz="8" w:space="0" w:color="auto"/>
            </w:tcBorders>
            <w:shd w:val="clear" w:color="auto" w:fill="auto"/>
            <w:vAlign w:val="center"/>
          </w:tcPr>
          <w:p w14:paraId="4CB9BF19" w14:textId="77777777" w:rsidR="004B0524" w:rsidRPr="00CD1278" w:rsidRDefault="004B0524" w:rsidP="007972CD">
            <w:pPr>
              <w:spacing w:after="60"/>
              <w:jc w:val="center"/>
              <w:rPr>
                <w:color w:val="auto"/>
                <w:sz w:val="12"/>
                <w:szCs w:val="12"/>
              </w:rPr>
            </w:pPr>
            <w:r w:rsidRPr="00CD1278">
              <w:rPr>
                <w:color w:val="auto"/>
                <w:sz w:val="12"/>
                <w:szCs w:val="12"/>
              </w:rPr>
              <w:t>0.257</w:t>
            </w:r>
          </w:p>
        </w:tc>
        <w:tc>
          <w:tcPr>
            <w:tcW w:w="567" w:type="dxa"/>
            <w:tcBorders>
              <w:top w:val="nil"/>
              <w:left w:val="nil"/>
              <w:bottom w:val="single" w:sz="8" w:space="0" w:color="auto"/>
              <w:right w:val="single" w:sz="8" w:space="0" w:color="auto"/>
            </w:tcBorders>
            <w:shd w:val="clear" w:color="auto" w:fill="auto"/>
            <w:vAlign w:val="center"/>
          </w:tcPr>
          <w:p w14:paraId="0CE51061" w14:textId="062FB5A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AB21B1A" w14:textId="6F57E43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DC68153" w14:textId="19DBD09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35C0E91" w14:textId="20DD7E2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DA79A1A" w14:textId="6C3C92F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1CFD7F2" w14:textId="6ADE61B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2D9C4C89"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6030F3A4"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0FFCC8B"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056D4E7" w14:textId="77777777" w:rsidR="004B0524" w:rsidRPr="00CD1278" w:rsidRDefault="004B0524" w:rsidP="007972CD">
            <w:pPr>
              <w:spacing w:after="60"/>
              <w:jc w:val="center"/>
              <w:rPr>
                <w:color w:val="auto"/>
                <w:sz w:val="12"/>
                <w:szCs w:val="12"/>
              </w:rPr>
            </w:pPr>
            <w:r w:rsidRPr="00CD1278">
              <w:rPr>
                <w:color w:val="auto"/>
                <w:sz w:val="12"/>
                <w:szCs w:val="12"/>
              </w:rPr>
              <w:t>1.100</w:t>
            </w:r>
          </w:p>
        </w:tc>
        <w:tc>
          <w:tcPr>
            <w:tcW w:w="567" w:type="dxa"/>
            <w:tcBorders>
              <w:top w:val="nil"/>
              <w:left w:val="nil"/>
              <w:bottom w:val="single" w:sz="8" w:space="0" w:color="auto"/>
              <w:right w:val="single" w:sz="8" w:space="0" w:color="auto"/>
            </w:tcBorders>
            <w:shd w:val="clear" w:color="auto" w:fill="auto"/>
            <w:vAlign w:val="center"/>
          </w:tcPr>
          <w:p w14:paraId="1E3264AE" w14:textId="77777777" w:rsidR="004B0524" w:rsidRPr="00CD1278" w:rsidRDefault="004B0524" w:rsidP="007972CD">
            <w:pPr>
              <w:spacing w:after="60"/>
              <w:jc w:val="center"/>
              <w:rPr>
                <w:color w:val="auto"/>
                <w:sz w:val="12"/>
                <w:szCs w:val="12"/>
              </w:rPr>
            </w:pPr>
            <w:r w:rsidRPr="00CD1278">
              <w:rPr>
                <w:color w:val="auto"/>
                <w:sz w:val="12"/>
                <w:szCs w:val="12"/>
              </w:rPr>
              <w:t>0.880</w:t>
            </w:r>
          </w:p>
        </w:tc>
        <w:tc>
          <w:tcPr>
            <w:tcW w:w="567" w:type="dxa"/>
            <w:tcBorders>
              <w:top w:val="nil"/>
              <w:left w:val="nil"/>
              <w:bottom w:val="single" w:sz="8" w:space="0" w:color="auto"/>
              <w:right w:val="single" w:sz="8" w:space="0" w:color="auto"/>
            </w:tcBorders>
            <w:shd w:val="clear" w:color="auto" w:fill="auto"/>
            <w:vAlign w:val="center"/>
          </w:tcPr>
          <w:p w14:paraId="0E4D3AFC" w14:textId="77777777" w:rsidR="004B0524" w:rsidRPr="00CD1278" w:rsidRDefault="004B0524" w:rsidP="007972CD">
            <w:pPr>
              <w:spacing w:after="60"/>
              <w:jc w:val="center"/>
              <w:rPr>
                <w:color w:val="auto"/>
                <w:sz w:val="12"/>
                <w:szCs w:val="12"/>
              </w:rPr>
            </w:pPr>
            <w:r w:rsidRPr="00CD1278">
              <w:rPr>
                <w:color w:val="auto"/>
                <w:sz w:val="12"/>
                <w:szCs w:val="12"/>
              </w:rPr>
              <w:t>0.257</w:t>
            </w:r>
          </w:p>
        </w:tc>
        <w:tc>
          <w:tcPr>
            <w:tcW w:w="567" w:type="dxa"/>
            <w:tcBorders>
              <w:top w:val="nil"/>
              <w:left w:val="nil"/>
              <w:bottom w:val="single" w:sz="8" w:space="0" w:color="auto"/>
              <w:right w:val="single" w:sz="8" w:space="0" w:color="auto"/>
            </w:tcBorders>
            <w:shd w:val="clear" w:color="auto" w:fill="auto"/>
            <w:vAlign w:val="center"/>
          </w:tcPr>
          <w:p w14:paraId="43DC9A42" w14:textId="7058C4C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1169F1C" w14:textId="188147B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BE2B370" w14:textId="32A9912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30AA75B" w14:textId="2E322BD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6AC320ED" w14:textId="55C859B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AD32041"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08936A0"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B01903C"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6072E3A" w14:textId="77777777" w:rsidR="004B0524" w:rsidRPr="00CD1278" w:rsidRDefault="004B0524" w:rsidP="007972CD">
            <w:pPr>
              <w:spacing w:after="60"/>
              <w:jc w:val="center"/>
              <w:rPr>
                <w:color w:val="auto"/>
                <w:sz w:val="12"/>
                <w:szCs w:val="12"/>
              </w:rPr>
            </w:pPr>
          </w:p>
        </w:tc>
      </w:tr>
      <w:tr w:rsidR="003C102E" w:rsidRPr="00CD1278" w14:paraId="2BBC9515"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6387693B" w14:textId="77777777" w:rsidR="004B0524" w:rsidRPr="00CD1278" w:rsidRDefault="004B0524" w:rsidP="00DE7A60">
            <w:pPr>
              <w:spacing w:after="60"/>
              <w:rPr>
                <w:color w:val="auto"/>
                <w:sz w:val="12"/>
                <w:szCs w:val="12"/>
              </w:rPr>
            </w:pPr>
            <w:r w:rsidRPr="00CD1278">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5CDCEBA0" w14:textId="77777777" w:rsidR="004B0524" w:rsidRPr="00CD1278" w:rsidRDefault="004B0524" w:rsidP="007972CD">
            <w:pPr>
              <w:spacing w:after="60"/>
              <w:ind w:left="-83"/>
              <w:rPr>
                <w:color w:val="auto"/>
                <w:sz w:val="12"/>
                <w:szCs w:val="12"/>
              </w:rPr>
            </w:pPr>
            <w:r w:rsidRPr="00CD1278">
              <w:rPr>
                <w:color w:val="auto"/>
                <w:sz w:val="12"/>
                <w:szCs w:val="12"/>
              </w:rPr>
              <w:t>Tobacco equipment</w:t>
            </w:r>
          </w:p>
        </w:tc>
        <w:tc>
          <w:tcPr>
            <w:tcW w:w="567" w:type="dxa"/>
            <w:tcBorders>
              <w:top w:val="nil"/>
              <w:left w:val="nil"/>
              <w:bottom w:val="single" w:sz="8" w:space="0" w:color="auto"/>
              <w:right w:val="single" w:sz="8" w:space="0" w:color="auto"/>
            </w:tcBorders>
            <w:shd w:val="clear" w:color="auto" w:fill="auto"/>
            <w:vAlign w:val="center"/>
          </w:tcPr>
          <w:p w14:paraId="2248483F" w14:textId="77777777" w:rsidR="004B0524" w:rsidRPr="00CD1278" w:rsidRDefault="004B0524" w:rsidP="007972CD">
            <w:pPr>
              <w:spacing w:after="60"/>
              <w:jc w:val="center"/>
              <w:rPr>
                <w:color w:val="auto"/>
                <w:sz w:val="12"/>
                <w:szCs w:val="12"/>
              </w:rPr>
            </w:pPr>
            <w:r w:rsidRPr="00CD1278">
              <w:rPr>
                <w:color w:val="auto"/>
                <w:sz w:val="12"/>
                <w:szCs w:val="12"/>
              </w:rPr>
              <w:t>0.523</w:t>
            </w:r>
          </w:p>
        </w:tc>
        <w:tc>
          <w:tcPr>
            <w:tcW w:w="567" w:type="dxa"/>
            <w:tcBorders>
              <w:top w:val="nil"/>
              <w:left w:val="nil"/>
              <w:bottom w:val="single" w:sz="8" w:space="0" w:color="auto"/>
              <w:right w:val="single" w:sz="8" w:space="0" w:color="auto"/>
            </w:tcBorders>
            <w:shd w:val="clear" w:color="auto" w:fill="auto"/>
            <w:vAlign w:val="center"/>
          </w:tcPr>
          <w:p w14:paraId="4A085AAC" w14:textId="02271C2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D8B64C2" w14:textId="316EAC2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A52C03" w14:textId="7DCF144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6963826" w14:textId="0C4AF7C3"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BF4C11A" w14:textId="330FBE3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7A0DE3C" w14:textId="7E023885"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7A6AD4" w14:textId="363F4B0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061285A" w14:textId="352DA64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7A55B64B"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53F64E4"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C0E4C3B"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B8F3F43" w14:textId="77777777" w:rsidR="004B0524" w:rsidRPr="00CD1278" w:rsidRDefault="004B0524" w:rsidP="007972CD">
            <w:pPr>
              <w:spacing w:after="60"/>
              <w:jc w:val="center"/>
              <w:rPr>
                <w:color w:val="auto"/>
                <w:sz w:val="12"/>
                <w:szCs w:val="12"/>
              </w:rPr>
            </w:pPr>
            <w:r w:rsidRPr="00CD1278">
              <w:rPr>
                <w:color w:val="auto"/>
                <w:sz w:val="12"/>
                <w:szCs w:val="12"/>
              </w:rPr>
              <w:t>0.050</w:t>
            </w:r>
          </w:p>
        </w:tc>
        <w:tc>
          <w:tcPr>
            <w:tcW w:w="567" w:type="dxa"/>
            <w:tcBorders>
              <w:top w:val="nil"/>
              <w:left w:val="nil"/>
              <w:bottom w:val="single" w:sz="8" w:space="0" w:color="auto"/>
              <w:right w:val="single" w:sz="8" w:space="0" w:color="auto"/>
            </w:tcBorders>
            <w:shd w:val="clear" w:color="auto" w:fill="auto"/>
            <w:vAlign w:val="center"/>
          </w:tcPr>
          <w:p w14:paraId="017AC04A" w14:textId="3351CD9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D2F8D48" w14:textId="6449BA4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4BD80E" w14:textId="7B7B2E9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AC484E" w14:textId="3FB86FE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5ED385" w14:textId="21A9477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8E56078" w14:textId="762828B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72B2BC8C" w14:textId="7DAF48C0"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DF848B6"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90A3FB7"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93B21E7"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5C906D43" w14:textId="77777777" w:rsidR="004B0524" w:rsidRPr="00CD1278" w:rsidRDefault="004B0524" w:rsidP="007972CD">
            <w:pPr>
              <w:spacing w:after="60"/>
              <w:jc w:val="center"/>
              <w:rPr>
                <w:color w:val="auto"/>
                <w:sz w:val="12"/>
                <w:szCs w:val="12"/>
              </w:rPr>
            </w:pPr>
          </w:p>
        </w:tc>
      </w:tr>
      <w:tr w:rsidR="003C102E" w:rsidRPr="00CD1278" w14:paraId="785CFF65"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CB01620" w14:textId="77777777" w:rsidR="004B0524" w:rsidRPr="00CD1278" w:rsidRDefault="004B0524" w:rsidP="00DE7A60">
            <w:pPr>
              <w:spacing w:after="60"/>
              <w:rPr>
                <w:color w:val="auto"/>
                <w:sz w:val="12"/>
                <w:szCs w:val="12"/>
              </w:rPr>
            </w:pPr>
            <w:r w:rsidRPr="00CD1278">
              <w:rPr>
                <w:color w:val="auto"/>
                <w:sz w:val="12"/>
                <w:szCs w:val="12"/>
              </w:rPr>
              <w:t xml:space="preserve">UK </w:t>
            </w:r>
          </w:p>
        </w:tc>
        <w:tc>
          <w:tcPr>
            <w:tcW w:w="818" w:type="dxa"/>
            <w:tcBorders>
              <w:top w:val="nil"/>
              <w:left w:val="nil"/>
              <w:bottom w:val="single" w:sz="8" w:space="0" w:color="auto"/>
              <w:right w:val="single" w:sz="8" w:space="0" w:color="auto"/>
            </w:tcBorders>
            <w:shd w:val="clear" w:color="auto" w:fill="auto"/>
            <w:vAlign w:val="center"/>
          </w:tcPr>
          <w:p w14:paraId="0A4DBF1E" w14:textId="77777777" w:rsidR="004B0524" w:rsidRPr="00CD1278" w:rsidRDefault="004B0524" w:rsidP="007972CD">
            <w:pPr>
              <w:spacing w:after="60"/>
              <w:ind w:left="-83"/>
              <w:rPr>
                <w:color w:val="auto"/>
                <w:sz w:val="12"/>
                <w:szCs w:val="12"/>
              </w:rPr>
            </w:pPr>
            <w:r w:rsidRPr="00CD1278">
              <w:rPr>
                <w:color w:val="auto"/>
                <w:sz w:val="12"/>
                <w:szCs w:val="12"/>
              </w:rPr>
              <w:t>Woven baskets</w:t>
            </w:r>
          </w:p>
        </w:tc>
        <w:tc>
          <w:tcPr>
            <w:tcW w:w="567" w:type="dxa"/>
            <w:tcBorders>
              <w:top w:val="nil"/>
              <w:left w:val="nil"/>
              <w:bottom w:val="single" w:sz="8" w:space="0" w:color="auto"/>
              <w:right w:val="single" w:sz="8" w:space="0" w:color="auto"/>
            </w:tcBorders>
            <w:shd w:val="clear" w:color="auto" w:fill="auto"/>
            <w:vAlign w:val="center"/>
          </w:tcPr>
          <w:p w14:paraId="63A98E2E" w14:textId="77777777" w:rsidR="004B0524" w:rsidRPr="00CD1278" w:rsidRDefault="004B0524" w:rsidP="007972CD">
            <w:pPr>
              <w:spacing w:after="60"/>
              <w:jc w:val="center"/>
              <w:rPr>
                <w:color w:val="auto"/>
                <w:sz w:val="12"/>
                <w:szCs w:val="12"/>
              </w:rPr>
            </w:pPr>
            <w:r w:rsidRPr="00CD1278">
              <w:rPr>
                <w:color w:val="auto"/>
                <w:sz w:val="12"/>
                <w:szCs w:val="12"/>
              </w:rPr>
              <w:t>0.770</w:t>
            </w:r>
          </w:p>
        </w:tc>
        <w:tc>
          <w:tcPr>
            <w:tcW w:w="567" w:type="dxa"/>
            <w:tcBorders>
              <w:top w:val="nil"/>
              <w:left w:val="nil"/>
              <w:bottom w:val="single" w:sz="8" w:space="0" w:color="auto"/>
              <w:right w:val="single" w:sz="8" w:space="0" w:color="auto"/>
            </w:tcBorders>
            <w:shd w:val="clear" w:color="auto" w:fill="auto"/>
            <w:vAlign w:val="center"/>
          </w:tcPr>
          <w:p w14:paraId="7AC061F5" w14:textId="4886DE38"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7AFFBF" w14:textId="7907D68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6B21316" w14:textId="3CBE884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892FE86" w14:textId="747F20A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3B11C0" w14:textId="4C15639D"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724DFFF" w14:textId="6B9B64E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CB20D08" w14:textId="437B278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5AACC1D" w14:textId="66A8E4B9"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64655710"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1EC9FB8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5C3F191"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09171B00" w14:textId="77777777" w:rsidR="004B0524" w:rsidRPr="00CD1278" w:rsidRDefault="004B0524" w:rsidP="007972CD">
            <w:pPr>
              <w:spacing w:after="60"/>
              <w:jc w:val="center"/>
              <w:rPr>
                <w:color w:val="auto"/>
                <w:sz w:val="12"/>
                <w:szCs w:val="12"/>
              </w:rPr>
            </w:pPr>
            <w:r w:rsidRPr="00CD1278">
              <w:rPr>
                <w:color w:val="auto"/>
                <w:sz w:val="12"/>
                <w:szCs w:val="12"/>
              </w:rPr>
              <w:t>0.770</w:t>
            </w:r>
          </w:p>
        </w:tc>
        <w:tc>
          <w:tcPr>
            <w:tcW w:w="567" w:type="dxa"/>
            <w:tcBorders>
              <w:top w:val="nil"/>
              <w:left w:val="nil"/>
              <w:bottom w:val="single" w:sz="8" w:space="0" w:color="auto"/>
              <w:right w:val="single" w:sz="8" w:space="0" w:color="auto"/>
            </w:tcBorders>
            <w:shd w:val="clear" w:color="auto" w:fill="auto"/>
            <w:vAlign w:val="center"/>
          </w:tcPr>
          <w:p w14:paraId="567381E0" w14:textId="785B764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84A5507" w14:textId="67D48EC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6ACC18A" w14:textId="6076492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89965C" w14:textId="34E217D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55A2F58" w14:textId="60BA754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FD740C7" w14:textId="6C328952"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1FDCC4DF" w14:textId="69CB0F2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37969CA"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3DC4EDD"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5CA3E18"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ABCCEF9" w14:textId="77777777" w:rsidR="004B0524" w:rsidRPr="00CD1278" w:rsidRDefault="004B0524" w:rsidP="007972CD">
            <w:pPr>
              <w:spacing w:after="60"/>
              <w:jc w:val="center"/>
              <w:rPr>
                <w:color w:val="auto"/>
                <w:sz w:val="12"/>
                <w:szCs w:val="12"/>
              </w:rPr>
            </w:pPr>
          </w:p>
        </w:tc>
      </w:tr>
      <w:tr w:rsidR="003C102E" w:rsidRPr="00CD1278" w14:paraId="01757C46" w14:textId="77777777" w:rsidTr="00DE7A60">
        <w:trPr>
          <w:cantSplit/>
          <w:trHeight w:val="1240"/>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22BEB6D6" w14:textId="77777777" w:rsidR="004B0524" w:rsidRPr="00CD1278" w:rsidRDefault="004B0524" w:rsidP="00DE7A60">
            <w:pPr>
              <w:spacing w:after="60"/>
              <w:rPr>
                <w:color w:val="auto"/>
                <w:sz w:val="12"/>
                <w:szCs w:val="12"/>
              </w:rPr>
            </w:pPr>
            <w:r w:rsidRPr="00CD1278">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vAlign w:val="center"/>
          </w:tcPr>
          <w:p w14:paraId="0978EE03" w14:textId="77777777" w:rsidR="004B0524" w:rsidRPr="00CD1278" w:rsidRDefault="004B0524" w:rsidP="007972CD">
            <w:pPr>
              <w:spacing w:after="60"/>
              <w:ind w:left="-83"/>
              <w:rPr>
                <w:color w:val="auto"/>
                <w:sz w:val="12"/>
                <w:szCs w:val="12"/>
              </w:rPr>
            </w:pPr>
            <w:r w:rsidRPr="00CD1278">
              <w:rPr>
                <w:color w:val="auto"/>
                <w:sz w:val="12"/>
                <w:szCs w:val="12"/>
              </w:rPr>
              <w:t>Dried fruit and nuts (walnuts, pistachios, dried fruit and dates and dried beans)</w:t>
            </w:r>
          </w:p>
        </w:tc>
        <w:tc>
          <w:tcPr>
            <w:tcW w:w="567" w:type="dxa"/>
            <w:tcBorders>
              <w:top w:val="nil"/>
              <w:left w:val="nil"/>
              <w:bottom w:val="single" w:sz="8" w:space="0" w:color="auto"/>
              <w:right w:val="single" w:sz="8" w:space="0" w:color="auto"/>
            </w:tcBorders>
            <w:shd w:val="clear" w:color="auto" w:fill="auto"/>
            <w:vAlign w:val="center"/>
          </w:tcPr>
          <w:p w14:paraId="7F4F9A64" w14:textId="77777777" w:rsidR="004B0524" w:rsidRPr="00CD1278" w:rsidRDefault="004B0524" w:rsidP="007972CD">
            <w:pPr>
              <w:spacing w:after="60"/>
              <w:jc w:val="center"/>
              <w:rPr>
                <w:color w:val="auto"/>
                <w:sz w:val="12"/>
                <w:szCs w:val="12"/>
              </w:rPr>
            </w:pPr>
            <w:r w:rsidRPr="00CD1278">
              <w:rPr>
                <w:color w:val="auto"/>
                <w:sz w:val="12"/>
                <w:szCs w:val="12"/>
              </w:rPr>
              <w:t>89.166</w:t>
            </w:r>
          </w:p>
        </w:tc>
        <w:tc>
          <w:tcPr>
            <w:tcW w:w="567" w:type="dxa"/>
            <w:tcBorders>
              <w:top w:val="nil"/>
              <w:left w:val="nil"/>
              <w:bottom w:val="single" w:sz="8" w:space="0" w:color="auto"/>
              <w:right w:val="single" w:sz="8" w:space="0" w:color="auto"/>
            </w:tcBorders>
            <w:shd w:val="clear" w:color="auto" w:fill="auto"/>
            <w:vAlign w:val="center"/>
          </w:tcPr>
          <w:p w14:paraId="2BE2DC1A" w14:textId="77777777" w:rsidR="004B0524" w:rsidRPr="00CD1278" w:rsidRDefault="004B0524" w:rsidP="007972CD">
            <w:pPr>
              <w:spacing w:after="60"/>
              <w:jc w:val="center"/>
              <w:rPr>
                <w:color w:val="auto"/>
                <w:sz w:val="12"/>
                <w:szCs w:val="12"/>
              </w:rPr>
            </w:pPr>
            <w:r w:rsidRPr="00CD1278">
              <w:rPr>
                <w:color w:val="auto"/>
                <w:sz w:val="12"/>
                <w:szCs w:val="12"/>
              </w:rPr>
              <w:t>87.719</w:t>
            </w:r>
          </w:p>
        </w:tc>
        <w:tc>
          <w:tcPr>
            <w:tcW w:w="567" w:type="dxa"/>
            <w:tcBorders>
              <w:top w:val="nil"/>
              <w:left w:val="nil"/>
              <w:bottom w:val="single" w:sz="8" w:space="0" w:color="auto"/>
              <w:right w:val="single" w:sz="8" w:space="0" w:color="auto"/>
            </w:tcBorders>
            <w:shd w:val="clear" w:color="auto" w:fill="auto"/>
            <w:vAlign w:val="center"/>
          </w:tcPr>
          <w:p w14:paraId="392288F8" w14:textId="77777777" w:rsidR="004B0524" w:rsidRPr="00CD1278" w:rsidRDefault="004B0524" w:rsidP="007972CD">
            <w:pPr>
              <w:spacing w:after="60"/>
              <w:jc w:val="center"/>
              <w:rPr>
                <w:color w:val="auto"/>
                <w:sz w:val="12"/>
                <w:szCs w:val="12"/>
              </w:rPr>
            </w:pPr>
            <w:r w:rsidRPr="00CD1278">
              <w:rPr>
                <w:color w:val="auto"/>
                <w:sz w:val="12"/>
                <w:szCs w:val="12"/>
              </w:rPr>
              <w:t>91.299</w:t>
            </w:r>
          </w:p>
        </w:tc>
        <w:tc>
          <w:tcPr>
            <w:tcW w:w="567" w:type="dxa"/>
            <w:tcBorders>
              <w:top w:val="nil"/>
              <w:left w:val="nil"/>
              <w:bottom w:val="single" w:sz="8" w:space="0" w:color="auto"/>
              <w:right w:val="single" w:sz="8" w:space="0" w:color="auto"/>
            </w:tcBorders>
            <w:shd w:val="clear" w:color="auto" w:fill="auto"/>
            <w:vAlign w:val="center"/>
          </w:tcPr>
          <w:p w14:paraId="7CED5C6B" w14:textId="77777777" w:rsidR="004B0524" w:rsidRPr="00CD1278" w:rsidRDefault="004B0524" w:rsidP="007972CD">
            <w:pPr>
              <w:spacing w:after="60"/>
              <w:jc w:val="center"/>
              <w:rPr>
                <w:color w:val="auto"/>
                <w:sz w:val="12"/>
                <w:szCs w:val="12"/>
              </w:rPr>
            </w:pPr>
            <w:r w:rsidRPr="00CD1278">
              <w:rPr>
                <w:color w:val="auto"/>
                <w:sz w:val="12"/>
                <w:szCs w:val="12"/>
              </w:rPr>
              <w:t>67.699</w:t>
            </w:r>
          </w:p>
        </w:tc>
        <w:tc>
          <w:tcPr>
            <w:tcW w:w="567" w:type="dxa"/>
            <w:tcBorders>
              <w:top w:val="nil"/>
              <w:left w:val="nil"/>
              <w:bottom w:val="single" w:sz="8" w:space="0" w:color="auto"/>
              <w:right w:val="single" w:sz="8" w:space="0" w:color="auto"/>
            </w:tcBorders>
            <w:shd w:val="clear" w:color="auto" w:fill="auto"/>
            <w:vAlign w:val="center"/>
          </w:tcPr>
          <w:p w14:paraId="38FF7C44" w14:textId="77777777" w:rsidR="004B0524" w:rsidRPr="00CD1278" w:rsidRDefault="004B0524" w:rsidP="007972CD">
            <w:pPr>
              <w:spacing w:after="60"/>
              <w:jc w:val="center"/>
              <w:rPr>
                <w:color w:val="auto"/>
                <w:sz w:val="12"/>
                <w:szCs w:val="12"/>
              </w:rPr>
            </w:pPr>
            <w:r w:rsidRPr="00CD1278">
              <w:rPr>
                <w:color w:val="auto"/>
                <w:sz w:val="12"/>
                <w:szCs w:val="12"/>
              </w:rPr>
              <w:t>58.912</w:t>
            </w:r>
          </w:p>
        </w:tc>
        <w:tc>
          <w:tcPr>
            <w:tcW w:w="567" w:type="dxa"/>
            <w:tcBorders>
              <w:top w:val="nil"/>
              <w:left w:val="nil"/>
              <w:bottom w:val="single" w:sz="8" w:space="0" w:color="auto"/>
              <w:right w:val="single" w:sz="8" w:space="0" w:color="auto"/>
            </w:tcBorders>
            <w:shd w:val="clear" w:color="auto" w:fill="auto"/>
            <w:vAlign w:val="center"/>
          </w:tcPr>
          <w:p w14:paraId="3C4F1F3C" w14:textId="77777777" w:rsidR="004B0524" w:rsidRPr="00CD1278" w:rsidRDefault="004B0524" w:rsidP="007972CD">
            <w:pPr>
              <w:spacing w:after="60"/>
              <w:jc w:val="center"/>
              <w:rPr>
                <w:color w:val="auto"/>
                <w:sz w:val="12"/>
                <w:szCs w:val="12"/>
              </w:rPr>
            </w:pPr>
            <w:r w:rsidRPr="00CD1278">
              <w:rPr>
                <w:color w:val="auto"/>
                <w:sz w:val="12"/>
                <w:szCs w:val="12"/>
              </w:rPr>
              <w:t>19.242</w:t>
            </w:r>
          </w:p>
        </w:tc>
        <w:tc>
          <w:tcPr>
            <w:tcW w:w="567" w:type="dxa"/>
            <w:tcBorders>
              <w:top w:val="nil"/>
              <w:left w:val="nil"/>
              <w:bottom w:val="single" w:sz="8" w:space="0" w:color="auto"/>
              <w:right w:val="single" w:sz="8" w:space="0" w:color="auto"/>
            </w:tcBorders>
            <w:shd w:val="clear" w:color="auto" w:fill="auto"/>
            <w:vAlign w:val="center"/>
          </w:tcPr>
          <w:p w14:paraId="426E152B" w14:textId="77777777" w:rsidR="004B0524" w:rsidRPr="00CD1278" w:rsidRDefault="004B0524" w:rsidP="007972CD">
            <w:pPr>
              <w:spacing w:after="60"/>
              <w:jc w:val="center"/>
              <w:rPr>
                <w:color w:val="auto"/>
                <w:sz w:val="12"/>
                <w:szCs w:val="12"/>
              </w:rPr>
            </w:pPr>
            <w:r w:rsidRPr="00CD1278">
              <w:rPr>
                <w:color w:val="auto"/>
                <w:sz w:val="12"/>
                <w:szCs w:val="12"/>
              </w:rPr>
              <w:t>10.041</w:t>
            </w:r>
          </w:p>
        </w:tc>
        <w:tc>
          <w:tcPr>
            <w:tcW w:w="567" w:type="dxa"/>
            <w:tcBorders>
              <w:top w:val="nil"/>
              <w:left w:val="nil"/>
              <w:bottom w:val="single" w:sz="8" w:space="0" w:color="auto"/>
              <w:right w:val="single" w:sz="8" w:space="0" w:color="auto"/>
            </w:tcBorders>
            <w:shd w:val="clear" w:color="auto" w:fill="auto"/>
            <w:vAlign w:val="center"/>
          </w:tcPr>
          <w:p w14:paraId="142EDA55" w14:textId="77777777" w:rsidR="004B0524" w:rsidRPr="00CD1278" w:rsidRDefault="004B0524" w:rsidP="007972CD">
            <w:pPr>
              <w:spacing w:after="60"/>
              <w:jc w:val="center"/>
              <w:rPr>
                <w:color w:val="auto"/>
                <w:sz w:val="12"/>
                <w:szCs w:val="12"/>
              </w:rPr>
            </w:pPr>
            <w:r w:rsidRPr="00CD1278">
              <w:rPr>
                <w:color w:val="auto"/>
                <w:sz w:val="12"/>
                <w:szCs w:val="12"/>
              </w:rPr>
              <w:t>2.419</w:t>
            </w:r>
          </w:p>
        </w:tc>
        <w:tc>
          <w:tcPr>
            <w:tcW w:w="567" w:type="dxa"/>
            <w:tcBorders>
              <w:top w:val="nil"/>
              <w:left w:val="nil"/>
              <w:bottom w:val="single" w:sz="8" w:space="0" w:color="auto"/>
              <w:right w:val="single" w:sz="8" w:space="0" w:color="auto"/>
            </w:tcBorders>
            <w:shd w:val="clear" w:color="auto" w:fill="auto"/>
            <w:vAlign w:val="center"/>
          </w:tcPr>
          <w:p w14:paraId="647A9BD6" w14:textId="77777777" w:rsidR="004B0524" w:rsidRPr="00CD1278" w:rsidRDefault="004B0524" w:rsidP="007972CD">
            <w:pPr>
              <w:spacing w:after="60"/>
              <w:jc w:val="center"/>
              <w:rPr>
                <w:color w:val="auto"/>
                <w:sz w:val="12"/>
                <w:szCs w:val="12"/>
              </w:rPr>
            </w:pPr>
            <w:r w:rsidRPr="00CD1278">
              <w:rPr>
                <w:color w:val="auto"/>
                <w:sz w:val="12"/>
                <w:szCs w:val="12"/>
              </w:rPr>
              <w:t>0.822</w:t>
            </w:r>
          </w:p>
        </w:tc>
        <w:tc>
          <w:tcPr>
            <w:tcW w:w="567" w:type="dxa"/>
            <w:tcBorders>
              <w:top w:val="nil"/>
              <w:left w:val="nil"/>
              <w:bottom w:val="single" w:sz="8" w:space="0" w:color="auto"/>
              <w:right w:val="single" w:sz="4" w:space="0" w:color="auto"/>
            </w:tcBorders>
            <w:vAlign w:val="center"/>
          </w:tcPr>
          <w:p w14:paraId="4EB939FB" w14:textId="77777777" w:rsidR="004B0524" w:rsidRPr="00CD1278" w:rsidRDefault="004B0524" w:rsidP="007972CD">
            <w:pPr>
              <w:spacing w:after="60"/>
              <w:jc w:val="center"/>
              <w:rPr>
                <w:color w:val="auto"/>
                <w:sz w:val="12"/>
                <w:szCs w:val="12"/>
              </w:rPr>
            </w:pPr>
            <w:r w:rsidRPr="00CD1278">
              <w:rPr>
                <w:color w:val="auto"/>
                <w:sz w:val="12"/>
                <w:szCs w:val="12"/>
              </w:rPr>
              <w:t>0.740</w:t>
            </w:r>
          </w:p>
        </w:tc>
        <w:tc>
          <w:tcPr>
            <w:tcW w:w="567" w:type="dxa"/>
            <w:tcBorders>
              <w:top w:val="nil"/>
              <w:left w:val="single" w:sz="4" w:space="0" w:color="auto"/>
              <w:bottom w:val="single" w:sz="8" w:space="0" w:color="auto"/>
              <w:right w:val="single" w:sz="4" w:space="0" w:color="auto"/>
            </w:tcBorders>
            <w:vAlign w:val="center"/>
          </w:tcPr>
          <w:p w14:paraId="32F238D6" w14:textId="77777777" w:rsidR="004B0524" w:rsidRPr="00CD1278" w:rsidRDefault="004B0524" w:rsidP="007972CD">
            <w:pPr>
              <w:spacing w:after="60"/>
              <w:jc w:val="center"/>
              <w:rPr>
                <w:color w:val="auto"/>
                <w:sz w:val="12"/>
                <w:szCs w:val="12"/>
              </w:rPr>
            </w:pPr>
            <w:r w:rsidRPr="00CD1278">
              <w:rPr>
                <w:color w:val="auto"/>
                <w:sz w:val="12"/>
                <w:szCs w:val="12"/>
              </w:rPr>
              <w:t>0.310</w:t>
            </w:r>
          </w:p>
        </w:tc>
        <w:tc>
          <w:tcPr>
            <w:tcW w:w="567" w:type="dxa"/>
            <w:tcBorders>
              <w:top w:val="nil"/>
              <w:left w:val="single" w:sz="4" w:space="0" w:color="auto"/>
              <w:bottom w:val="single" w:sz="8" w:space="0" w:color="auto"/>
              <w:right w:val="single" w:sz="4" w:space="0" w:color="auto"/>
            </w:tcBorders>
            <w:vAlign w:val="center"/>
          </w:tcPr>
          <w:p w14:paraId="117B3DBD" w14:textId="77777777" w:rsidR="004B0524" w:rsidRPr="00CD1278" w:rsidRDefault="004B0524" w:rsidP="007972CD">
            <w:pPr>
              <w:spacing w:after="60"/>
              <w:jc w:val="cente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FFC46E3" w14:textId="77777777" w:rsidR="004B0524" w:rsidRPr="00CD1278" w:rsidRDefault="004B0524" w:rsidP="007972CD">
            <w:pPr>
              <w:spacing w:after="60"/>
              <w:jc w:val="center"/>
              <w:rPr>
                <w:color w:val="auto"/>
                <w:sz w:val="12"/>
                <w:szCs w:val="12"/>
              </w:rPr>
            </w:pPr>
            <w:r w:rsidRPr="00CD1278">
              <w:rPr>
                <w:color w:val="auto"/>
                <w:sz w:val="12"/>
                <w:szCs w:val="12"/>
              </w:rPr>
              <w:t>89.166</w:t>
            </w:r>
          </w:p>
        </w:tc>
        <w:tc>
          <w:tcPr>
            <w:tcW w:w="567" w:type="dxa"/>
            <w:tcBorders>
              <w:top w:val="nil"/>
              <w:left w:val="nil"/>
              <w:bottom w:val="single" w:sz="8" w:space="0" w:color="auto"/>
              <w:right w:val="single" w:sz="8" w:space="0" w:color="auto"/>
            </w:tcBorders>
            <w:shd w:val="clear" w:color="auto" w:fill="auto"/>
            <w:vAlign w:val="center"/>
          </w:tcPr>
          <w:p w14:paraId="4C385A64" w14:textId="77777777" w:rsidR="004B0524" w:rsidRPr="00CD1278" w:rsidRDefault="004B0524" w:rsidP="007972CD">
            <w:pPr>
              <w:spacing w:after="60"/>
              <w:jc w:val="center"/>
              <w:rPr>
                <w:color w:val="auto"/>
                <w:sz w:val="12"/>
                <w:szCs w:val="12"/>
              </w:rPr>
            </w:pPr>
            <w:r w:rsidRPr="00CD1278">
              <w:rPr>
                <w:color w:val="auto"/>
                <w:sz w:val="12"/>
                <w:szCs w:val="12"/>
              </w:rPr>
              <w:t>87.719</w:t>
            </w:r>
          </w:p>
        </w:tc>
        <w:tc>
          <w:tcPr>
            <w:tcW w:w="567" w:type="dxa"/>
            <w:tcBorders>
              <w:top w:val="nil"/>
              <w:left w:val="nil"/>
              <w:bottom w:val="single" w:sz="8" w:space="0" w:color="auto"/>
              <w:right w:val="single" w:sz="8" w:space="0" w:color="auto"/>
            </w:tcBorders>
            <w:shd w:val="clear" w:color="auto" w:fill="auto"/>
            <w:vAlign w:val="center"/>
          </w:tcPr>
          <w:p w14:paraId="28F085B2" w14:textId="77777777" w:rsidR="004B0524" w:rsidRPr="00CD1278" w:rsidRDefault="004B0524" w:rsidP="007972CD">
            <w:pPr>
              <w:spacing w:after="60"/>
              <w:jc w:val="center"/>
              <w:rPr>
                <w:color w:val="auto"/>
                <w:sz w:val="12"/>
                <w:szCs w:val="12"/>
              </w:rPr>
            </w:pPr>
            <w:r w:rsidRPr="00CD1278">
              <w:rPr>
                <w:color w:val="auto"/>
                <w:sz w:val="12"/>
                <w:szCs w:val="12"/>
              </w:rPr>
              <w:t>78.983</w:t>
            </w:r>
          </w:p>
        </w:tc>
        <w:tc>
          <w:tcPr>
            <w:tcW w:w="567" w:type="dxa"/>
            <w:tcBorders>
              <w:top w:val="nil"/>
              <w:left w:val="nil"/>
              <w:bottom w:val="single" w:sz="8" w:space="0" w:color="auto"/>
              <w:right w:val="single" w:sz="8" w:space="0" w:color="auto"/>
            </w:tcBorders>
            <w:shd w:val="clear" w:color="auto" w:fill="auto"/>
            <w:vAlign w:val="center"/>
          </w:tcPr>
          <w:p w14:paraId="2E45CF90" w14:textId="77777777" w:rsidR="004B0524" w:rsidRPr="00CD1278" w:rsidRDefault="004B0524" w:rsidP="007972CD">
            <w:pPr>
              <w:spacing w:after="60"/>
              <w:jc w:val="center"/>
              <w:rPr>
                <w:color w:val="auto"/>
                <w:sz w:val="12"/>
                <w:szCs w:val="12"/>
              </w:rPr>
            </w:pPr>
            <w:r w:rsidRPr="00CD1278">
              <w:rPr>
                <w:color w:val="auto"/>
                <w:sz w:val="12"/>
                <w:szCs w:val="12"/>
              </w:rPr>
              <w:t>58.921</w:t>
            </w:r>
          </w:p>
        </w:tc>
        <w:tc>
          <w:tcPr>
            <w:tcW w:w="567" w:type="dxa"/>
            <w:tcBorders>
              <w:top w:val="nil"/>
              <w:left w:val="nil"/>
              <w:bottom w:val="single" w:sz="8" w:space="0" w:color="auto"/>
              <w:right w:val="single" w:sz="8" w:space="0" w:color="auto"/>
            </w:tcBorders>
            <w:shd w:val="clear" w:color="auto" w:fill="auto"/>
            <w:vAlign w:val="center"/>
          </w:tcPr>
          <w:p w14:paraId="47388F3E" w14:textId="77777777" w:rsidR="004B0524" w:rsidRPr="00CD1278" w:rsidRDefault="004B0524" w:rsidP="007972CD">
            <w:pPr>
              <w:spacing w:after="60"/>
              <w:jc w:val="center"/>
              <w:rPr>
                <w:color w:val="auto"/>
                <w:sz w:val="12"/>
                <w:szCs w:val="12"/>
              </w:rPr>
            </w:pPr>
            <w:r w:rsidRPr="00CD1278">
              <w:rPr>
                <w:color w:val="auto"/>
                <w:sz w:val="12"/>
                <w:szCs w:val="12"/>
              </w:rPr>
              <w:t>45.623</w:t>
            </w:r>
          </w:p>
        </w:tc>
        <w:tc>
          <w:tcPr>
            <w:tcW w:w="567" w:type="dxa"/>
            <w:tcBorders>
              <w:top w:val="nil"/>
              <w:left w:val="nil"/>
              <w:bottom w:val="single" w:sz="8" w:space="0" w:color="auto"/>
              <w:right w:val="single" w:sz="8" w:space="0" w:color="auto"/>
            </w:tcBorders>
            <w:shd w:val="clear" w:color="auto" w:fill="auto"/>
            <w:vAlign w:val="center"/>
          </w:tcPr>
          <w:p w14:paraId="5FDC25BF" w14:textId="77777777" w:rsidR="004B0524" w:rsidRPr="00CD1278" w:rsidRDefault="004B0524" w:rsidP="007972CD">
            <w:pPr>
              <w:spacing w:after="60"/>
              <w:jc w:val="center"/>
              <w:rPr>
                <w:color w:val="auto"/>
                <w:sz w:val="12"/>
                <w:szCs w:val="12"/>
              </w:rPr>
            </w:pPr>
            <w:r w:rsidRPr="00CD1278">
              <w:rPr>
                <w:color w:val="auto"/>
                <w:sz w:val="12"/>
                <w:szCs w:val="12"/>
              </w:rPr>
              <w:t>19.242</w:t>
            </w:r>
          </w:p>
        </w:tc>
        <w:tc>
          <w:tcPr>
            <w:tcW w:w="567" w:type="dxa"/>
            <w:tcBorders>
              <w:top w:val="nil"/>
              <w:left w:val="nil"/>
              <w:bottom w:val="single" w:sz="8" w:space="0" w:color="auto"/>
              <w:right w:val="single" w:sz="8" w:space="0" w:color="auto"/>
            </w:tcBorders>
            <w:shd w:val="clear" w:color="auto" w:fill="auto"/>
            <w:vAlign w:val="center"/>
          </w:tcPr>
          <w:p w14:paraId="1BA103A1" w14:textId="77777777" w:rsidR="004B0524" w:rsidRPr="00CD1278" w:rsidRDefault="004B0524" w:rsidP="007972CD">
            <w:pPr>
              <w:spacing w:after="60"/>
              <w:jc w:val="center"/>
              <w:rPr>
                <w:color w:val="auto"/>
                <w:sz w:val="12"/>
                <w:szCs w:val="12"/>
              </w:rPr>
            </w:pPr>
            <w:r w:rsidRPr="00CD1278">
              <w:rPr>
                <w:color w:val="auto"/>
                <w:sz w:val="12"/>
                <w:szCs w:val="12"/>
              </w:rPr>
              <w:t>5.000</w:t>
            </w:r>
          </w:p>
        </w:tc>
        <w:tc>
          <w:tcPr>
            <w:tcW w:w="567" w:type="dxa"/>
            <w:tcBorders>
              <w:top w:val="nil"/>
              <w:left w:val="nil"/>
              <w:bottom w:val="single" w:sz="8" w:space="0" w:color="auto"/>
              <w:right w:val="single" w:sz="8" w:space="0" w:color="auto"/>
            </w:tcBorders>
            <w:shd w:val="clear" w:color="auto" w:fill="auto"/>
            <w:noWrap/>
            <w:vAlign w:val="center"/>
          </w:tcPr>
          <w:p w14:paraId="0B14F8E7" w14:textId="2E10B7C3" w:rsidR="004B0524" w:rsidRPr="00CD1278" w:rsidRDefault="004B0524" w:rsidP="007972CD">
            <w:pPr>
              <w:spacing w:after="60"/>
              <w:jc w:val="center"/>
              <w:rPr>
                <w:color w:val="auto"/>
                <w:sz w:val="12"/>
                <w:szCs w:val="12"/>
              </w:rPr>
            </w:pPr>
            <w:r w:rsidRPr="00CD1278">
              <w:rPr>
                <w:color w:val="auto"/>
                <w:sz w:val="12"/>
                <w:szCs w:val="12"/>
              </w:rPr>
              <w:t>2.419</w:t>
            </w:r>
          </w:p>
        </w:tc>
        <w:tc>
          <w:tcPr>
            <w:tcW w:w="567" w:type="dxa"/>
            <w:tcBorders>
              <w:top w:val="nil"/>
              <w:left w:val="nil"/>
              <w:bottom w:val="single" w:sz="8" w:space="0" w:color="auto"/>
              <w:right w:val="single" w:sz="8" w:space="0" w:color="auto"/>
            </w:tcBorders>
            <w:vAlign w:val="center"/>
          </w:tcPr>
          <w:p w14:paraId="3E9D7F59" w14:textId="77777777" w:rsidR="004B0524" w:rsidRPr="00CD1278" w:rsidRDefault="004B0524" w:rsidP="007972CD">
            <w:pPr>
              <w:spacing w:after="60"/>
              <w:jc w:val="center"/>
              <w:rPr>
                <w:color w:val="auto"/>
                <w:sz w:val="12"/>
                <w:szCs w:val="12"/>
              </w:rPr>
            </w:pPr>
            <w:r w:rsidRPr="00CD1278">
              <w:rPr>
                <w:color w:val="auto"/>
                <w:sz w:val="12"/>
                <w:szCs w:val="12"/>
              </w:rPr>
              <w:t>0.740</w:t>
            </w:r>
          </w:p>
        </w:tc>
        <w:tc>
          <w:tcPr>
            <w:tcW w:w="567" w:type="dxa"/>
            <w:tcBorders>
              <w:top w:val="nil"/>
              <w:left w:val="nil"/>
              <w:bottom w:val="single" w:sz="8" w:space="0" w:color="auto"/>
              <w:right w:val="single" w:sz="8" w:space="0" w:color="auto"/>
            </w:tcBorders>
            <w:vAlign w:val="center"/>
          </w:tcPr>
          <w:p w14:paraId="3B2B5379" w14:textId="77777777" w:rsidR="004B0524" w:rsidRPr="00CD1278" w:rsidRDefault="004B0524" w:rsidP="007972CD">
            <w:pPr>
              <w:spacing w:after="60"/>
              <w:jc w:val="center"/>
              <w:rPr>
                <w:color w:val="auto"/>
                <w:sz w:val="12"/>
                <w:szCs w:val="12"/>
              </w:rPr>
            </w:pPr>
            <w:r w:rsidRPr="00CD1278">
              <w:rPr>
                <w:color w:val="auto"/>
                <w:sz w:val="12"/>
                <w:szCs w:val="12"/>
              </w:rPr>
              <w:t>0.740</w:t>
            </w:r>
          </w:p>
        </w:tc>
        <w:tc>
          <w:tcPr>
            <w:tcW w:w="567" w:type="dxa"/>
            <w:tcBorders>
              <w:top w:val="nil"/>
              <w:left w:val="nil"/>
              <w:bottom w:val="single" w:sz="8" w:space="0" w:color="auto"/>
              <w:right w:val="single" w:sz="8" w:space="0" w:color="auto"/>
            </w:tcBorders>
            <w:vAlign w:val="center"/>
          </w:tcPr>
          <w:p w14:paraId="082E1025" w14:textId="77777777" w:rsidR="004B0524" w:rsidRPr="00CD1278" w:rsidRDefault="004B0524" w:rsidP="007972CD">
            <w:pPr>
              <w:spacing w:after="60"/>
              <w:jc w:val="center"/>
              <w:rPr>
                <w:b/>
                <w:color w:val="auto"/>
                <w:sz w:val="12"/>
                <w:szCs w:val="12"/>
              </w:rPr>
            </w:pPr>
          </w:p>
        </w:tc>
        <w:tc>
          <w:tcPr>
            <w:tcW w:w="567" w:type="dxa"/>
            <w:tcBorders>
              <w:top w:val="nil"/>
              <w:left w:val="nil"/>
              <w:bottom w:val="single" w:sz="8" w:space="0" w:color="auto"/>
              <w:right w:val="single" w:sz="8" w:space="0" w:color="auto"/>
            </w:tcBorders>
            <w:vAlign w:val="center"/>
          </w:tcPr>
          <w:p w14:paraId="6A2DFDFB" w14:textId="77777777" w:rsidR="004B0524" w:rsidRPr="00CD1278" w:rsidRDefault="004B0524" w:rsidP="007972CD">
            <w:pPr>
              <w:spacing w:after="60"/>
              <w:jc w:val="center"/>
              <w:rPr>
                <w:b/>
                <w:color w:val="auto"/>
                <w:sz w:val="12"/>
                <w:szCs w:val="12"/>
              </w:rPr>
            </w:pPr>
          </w:p>
        </w:tc>
      </w:tr>
      <w:tr w:rsidR="003C102E" w:rsidRPr="00CD1278" w14:paraId="00C590DB" w14:textId="77777777" w:rsidTr="00DE7A60">
        <w:trPr>
          <w:cantSplit/>
          <w:trHeight w:val="808"/>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132D4719" w14:textId="77777777" w:rsidR="004B0524" w:rsidRPr="00CD1278" w:rsidRDefault="004B0524" w:rsidP="00DE7A60">
            <w:pPr>
              <w:spacing w:after="60"/>
              <w:rPr>
                <w:color w:val="auto"/>
                <w:sz w:val="12"/>
                <w:szCs w:val="12"/>
              </w:rPr>
            </w:pPr>
            <w:r w:rsidRPr="00CD1278">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vAlign w:val="center"/>
          </w:tcPr>
          <w:p w14:paraId="4B0D505E" w14:textId="52668BF4" w:rsidR="004B0524" w:rsidRPr="00CD1278" w:rsidRDefault="004B0524" w:rsidP="007972CD">
            <w:pPr>
              <w:spacing w:after="60"/>
              <w:ind w:left="-83"/>
              <w:rPr>
                <w:color w:val="auto"/>
                <w:sz w:val="12"/>
                <w:szCs w:val="12"/>
              </w:rPr>
            </w:pPr>
            <w:r w:rsidRPr="00CD1278">
              <w:rPr>
                <w:color w:val="auto"/>
                <w:sz w:val="12"/>
                <w:szCs w:val="12"/>
              </w:rPr>
              <w:t>Dry commodities/ structures (cocoa beans)</w:t>
            </w:r>
          </w:p>
        </w:tc>
        <w:tc>
          <w:tcPr>
            <w:tcW w:w="567" w:type="dxa"/>
            <w:tcBorders>
              <w:top w:val="nil"/>
              <w:left w:val="nil"/>
              <w:bottom w:val="single" w:sz="8" w:space="0" w:color="auto"/>
              <w:right w:val="single" w:sz="8" w:space="0" w:color="auto"/>
            </w:tcBorders>
            <w:shd w:val="clear" w:color="auto" w:fill="auto"/>
            <w:vAlign w:val="center"/>
          </w:tcPr>
          <w:p w14:paraId="58D0F3A9" w14:textId="77777777" w:rsidR="004B0524" w:rsidRPr="00CD1278" w:rsidRDefault="004B0524" w:rsidP="007972CD">
            <w:pPr>
              <w:spacing w:after="60"/>
              <w:jc w:val="center"/>
              <w:rPr>
                <w:color w:val="auto"/>
                <w:sz w:val="12"/>
                <w:szCs w:val="12"/>
              </w:rPr>
            </w:pPr>
            <w:r w:rsidRPr="00CD1278">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632083E4" w14:textId="77777777" w:rsidR="004B0524" w:rsidRPr="00CD1278" w:rsidRDefault="004B0524" w:rsidP="007972CD">
            <w:pPr>
              <w:spacing w:after="60"/>
              <w:jc w:val="center"/>
              <w:rPr>
                <w:color w:val="auto"/>
                <w:sz w:val="12"/>
                <w:szCs w:val="12"/>
              </w:rPr>
            </w:pPr>
            <w:r w:rsidRPr="00CD1278">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7170B870" w14:textId="77777777" w:rsidR="004B0524" w:rsidRPr="00CD1278" w:rsidRDefault="004B0524" w:rsidP="007972CD">
            <w:pPr>
              <w:spacing w:after="60"/>
              <w:jc w:val="center"/>
              <w:rPr>
                <w:color w:val="auto"/>
                <w:sz w:val="12"/>
                <w:szCs w:val="12"/>
              </w:rPr>
            </w:pPr>
            <w:r w:rsidRPr="00CD1278">
              <w:rPr>
                <w:color w:val="auto"/>
                <w:sz w:val="12"/>
                <w:szCs w:val="12"/>
              </w:rPr>
              <w:t>64.028</w:t>
            </w:r>
          </w:p>
        </w:tc>
        <w:tc>
          <w:tcPr>
            <w:tcW w:w="567" w:type="dxa"/>
            <w:tcBorders>
              <w:top w:val="nil"/>
              <w:left w:val="nil"/>
              <w:bottom w:val="single" w:sz="8" w:space="0" w:color="auto"/>
              <w:right w:val="single" w:sz="8" w:space="0" w:color="auto"/>
            </w:tcBorders>
            <w:shd w:val="clear" w:color="auto" w:fill="auto"/>
            <w:vAlign w:val="center"/>
          </w:tcPr>
          <w:p w14:paraId="0C608F23" w14:textId="77777777" w:rsidR="004B0524" w:rsidRPr="00CD1278" w:rsidRDefault="004B0524" w:rsidP="007972CD">
            <w:pPr>
              <w:spacing w:after="60"/>
              <w:jc w:val="center"/>
              <w:rPr>
                <w:color w:val="auto"/>
                <w:sz w:val="12"/>
                <w:szCs w:val="12"/>
              </w:rPr>
            </w:pPr>
            <w:r w:rsidRPr="00CD1278">
              <w:rPr>
                <w:color w:val="auto"/>
                <w:sz w:val="12"/>
                <w:szCs w:val="12"/>
              </w:rPr>
              <w:t>52.256</w:t>
            </w:r>
          </w:p>
        </w:tc>
        <w:tc>
          <w:tcPr>
            <w:tcW w:w="567" w:type="dxa"/>
            <w:tcBorders>
              <w:top w:val="nil"/>
              <w:left w:val="nil"/>
              <w:bottom w:val="single" w:sz="8" w:space="0" w:color="auto"/>
              <w:right w:val="single" w:sz="8" w:space="0" w:color="auto"/>
            </w:tcBorders>
            <w:shd w:val="clear" w:color="auto" w:fill="auto"/>
            <w:vAlign w:val="center"/>
          </w:tcPr>
          <w:p w14:paraId="6F5FDB4C" w14:textId="77777777" w:rsidR="004B0524" w:rsidRPr="00CD1278" w:rsidRDefault="004B0524" w:rsidP="007972CD">
            <w:pPr>
              <w:spacing w:after="60"/>
              <w:jc w:val="center"/>
              <w:rPr>
                <w:color w:val="auto"/>
                <w:sz w:val="12"/>
                <w:szCs w:val="12"/>
              </w:rPr>
            </w:pPr>
            <w:r w:rsidRPr="00CD1278">
              <w:rPr>
                <w:color w:val="auto"/>
                <w:sz w:val="12"/>
                <w:szCs w:val="12"/>
              </w:rPr>
              <w:t>51.002</w:t>
            </w:r>
          </w:p>
        </w:tc>
        <w:tc>
          <w:tcPr>
            <w:tcW w:w="567" w:type="dxa"/>
            <w:tcBorders>
              <w:top w:val="nil"/>
              <w:left w:val="nil"/>
              <w:bottom w:val="single" w:sz="8" w:space="0" w:color="auto"/>
              <w:right w:val="single" w:sz="8" w:space="0" w:color="auto"/>
            </w:tcBorders>
            <w:shd w:val="clear" w:color="auto" w:fill="auto"/>
            <w:vAlign w:val="center"/>
          </w:tcPr>
          <w:p w14:paraId="4B6CEB8B" w14:textId="431400DB"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C9513EE" w14:textId="7171BD01"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2A6288" w14:textId="336CBB56"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B12E9C6" w14:textId="6D5BA25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4F9F4033"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2B6EB454"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108BF26"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5799FD54" w14:textId="77777777" w:rsidR="004B0524" w:rsidRPr="00CD1278" w:rsidRDefault="004B0524" w:rsidP="007972CD">
            <w:pPr>
              <w:spacing w:after="60"/>
              <w:jc w:val="center"/>
              <w:rPr>
                <w:color w:val="auto"/>
                <w:sz w:val="12"/>
                <w:szCs w:val="12"/>
              </w:rPr>
            </w:pPr>
            <w:r w:rsidRPr="00CD1278">
              <w:rPr>
                <w:color w:val="auto"/>
                <w:sz w:val="12"/>
                <w:szCs w:val="12"/>
              </w:rPr>
              <w:t>61.519</w:t>
            </w:r>
          </w:p>
        </w:tc>
        <w:tc>
          <w:tcPr>
            <w:tcW w:w="567" w:type="dxa"/>
            <w:tcBorders>
              <w:top w:val="nil"/>
              <w:left w:val="nil"/>
              <w:bottom w:val="single" w:sz="8" w:space="0" w:color="auto"/>
              <w:right w:val="single" w:sz="8" w:space="0" w:color="auto"/>
            </w:tcBorders>
            <w:shd w:val="clear" w:color="auto" w:fill="auto"/>
            <w:vAlign w:val="center"/>
          </w:tcPr>
          <w:p w14:paraId="49986844" w14:textId="77777777" w:rsidR="004B0524" w:rsidRPr="00CD1278" w:rsidRDefault="004B0524" w:rsidP="007972CD">
            <w:pPr>
              <w:spacing w:after="60"/>
              <w:jc w:val="center"/>
              <w:rPr>
                <w:color w:val="auto"/>
                <w:sz w:val="12"/>
                <w:szCs w:val="12"/>
              </w:rPr>
            </w:pPr>
            <w:r w:rsidRPr="00CD1278">
              <w:rPr>
                <w:color w:val="auto"/>
                <w:sz w:val="12"/>
                <w:szCs w:val="12"/>
              </w:rPr>
              <w:t>55.367</w:t>
            </w:r>
          </w:p>
        </w:tc>
        <w:tc>
          <w:tcPr>
            <w:tcW w:w="567" w:type="dxa"/>
            <w:tcBorders>
              <w:top w:val="nil"/>
              <w:left w:val="nil"/>
              <w:bottom w:val="single" w:sz="8" w:space="0" w:color="auto"/>
              <w:right w:val="single" w:sz="8" w:space="0" w:color="auto"/>
            </w:tcBorders>
            <w:shd w:val="clear" w:color="auto" w:fill="auto"/>
            <w:vAlign w:val="center"/>
          </w:tcPr>
          <w:p w14:paraId="76E4CFFE" w14:textId="77777777" w:rsidR="004B0524" w:rsidRPr="00CD1278" w:rsidRDefault="004B0524" w:rsidP="007972CD">
            <w:pPr>
              <w:spacing w:after="60"/>
              <w:jc w:val="center"/>
              <w:rPr>
                <w:color w:val="auto"/>
                <w:sz w:val="12"/>
                <w:szCs w:val="12"/>
              </w:rPr>
            </w:pPr>
            <w:r w:rsidRPr="00CD1278">
              <w:rPr>
                <w:color w:val="auto"/>
                <w:sz w:val="12"/>
                <w:szCs w:val="12"/>
              </w:rPr>
              <w:t>64.082</w:t>
            </w:r>
          </w:p>
        </w:tc>
        <w:tc>
          <w:tcPr>
            <w:tcW w:w="567" w:type="dxa"/>
            <w:tcBorders>
              <w:top w:val="nil"/>
              <w:left w:val="nil"/>
              <w:bottom w:val="single" w:sz="8" w:space="0" w:color="auto"/>
              <w:right w:val="single" w:sz="8" w:space="0" w:color="auto"/>
            </w:tcBorders>
            <w:shd w:val="clear" w:color="auto" w:fill="auto"/>
            <w:vAlign w:val="center"/>
          </w:tcPr>
          <w:p w14:paraId="430C3491" w14:textId="77777777" w:rsidR="004B0524" w:rsidRPr="00CD1278" w:rsidRDefault="004B0524" w:rsidP="007972CD">
            <w:pPr>
              <w:spacing w:after="60"/>
              <w:jc w:val="center"/>
              <w:rPr>
                <w:color w:val="auto"/>
                <w:sz w:val="12"/>
                <w:szCs w:val="12"/>
              </w:rPr>
            </w:pPr>
            <w:r w:rsidRPr="00CD1278">
              <w:rPr>
                <w:color w:val="auto"/>
                <w:sz w:val="12"/>
                <w:szCs w:val="12"/>
              </w:rPr>
              <w:t>53.188</w:t>
            </w:r>
          </w:p>
        </w:tc>
        <w:tc>
          <w:tcPr>
            <w:tcW w:w="567" w:type="dxa"/>
            <w:tcBorders>
              <w:top w:val="nil"/>
              <w:left w:val="nil"/>
              <w:bottom w:val="single" w:sz="8" w:space="0" w:color="auto"/>
              <w:right w:val="single" w:sz="8" w:space="0" w:color="auto"/>
            </w:tcBorders>
            <w:shd w:val="clear" w:color="auto" w:fill="auto"/>
            <w:vAlign w:val="center"/>
          </w:tcPr>
          <w:p w14:paraId="46496ABA" w14:textId="6F6FC41C"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990496D" w14:textId="2DC36494"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F5D84A1" w14:textId="3BF645BA"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1B610DF" w14:textId="71DDC0BE"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0B20293"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819606C"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094F0B8"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3CE38DD9" w14:textId="77777777" w:rsidR="004B0524" w:rsidRPr="00CD1278" w:rsidRDefault="004B0524" w:rsidP="007972CD">
            <w:pPr>
              <w:spacing w:after="60"/>
              <w:jc w:val="center"/>
              <w:rPr>
                <w:color w:val="auto"/>
                <w:sz w:val="12"/>
                <w:szCs w:val="12"/>
              </w:rPr>
            </w:pPr>
          </w:p>
        </w:tc>
      </w:tr>
      <w:tr w:rsidR="003C102E" w:rsidRPr="00CD1278" w14:paraId="404BACD0" w14:textId="77777777" w:rsidTr="00DE7A60">
        <w:trPr>
          <w:cantSplit/>
          <w:trHeight w:val="1843"/>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652DEED" w14:textId="77777777" w:rsidR="004B0524" w:rsidRPr="00CD1278" w:rsidRDefault="004B0524" w:rsidP="00DE7A60">
            <w:pPr>
              <w:spacing w:after="60"/>
              <w:rPr>
                <w:color w:val="auto"/>
                <w:sz w:val="12"/>
                <w:szCs w:val="12"/>
              </w:rPr>
            </w:pPr>
            <w:r w:rsidRPr="00CD1278">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vAlign w:val="center"/>
          </w:tcPr>
          <w:p w14:paraId="243EFAE0" w14:textId="77777777" w:rsidR="004B0524" w:rsidRPr="00CD1278" w:rsidRDefault="004B0524" w:rsidP="007972CD">
            <w:pPr>
              <w:spacing w:after="60"/>
              <w:ind w:left="-83"/>
              <w:rPr>
                <w:color w:val="auto"/>
                <w:sz w:val="12"/>
                <w:szCs w:val="12"/>
              </w:rPr>
            </w:pPr>
            <w:r w:rsidRPr="00CD1278">
              <w:rPr>
                <w:color w:val="auto"/>
                <w:sz w:val="12"/>
                <w:szCs w:val="12"/>
              </w:rPr>
              <w:t>Dry commodities/ structures (processed foods, herbs and spices, dried milk and cheese processing facilities) NPMA</w:t>
            </w:r>
          </w:p>
        </w:tc>
        <w:tc>
          <w:tcPr>
            <w:tcW w:w="567" w:type="dxa"/>
            <w:tcBorders>
              <w:top w:val="nil"/>
              <w:left w:val="nil"/>
              <w:bottom w:val="single" w:sz="8" w:space="0" w:color="auto"/>
              <w:right w:val="single" w:sz="8" w:space="0" w:color="auto"/>
            </w:tcBorders>
            <w:shd w:val="clear" w:color="auto" w:fill="auto"/>
            <w:vAlign w:val="center"/>
          </w:tcPr>
          <w:p w14:paraId="1F2B1AF9" w14:textId="77777777" w:rsidR="004B0524" w:rsidRPr="00CD1278" w:rsidRDefault="004B0524" w:rsidP="007972CD">
            <w:pPr>
              <w:spacing w:after="60"/>
              <w:jc w:val="center"/>
              <w:rPr>
                <w:color w:val="auto"/>
                <w:sz w:val="12"/>
                <w:szCs w:val="12"/>
              </w:rPr>
            </w:pPr>
            <w:r w:rsidRPr="00CD1278">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53B693C1" w14:textId="77777777" w:rsidR="004B0524" w:rsidRPr="00CD1278" w:rsidRDefault="004B0524" w:rsidP="007972CD">
            <w:pPr>
              <w:spacing w:after="60"/>
              <w:jc w:val="center"/>
              <w:rPr>
                <w:color w:val="auto"/>
                <w:sz w:val="12"/>
                <w:szCs w:val="12"/>
              </w:rPr>
            </w:pPr>
            <w:r w:rsidRPr="00CD1278">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1E4F3007" w14:textId="77777777" w:rsidR="004B0524" w:rsidRPr="00CD1278" w:rsidRDefault="004B0524" w:rsidP="007972CD">
            <w:pPr>
              <w:spacing w:after="60"/>
              <w:jc w:val="center"/>
              <w:rPr>
                <w:color w:val="auto"/>
                <w:sz w:val="12"/>
                <w:szCs w:val="12"/>
              </w:rPr>
            </w:pPr>
            <w:r w:rsidRPr="00CD1278">
              <w:rPr>
                <w:color w:val="auto"/>
                <w:sz w:val="12"/>
                <w:szCs w:val="12"/>
              </w:rPr>
              <w:t>85.801</w:t>
            </w:r>
          </w:p>
        </w:tc>
        <w:tc>
          <w:tcPr>
            <w:tcW w:w="567" w:type="dxa"/>
            <w:tcBorders>
              <w:top w:val="nil"/>
              <w:left w:val="nil"/>
              <w:bottom w:val="single" w:sz="8" w:space="0" w:color="auto"/>
              <w:right w:val="single" w:sz="8" w:space="0" w:color="auto"/>
            </w:tcBorders>
            <w:shd w:val="clear" w:color="auto" w:fill="auto"/>
            <w:vAlign w:val="center"/>
          </w:tcPr>
          <w:p w14:paraId="5EF23902" w14:textId="77777777" w:rsidR="004B0524" w:rsidRPr="00CD1278" w:rsidRDefault="004B0524" w:rsidP="007972CD">
            <w:pPr>
              <w:spacing w:after="60"/>
              <w:jc w:val="center"/>
              <w:rPr>
                <w:color w:val="auto"/>
                <w:sz w:val="12"/>
                <w:szCs w:val="12"/>
              </w:rPr>
            </w:pPr>
            <w:r w:rsidRPr="00CD1278">
              <w:rPr>
                <w:color w:val="auto"/>
                <w:sz w:val="12"/>
                <w:szCs w:val="12"/>
              </w:rPr>
              <w:t>72.693</w:t>
            </w:r>
          </w:p>
        </w:tc>
        <w:tc>
          <w:tcPr>
            <w:tcW w:w="567" w:type="dxa"/>
            <w:tcBorders>
              <w:top w:val="nil"/>
              <w:left w:val="nil"/>
              <w:bottom w:val="single" w:sz="8" w:space="0" w:color="auto"/>
              <w:right w:val="single" w:sz="8" w:space="0" w:color="auto"/>
            </w:tcBorders>
            <w:shd w:val="clear" w:color="auto" w:fill="auto"/>
            <w:vAlign w:val="center"/>
          </w:tcPr>
          <w:p w14:paraId="0D81F1F9" w14:textId="77777777" w:rsidR="004B0524" w:rsidRPr="00CD1278" w:rsidRDefault="004B0524" w:rsidP="007972CD">
            <w:pPr>
              <w:spacing w:after="60"/>
              <w:jc w:val="center"/>
              <w:rPr>
                <w:color w:val="auto"/>
                <w:sz w:val="12"/>
                <w:szCs w:val="12"/>
              </w:rPr>
            </w:pPr>
            <w:r w:rsidRPr="00CD1278">
              <w:rPr>
                <w:color w:val="auto"/>
                <w:sz w:val="12"/>
                <w:szCs w:val="12"/>
              </w:rPr>
              <w:t>66.777</w:t>
            </w:r>
          </w:p>
        </w:tc>
        <w:tc>
          <w:tcPr>
            <w:tcW w:w="567" w:type="dxa"/>
            <w:tcBorders>
              <w:top w:val="nil"/>
              <w:left w:val="nil"/>
              <w:bottom w:val="single" w:sz="8" w:space="0" w:color="auto"/>
              <w:right w:val="single" w:sz="8" w:space="0" w:color="auto"/>
            </w:tcBorders>
            <w:shd w:val="clear" w:color="auto" w:fill="auto"/>
            <w:vAlign w:val="center"/>
          </w:tcPr>
          <w:p w14:paraId="4D2C94AE" w14:textId="77777777" w:rsidR="004B0524" w:rsidRPr="00CD1278" w:rsidRDefault="004B0524" w:rsidP="007972CD">
            <w:pPr>
              <w:spacing w:after="60"/>
              <w:jc w:val="center"/>
              <w:rPr>
                <w:color w:val="auto"/>
                <w:sz w:val="12"/>
                <w:szCs w:val="12"/>
              </w:rPr>
            </w:pPr>
            <w:r w:rsidRPr="00CD1278">
              <w:rPr>
                <w:color w:val="auto"/>
                <w:sz w:val="12"/>
                <w:szCs w:val="12"/>
              </w:rPr>
              <w:t>37.778</w:t>
            </w:r>
          </w:p>
        </w:tc>
        <w:tc>
          <w:tcPr>
            <w:tcW w:w="567" w:type="dxa"/>
            <w:tcBorders>
              <w:top w:val="nil"/>
              <w:left w:val="nil"/>
              <w:bottom w:val="single" w:sz="8" w:space="0" w:color="auto"/>
              <w:right w:val="single" w:sz="8" w:space="0" w:color="auto"/>
            </w:tcBorders>
            <w:shd w:val="clear" w:color="auto" w:fill="auto"/>
            <w:vAlign w:val="center"/>
          </w:tcPr>
          <w:p w14:paraId="4250AC08" w14:textId="77777777" w:rsidR="004B0524" w:rsidRPr="00CD1278" w:rsidRDefault="004B0524" w:rsidP="007972CD">
            <w:pPr>
              <w:spacing w:after="60"/>
              <w:jc w:val="center"/>
              <w:rPr>
                <w:color w:val="auto"/>
                <w:sz w:val="12"/>
                <w:szCs w:val="12"/>
              </w:rPr>
            </w:pPr>
            <w:r w:rsidRPr="00CD1278">
              <w:rPr>
                <w:color w:val="auto"/>
                <w:sz w:val="12"/>
                <w:szCs w:val="12"/>
              </w:rPr>
              <w:t>17.365</w:t>
            </w:r>
          </w:p>
        </w:tc>
        <w:tc>
          <w:tcPr>
            <w:tcW w:w="567" w:type="dxa"/>
            <w:tcBorders>
              <w:top w:val="nil"/>
              <w:left w:val="nil"/>
              <w:bottom w:val="single" w:sz="8" w:space="0" w:color="auto"/>
              <w:right w:val="single" w:sz="8" w:space="0" w:color="auto"/>
            </w:tcBorders>
            <w:shd w:val="clear" w:color="auto" w:fill="auto"/>
            <w:vAlign w:val="center"/>
          </w:tcPr>
          <w:p w14:paraId="2BE47A10" w14:textId="77777777" w:rsidR="004B0524" w:rsidRPr="00CD1278" w:rsidRDefault="004B0524" w:rsidP="007972CD">
            <w:pPr>
              <w:spacing w:after="60"/>
              <w:jc w:val="center"/>
              <w:rPr>
                <w:color w:val="auto"/>
                <w:sz w:val="12"/>
                <w:szCs w:val="12"/>
              </w:rPr>
            </w:pPr>
            <w:r w:rsidRPr="00CD1278">
              <w:rPr>
                <w:color w:val="auto"/>
                <w:sz w:val="12"/>
                <w:szCs w:val="12"/>
              </w:rPr>
              <w:t>0.200</w:t>
            </w:r>
          </w:p>
        </w:tc>
        <w:tc>
          <w:tcPr>
            <w:tcW w:w="567" w:type="dxa"/>
            <w:tcBorders>
              <w:top w:val="nil"/>
              <w:left w:val="nil"/>
              <w:bottom w:val="single" w:sz="8" w:space="0" w:color="auto"/>
              <w:right w:val="single" w:sz="8" w:space="0" w:color="auto"/>
            </w:tcBorders>
            <w:shd w:val="clear" w:color="auto" w:fill="auto"/>
            <w:vAlign w:val="center"/>
          </w:tcPr>
          <w:p w14:paraId="772B7267" w14:textId="6338207F"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4" w:space="0" w:color="auto"/>
            </w:tcBorders>
            <w:vAlign w:val="center"/>
          </w:tcPr>
          <w:p w14:paraId="58D0DB44"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5F78B7A9"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352AC72E"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4528020F" w14:textId="77777777" w:rsidR="004B0524" w:rsidRPr="00CD1278" w:rsidRDefault="004B0524" w:rsidP="007972CD">
            <w:pPr>
              <w:spacing w:after="60"/>
              <w:jc w:val="center"/>
              <w:rPr>
                <w:color w:val="auto"/>
                <w:sz w:val="12"/>
                <w:szCs w:val="12"/>
              </w:rPr>
            </w:pPr>
            <w:r w:rsidRPr="00CD1278">
              <w:rPr>
                <w:color w:val="auto"/>
                <w:sz w:val="12"/>
                <w:szCs w:val="12"/>
              </w:rPr>
              <w:t>83.344</w:t>
            </w:r>
          </w:p>
        </w:tc>
        <w:tc>
          <w:tcPr>
            <w:tcW w:w="567" w:type="dxa"/>
            <w:tcBorders>
              <w:top w:val="nil"/>
              <w:left w:val="nil"/>
              <w:bottom w:val="single" w:sz="8" w:space="0" w:color="auto"/>
              <w:right w:val="single" w:sz="8" w:space="0" w:color="auto"/>
            </w:tcBorders>
            <w:shd w:val="clear" w:color="auto" w:fill="auto"/>
            <w:vAlign w:val="center"/>
          </w:tcPr>
          <w:p w14:paraId="2AE3C4D4" w14:textId="77777777" w:rsidR="004B0524" w:rsidRPr="00CD1278" w:rsidRDefault="004B0524" w:rsidP="007972CD">
            <w:pPr>
              <w:spacing w:after="60"/>
              <w:jc w:val="center"/>
              <w:rPr>
                <w:color w:val="auto"/>
                <w:sz w:val="12"/>
                <w:szCs w:val="12"/>
              </w:rPr>
            </w:pPr>
            <w:r w:rsidRPr="00CD1278">
              <w:rPr>
                <w:color w:val="auto"/>
                <w:sz w:val="12"/>
                <w:szCs w:val="12"/>
              </w:rPr>
              <w:t>69.118</w:t>
            </w:r>
          </w:p>
        </w:tc>
        <w:tc>
          <w:tcPr>
            <w:tcW w:w="567" w:type="dxa"/>
            <w:tcBorders>
              <w:top w:val="nil"/>
              <w:left w:val="nil"/>
              <w:bottom w:val="single" w:sz="8" w:space="0" w:color="auto"/>
              <w:right w:val="single" w:sz="8" w:space="0" w:color="auto"/>
            </w:tcBorders>
            <w:shd w:val="clear" w:color="auto" w:fill="auto"/>
            <w:vAlign w:val="center"/>
          </w:tcPr>
          <w:p w14:paraId="7F02C883" w14:textId="77777777" w:rsidR="004B0524" w:rsidRPr="00CD1278" w:rsidRDefault="004B0524" w:rsidP="007972CD">
            <w:pPr>
              <w:spacing w:after="60"/>
              <w:jc w:val="center"/>
              <w:rPr>
                <w:color w:val="auto"/>
                <w:sz w:val="12"/>
                <w:szCs w:val="12"/>
              </w:rPr>
            </w:pPr>
            <w:r w:rsidRPr="00CD1278">
              <w:rPr>
                <w:color w:val="auto"/>
                <w:sz w:val="12"/>
                <w:szCs w:val="12"/>
              </w:rPr>
              <w:t>82.771</w:t>
            </w:r>
          </w:p>
        </w:tc>
        <w:tc>
          <w:tcPr>
            <w:tcW w:w="567" w:type="dxa"/>
            <w:tcBorders>
              <w:top w:val="nil"/>
              <w:left w:val="nil"/>
              <w:bottom w:val="single" w:sz="8" w:space="0" w:color="auto"/>
              <w:right w:val="single" w:sz="8" w:space="0" w:color="auto"/>
            </w:tcBorders>
            <w:shd w:val="clear" w:color="auto" w:fill="auto"/>
            <w:vAlign w:val="center"/>
          </w:tcPr>
          <w:p w14:paraId="28D33F14" w14:textId="77777777" w:rsidR="004B0524" w:rsidRPr="00CD1278" w:rsidRDefault="004B0524" w:rsidP="007972CD">
            <w:pPr>
              <w:spacing w:after="60"/>
              <w:jc w:val="center"/>
              <w:rPr>
                <w:color w:val="auto"/>
                <w:sz w:val="12"/>
                <w:szCs w:val="12"/>
              </w:rPr>
            </w:pPr>
            <w:r w:rsidRPr="00CD1278">
              <w:rPr>
                <w:color w:val="auto"/>
                <w:sz w:val="12"/>
                <w:szCs w:val="12"/>
              </w:rPr>
              <w:t>69.208</w:t>
            </w:r>
          </w:p>
        </w:tc>
        <w:tc>
          <w:tcPr>
            <w:tcW w:w="567" w:type="dxa"/>
            <w:tcBorders>
              <w:top w:val="nil"/>
              <w:left w:val="nil"/>
              <w:bottom w:val="single" w:sz="8" w:space="0" w:color="auto"/>
              <w:right w:val="single" w:sz="8" w:space="0" w:color="auto"/>
            </w:tcBorders>
            <w:shd w:val="clear" w:color="auto" w:fill="auto"/>
            <w:vAlign w:val="center"/>
          </w:tcPr>
          <w:p w14:paraId="4B27B4E9" w14:textId="77777777" w:rsidR="004B0524" w:rsidRPr="00CD1278" w:rsidRDefault="004B0524" w:rsidP="007972CD">
            <w:pPr>
              <w:spacing w:after="60"/>
              <w:jc w:val="center"/>
              <w:rPr>
                <w:color w:val="auto"/>
                <w:sz w:val="12"/>
                <w:szCs w:val="12"/>
              </w:rPr>
            </w:pPr>
            <w:r w:rsidRPr="00CD1278">
              <w:rPr>
                <w:color w:val="auto"/>
                <w:sz w:val="12"/>
                <w:szCs w:val="12"/>
              </w:rPr>
              <w:t>54.606</w:t>
            </w:r>
          </w:p>
        </w:tc>
        <w:tc>
          <w:tcPr>
            <w:tcW w:w="567" w:type="dxa"/>
            <w:tcBorders>
              <w:top w:val="nil"/>
              <w:left w:val="nil"/>
              <w:bottom w:val="single" w:sz="8" w:space="0" w:color="auto"/>
              <w:right w:val="single" w:sz="8" w:space="0" w:color="auto"/>
            </w:tcBorders>
            <w:shd w:val="clear" w:color="auto" w:fill="auto"/>
            <w:vAlign w:val="center"/>
          </w:tcPr>
          <w:p w14:paraId="4D5435E5" w14:textId="77777777" w:rsidR="004B0524" w:rsidRPr="00CD1278" w:rsidRDefault="004B0524" w:rsidP="007972CD">
            <w:pPr>
              <w:spacing w:after="60"/>
              <w:jc w:val="center"/>
              <w:rPr>
                <w:color w:val="auto"/>
                <w:sz w:val="12"/>
                <w:szCs w:val="12"/>
              </w:rPr>
            </w:pPr>
            <w:r w:rsidRPr="00CD1278">
              <w:rPr>
                <w:color w:val="auto"/>
                <w:sz w:val="12"/>
                <w:szCs w:val="12"/>
              </w:rPr>
              <w:t>37.778</w:t>
            </w:r>
          </w:p>
        </w:tc>
        <w:tc>
          <w:tcPr>
            <w:tcW w:w="567" w:type="dxa"/>
            <w:tcBorders>
              <w:top w:val="nil"/>
              <w:left w:val="nil"/>
              <w:bottom w:val="single" w:sz="8" w:space="0" w:color="auto"/>
              <w:right w:val="single" w:sz="8" w:space="0" w:color="auto"/>
            </w:tcBorders>
            <w:shd w:val="clear" w:color="auto" w:fill="auto"/>
            <w:vAlign w:val="center"/>
          </w:tcPr>
          <w:p w14:paraId="32A47792" w14:textId="77777777" w:rsidR="004B0524" w:rsidRPr="00CD1278" w:rsidRDefault="004B0524" w:rsidP="007972CD">
            <w:pPr>
              <w:spacing w:after="60"/>
              <w:jc w:val="center"/>
              <w:rPr>
                <w:color w:val="auto"/>
                <w:sz w:val="12"/>
                <w:szCs w:val="12"/>
              </w:rPr>
            </w:pPr>
            <w:r w:rsidRPr="00CD1278">
              <w:rPr>
                <w:color w:val="auto"/>
                <w:sz w:val="12"/>
                <w:szCs w:val="12"/>
              </w:rPr>
              <w:t>17.365</w:t>
            </w:r>
          </w:p>
        </w:tc>
        <w:tc>
          <w:tcPr>
            <w:tcW w:w="567" w:type="dxa"/>
            <w:tcBorders>
              <w:top w:val="nil"/>
              <w:left w:val="nil"/>
              <w:bottom w:val="single" w:sz="8" w:space="0" w:color="auto"/>
              <w:right w:val="single" w:sz="8" w:space="0" w:color="auto"/>
            </w:tcBorders>
            <w:shd w:val="clear" w:color="auto" w:fill="auto"/>
            <w:noWrap/>
            <w:vAlign w:val="center"/>
          </w:tcPr>
          <w:p w14:paraId="6A8BECA9"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502FA52"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2E49D6FC"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61C9480D"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1DE1802" w14:textId="77777777" w:rsidR="004B0524" w:rsidRPr="00CD1278" w:rsidRDefault="004B0524" w:rsidP="007972CD">
            <w:pPr>
              <w:spacing w:after="60"/>
              <w:jc w:val="center"/>
              <w:rPr>
                <w:color w:val="auto"/>
                <w:sz w:val="12"/>
                <w:szCs w:val="12"/>
              </w:rPr>
            </w:pPr>
          </w:p>
        </w:tc>
      </w:tr>
      <w:tr w:rsidR="003C102E" w:rsidRPr="00CD1278" w14:paraId="67744D35" w14:textId="77777777" w:rsidTr="00DE7A60">
        <w:trPr>
          <w:cantSplit/>
          <w:trHeight w:val="1051"/>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2318839" w14:textId="77777777" w:rsidR="004B0524" w:rsidRPr="00CD1278" w:rsidRDefault="004B0524" w:rsidP="00DE7A60">
            <w:pPr>
              <w:spacing w:after="60"/>
              <w:rPr>
                <w:color w:val="auto"/>
                <w:sz w:val="12"/>
                <w:szCs w:val="12"/>
              </w:rPr>
            </w:pPr>
            <w:r w:rsidRPr="00CD1278">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vAlign w:val="center"/>
          </w:tcPr>
          <w:p w14:paraId="3143C953" w14:textId="77777777" w:rsidR="004B0524" w:rsidRPr="00CD1278" w:rsidRDefault="004B0524" w:rsidP="007972CD">
            <w:pPr>
              <w:spacing w:after="60"/>
              <w:ind w:left="-83"/>
              <w:rPr>
                <w:color w:val="auto"/>
                <w:sz w:val="12"/>
                <w:szCs w:val="12"/>
              </w:rPr>
            </w:pPr>
            <w:r w:rsidRPr="00CD1278">
              <w:rPr>
                <w:color w:val="auto"/>
                <w:sz w:val="12"/>
                <w:szCs w:val="12"/>
              </w:rPr>
              <w:t>Smokehouse hams (Dry cure pork products) (building and product)</w:t>
            </w:r>
          </w:p>
        </w:tc>
        <w:tc>
          <w:tcPr>
            <w:tcW w:w="567" w:type="dxa"/>
            <w:tcBorders>
              <w:top w:val="nil"/>
              <w:left w:val="nil"/>
              <w:bottom w:val="single" w:sz="8" w:space="0" w:color="auto"/>
              <w:right w:val="single" w:sz="8" w:space="0" w:color="auto"/>
            </w:tcBorders>
            <w:shd w:val="clear" w:color="auto" w:fill="auto"/>
            <w:vAlign w:val="center"/>
          </w:tcPr>
          <w:p w14:paraId="108F4E18" w14:textId="77777777" w:rsidR="004B0524" w:rsidRPr="00CD1278" w:rsidRDefault="004B0524" w:rsidP="007972CD">
            <w:pPr>
              <w:spacing w:after="60"/>
              <w:jc w:val="center"/>
              <w:rPr>
                <w:color w:val="auto"/>
                <w:sz w:val="10"/>
                <w:szCs w:val="12"/>
              </w:rPr>
            </w:pPr>
            <w:r w:rsidRPr="00CD1278">
              <w:rPr>
                <w:color w:val="auto"/>
                <w:sz w:val="10"/>
                <w:szCs w:val="12"/>
              </w:rPr>
              <w:t>136.304</w:t>
            </w:r>
          </w:p>
        </w:tc>
        <w:tc>
          <w:tcPr>
            <w:tcW w:w="567" w:type="dxa"/>
            <w:tcBorders>
              <w:top w:val="nil"/>
              <w:left w:val="nil"/>
              <w:bottom w:val="single" w:sz="8" w:space="0" w:color="auto"/>
              <w:right w:val="single" w:sz="8" w:space="0" w:color="auto"/>
            </w:tcBorders>
            <w:shd w:val="clear" w:color="auto" w:fill="auto"/>
            <w:vAlign w:val="center"/>
          </w:tcPr>
          <w:p w14:paraId="64B3B97F" w14:textId="77777777" w:rsidR="004B0524" w:rsidRPr="00CD1278" w:rsidRDefault="004B0524" w:rsidP="007972CD">
            <w:pPr>
              <w:spacing w:after="60"/>
              <w:jc w:val="center"/>
              <w:rPr>
                <w:color w:val="auto"/>
                <w:sz w:val="10"/>
                <w:szCs w:val="12"/>
              </w:rPr>
            </w:pPr>
            <w:r w:rsidRPr="00CD1278">
              <w:rPr>
                <w:color w:val="auto"/>
                <w:sz w:val="10"/>
                <w:szCs w:val="12"/>
              </w:rPr>
              <w:t>135.742</w:t>
            </w:r>
          </w:p>
        </w:tc>
        <w:tc>
          <w:tcPr>
            <w:tcW w:w="567" w:type="dxa"/>
            <w:tcBorders>
              <w:top w:val="nil"/>
              <w:left w:val="nil"/>
              <w:bottom w:val="single" w:sz="8" w:space="0" w:color="auto"/>
              <w:right w:val="single" w:sz="8" w:space="0" w:color="auto"/>
            </w:tcBorders>
            <w:shd w:val="clear" w:color="auto" w:fill="auto"/>
            <w:vAlign w:val="center"/>
          </w:tcPr>
          <w:p w14:paraId="5DE0219D" w14:textId="77777777" w:rsidR="004B0524" w:rsidRPr="00CD1278" w:rsidRDefault="004B0524" w:rsidP="007972CD">
            <w:pPr>
              <w:spacing w:after="60"/>
              <w:jc w:val="center"/>
              <w:rPr>
                <w:color w:val="auto"/>
                <w:sz w:val="12"/>
                <w:szCs w:val="12"/>
              </w:rPr>
            </w:pPr>
            <w:r w:rsidRPr="00CD1278">
              <w:rPr>
                <w:color w:val="auto"/>
                <w:sz w:val="12"/>
                <w:szCs w:val="12"/>
              </w:rPr>
              <w:t>40.854</w:t>
            </w:r>
          </w:p>
        </w:tc>
        <w:tc>
          <w:tcPr>
            <w:tcW w:w="567" w:type="dxa"/>
            <w:tcBorders>
              <w:top w:val="nil"/>
              <w:left w:val="nil"/>
              <w:bottom w:val="single" w:sz="8" w:space="0" w:color="auto"/>
              <w:right w:val="single" w:sz="8" w:space="0" w:color="auto"/>
            </w:tcBorders>
            <w:shd w:val="clear" w:color="auto" w:fill="auto"/>
            <w:vAlign w:val="center"/>
          </w:tcPr>
          <w:p w14:paraId="7A767420" w14:textId="77777777" w:rsidR="004B0524" w:rsidRPr="00CD1278" w:rsidRDefault="004B0524" w:rsidP="007972CD">
            <w:pPr>
              <w:spacing w:after="60"/>
              <w:jc w:val="center"/>
              <w:rPr>
                <w:color w:val="auto"/>
                <w:sz w:val="12"/>
                <w:szCs w:val="12"/>
              </w:rPr>
            </w:pPr>
            <w:r w:rsidRPr="00CD1278">
              <w:rPr>
                <w:color w:val="auto"/>
                <w:sz w:val="12"/>
                <w:szCs w:val="12"/>
              </w:rPr>
              <w:t>19.669</w:t>
            </w:r>
          </w:p>
        </w:tc>
        <w:tc>
          <w:tcPr>
            <w:tcW w:w="567" w:type="dxa"/>
            <w:tcBorders>
              <w:top w:val="nil"/>
              <w:left w:val="nil"/>
              <w:bottom w:val="single" w:sz="8" w:space="0" w:color="auto"/>
              <w:right w:val="single" w:sz="8" w:space="0" w:color="auto"/>
            </w:tcBorders>
            <w:shd w:val="clear" w:color="auto" w:fill="auto"/>
            <w:vAlign w:val="center"/>
          </w:tcPr>
          <w:p w14:paraId="2D51E5A3" w14:textId="77777777" w:rsidR="004B0524" w:rsidRPr="00CD1278" w:rsidRDefault="004B0524" w:rsidP="007972CD">
            <w:pPr>
              <w:spacing w:after="60"/>
              <w:jc w:val="center"/>
              <w:rPr>
                <w:color w:val="auto"/>
                <w:sz w:val="12"/>
                <w:szCs w:val="12"/>
              </w:rPr>
            </w:pPr>
            <w:r w:rsidRPr="00CD1278">
              <w:rPr>
                <w:color w:val="auto"/>
                <w:sz w:val="12"/>
                <w:szCs w:val="12"/>
              </w:rPr>
              <w:t>19.699</w:t>
            </w:r>
          </w:p>
        </w:tc>
        <w:tc>
          <w:tcPr>
            <w:tcW w:w="567" w:type="dxa"/>
            <w:tcBorders>
              <w:top w:val="nil"/>
              <w:left w:val="nil"/>
              <w:bottom w:val="single" w:sz="8" w:space="0" w:color="auto"/>
              <w:right w:val="single" w:sz="8" w:space="0" w:color="auto"/>
            </w:tcBorders>
            <w:shd w:val="clear" w:color="auto" w:fill="auto"/>
            <w:vAlign w:val="center"/>
          </w:tcPr>
          <w:p w14:paraId="39E37B5A" w14:textId="77777777" w:rsidR="004B0524" w:rsidRPr="00CD1278" w:rsidRDefault="004B0524" w:rsidP="007972CD">
            <w:pPr>
              <w:spacing w:after="60"/>
              <w:jc w:val="center"/>
              <w:rPr>
                <w:color w:val="auto"/>
                <w:sz w:val="12"/>
                <w:szCs w:val="12"/>
              </w:rPr>
            </w:pPr>
            <w:r w:rsidRPr="00CD1278">
              <w:rPr>
                <w:color w:val="auto"/>
                <w:sz w:val="12"/>
                <w:szCs w:val="12"/>
              </w:rPr>
              <w:t>4.465</w:t>
            </w:r>
          </w:p>
        </w:tc>
        <w:tc>
          <w:tcPr>
            <w:tcW w:w="567" w:type="dxa"/>
            <w:tcBorders>
              <w:top w:val="nil"/>
              <w:left w:val="nil"/>
              <w:bottom w:val="single" w:sz="8" w:space="0" w:color="auto"/>
              <w:right w:val="single" w:sz="8" w:space="0" w:color="auto"/>
            </w:tcBorders>
            <w:shd w:val="clear" w:color="auto" w:fill="auto"/>
            <w:vAlign w:val="center"/>
          </w:tcPr>
          <w:p w14:paraId="66FFFD11" w14:textId="77777777" w:rsidR="004B0524" w:rsidRPr="00CD1278" w:rsidRDefault="004B0524" w:rsidP="007972CD">
            <w:pPr>
              <w:spacing w:after="60"/>
              <w:jc w:val="center"/>
              <w:rPr>
                <w:color w:val="auto"/>
                <w:sz w:val="12"/>
                <w:szCs w:val="12"/>
              </w:rPr>
            </w:pPr>
            <w:r w:rsidRPr="00CD1278">
              <w:rPr>
                <w:color w:val="auto"/>
                <w:sz w:val="12"/>
                <w:szCs w:val="12"/>
              </w:rPr>
              <w:t>3.730</w:t>
            </w:r>
          </w:p>
        </w:tc>
        <w:tc>
          <w:tcPr>
            <w:tcW w:w="567" w:type="dxa"/>
            <w:tcBorders>
              <w:top w:val="nil"/>
              <w:left w:val="nil"/>
              <w:bottom w:val="single" w:sz="8" w:space="0" w:color="auto"/>
              <w:right w:val="single" w:sz="8" w:space="0" w:color="auto"/>
            </w:tcBorders>
            <w:shd w:val="clear" w:color="auto" w:fill="auto"/>
            <w:vAlign w:val="center"/>
          </w:tcPr>
          <w:p w14:paraId="059C590F" w14:textId="77777777" w:rsidR="004B0524" w:rsidRPr="00CD1278" w:rsidRDefault="004B0524" w:rsidP="007972CD">
            <w:pPr>
              <w:spacing w:after="60"/>
              <w:jc w:val="center"/>
              <w:rPr>
                <w:color w:val="auto"/>
                <w:sz w:val="12"/>
                <w:szCs w:val="12"/>
              </w:rPr>
            </w:pPr>
            <w:r w:rsidRPr="00CD1278">
              <w:rPr>
                <w:color w:val="auto"/>
                <w:sz w:val="12"/>
                <w:szCs w:val="12"/>
              </w:rPr>
              <w:t>3.730</w:t>
            </w:r>
          </w:p>
        </w:tc>
        <w:tc>
          <w:tcPr>
            <w:tcW w:w="567" w:type="dxa"/>
            <w:tcBorders>
              <w:top w:val="nil"/>
              <w:left w:val="nil"/>
              <w:bottom w:val="single" w:sz="8" w:space="0" w:color="auto"/>
              <w:right w:val="single" w:sz="8" w:space="0" w:color="auto"/>
            </w:tcBorders>
            <w:shd w:val="clear" w:color="auto" w:fill="auto"/>
            <w:vAlign w:val="center"/>
          </w:tcPr>
          <w:p w14:paraId="5A114CCB" w14:textId="77777777" w:rsidR="004B0524" w:rsidRPr="00CD1278" w:rsidRDefault="004B0524" w:rsidP="007972CD">
            <w:pPr>
              <w:spacing w:after="60"/>
              <w:jc w:val="center"/>
              <w:rPr>
                <w:color w:val="auto"/>
                <w:sz w:val="12"/>
                <w:szCs w:val="12"/>
              </w:rPr>
            </w:pPr>
            <w:r w:rsidRPr="00CD1278">
              <w:rPr>
                <w:color w:val="auto"/>
                <w:sz w:val="12"/>
                <w:szCs w:val="12"/>
              </w:rPr>
              <w:t>3.730</w:t>
            </w:r>
          </w:p>
        </w:tc>
        <w:tc>
          <w:tcPr>
            <w:tcW w:w="567" w:type="dxa"/>
            <w:tcBorders>
              <w:top w:val="nil"/>
              <w:left w:val="nil"/>
              <w:bottom w:val="single" w:sz="8" w:space="0" w:color="auto"/>
              <w:right w:val="single" w:sz="4" w:space="0" w:color="auto"/>
            </w:tcBorders>
            <w:vAlign w:val="center"/>
          </w:tcPr>
          <w:p w14:paraId="64BBF85D" w14:textId="77777777" w:rsidR="004B0524" w:rsidRPr="00CD1278" w:rsidRDefault="004B0524" w:rsidP="007972CD">
            <w:pPr>
              <w:spacing w:after="60"/>
              <w:jc w:val="center"/>
              <w:rPr>
                <w:color w:val="auto"/>
                <w:sz w:val="12"/>
                <w:szCs w:val="12"/>
              </w:rPr>
            </w:pPr>
            <w:r w:rsidRPr="00CD1278">
              <w:rPr>
                <w:color w:val="auto"/>
                <w:sz w:val="12"/>
                <w:szCs w:val="12"/>
              </w:rPr>
              <w:t>3.730</w:t>
            </w:r>
          </w:p>
        </w:tc>
        <w:tc>
          <w:tcPr>
            <w:tcW w:w="567" w:type="dxa"/>
            <w:tcBorders>
              <w:top w:val="nil"/>
              <w:left w:val="single" w:sz="4" w:space="0" w:color="auto"/>
              <w:bottom w:val="single" w:sz="8" w:space="0" w:color="auto"/>
              <w:right w:val="single" w:sz="4" w:space="0" w:color="auto"/>
            </w:tcBorders>
            <w:vAlign w:val="center"/>
          </w:tcPr>
          <w:p w14:paraId="1A33E1DA" w14:textId="77777777" w:rsidR="004B0524" w:rsidRPr="00CD1278" w:rsidRDefault="004B0524" w:rsidP="007972CD">
            <w:pPr>
              <w:spacing w:after="60"/>
              <w:jc w:val="center"/>
              <w:rPr>
                <w:color w:val="auto"/>
                <w:sz w:val="12"/>
                <w:szCs w:val="12"/>
              </w:rPr>
            </w:pPr>
            <w:r w:rsidRPr="00CD1278">
              <w:rPr>
                <w:color w:val="auto"/>
                <w:sz w:val="12"/>
                <w:szCs w:val="12"/>
              </w:rPr>
              <w:t>3.730</w:t>
            </w:r>
          </w:p>
        </w:tc>
        <w:tc>
          <w:tcPr>
            <w:tcW w:w="567" w:type="dxa"/>
            <w:tcBorders>
              <w:top w:val="nil"/>
              <w:left w:val="single" w:sz="4" w:space="0" w:color="auto"/>
              <w:bottom w:val="single" w:sz="8" w:space="0" w:color="auto"/>
              <w:right w:val="single" w:sz="4" w:space="0" w:color="auto"/>
            </w:tcBorders>
            <w:vAlign w:val="center"/>
          </w:tcPr>
          <w:p w14:paraId="536C2868" w14:textId="2BAAD2A8" w:rsidR="004B0524" w:rsidRPr="00CD1278" w:rsidRDefault="004B0524" w:rsidP="007972CD">
            <w:pPr>
              <w:spacing w:after="60"/>
              <w:jc w:val="center"/>
              <w:rPr>
                <w:color w:val="auto"/>
                <w:sz w:val="12"/>
                <w:szCs w:val="12"/>
              </w:rPr>
            </w:pPr>
            <w:r w:rsidRPr="00CD1278">
              <w:rPr>
                <w:color w:val="auto"/>
                <w:sz w:val="12"/>
                <w:szCs w:val="12"/>
              </w:rPr>
              <w:t>3.</w:t>
            </w:r>
            <w:r w:rsidR="00A84412" w:rsidRPr="00CD1278">
              <w:rPr>
                <w:color w:val="auto"/>
                <w:sz w:val="12"/>
                <w:szCs w:val="12"/>
              </w:rPr>
              <w:t>240</w:t>
            </w:r>
          </w:p>
        </w:tc>
        <w:tc>
          <w:tcPr>
            <w:tcW w:w="709" w:type="dxa"/>
            <w:tcBorders>
              <w:top w:val="nil"/>
              <w:left w:val="single" w:sz="4" w:space="0" w:color="auto"/>
              <w:bottom w:val="single" w:sz="8" w:space="0" w:color="auto"/>
              <w:right w:val="single" w:sz="8" w:space="0" w:color="auto"/>
            </w:tcBorders>
            <w:shd w:val="clear" w:color="auto" w:fill="auto"/>
            <w:vAlign w:val="center"/>
          </w:tcPr>
          <w:p w14:paraId="7757112B" w14:textId="77777777" w:rsidR="004B0524" w:rsidRPr="00CD1278" w:rsidRDefault="004B0524" w:rsidP="007972CD">
            <w:pPr>
              <w:spacing w:after="60"/>
              <w:jc w:val="center"/>
              <w:rPr>
                <w:color w:val="auto"/>
                <w:sz w:val="12"/>
                <w:szCs w:val="12"/>
              </w:rPr>
            </w:pPr>
            <w:r w:rsidRPr="00CD1278">
              <w:rPr>
                <w:color w:val="auto"/>
                <w:sz w:val="12"/>
                <w:szCs w:val="12"/>
              </w:rPr>
              <w:t>67.907</w:t>
            </w:r>
          </w:p>
        </w:tc>
        <w:tc>
          <w:tcPr>
            <w:tcW w:w="567" w:type="dxa"/>
            <w:tcBorders>
              <w:top w:val="nil"/>
              <w:left w:val="nil"/>
              <w:bottom w:val="single" w:sz="8" w:space="0" w:color="auto"/>
              <w:right w:val="single" w:sz="8" w:space="0" w:color="auto"/>
            </w:tcBorders>
            <w:shd w:val="clear" w:color="auto" w:fill="auto"/>
            <w:vAlign w:val="center"/>
          </w:tcPr>
          <w:p w14:paraId="623A9455" w14:textId="77777777" w:rsidR="004B0524" w:rsidRPr="00CD1278" w:rsidRDefault="004B0524" w:rsidP="007972CD">
            <w:pPr>
              <w:spacing w:after="60"/>
              <w:jc w:val="center"/>
              <w:rPr>
                <w:color w:val="auto"/>
                <w:sz w:val="12"/>
                <w:szCs w:val="12"/>
              </w:rPr>
            </w:pPr>
            <w:r w:rsidRPr="00CD1278">
              <w:rPr>
                <w:color w:val="auto"/>
                <w:sz w:val="12"/>
                <w:szCs w:val="12"/>
              </w:rPr>
              <w:t>81.708</w:t>
            </w:r>
          </w:p>
        </w:tc>
        <w:tc>
          <w:tcPr>
            <w:tcW w:w="567" w:type="dxa"/>
            <w:tcBorders>
              <w:top w:val="nil"/>
              <w:left w:val="nil"/>
              <w:bottom w:val="single" w:sz="8" w:space="0" w:color="auto"/>
              <w:right w:val="single" w:sz="8" w:space="0" w:color="auto"/>
            </w:tcBorders>
            <w:shd w:val="clear" w:color="auto" w:fill="auto"/>
            <w:vAlign w:val="center"/>
          </w:tcPr>
          <w:p w14:paraId="7C596880" w14:textId="77777777" w:rsidR="004B0524" w:rsidRPr="00CD1278" w:rsidRDefault="004B0524" w:rsidP="007972CD">
            <w:pPr>
              <w:spacing w:after="60"/>
              <w:jc w:val="center"/>
              <w:rPr>
                <w:color w:val="auto"/>
                <w:sz w:val="12"/>
                <w:szCs w:val="12"/>
              </w:rPr>
            </w:pPr>
            <w:r w:rsidRPr="00CD1278">
              <w:rPr>
                <w:color w:val="auto"/>
                <w:sz w:val="12"/>
                <w:szCs w:val="12"/>
              </w:rPr>
              <w:t>18.998</w:t>
            </w:r>
          </w:p>
        </w:tc>
        <w:tc>
          <w:tcPr>
            <w:tcW w:w="567" w:type="dxa"/>
            <w:tcBorders>
              <w:top w:val="nil"/>
              <w:left w:val="nil"/>
              <w:bottom w:val="single" w:sz="8" w:space="0" w:color="auto"/>
              <w:right w:val="single" w:sz="8" w:space="0" w:color="auto"/>
            </w:tcBorders>
            <w:shd w:val="clear" w:color="auto" w:fill="auto"/>
            <w:vAlign w:val="center"/>
          </w:tcPr>
          <w:p w14:paraId="0D0AFEB9" w14:textId="77777777" w:rsidR="004B0524" w:rsidRPr="00CD1278" w:rsidRDefault="004B0524" w:rsidP="007972CD">
            <w:pPr>
              <w:spacing w:after="60"/>
              <w:jc w:val="center"/>
              <w:rPr>
                <w:color w:val="auto"/>
                <w:sz w:val="12"/>
                <w:szCs w:val="12"/>
              </w:rPr>
            </w:pPr>
            <w:r w:rsidRPr="00CD1278">
              <w:rPr>
                <w:color w:val="auto"/>
                <w:sz w:val="12"/>
                <w:szCs w:val="12"/>
              </w:rPr>
              <w:t>19.699</w:t>
            </w:r>
          </w:p>
        </w:tc>
        <w:tc>
          <w:tcPr>
            <w:tcW w:w="567" w:type="dxa"/>
            <w:tcBorders>
              <w:top w:val="nil"/>
              <w:left w:val="nil"/>
              <w:bottom w:val="single" w:sz="8" w:space="0" w:color="auto"/>
              <w:right w:val="single" w:sz="8" w:space="0" w:color="auto"/>
            </w:tcBorders>
            <w:shd w:val="clear" w:color="auto" w:fill="auto"/>
            <w:vAlign w:val="center"/>
          </w:tcPr>
          <w:p w14:paraId="79DABB5F" w14:textId="77777777" w:rsidR="004B0524" w:rsidRPr="00CD1278" w:rsidRDefault="004B0524" w:rsidP="007972CD">
            <w:pPr>
              <w:spacing w:after="60"/>
              <w:jc w:val="center"/>
              <w:rPr>
                <w:color w:val="auto"/>
                <w:sz w:val="12"/>
                <w:szCs w:val="12"/>
              </w:rPr>
            </w:pPr>
            <w:r w:rsidRPr="00CD1278">
              <w:rPr>
                <w:color w:val="auto"/>
                <w:sz w:val="12"/>
                <w:szCs w:val="12"/>
              </w:rPr>
              <w:t>18.998</w:t>
            </w:r>
          </w:p>
        </w:tc>
        <w:tc>
          <w:tcPr>
            <w:tcW w:w="567" w:type="dxa"/>
            <w:tcBorders>
              <w:top w:val="nil"/>
              <w:left w:val="nil"/>
              <w:bottom w:val="single" w:sz="8" w:space="0" w:color="auto"/>
              <w:right w:val="single" w:sz="8" w:space="0" w:color="auto"/>
            </w:tcBorders>
            <w:shd w:val="clear" w:color="auto" w:fill="auto"/>
            <w:vAlign w:val="center"/>
          </w:tcPr>
          <w:p w14:paraId="5753263E" w14:textId="77777777" w:rsidR="004B0524" w:rsidRPr="00CD1278" w:rsidRDefault="004B0524" w:rsidP="007972CD">
            <w:pPr>
              <w:spacing w:after="60"/>
              <w:jc w:val="center"/>
              <w:rPr>
                <w:color w:val="auto"/>
                <w:sz w:val="12"/>
                <w:szCs w:val="12"/>
              </w:rPr>
            </w:pPr>
            <w:r w:rsidRPr="00CD1278">
              <w:rPr>
                <w:color w:val="auto"/>
                <w:sz w:val="12"/>
                <w:szCs w:val="12"/>
              </w:rPr>
              <w:t>4.465</w:t>
            </w:r>
          </w:p>
        </w:tc>
        <w:tc>
          <w:tcPr>
            <w:tcW w:w="567" w:type="dxa"/>
            <w:tcBorders>
              <w:top w:val="nil"/>
              <w:left w:val="nil"/>
              <w:bottom w:val="single" w:sz="8" w:space="0" w:color="auto"/>
              <w:right w:val="single" w:sz="8" w:space="0" w:color="auto"/>
            </w:tcBorders>
            <w:shd w:val="clear" w:color="auto" w:fill="auto"/>
            <w:vAlign w:val="center"/>
          </w:tcPr>
          <w:p w14:paraId="2BEF06BF" w14:textId="77777777" w:rsidR="004B0524" w:rsidRPr="00CD1278" w:rsidRDefault="004B0524" w:rsidP="007972CD">
            <w:pPr>
              <w:spacing w:after="60"/>
              <w:jc w:val="center"/>
              <w:rPr>
                <w:color w:val="auto"/>
                <w:sz w:val="12"/>
                <w:szCs w:val="12"/>
              </w:rPr>
            </w:pPr>
            <w:r w:rsidRPr="00CD1278">
              <w:rPr>
                <w:color w:val="auto"/>
                <w:sz w:val="12"/>
                <w:szCs w:val="12"/>
              </w:rPr>
              <w:t>3.730</w:t>
            </w:r>
          </w:p>
        </w:tc>
        <w:tc>
          <w:tcPr>
            <w:tcW w:w="567" w:type="dxa"/>
            <w:tcBorders>
              <w:top w:val="nil"/>
              <w:left w:val="nil"/>
              <w:bottom w:val="single" w:sz="8" w:space="0" w:color="auto"/>
              <w:right w:val="single" w:sz="8" w:space="0" w:color="auto"/>
            </w:tcBorders>
            <w:shd w:val="clear" w:color="auto" w:fill="auto"/>
            <w:noWrap/>
            <w:vAlign w:val="center"/>
          </w:tcPr>
          <w:p w14:paraId="0BE28849" w14:textId="7B43A27E" w:rsidR="004B0524" w:rsidRPr="00CD1278" w:rsidRDefault="004B0524" w:rsidP="007972CD">
            <w:pPr>
              <w:spacing w:after="60"/>
              <w:jc w:val="center"/>
              <w:rPr>
                <w:color w:val="auto"/>
                <w:sz w:val="12"/>
                <w:szCs w:val="12"/>
              </w:rPr>
            </w:pPr>
            <w:r w:rsidRPr="00CD1278">
              <w:rPr>
                <w:color w:val="auto"/>
                <w:sz w:val="12"/>
                <w:szCs w:val="12"/>
              </w:rPr>
              <w:t>3.730</w:t>
            </w:r>
          </w:p>
        </w:tc>
        <w:tc>
          <w:tcPr>
            <w:tcW w:w="567" w:type="dxa"/>
            <w:tcBorders>
              <w:top w:val="nil"/>
              <w:left w:val="nil"/>
              <w:bottom w:val="single" w:sz="8" w:space="0" w:color="auto"/>
              <w:right w:val="single" w:sz="8" w:space="0" w:color="auto"/>
            </w:tcBorders>
            <w:vAlign w:val="center"/>
          </w:tcPr>
          <w:p w14:paraId="0C930328" w14:textId="77777777" w:rsidR="004B0524" w:rsidRPr="00CD1278" w:rsidRDefault="004B0524" w:rsidP="007972CD">
            <w:pPr>
              <w:spacing w:after="60"/>
              <w:jc w:val="center"/>
              <w:rPr>
                <w:color w:val="auto"/>
                <w:sz w:val="12"/>
                <w:szCs w:val="12"/>
              </w:rPr>
            </w:pPr>
            <w:r w:rsidRPr="00CD1278">
              <w:rPr>
                <w:color w:val="auto"/>
                <w:sz w:val="12"/>
                <w:szCs w:val="12"/>
              </w:rPr>
              <w:t>3.730</w:t>
            </w:r>
          </w:p>
        </w:tc>
        <w:tc>
          <w:tcPr>
            <w:tcW w:w="567" w:type="dxa"/>
            <w:tcBorders>
              <w:top w:val="nil"/>
              <w:left w:val="nil"/>
              <w:bottom w:val="single" w:sz="8" w:space="0" w:color="auto"/>
              <w:right w:val="single" w:sz="8" w:space="0" w:color="auto"/>
            </w:tcBorders>
            <w:vAlign w:val="center"/>
          </w:tcPr>
          <w:p w14:paraId="7EECD691" w14:textId="77777777" w:rsidR="004B0524" w:rsidRPr="00CD1278" w:rsidRDefault="004B0524" w:rsidP="007972CD">
            <w:pPr>
              <w:spacing w:after="60"/>
              <w:jc w:val="center"/>
              <w:rPr>
                <w:color w:val="auto"/>
                <w:sz w:val="12"/>
                <w:szCs w:val="12"/>
              </w:rPr>
            </w:pPr>
            <w:r w:rsidRPr="00CD1278">
              <w:rPr>
                <w:color w:val="auto"/>
                <w:sz w:val="12"/>
                <w:szCs w:val="12"/>
              </w:rPr>
              <w:t>3.730</w:t>
            </w:r>
          </w:p>
        </w:tc>
        <w:tc>
          <w:tcPr>
            <w:tcW w:w="567" w:type="dxa"/>
            <w:tcBorders>
              <w:top w:val="nil"/>
              <w:left w:val="nil"/>
              <w:bottom w:val="single" w:sz="8" w:space="0" w:color="auto"/>
              <w:right w:val="single" w:sz="8" w:space="0" w:color="auto"/>
            </w:tcBorders>
            <w:vAlign w:val="center"/>
          </w:tcPr>
          <w:p w14:paraId="5EF06BFD" w14:textId="77777777" w:rsidR="004B0524" w:rsidRPr="00CD1278" w:rsidRDefault="004B0524" w:rsidP="007972CD">
            <w:pPr>
              <w:spacing w:after="60"/>
              <w:jc w:val="center"/>
              <w:rPr>
                <w:color w:val="auto"/>
                <w:sz w:val="12"/>
                <w:szCs w:val="12"/>
              </w:rPr>
            </w:pPr>
            <w:r w:rsidRPr="00CD1278">
              <w:rPr>
                <w:color w:val="auto"/>
                <w:sz w:val="12"/>
                <w:szCs w:val="12"/>
              </w:rPr>
              <w:t>3.730</w:t>
            </w:r>
          </w:p>
        </w:tc>
        <w:tc>
          <w:tcPr>
            <w:tcW w:w="567" w:type="dxa"/>
            <w:tcBorders>
              <w:top w:val="nil"/>
              <w:left w:val="nil"/>
              <w:bottom w:val="single" w:sz="8" w:space="0" w:color="auto"/>
              <w:right w:val="single" w:sz="8" w:space="0" w:color="auto"/>
            </w:tcBorders>
            <w:vAlign w:val="center"/>
          </w:tcPr>
          <w:p w14:paraId="486BB7BB" w14:textId="53602F87" w:rsidR="004B0524" w:rsidRPr="00CD1278" w:rsidRDefault="004B0524" w:rsidP="007972CD">
            <w:pPr>
              <w:spacing w:after="60"/>
              <w:jc w:val="center"/>
              <w:rPr>
                <w:color w:val="auto"/>
                <w:sz w:val="12"/>
                <w:szCs w:val="12"/>
              </w:rPr>
            </w:pPr>
            <w:r w:rsidRPr="00CD1278">
              <w:rPr>
                <w:color w:val="auto"/>
                <w:sz w:val="12"/>
                <w:szCs w:val="12"/>
              </w:rPr>
              <w:t>3.</w:t>
            </w:r>
            <w:r w:rsidR="00A84412" w:rsidRPr="00CD1278">
              <w:rPr>
                <w:color w:val="auto"/>
                <w:sz w:val="12"/>
                <w:szCs w:val="12"/>
              </w:rPr>
              <w:t>240</w:t>
            </w:r>
          </w:p>
        </w:tc>
      </w:tr>
      <w:tr w:rsidR="003C102E" w:rsidRPr="00CD1278" w14:paraId="52A57789"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73C2E702" w14:textId="77777777" w:rsidR="004B0524" w:rsidRPr="00CD1278" w:rsidRDefault="004B0524" w:rsidP="00DE7A60">
            <w:pPr>
              <w:spacing w:after="60"/>
              <w:rPr>
                <w:color w:val="auto"/>
                <w:sz w:val="12"/>
                <w:szCs w:val="12"/>
              </w:rPr>
            </w:pPr>
            <w:r w:rsidRPr="00CD1278">
              <w:rPr>
                <w:color w:val="auto"/>
                <w:sz w:val="12"/>
                <w:szCs w:val="12"/>
              </w:rPr>
              <w:t xml:space="preserve">USA </w:t>
            </w:r>
          </w:p>
        </w:tc>
        <w:tc>
          <w:tcPr>
            <w:tcW w:w="818" w:type="dxa"/>
            <w:tcBorders>
              <w:top w:val="nil"/>
              <w:left w:val="nil"/>
              <w:bottom w:val="single" w:sz="8" w:space="0" w:color="auto"/>
              <w:right w:val="single" w:sz="8" w:space="0" w:color="auto"/>
            </w:tcBorders>
            <w:shd w:val="clear" w:color="auto" w:fill="auto"/>
            <w:vAlign w:val="center"/>
          </w:tcPr>
          <w:p w14:paraId="17252221" w14:textId="6CBDAD5D" w:rsidR="004B0524" w:rsidRPr="00CD1278" w:rsidRDefault="004B0524" w:rsidP="007972CD">
            <w:pPr>
              <w:spacing w:after="60"/>
              <w:ind w:left="-83"/>
              <w:rPr>
                <w:color w:val="auto"/>
                <w:sz w:val="12"/>
                <w:szCs w:val="12"/>
              </w:rPr>
            </w:pPr>
            <w:r w:rsidRPr="00CD1278">
              <w:rPr>
                <w:color w:val="auto"/>
                <w:sz w:val="12"/>
                <w:szCs w:val="12"/>
              </w:rPr>
              <w:t>Mills and Processors</w:t>
            </w:r>
          </w:p>
        </w:tc>
        <w:tc>
          <w:tcPr>
            <w:tcW w:w="567" w:type="dxa"/>
            <w:tcBorders>
              <w:top w:val="nil"/>
              <w:left w:val="nil"/>
              <w:bottom w:val="single" w:sz="8" w:space="0" w:color="auto"/>
              <w:right w:val="single" w:sz="8" w:space="0" w:color="auto"/>
            </w:tcBorders>
            <w:shd w:val="clear" w:color="auto" w:fill="auto"/>
            <w:vAlign w:val="center"/>
          </w:tcPr>
          <w:p w14:paraId="069AFCC5" w14:textId="77777777" w:rsidR="004B0524" w:rsidRPr="00CD1278" w:rsidRDefault="004B0524" w:rsidP="007972CD">
            <w:pPr>
              <w:spacing w:after="60"/>
              <w:jc w:val="center"/>
              <w:rPr>
                <w:color w:val="auto"/>
                <w:sz w:val="10"/>
                <w:szCs w:val="12"/>
              </w:rPr>
            </w:pPr>
            <w:r w:rsidRPr="00CD1278">
              <w:rPr>
                <w:color w:val="auto"/>
                <w:sz w:val="10"/>
                <w:szCs w:val="12"/>
              </w:rPr>
              <w:t>536.328</w:t>
            </w:r>
          </w:p>
        </w:tc>
        <w:tc>
          <w:tcPr>
            <w:tcW w:w="567" w:type="dxa"/>
            <w:tcBorders>
              <w:top w:val="nil"/>
              <w:left w:val="nil"/>
              <w:bottom w:val="single" w:sz="8" w:space="0" w:color="auto"/>
              <w:right w:val="single" w:sz="8" w:space="0" w:color="auto"/>
            </w:tcBorders>
            <w:shd w:val="clear" w:color="auto" w:fill="auto"/>
            <w:vAlign w:val="center"/>
          </w:tcPr>
          <w:p w14:paraId="02DFCE90" w14:textId="77777777" w:rsidR="004B0524" w:rsidRPr="00CD1278" w:rsidRDefault="004B0524" w:rsidP="007972CD">
            <w:pPr>
              <w:spacing w:after="60"/>
              <w:jc w:val="center"/>
              <w:rPr>
                <w:color w:val="auto"/>
                <w:sz w:val="10"/>
                <w:szCs w:val="12"/>
              </w:rPr>
            </w:pPr>
            <w:r w:rsidRPr="00CD1278">
              <w:rPr>
                <w:color w:val="auto"/>
                <w:sz w:val="10"/>
                <w:szCs w:val="12"/>
              </w:rPr>
              <w:t>505.982</w:t>
            </w:r>
          </w:p>
        </w:tc>
        <w:tc>
          <w:tcPr>
            <w:tcW w:w="567" w:type="dxa"/>
            <w:tcBorders>
              <w:top w:val="nil"/>
              <w:left w:val="nil"/>
              <w:bottom w:val="single" w:sz="8" w:space="0" w:color="auto"/>
              <w:right w:val="single" w:sz="8" w:space="0" w:color="auto"/>
            </w:tcBorders>
            <w:shd w:val="clear" w:color="auto" w:fill="auto"/>
            <w:vAlign w:val="center"/>
          </w:tcPr>
          <w:p w14:paraId="5F04183E" w14:textId="77777777" w:rsidR="004B0524" w:rsidRPr="00CD1278" w:rsidRDefault="004B0524" w:rsidP="007972CD">
            <w:pPr>
              <w:spacing w:after="60"/>
              <w:jc w:val="center"/>
              <w:rPr>
                <w:color w:val="auto"/>
                <w:sz w:val="10"/>
                <w:szCs w:val="12"/>
              </w:rPr>
            </w:pPr>
            <w:r w:rsidRPr="00CD1278">
              <w:rPr>
                <w:color w:val="auto"/>
                <w:sz w:val="10"/>
                <w:szCs w:val="12"/>
              </w:rPr>
              <w:t>401.889</w:t>
            </w:r>
          </w:p>
        </w:tc>
        <w:tc>
          <w:tcPr>
            <w:tcW w:w="567" w:type="dxa"/>
            <w:tcBorders>
              <w:top w:val="nil"/>
              <w:left w:val="nil"/>
              <w:bottom w:val="single" w:sz="8" w:space="0" w:color="auto"/>
              <w:right w:val="single" w:sz="8" w:space="0" w:color="auto"/>
            </w:tcBorders>
            <w:shd w:val="clear" w:color="auto" w:fill="auto"/>
            <w:vAlign w:val="center"/>
          </w:tcPr>
          <w:p w14:paraId="3B22E9A1" w14:textId="77777777" w:rsidR="004B0524" w:rsidRPr="00CD1278" w:rsidRDefault="004B0524" w:rsidP="007972CD">
            <w:pPr>
              <w:spacing w:after="60"/>
              <w:jc w:val="center"/>
              <w:rPr>
                <w:color w:val="auto"/>
                <w:sz w:val="10"/>
                <w:szCs w:val="12"/>
              </w:rPr>
            </w:pPr>
            <w:r w:rsidRPr="00CD1278">
              <w:rPr>
                <w:color w:val="auto"/>
                <w:sz w:val="10"/>
                <w:szCs w:val="12"/>
              </w:rPr>
              <w:t>362.952</w:t>
            </w:r>
          </w:p>
        </w:tc>
        <w:tc>
          <w:tcPr>
            <w:tcW w:w="567" w:type="dxa"/>
            <w:tcBorders>
              <w:top w:val="nil"/>
              <w:left w:val="nil"/>
              <w:bottom w:val="single" w:sz="8" w:space="0" w:color="auto"/>
              <w:right w:val="single" w:sz="8" w:space="0" w:color="auto"/>
            </w:tcBorders>
            <w:shd w:val="clear" w:color="auto" w:fill="auto"/>
            <w:vAlign w:val="center"/>
          </w:tcPr>
          <w:p w14:paraId="45698D92" w14:textId="77777777" w:rsidR="004B0524" w:rsidRPr="00CD1278" w:rsidRDefault="004B0524" w:rsidP="007972CD">
            <w:pPr>
              <w:spacing w:after="60"/>
              <w:jc w:val="center"/>
              <w:rPr>
                <w:color w:val="auto"/>
                <w:sz w:val="10"/>
                <w:szCs w:val="12"/>
              </w:rPr>
            </w:pPr>
            <w:r w:rsidRPr="00CD1278">
              <w:rPr>
                <w:color w:val="auto"/>
                <w:sz w:val="10"/>
                <w:szCs w:val="12"/>
              </w:rPr>
              <w:t>291.418</w:t>
            </w:r>
          </w:p>
        </w:tc>
        <w:tc>
          <w:tcPr>
            <w:tcW w:w="567" w:type="dxa"/>
            <w:tcBorders>
              <w:top w:val="nil"/>
              <w:left w:val="nil"/>
              <w:bottom w:val="single" w:sz="8" w:space="0" w:color="auto"/>
              <w:right w:val="single" w:sz="8" w:space="0" w:color="auto"/>
            </w:tcBorders>
            <w:shd w:val="clear" w:color="auto" w:fill="auto"/>
            <w:vAlign w:val="center"/>
          </w:tcPr>
          <w:p w14:paraId="7D68E9D6" w14:textId="77777777" w:rsidR="004B0524" w:rsidRPr="00CD1278" w:rsidRDefault="004B0524" w:rsidP="007972CD">
            <w:pPr>
              <w:spacing w:after="60"/>
              <w:jc w:val="center"/>
              <w:rPr>
                <w:color w:val="auto"/>
                <w:sz w:val="10"/>
                <w:szCs w:val="12"/>
              </w:rPr>
            </w:pPr>
            <w:r w:rsidRPr="00CD1278">
              <w:rPr>
                <w:color w:val="auto"/>
                <w:sz w:val="10"/>
                <w:szCs w:val="12"/>
              </w:rPr>
              <w:t>173.023</w:t>
            </w:r>
          </w:p>
        </w:tc>
        <w:tc>
          <w:tcPr>
            <w:tcW w:w="567" w:type="dxa"/>
            <w:tcBorders>
              <w:top w:val="nil"/>
              <w:left w:val="nil"/>
              <w:bottom w:val="single" w:sz="8" w:space="0" w:color="auto"/>
              <w:right w:val="single" w:sz="8" w:space="0" w:color="auto"/>
            </w:tcBorders>
            <w:shd w:val="clear" w:color="auto" w:fill="auto"/>
            <w:vAlign w:val="center"/>
          </w:tcPr>
          <w:p w14:paraId="3CDFA1BE" w14:textId="77777777" w:rsidR="004B0524" w:rsidRPr="00CD1278" w:rsidRDefault="004B0524" w:rsidP="007972CD">
            <w:pPr>
              <w:spacing w:after="60"/>
              <w:jc w:val="center"/>
              <w:rPr>
                <w:color w:val="auto"/>
                <w:sz w:val="10"/>
                <w:szCs w:val="12"/>
              </w:rPr>
            </w:pPr>
            <w:r w:rsidRPr="00CD1278">
              <w:rPr>
                <w:color w:val="auto"/>
                <w:sz w:val="10"/>
                <w:szCs w:val="12"/>
              </w:rPr>
              <w:t>135.299</w:t>
            </w:r>
          </w:p>
        </w:tc>
        <w:tc>
          <w:tcPr>
            <w:tcW w:w="567" w:type="dxa"/>
            <w:tcBorders>
              <w:top w:val="nil"/>
              <w:left w:val="nil"/>
              <w:bottom w:val="single" w:sz="8" w:space="0" w:color="auto"/>
              <w:right w:val="single" w:sz="8" w:space="0" w:color="auto"/>
            </w:tcBorders>
            <w:shd w:val="clear" w:color="auto" w:fill="auto"/>
            <w:vAlign w:val="center"/>
          </w:tcPr>
          <w:p w14:paraId="6A4CB82F" w14:textId="77777777" w:rsidR="004B0524" w:rsidRPr="00CD1278" w:rsidRDefault="004B0524" w:rsidP="007972CD">
            <w:pPr>
              <w:spacing w:after="60"/>
              <w:jc w:val="center"/>
              <w:rPr>
                <w:color w:val="auto"/>
                <w:sz w:val="12"/>
                <w:szCs w:val="12"/>
              </w:rPr>
            </w:pPr>
            <w:r w:rsidRPr="00CD1278">
              <w:rPr>
                <w:color w:val="auto"/>
                <w:sz w:val="12"/>
                <w:szCs w:val="12"/>
              </w:rPr>
              <w:t>74.51</w:t>
            </w:r>
          </w:p>
        </w:tc>
        <w:tc>
          <w:tcPr>
            <w:tcW w:w="567" w:type="dxa"/>
            <w:tcBorders>
              <w:top w:val="nil"/>
              <w:left w:val="nil"/>
              <w:bottom w:val="single" w:sz="8" w:space="0" w:color="auto"/>
              <w:right w:val="single" w:sz="8" w:space="0" w:color="auto"/>
            </w:tcBorders>
            <w:shd w:val="clear" w:color="auto" w:fill="auto"/>
            <w:vAlign w:val="center"/>
          </w:tcPr>
          <w:p w14:paraId="1C42CBD4" w14:textId="77777777" w:rsidR="004B0524" w:rsidRPr="00CD1278" w:rsidRDefault="004B0524" w:rsidP="007972CD">
            <w:pPr>
              <w:spacing w:after="60"/>
              <w:jc w:val="center"/>
              <w:rPr>
                <w:color w:val="auto"/>
                <w:sz w:val="12"/>
                <w:szCs w:val="12"/>
              </w:rPr>
            </w:pPr>
            <w:r w:rsidRPr="00CD1278">
              <w:rPr>
                <w:color w:val="auto"/>
                <w:sz w:val="12"/>
                <w:szCs w:val="12"/>
              </w:rPr>
              <w:t>25.334</w:t>
            </w:r>
          </w:p>
        </w:tc>
        <w:tc>
          <w:tcPr>
            <w:tcW w:w="567" w:type="dxa"/>
            <w:tcBorders>
              <w:top w:val="nil"/>
              <w:left w:val="nil"/>
              <w:bottom w:val="single" w:sz="8" w:space="0" w:color="auto"/>
              <w:right w:val="single" w:sz="4" w:space="0" w:color="auto"/>
            </w:tcBorders>
            <w:vAlign w:val="center"/>
          </w:tcPr>
          <w:p w14:paraId="499234F2" w14:textId="77777777" w:rsidR="004B0524" w:rsidRPr="00CD1278" w:rsidRDefault="004B0524" w:rsidP="007972CD">
            <w:pPr>
              <w:spacing w:after="60"/>
              <w:jc w:val="center"/>
              <w:rPr>
                <w:color w:val="auto"/>
                <w:sz w:val="12"/>
                <w:szCs w:val="12"/>
              </w:rPr>
            </w:pPr>
            <w:r w:rsidRPr="00CD1278">
              <w:rPr>
                <w:color w:val="auto"/>
                <w:sz w:val="12"/>
                <w:szCs w:val="12"/>
              </w:rPr>
              <w:t>22.800</w:t>
            </w:r>
          </w:p>
        </w:tc>
        <w:tc>
          <w:tcPr>
            <w:tcW w:w="567" w:type="dxa"/>
            <w:tcBorders>
              <w:top w:val="nil"/>
              <w:left w:val="single" w:sz="4" w:space="0" w:color="auto"/>
              <w:bottom w:val="single" w:sz="8" w:space="0" w:color="auto"/>
              <w:right w:val="single" w:sz="4" w:space="0" w:color="auto"/>
            </w:tcBorders>
            <w:vAlign w:val="center"/>
          </w:tcPr>
          <w:p w14:paraId="0905F2D9" w14:textId="77777777" w:rsidR="004B0524" w:rsidRPr="00CD1278" w:rsidRDefault="004B0524" w:rsidP="007972CD">
            <w:pPr>
              <w:spacing w:after="60"/>
              <w:jc w:val="center"/>
              <w:rPr>
                <w:b/>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4421485" w14:textId="77777777" w:rsidR="004B0524" w:rsidRPr="00CD1278" w:rsidRDefault="004B0524" w:rsidP="007972CD">
            <w:pPr>
              <w:spacing w:after="60"/>
              <w:jc w:val="center"/>
              <w:rPr>
                <w:b/>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61A1A2B" w14:textId="77777777" w:rsidR="004B0524" w:rsidRPr="00CD1278" w:rsidRDefault="004B0524" w:rsidP="007972CD">
            <w:pPr>
              <w:spacing w:after="60"/>
              <w:jc w:val="center"/>
              <w:rPr>
                <w:color w:val="auto"/>
                <w:sz w:val="12"/>
                <w:szCs w:val="12"/>
              </w:rPr>
            </w:pPr>
            <w:r w:rsidRPr="00CD1278">
              <w:rPr>
                <w:color w:val="auto"/>
                <w:sz w:val="12"/>
                <w:szCs w:val="12"/>
              </w:rPr>
              <w:t>483.000</w:t>
            </w:r>
          </w:p>
        </w:tc>
        <w:tc>
          <w:tcPr>
            <w:tcW w:w="567" w:type="dxa"/>
            <w:tcBorders>
              <w:top w:val="nil"/>
              <w:left w:val="nil"/>
              <w:bottom w:val="single" w:sz="8" w:space="0" w:color="auto"/>
              <w:right w:val="single" w:sz="8" w:space="0" w:color="auto"/>
            </w:tcBorders>
            <w:shd w:val="clear" w:color="auto" w:fill="auto"/>
            <w:vAlign w:val="center"/>
          </w:tcPr>
          <w:p w14:paraId="226AB405" w14:textId="77777777" w:rsidR="004B0524" w:rsidRPr="00CD1278" w:rsidRDefault="004B0524" w:rsidP="007972CD">
            <w:pPr>
              <w:spacing w:after="60"/>
              <w:jc w:val="center"/>
              <w:rPr>
                <w:color w:val="auto"/>
                <w:sz w:val="10"/>
                <w:szCs w:val="12"/>
              </w:rPr>
            </w:pPr>
            <w:r w:rsidRPr="00CD1278">
              <w:rPr>
                <w:color w:val="auto"/>
                <w:sz w:val="10"/>
                <w:szCs w:val="12"/>
              </w:rPr>
              <w:t>461.758</w:t>
            </w:r>
          </w:p>
        </w:tc>
        <w:tc>
          <w:tcPr>
            <w:tcW w:w="567" w:type="dxa"/>
            <w:tcBorders>
              <w:top w:val="nil"/>
              <w:left w:val="nil"/>
              <w:bottom w:val="single" w:sz="8" w:space="0" w:color="auto"/>
              <w:right w:val="single" w:sz="8" w:space="0" w:color="auto"/>
            </w:tcBorders>
            <w:shd w:val="clear" w:color="auto" w:fill="auto"/>
            <w:vAlign w:val="center"/>
          </w:tcPr>
          <w:p w14:paraId="7288F9D5" w14:textId="77777777" w:rsidR="004B0524" w:rsidRPr="00CD1278" w:rsidRDefault="004B0524" w:rsidP="007972CD">
            <w:pPr>
              <w:spacing w:after="60"/>
              <w:jc w:val="center"/>
              <w:rPr>
                <w:color w:val="auto"/>
                <w:sz w:val="10"/>
                <w:szCs w:val="12"/>
              </w:rPr>
            </w:pPr>
            <w:r w:rsidRPr="00CD1278">
              <w:rPr>
                <w:color w:val="auto"/>
                <w:sz w:val="10"/>
                <w:szCs w:val="12"/>
              </w:rPr>
              <w:t>401.889</w:t>
            </w:r>
          </w:p>
        </w:tc>
        <w:tc>
          <w:tcPr>
            <w:tcW w:w="567" w:type="dxa"/>
            <w:tcBorders>
              <w:top w:val="nil"/>
              <w:left w:val="nil"/>
              <w:bottom w:val="single" w:sz="8" w:space="0" w:color="auto"/>
              <w:right w:val="single" w:sz="8" w:space="0" w:color="auto"/>
            </w:tcBorders>
            <w:shd w:val="clear" w:color="auto" w:fill="auto"/>
            <w:vAlign w:val="center"/>
          </w:tcPr>
          <w:p w14:paraId="0BE54E4D" w14:textId="77777777" w:rsidR="004B0524" w:rsidRPr="00CD1278" w:rsidRDefault="004B0524" w:rsidP="007972CD">
            <w:pPr>
              <w:spacing w:after="60"/>
              <w:jc w:val="center"/>
              <w:rPr>
                <w:color w:val="auto"/>
                <w:sz w:val="10"/>
                <w:szCs w:val="12"/>
              </w:rPr>
            </w:pPr>
            <w:r w:rsidRPr="00CD1278">
              <w:rPr>
                <w:color w:val="auto"/>
                <w:sz w:val="10"/>
                <w:szCs w:val="12"/>
              </w:rPr>
              <w:t>348.237</w:t>
            </w:r>
          </w:p>
        </w:tc>
        <w:tc>
          <w:tcPr>
            <w:tcW w:w="567" w:type="dxa"/>
            <w:tcBorders>
              <w:top w:val="nil"/>
              <w:left w:val="nil"/>
              <w:bottom w:val="single" w:sz="8" w:space="0" w:color="auto"/>
              <w:right w:val="single" w:sz="8" w:space="0" w:color="auto"/>
            </w:tcBorders>
            <w:shd w:val="clear" w:color="auto" w:fill="auto"/>
            <w:vAlign w:val="center"/>
          </w:tcPr>
          <w:p w14:paraId="76F9A56E" w14:textId="77777777" w:rsidR="004B0524" w:rsidRPr="00CD1278" w:rsidRDefault="004B0524" w:rsidP="007972CD">
            <w:pPr>
              <w:spacing w:after="60"/>
              <w:jc w:val="center"/>
              <w:rPr>
                <w:color w:val="auto"/>
                <w:sz w:val="10"/>
                <w:szCs w:val="12"/>
              </w:rPr>
            </w:pPr>
            <w:r w:rsidRPr="00CD1278">
              <w:rPr>
                <w:color w:val="auto"/>
                <w:sz w:val="10"/>
                <w:szCs w:val="12"/>
              </w:rPr>
              <w:t>291.418</w:t>
            </w:r>
          </w:p>
        </w:tc>
        <w:tc>
          <w:tcPr>
            <w:tcW w:w="567" w:type="dxa"/>
            <w:tcBorders>
              <w:top w:val="nil"/>
              <w:left w:val="nil"/>
              <w:bottom w:val="single" w:sz="8" w:space="0" w:color="auto"/>
              <w:right w:val="single" w:sz="8" w:space="0" w:color="auto"/>
            </w:tcBorders>
            <w:shd w:val="clear" w:color="auto" w:fill="auto"/>
            <w:vAlign w:val="center"/>
          </w:tcPr>
          <w:p w14:paraId="624C5569" w14:textId="77777777" w:rsidR="004B0524" w:rsidRPr="00CD1278" w:rsidRDefault="004B0524" w:rsidP="007972CD">
            <w:pPr>
              <w:spacing w:after="60"/>
              <w:jc w:val="center"/>
              <w:rPr>
                <w:color w:val="auto"/>
                <w:sz w:val="10"/>
                <w:szCs w:val="12"/>
              </w:rPr>
            </w:pPr>
            <w:r w:rsidRPr="00CD1278">
              <w:rPr>
                <w:color w:val="auto"/>
                <w:sz w:val="10"/>
                <w:szCs w:val="12"/>
              </w:rPr>
              <w:t>173.023</w:t>
            </w:r>
          </w:p>
        </w:tc>
        <w:tc>
          <w:tcPr>
            <w:tcW w:w="567" w:type="dxa"/>
            <w:tcBorders>
              <w:top w:val="nil"/>
              <w:left w:val="nil"/>
              <w:bottom w:val="single" w:sz="8" w:space="0" w:color="auto"/>
              <w:right w:val="single" w:sz="8" w:space="0" w:color="auto"/>
            </w:tcBorders>
            <w:shd w:val="clear" w:color="auto" w:fill="auto"/>
            <w:vAlign w:val="center"/>
          </w:tcPr>
          <w:p w14:paraId="25757F14" w14:textId="77777777" w:rsidR="004B0524" w:rsidRPr="00CD1278" w:rsidRDefault="004B0524" w:rsidP="007972CD">
            <w:pPr>
              <w:spacing w:after="60"/>
              <w:jc w:val="center"/>
              <w:rPr>
                <w:color w:val="auto"/>
                <w:sz w:val="10"/>
                <w:szCs w:val="12"/>
              </w:rPr>
            </w:pPr>
            <w:r w:rsidRPr="00CD1278">
              <w:rPr>
                <w:color w:val="auto"/>
                <w:sz w:val="10"/>
                <w:szCs w:val="12"/>
              </w:rPr>
              <w:t>135.299</w:t>
            </w:r>
          </w:p>
        </w:tc>
        <w:tc>
          <w:tcPr>
            <w:tcW w:w="567" w:type="dxa"/>
            <w:tcBorders>
              <w:top w:val="nil"/>
              <w:left w:val="nil"/>
              <w:bottom w:val="single" w:sz="8" w:space="0" w:color="auto"/>
              <w:right w:val="single" w:sz="8" w:space="0" w:color="auto"/>
            </w:tcBorders>
            <w:shd w:val="clear" w:color="auto" w:fill="auto"/>
            <w:noWrap/>
            <w:vAlign w:val="center"/>
          </w:tcPr>
          <w:p w14:paraId="2798E541" w14:textId="43B0B0B6" w:rsidR="004B0524" w:rsidRPr="00CD1278" w:rsidRDefault="004B0524" w:rsidP="007972CD">
            <w:pPr>
              <w:spacing w:after="60"/>
              <w:jc w:val="center"/>
              <w:rPr>
                <w:color w:val="auto"/>
                <w:sz w:val="10"/>
                <w:szCs w:val="12"/>
              </w:rPr>
            </w:pPr>
            <w:r w:rsidRPr="00CD1278">
              <w:rPr>
                <w:color w:val="auto"/>
                <w:sz w:val="10"/>
                <w:szCs w:val="12"/>
              </w:rPr>
              <w:t>74.510</w:t>
            </w:r>
          </w:p>
        </w:tc>
        <w:tc>
          <w:tcPr>
            <w:tcW w:w="567" w:type="dxa"/>
            <w:tcBorders>
              <w:top w:val="nil"/>
              <w:left w:val="nil"/>
              <w:bottom w:val="single" w:sz="8" w:space="0" w:color="auto"/>
              <w:right w:val="single" w:sz="8" w:space="0" w:color="auto"/>
            </w:tcBorders>
            <w:vAlign w:val="center"/>
          </w:tcPr>
          <w:p w14:paraId="2F9FB0ED" w14:textId="77777777" w:rsidR="004B0524" w:rsidRPr="00CD1278" w:rsidRDefault="004B0524" w:rsidP="007972CD">
            <w:pPr>
              <w:spacing w:after="60"/>
              <w:jc w:val="center"/>
              <w:rPr>
                <w:color w:val="auto"/>
                <w:sz w:val="12"/>
                <w:szCs w:val="12"/>
              </w:rPr>
            </w:pPr>
            <w:r w:rsidRPr="00CD1278">
              <w:rPr>
                <w:color w:val="auto"/>
                <w:sz w:val="12"/>
                <w:szCs w:val="12"/>
              </w:rPr>
              <w:t>22.800</w:t>
            </w:r>
          </w:p>
        </w:tc>
        <w:tc>
          <w:tcPr>
            <w:tcW w:w="567" w:type="dxa"/>
            <w:tcBorders>
              <w:top w:val="nil"/>
              <w:left w:val="nil"/>
              <w:bottom w:val="single" w:sz="8" w:space="0" w:color="auto"/>
              <w:right w:val="single" w:sz="8" w:space="0" w:color="auto"/>
            </w:tcBorders>
            <w:vAlign w:val="center"/>
          </w:tcPr>
          <w:p w14:paraId="1C53446C" w14:textId="77777777" w:rsidR="004B0524" w:rsidRPr="00CD1278" w:rsidRDefault="004B0524" w:rsidP="007972CD">
            <w:pPr>
              <w:spacing w:after="60"/>
              <w:jc w:val="center"/>
              <w:rPr>
                <w:b/>
                <w:color w:val="auto"/>
                <w:sz w:val="12"/>
                <w:szCs w:val="12"/>
              </w:rPr>
            </w:pPr>
            <w:r w:rsidRPr="00CD1278">
              <w:rPr>
                <w:b/>
                <w:color w:val="auto"/>
                <w:sz w:val="12"/>
                <w:szCs w:val="12"/>
              </w:rPr>
              <w:t>22.800</w:t>
            </w:r>
          </w:p>
        </w:tc>
        <w:tc>
          <w:tcPr>
            <w:tcW w:w="567" w:type="dxa"/>
            <w:tcBorders>
              <w:top w:val="nil"/>
              <w:left w:val="nil"/>
              <w:bottom w:val="single" w:sz="8" w:space="0" w:color="auto"/>
              <w:right w:val="single" w:sz="8" w:space="0" w:color="auto"/>
            </w:tcBorders>
            <w:vAlign w:val="center"/>
          </w:tcPr>
          <w:p w14:paraId="4174B249" w14:textId="77777777" w:rsidR="004B0524" w:rsidRPr="00CD1278" w:rsidRDefault="004B0524" w:rsidP="007972CD">
            <w:pPr>
              <w:spacing w:after="60"/>
              <w:jc w:val="center"/>
              <w:rPr>
                <w:b/>
                <w:color w:val="auto"/>
                <w:sz w:val="12"/>
                <w:szCs w:val="12"/>
              </w:rPr>
            </w:pPr>
          </w:p>
        </w:tc>
        <w:tc>
          <w:tcPr>
            <w:tcW w:w="567" w:type="dxa"/>
            <w:tcBorders>
              <w:top w:val="nil"/>
              <w:left w:val="nil"/>
              <w:bottom w:val="single" w:sz="8" w:space="0" w:color="auto"/>
              <w:right w:val="single" w:sz="8" w:space="0" w:color="auto"/>
            </w:tcBorders>
            <w:vAlign w:val="center"/>
          </w:tcPr>
          <w:p w14:paraId="34E86633" w14:textId="77777777" w:rsidR="004B0524" w:rsidRPr="00CD1278" w:rsidRDefault="004B0524" w:rsidP="007972CD">
            <w:pPr>
              <w:spacing w:after="60"/>
              <w:jc w:val="center"/>
              <w:rPr>
                <w:b/>
                <w:color w:val="auto"/>
                <w:sz w:val="12"/>
                <w:szCs w:val="12"/>
              </w:rPr>
            </w:pPr>
          </w:p>
        </w:tc>
      </w:tr>
      <w:tr w:rsidR="003C102E" w:rsidRPr="00CD1278" w14:paraId="28E289EB" w14:textId="77777777" w:rsidTr="00DE7A60">
        <w:trPr>
          <w:cantSplit/>
          <w:trHeight w:val="465"/>
          <w:jc w:val="center"/>
        </w:trPr>
        <w:tc>
          <w:tcPr>
            <w:tcW w:w="813" w:type="dxa"/>
            <w:tcBorders>
              <w:top w:val="nil"/>
              <w:left w:val="single" w:sz="8" w:space="0" w:color="auto"/>
              <w:bottom w:val="single" w:sz="8" w:space="0" w:color="auto"/>
              <w:right w:val="single" w:sz="8" w:space="0" w:color="auto"/>
            </w:tcBorders>
            <w:shd w:val="clear" w:color="auto" w:fill="auto"/>
            <w:vAlign w:val="center"/>
          </w:tcPr>
          <w:p w14:paraId="30E7A7C6" w14:textId="77777777" w:rsidR="004B0524" w:rsidRPr="00CD1278" w:rsidRDefault="004B0524" w:rsidP="00DE7A60">
            <w:pPr>
              <w:spacing w:after="60"/>
              <w:rPr>
                <w:color w:val="auto"/>
                <w:sz w:val="12"/>
                <w:szCs w:val="12"/>
              </w:rPr>
            </w:pPr>
            <w:r w:rsidRPr="00CD1278">
              <w:rPr>
                <w:color w:val="auto"/>
                <w:sz w:val="12"/>
                <w:szCs w:val="12"/>
              </w:rPr>
              <w:t>USA</w:t>
            </w:r>
          </w:p>
        </w:tc>
        <w:tc>
          <w:tcPr>
            <w:tcW w:w="818" w:type="dxa"/>
            <w:tcBorders>
              <w:top w:val="nil"/>
              <w:left w:val="nil"/>
              <w:bottom w:val="single" w:sz="8" w:space="0" w:color="auto"/>
              <w:right w:val="single" w:sz="8" w:space="0" w:color="auto"/>
            </w:tcBorders>
            <w:shd w:val="clear" w:color="auto" w:fill="auto"/>
            <w:vAlign w:val="center"/>
          </w:tcPr>
          <w:p w14:paraId="421C2B13" w14:textId="77777777" w:rsidR="004B0524" w:rsidRPr="00CD1278" w:rsidRDefault="004B0524" w:rsidP="007972CD">
            <w:pPr>
              <w:spacing w:after="60"/>
              <w:ind w:left="-83"/>
              <w:rPr>
                <w:color w:val="auto"/>
                <w:sz w:val="12"/>
                <w:szCs w:val="12"/>
              </w:rPr>
            </w:pPr>
            <w:r w:rsidRPr="00CD1278">
              <w:rPr>
                <w:color w:val="auto"/>
                <w:sz w:val="12"/>
                <w:szCs w:val="12"/>
              </w:rPr>
              <w:t>Research</w:t>
            </w:r>
          </w:p>
        </w:tc>
        <w:tc>
          <w:tcPr>
            <w:tcW w:w="567" w:type="dxa"/>
            <w:tcBorders>
              <w:top w:val="nil"/>
              <w:left w:val="nil"/>
              <w:bottom w:val="single" w:sz="8" w:space="0" w:color="auto"/>
              <w:right w:val="single" w:sz="8" w:space="0" w:color="auto"/>
            </w:tcBorders>
            <w:shd w:val="clear" w:color="auto" w:fill="auto"/>
            <w:vAlign w:val="center"/>
          </w:tcPr>
          <w:p w14:paraId="4DAD5111"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D0BD8DD"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1A8B480A"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C57727C"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71CFEA7E"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063CFE5"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02B623B"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3B642356" w14:textId="77777777" w:rsidR="004B0524" w:rsidRPr="00CD1278" w:rsidRDefault="004B0524" w:rsidP="007972CD">
            <w:pPr>
              <w:spacing w:after="60"/>
              <w:jc w:val="center"/>
              <w:rPr>
                <w:color w:val="auto"/>
                <w:sz w:val="12"/>
                <w:szCs w:val="12"/>
              </w:rPr>
            </w:pPr>
            <w:r w:rsidRPr="00CD1278">
              <w:rPr>
                <w:color w:val="auto"/>
                <w:sz w:val="12"/>
                <w:szCs w:val="12"/>
              </w:rPr>
              <w:t>0.159</w:t>
            </w:r>
          </w:p>
        </w:tc>
        <w:tc>
          <w:tcPr>
            <w:tcW w:w="567" w:type="dxa"/>
            <w:tcBorders>
              <w:top w:val="nil"/>
              <w:left w:val="nil"/>
              <w:bottom w:val="single" w:sz="8" w:space="0" w:color="auto"/>
              <w:right w:val="single" w:sz="8" w:space="0" w:color="auto"/>
            </w:tcBorders>
            <w:shd w:val="clear" w:color="auto" w:fill="auto"/>
            <w:vAlign w:val="center"/>
          </w:tcPr>
          <w:p w14:paraId="0BAC7309" w14:textId="77777777" w:rsidR="004B0524" w:rsidRPr="00CD1278" w:rsidRDefault="004B0524" w:rsidP="007972CD">
            <w:pPr>
              <w:spacing w:after="60"/>
              <w:jc w:val="center"/>
              <w:rPr>
                <w:color w:val="auto"/>
                <w:sz w:val="12"/>
                <w:szCs w:val="12"/>
              </w:rPr>
            </w:pPr>
            <w:r w:rsidRPr="00CD1278">
              <w:rPr>
                <w:color w:val="auto"/>
                <w:sz w:val="12"/>
                <w:szCs w:val="12"/>
              </w:rPr>
              <w:t>0.159</w:t>
            </w:r>
          </w:p>
        </w:tc>
        <w:tc>
          <w:tcPr>
            <w:tcW w:w="567" w:type="dxa"/>
            <w:tcBorders>
              <w:top w:val="nil"/>
              <w:left w:val="nil"/>
              <w:bottom w:val="single" w:sz="8" w:space="0" w:color="auto"/>
              <w:right w:val="single" w:sz="4" w:space="0" w:color="auto"/>
            </w:tcBorders>
            <w:vAlign w:val="center"/>
          </w:tcPr>
          <w:p w14:paraId="71C5DD1C"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EC067E4" w14:textId="77777777" w:rsidR="004B0524" w:rsidRPr="00CD1278" w:rsidRDefault="004B0524" w:rsidP="007972CD">
            <w:pPr>
              <w:spacing w:after="60"/>
              <w:jc w:val="center"/>
              <w:rPr>
                <w:color w:val="auto"/>
                <w:sz w:val="12"/>
                <w:szCs w:val="12"/>
              </w:rPr>
            </w:pPr>
          </w:p>
        </w:tc>
        <w:tc>
          <w:tcPr>
            <w:tcW w:w="567" w:type="dxa"/>
            <w:tcBorders>
              <w:top w:val="nil"/>
              <w:left w:val="single" w:sz="4" w:space="0" w:color="auto"/>
              <w:bottom w:val="single" w:sz="8" w:space="0" w:color="auto"/>
              <w:right w:val="single" w:sz="4" w:space="0" w:color="auto"/>
            </w:tcBorders>
            <w:vAlign w:val="center"/>
          </w:tcPr>
          <w:p w14:paraId="465E853F" w14:textId="77777777" w:rsidR="004B0524" w:rsidRPr="00CD1278" w:rsidRDefault="004B0524" w:rsidP="007972CD">
            <w:pPr>
              <w:spacing w:after="60"/>
              <w:jc w:val="center"/>
              <w:rPr>
                <w:color w:val="auto"/>
                <w:sz w:val="12"/>
                <w:szCs w:val="12"/>
              </w:rPr>
            </w:pPr>
          </w:p>
        </w:tc>
        <w:tc>
          <w:tcPr>
            <w:tcW w:w="709" w:type="dxa"/>
            <w:tcBorders>
              <w:top w:val="nil"/>
              <w:left w:val="single" w:sz="4" w:space="0" w:color="auto"/>
              <w:bottom w:val="single" w:sz="8" w:space="0" w:color="auto"/>
              <w:right w:val="single" w:sz="8" w:space="0" w:color="auto"/>
            </w:tcBorders>
            <w:shd w:val="clear" w:color="auto" w:fill="auto"/>
            <w:vAlign w:val="center"/>
          </w:tcPr>
          <w:p w14:paraId="332A9F8C"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53799A7"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410E3C56"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5A2D9093"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21102F5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04F60C6F"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vAlign w:val="center"/>
          </w:tcPr>
          <w:p w14:paraId="6E47A549"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shd w:val="clear" w:color="auto" w:fill="auto"/>
            <w:noWrap/>
            <w:vAlign w:val="center"/>
          </w:tcPr>
          <w:p w14:paraId="4D9CCCBE"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13676C2B"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01AD6A9E"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74DFDD54" w14:textId="77777777" w:rsidR="004B0524" w:rsidRPr="00CD1278" w:rsidRDefault="004B0524" w:rsidP="007972CD">
            <w:pPr>
              <w:spacing w:after="60"/>
              <w:jc w:val="center"/>
              <w:rPr>
                <w:color w:val="auto"/>
                <w:sz w:val="12"/>
                <w:szCs w:val="12"/>
              </w:rPr>
            </w:pPr>
          </w:p>
        </w:tc>
        <w:tc>
          <w:tcPr>
            <w:tcW w:w="567" w:type="dxa"/>
            <w:tcBorders>
              <w:top w:val="nil"/>
              <w:left w:val="nil"/>
              <w:bottom w:val="single" w:sz="8" w:space="0" w:color="auto"/>
              <w:right w:val="single" w:sz="8" w:space="0" w:color="auto"/>
            </w:tcBorders>
            <w:vAlign w:val="center"/>
          </w:tcPr>
          <w:p w14:paraId="4B3AC69E" w14:textId="77777777" w:rsidR="004B0524" w:rsidRPr="00CD1278" w:rsidRDefault="004B0524" w:rsidP="007972CD">
            <w:pPr>
              <w:spacing w:after="60"/>
              <w:jc w:val="center"/>
              <w:rPr>
                <w:color w:val="auto"/>
                <w:sz w:val="12"/>
                <w:szCs w:val="12"/>
              </w:rPr>
            </w:pPr>
          </w:p>
        </w:tc>
      </w:tr>
    </w:tbl>
    <w:p w14:paraId="15D1D324" w14:textId="77777777" w:rsidR="00D41068" w:rsidRPr="00CD1278" w:rsidRDefault="00D41068" w:rsidP="00651F65">
      <w:pPr>
        <w:rPr>
          <w:color w:val="auto"/>
        </w:rPr>
      </w:pPr>
    </w:p>
    <w:sectPr w:rsidR="00D41068" w:rsidRPr="00CD1278" w:rsidSect="0038722C">
      <w:headerReference w:type="even" r:id="rId99"/>
      <w:headerReference w:type="default" r:id="rId100"/>
      <w:footerReference w:type="even" r:id="rId101"/>
      <w:headerReference w:type="first" r:id="rId102"/>
      <w:pgSz w:w="16820" w:h="11900" w:orient="landscape" w:code="9"/>
      <w:pgMar w:top="1440" w:right="567" w:bottom="1134" w:left="567"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986D63" w16cid:durableId="1E9FBF15"/>
  <w16cid:commentId w16cid:paraId="296669E9" w16cid:durableId="1E9FC0DC"/>
  <w16cid:commentId w16cid:paraId="61A638D9" w16cid:durableId="1E9FC5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B3DC1" w14:textId="77777777" w:rsidR="00C575E7" w:rsidRDefault="00C575E7">
      <w:r>
        <w:separator/>
      </w:r>
    </w:p>
  </w:endnote>
  <w:endnote w:type="continuationSeparator" w:id="0">
    <w:p w14:paraId="51DEC279" w14:textId="77777777" w:rsidR="00C575E7" w:rsidRDefault="00C575E7">
      <w:r>
        <w:continuationSeparator/>
      </w:r>
    </w:p>
  </w:endnote>
  <w:endnote w:type="continuationNotice" w:id="1">
    <w:p w14:paraId="09DA6444" w14:textId="77777777" w:rsidR="00C575E7" w:rsidRDefault="00C575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
    <w:altName w:val="Yu Gothic UI"/>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Roman">
    <w:altName w:val="Times New Roman"/>
    <w:panose1 w:val="00000000000000000000"/>
    <w:charset w:val="FF"/>
    <w:family w:val="roman"/>
    <w:notTrueType/>
    <w:pitch w:val="variable"/>
    <w:sig w:usb0="00000003" w:usb1="00000000" w:usb2="00000000" w:usb3="00000000" w:csb0="00000000" w:csb1="00000000"/>
  </w:font>
  <w:font w:name="Chicago">
    <w:altName w:val="Arial"/>
    <w:charset w:val="00"/>
    <w:family w:val="auto"/>
    <w:pitch w:val="variable"/>
    <w:sig w:usb0="03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w:charset w:val="00"/>
    <w:family w:val="auto"/>
    <w:pitch w:val="variable"/>
    <w:sig w:usb0="80000067" w:usb1="00000000" w:usb2="00000000" w:usb3="00000000" w:csb0="000001FB" w:csb1="00000000"/>
  </w:font>
  <w:font w:name="Galliard">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FrutigerLTStd-Light">
    <w:altName w:val="Times New Roman"/>
    <w:panose1 w:val="00000000000000000000"/>
    <w:charset w:val="00"/>
    <w:family w:val="auto"/>
    <w:notTrueType/>
    <w:pitch w:val="default"/>
    <w:sig w:usb0="00000003" w:usb1="00000000" w:usb2="00000000" w:usb3="00000000" w:csb0="00000001" w:csb1="00000000"/>
  </w:font>
  <w:font w:name="FrutigerLTStd-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JFKL G+ Melior">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imesNewRomanPSMT">
    <w:altName w:val="Times New Roman"/>
    <w:panose1 w:val="00000000000000000000"/>
    <w:charset w:val="00"/>
    <w:family w:val="auto"/>
    <w:notTrueType/>
    <w:pitch w:val="default"/>
    <w:sig w:usb0="91FCE36F" w:usb1="00271D40" w:usb2="00271E20" w:usb3="45A2D150" w:csb0="00000001" w:csb1="00000000"/>
  </w:font>
  <w:font w:name="Adobe Garamond Pro">
    <w:altName w:val="Cambria"/>
    <w:panose1 w:val="00000000000000000000"/>
    <w:charset w:val="4D"/>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4BFCA" w14:textId="1B5B2F9E" w:rsidR="00AB6262" w:rsidRPr="00114183" w:rsidRDefault="00AB6262" w:rsidP="006B71CA">
    <w:pPr>
      <w:pStyle w:val="Footer"/>
      <w:tabs>
        <w:tab w:val="clear" w:pos="4320"/>
        <w:tab w:val="clear" w:pos="8640"/>
        <w:tab w:val="left" w:pos="1620"/>
        <w:tab w:val="center" w:pos="4140"/>
        <w:tab w:val="right" w:pos="8190"/>
        <w:tab w:val="right" w:pos="13860"/>
      </w:tabs>
      <w:spacing w:after="0"/>
      <w:ind w:left="-36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3827E5">
      <w:rPr>
        <w:rStyle w:val="PageNumber"/>
        <w:noProof/>
      </w:rPr>
      <w:t>ii</w:t>
    </w:r>
    <w:r>
      <w:rPr>
        <w:rStyle w:val="PageNumber"/>
      </w:rPr>
      <w:fldChar w:fldCharType="end"/>
    </w:r>
    <w:r>
      <w:rPr>
        <w:rStyle w:val="PageNumber"/>
      </w:rPr>
      <w:tab/>
    </w:r>
    <w:r>
      <w:rPr>
        <w:rStyle w:val="PageNumber"/>
        <w:b/>
        <w:sz w:val="20"/>
      </w:rPr>
      <w:t>MBTOC Interim CUN Recommendations – May 2018</w:t>
    </w:r>
    <w:r>
      <w:rPr>
        <w:rStyle w:val="PageNumber"/>
        <w:b/>
        <w:sz w:val="20"/>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F0134" w14:textId="61D2547B" w:rsidR="00AB6262" w:rsidRDefault="00AB6262" w:rsidP="00114183">
    <w:pPr>
      <w:pStyle w:val="Footer"/>
      <w:tabs>
        <w:tab w:val="clear" w:pos="8640"/>
        <w:tab w:val="right" w:pos="13860"/>
      </w:tabs>
      <w:spacing w:before="240"/>
      <w:ind w:right="360"/>
    </w:pPr>
    <w:r>
      <w:rPr>
        <w:rStyle w:val="PageNumber"/>
      </w:rPr>
      <w:fldChar w:fldCharType="begin"/>
    </w:r>
    <w:r>
      <w:rPr>
        <w:rStyle w:val="PageNumber"/>
      </w:rPr>
      <w:instrText xml:space="preserve"> PAGE </w:instrText>
    </w:r>
    <w:r>
      <w:rPr>
        <w:rStyle w:val="PageNumber"/>
      </w:rPr>
      <w:fldChar w:fldCharType="separate"/>
    </w:r>
    <w:r w:rsidR="003827E5">
      <w:rPr>
        <w:rStyle w:val="PageNumber"/>
        <w:noProof/>
      </w:rPr>
      <w:t>20</w:t>
    </w:r>
    <w:r>
      <w:rPr>
        <w:rStyle w:val="PageNumber"/>
      </w:rPr>
      <w:fldChar w:fldCharType="end"/>
    </w:r>
    <w:r>
      <w:rPr>
        <w:rStyle w:val="PageNumber"/>
      </w:rPr>
      <w:tab/>
    </w:r>
    <w:r>
      <w:rPr>
        <w:rStyle w:val="PageNumber"/>
        <w:b/>
        <w:sz w:val="20"/>
      </w:rPr>
      <w:t>MBTOC Interim CUN Recommendations – May 2018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FB715" w14:textId="75C3B37A" w:rsidR="00AB6262" w:rsidRDefault="00AB626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827E5">
      <w:rPr>
        <w:rStyle w:val="PageNumber"/>
        <w:noProof/>
      </w:rPr>
      <w:t>19</w:t>
    </w:r>
    <w:r>
      <w:rPr>
        <w:rStyle w:val="PageNumber"/>
      </w:rPr>
      <w:fldChar w:fldCharType="end"/>
    </w:r>
  </w:p>
  <w:p w14:paraId="686F5BE5" w14:textId="3D3EF0C0" w:rsidR="00AB6262" w:rsidRPr="00245D65" w:rsidRDefault="00AB6262" w:rsidP="0062421F">
    <w:pPr>
      <w:pStyle w:val="Footer"/>
      <w:tabs>
        <w:tab w:val="clear" w:pos="8640"/>
        <w:tab w:val="right" w:pos="15030"/>
      </w:tabs>
      <w:spacing w:before="240" w:after="0"/>
      <w:ind w:right="400"/>
      <w:jc w:val="center"/>
      <w:rPr>
        <w:sz w:val="20"/>
      </w:rPr>
    </w:pPr>
    <w:r>
      <w:rPr>
        <w:rStyle w:val="PageNumber"/>
        <w:b/>
        <w:sz w:val="20"/>
      </w:rPr>
      <w:tab/>
      <w:t>MBTOC Interim CUN Recommendations – May 2018</w:t>
    </w:r>
    <w:r>
      <w:rPr>
        <w:rStyle w:val="PageNumber"/>
        <w:b/>
        <w:sz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AC731" w14:textId="7F5878F0" w:rsidR="00AB6262" w:rsidRDefault="00AB6262" w:rsidP="00114183">
    <w:pPr>
      <w:pStyle w:val="Footer"/>
      <w:tabs>
        <w:tab w:val="clear" w:pos="4320"/>
        <w:tab w:val="clear" w:pos="8640"/>
        <w:tab w:val="left" w:pos="270"/>
        <w:tab w:val="center" w:pos="7290"/>
        <w:tab w:val="right" w:pos="15660"/>
      </w:tabs>
      <w:spacing w:after="0"/>
      <w:ind w:right="30" w:firstLine="360"/>
      <w:jc w:val="center"/>
    </w:pPr>
    <w:r>
      <w:rPr>
        <w:rStyle w:val="PageNumber"/>
      </w:rPr>
      <w:fldChar w:fldCharType="begin"/>
    </w:r>
    <w:r>
      <w:rPr>
        <w:rStyle w:val="PageNumber"/>
      </w:rPr>
      <w:instrText xml:space="preserve"> PAGE </w:instrText>
    </w:r>
    <w:r>
      <w:rPr>
        <w:rStyle w:val="PageNumber"/>
      </w:rPr>
      <w:fldChar w:fldCharType="separate"/>
    </w:r>
    <w:r w:rsidR="003827E5">
      <w:rPr>
        <w:rStyle w:val="PageNumber"/>
        <w:noProof/>
      </w:rPr>
      <w:t>30</w:t>
    </w:r>
    <w:r>
      <w:rPr>
        <w:rStyle w:val="PageNumber"/>
      </w:rPr>
      <w:fldChar w:fldCharType="end"/>
    </w:r>
    <w:r>
      <w:rPr>
        <w:rStyle w:val="PageNumber"/>
      </w:rPr>
      <w:tab/>
    </w:r>
    <w:r>
      <w:rPr>
        <w:rStyle w:val="PageNumber"/>
        <w:b/>
        <w:sz w:val="20"/>
      </w:rPr>
      <w:t>MBTOC Interim CUN Recommendations – May 2018</w:t>
    </w:r>
    <w:r>
      <w:rPr>
        <w:rStyle w:val="PageNumber"/>
        <w:b/>
        <w:sz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39584" w14:textId="41CDE19F" w:rsidR="00AB6262" w:rsidRDefault="00AB626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827E5">
      <w:rPr>
        <w:rStyle w:val="PageNumber"/>
        <w:noProof/>
      </w:rPr>
      <w:t>31</w:t>
    </w:r>
    <w:r>
      <w:rPr>
        <w:rStyle w:val="PageNumber"/>
      </w:rPr>
      <w:fldChar w:fldCharType="end"/>
    </w:r>
  </w:p>
  <w:p w14:paraId="2A6BD740" w14:textId="77777777" w:rsidR="00AB6262" w:rsidRPr="00245D65" w:rsidRDefault="00AB6262" w:rsidP="00BD5FDC">
    <w:pPr>
      <w:pStyle w:val="Footer"/>
      <w:tabs>
        <w:tab w:val="clear" w:pos="4320"/>
        <w:tab w:val="clear" w:pos="8640"/>
        <w:tab w:val="left" w:pos="4678"/>
        <w:tab w:val="center" w:pos="7920"/>
        <w:tab w:val="right" w:pos="15030"/>
      </w:tabs>
      <w:spacing w:before="240" w:after="0"/>
      <w:ind w:right="400"/>
      <w:jc w:val="center"/>
      <w:rPr>
        <w:sz w:val="20"/>
      </w:rPr>
    </w:pPr>
    <w:r>
      <w:rPr>
        <w:rStyle w:val="PageNumber"/>
        <w:b/>
        <w:sz w:val="20"/>
      </w:rPr>
      <w:tab/>
      <w:t>MBTOC Interim CUN Recommendations – May 2018</w:t>
    </w:r>
    <w:r>
      <w:rPr>
        <w:rStyle w:val="PageNumber"/>
        <w:b/>
        <w:sz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71FB6" w14:textId="550E2BEF" w:rsidR="00AB6262" w:rsidRDefault="00AB6262" w:rsidP="00114183">
    <w:pPr>
      <w:pStyle w:val="Footer"/>
      <w:tabs>
        <w:tab w:val="clear" w:pos="8640"/>
        <w:tab w:val="right" w:pos="9000"/>
        <w:tab w:val="right" w:pos="13860"/>
      </w:tabs>
      <w:ind w:right="360"/>
    </w:pPr>
    <w:r>
      <w:rPr>
        <w:rStyle w:val="PageNumber"/>
      </w:rPr>
      <w:fldChar w:fldCharType="begin"/>
    </w:r>
    <w:r>
      <w:rPr>
        <w:rStyle w:val="PageNumber"/>
      </w:rPr>
      <w:instrText xml:space="preserve"> PAGE </w:instrText>
    </w:r>
    <w:r>
      <w:rPr>
        <w:rStyle w:val="PageNumber"/>
      </w:rPr>
      <w:fldChar w:fldCharType="separate"/>
    </w:r>
    <w:r w:rsidR="003827E5">
      <w:rPr>
        <w:rStyle w:val="PageNumber"/>
        <w:noProof/>
      </w:rPr>
      <w:t>32</w:t>
    </w:r>
    <w:r>
      <w:rPr>
        <w:rStyle w:val="PageNumber"/>
      </w:rPr>
      <w:fldChar w:fldCharType="end"/>
    </w:r>
    <w:r>
      <w:rPr>
        <w:rStyle w:val="PageNumber"/>
      </w:rPr>
      <w:tab/>
    </w:r>
    <w:r>
      <w:rPr>
        <w:rStyle w:val="PageNumber"/>
        <w:b/>
        <w:sz w:val="20"/>
      </w:rPr>
      <w:t>MBTOC Interim CUN Recommendations – May 2017</w:t>
    </w:r>
    <w:r>
      <w:rPr>
        <w:rStyle w:val="PageNumber"/>
        <w:b/>
        <w:sz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3DB0F" w14:textId="3047003D" w:rsidR="00AB6262" w:rsidRDefault="00AB626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1397C7E9" w14:textId="180B50A7" w:rsidR="00AB6262" w:rsidRPr="00245D65" w:rsidRDefault="00AB6262" w:rsidP="00114183">
    <w:pPr>
      <w:pStyle w:val="Footer"/>
      <w:tabs>
        <w:tab w:val="clear" w:pos="8640"/>
        <w:tab w:val="right" w:pos="13860"/>
      </w:tabs>
      <w:spacing w:after="0"/>
      <w:ind w:right="30" w:firstLine="360"/>
      <w:jc w:val="center"/>
      <w:rPr>
        <w:b/>
        <w:sz w:val="20"/>
      </w:rPr>
    </w:pPr>
    <w:r w:rsidRPr="00114183">
      <w:rPr>
        <w:rStyle w:val="PageNumber"/>
        <w:b/>
        <w:sz w:val="20"/>
      </w:rPr>
      <w:t>MBTOC 201</w:t>
    </w:r>
    <w:r>
      <w:rPr>
        <w:rStyle w:val="PageNumber"/>
        <w:b/>
        <w:sz w:val="20"/>
      </w:rPr>
      <w:t>8</w:t>
    </w:r>
    <w:r w:rsidRPr="00114183">
      <w:rPr>
        <w:rStyle w:val="PageNumber"/>
        <w:b/>
        <w:sz w:val="20"/>
      </w:rPr>
      <w:t xml:space="preserve"> CUNs: Interim Recommendations – </w:t>
    </w:r>
    <w:r>
      <w:rPr>
        <w:rStyle w:val="PageNumber"/>
        <w:b/>
        <w:sz w:val="20"/>
      </w:rPr>
      <w:t>May</w:t>
    </w:r>
    <w:r w:rsidRPr="00114183">
      <w:rPr>
        <w:rStyle w:val="PageNumber"/>
        <w:b/>
        <w:sz w:val="20"/>
      </w:rPr>
      <w:t xml:space="preserve"> 201</w:t>
    </w:r>
    <w:r>
      <w:rPr>
        <w:rStyle w:val="PageNumber"/>
        <w:b/>
        <w:sz w:val="20"/>
      </w:rPr>
      <w:t>8</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21407" w14:textId="0C8B45FE" w:rsidR="00AB6262" w:rsidRPr="00114183" w:rsidRDefault="00AB6262" w:rsidP="00114183">
    <w:pPr>
      <w:pStyle w:val="Footer"/>
      <w:tabs>
        <w:tab w:val="clear" w:pos="4320"/>
        <w:tab w:val="clear" w:pos="8640"/>
        <w:tab w:val="center" w:pos="7290"/>
        <w:tab w:val="right" w:pos="13860"/>
      </w:tabs>
      <w:spacing w:after="0"/>
      <w:ind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3827E5">
      <w:rPr>
        <w:rStyle w:val="PageNumber"/>
        <w:noProof/>
      </w:rPr>
      <w:t>36</w:t>
    </w:r>
    <w:r>
      <w:rPr>
        <w:rStyle w:val="PageNumber"/>
      </w:rPr>
      <w:fldChar w:fldCharType="end"/>
    </w:r>
    <w:r>
      <w:rPr>
        <w:rStyle w:val="PageNumber"/>
      </w:rPr>
      <w:tab/>
    </w:r>
    <w:r>
      <w:rPr>
        <w:rStyle w:val="PageNumber"/>
        <w:b/>
        <w:sz w:val="20"/>
      </w:rPr>
      <w:t>MBTOC Interim CUN Recommendations – May 2018</w:t>
    </w:r>
    <w:r>
      <w:rPr>
        <w:rStyle w:val="PageNumber"/>
        <w:b/>
        <w:sz w:val="20"/>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6D3C" w14:textId="74DC6DE9" w:rsidR="00AB6262" w:rsidRDefault="00AB626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827E5">
      <w:rPr>
        <w:rStyle w:val="PageNumber"/>
        <w:noProof/>
      </w:rPr>
      <w:t>37</w:t>
    </w:r>
    <w:r>
      <w:rPr>
        <w:rStyle w:val="PageNumber"/>
      </w:rPr>
      <w:fldChar w:fldCharType="end"/>
    </w:r>
  </w:p>
  <w:p w14:paraId="440F5450" w14:textId="7B26ECB0" w:rsidR="00AB6262" w:rsidRDefault="00AB6262" w:rsidP="00BD5FDC">
    <w:pPr>
      <w:pStyle w:val="Footer"/>
      <w:tabs>
        <w:tab w:val="clear" w:pos="8640"/>
        <w:tab w:val="right" w:pos="13860"/>
      </w:tabs>
      <w:spacing w:after="0"/>
      <w:ind w:right="30" w:firstLine="360"/>
      <w:jc w:val="center"/>
      <w:rPr>
        <w:b/>
        <w:sz w:val="20"/>
      </w:rPr>
    </w:pPr>
    <w:r>
      <w:rPr>
        <w:rStyle w:val="PageNumber"/>
        <w:b/>
        <w:sz w:val="20"/>
      </w:rPr>
      <w:t>MBTOC Interim CUN Recommendations – May 2018</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9D35C" w14:textId="7A472C2C" w:rsidR="00AB6262" w:rsidRPr="00114183" w:rsidRDefault="00AB6262" w:rsidP="00114183">
    <w:pPr>
      <w:pStyle w:val="Footer"/>
      <w:tabs>
        <w:tab w:val="clear" w:pos="8640"/>
        <w:tab w:val="left" w:pos="2160"/>
        <w:tab w:val="right" w:pos="9000"/>
        <w:tab w:val="right" w:pos="13860"/>
      </w:tabs>
      <w:spacing w:after="0"/>
      <w:ind w:left="-18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3827E5">
      <w:rPr>
        <w:rStyle w:val="PageNumber"/>
        <w:noProof/>
      </w:rPr>
      <w:t>46</w:t>
    </w:r>
    <w:r>
      <w:rPr>
        <w:rStyle w:val="PageNumber"/>
      </w:rPr>
      <w:fldChar w:fldCharType="end"/>
    </w:r>
    <w:r>
      <w:rPr>
        <w:rStyle w:val="PageNumber"/>
      </w:rPr>
      <w:tab/>
    </w:r>
    <w:r>
      <w:rPr>
        <w:rStyle w:val="PageNumber"/>
        <w:b/>
        <w:sz w:val="20"/>
      </w:rPr>
      <w:t>MBTOC Interim CUN Recommendations – May 2018</w:t>
    </w:r>
    <w:r>
      <w:rPr>
        <w:rStyle w:val="PageNumber"/>
        <w:b/>
        <w:sz w:val="20"/>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CA5E" w14:textId="6B4DBC26" w:rsidR="00AB6262" w:rsidRDefault="00AB626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827E5">
      <w:rPr>
        <w:rStyle w:val="PageNumber"/>
        <w:noProof/>
      </w:rPr>
      <w:t>59</w:t>
    </w:r>
    <w:r>
      <w:rPr>
        <w:rStyle w:val="PageNumber"/>
      </w:rPr>
      <w:fldChar w:fldCharType="end"/>
    </w:r>
  </w:p>
  <w:p w14:paraId="653A5D87" w14:textId="53F53108" w:rsidR="00AB6262" w:rsidRDefault="00AB6262" w:rsidP="007C6782">
    <w:pPr>
      <w:pStyle w:val="Footer"/>
      <w:spacing w:before="360"/>
      <w:jc w:val="center"/>
      <w:rPr>
        <w:rStyle w:val="PageNumber"/>
        <w:b/>
        <w:sz w:val="20"/>
      </w:rPr>
    </w:pPr>
    <w:r>
      <w:rPr>
        <w:rStyle w:val="PageNumber"/>
        <w:b/>
        <w:sz w:val="20"/>
      </w:rPr>
      <w:t>MBTOC Interim CUN Recommendations – May 2018</w:t>
    </w:r>
  </w:p>
  <w:p w14:paraId="283571FC" w14:textId="0B22DF29" w:rsidR="00AB6262" w:rsidRDefault="00AB6262" w:rsidP="00114183">
    <w:pPr>
      <w:pStyle w:val="Footer"/>
      <w:spacing w:before="240"/>
      <w:jc w:val="center"/>
      <w:rPr>
        <w:b/>
        <w:sz w:val="20"/>
      </w:rPr>
    </w:pPr>
    <w:r>
      <w:rPr>
        <w:rStyle w:val="PageNumber"/>
        <w:b/>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679212"/>
      <w:docPartObj>
        <w:docPartGallery w:val="Page Numbers (Bottom of Page)"/>
        <w:docPartUnique/>
      </w:docPartObj>
    </w:sdtPr>
    <w:sdtEndPr>
      <w:rPr>
        <w:noProof/>
      </w:rPr>
    </w:sdtEndPr>
    <w:sdtContent>
      <w:p w14:paraId="3F751C11" w14:textId="5AD7D103" w:rsidR="00AB6262" w:rsidRPr="00363DC2" w:rsidRDefault="00AB6262" w:rsidP="00363DC2">
        <w:pPr>
          <w:pStyle w:val="Footer"/>
          <w:jc w:val="right"/>
        </w:pPr>
        <w:r>
          <w:fldChar w:fldCharType="begin"/>
        </w:r>
        <w:r>
          <w:instrText xml:space="preserve"> PAGE   \* MERGEFORMAT </w:instrText>
        </w:r>
        <w:r>
          <w:fldChar w:fldCharType="separate"/>
        </w:r>
        <w:r>
          <w:rPr>
            <w:noProof/>
          </w:rPr>
          <w:t>i</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B7FE7" w14:textId="48593C6F" w:rsidR="00AB6262" w:rsidRPr="00114183" w:rsidRDefault="00AB6262" w:rsidP="00114183">
    <w:pPr>
      <w:pStyle w:val="Footer"/>
      <w:tabs>
        <w:tab w:val="clear" w:pos="4320"/>
        <w:tab w:val="clear" w:pos="8640"/>
        <w:tab w:val="center" w:pos="7920"/>
        <w:tab w:val="right" w:pos="15660"/>
      </w:tabs>
      <w:spacing w:after="0"/>
      <w:ind w:left="-180"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3827E5">
      <w:rPr>
        <w:rStyle w:val="PageNumber"/>
        <w:noProof/>
      </w:rPr>
      <w:t>58</w:t>
    </w:r>
    <w:r>
      <w:rPr>
        <w:rStyle w:val="PageNumber"/>
      </w:rPr>
      <w:fldChar w:fldCharType="end"/>
    </w:r>
    <w:r>
      <w:rPr>
        <w:rStyle w:val="PageNumber"/>
      </w:rPr>
      <w:tab/>
    </w:r>
    <w:r>
      <w:rPr>
        <w:rStyle w:val="PageNumber"/>
        <w:b/>
        <w:sz w:val="20"/>
      </w:rPr>
      <w:t>MBTOC Interim CUN Recommendations – May 2018</w:t>
    </w:r>
    <w:r>
      <w:rPr>
        <w:rStyle w:val="PageNumber"/>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5523C" w14:textId="0E411EDE" w:rsidR="00AB6262" w:rsidRDefault="00AB6262" w:rsidP="0011418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8371481"/>
      <w:docPartObj>
        <w:docPartGallery w:val="Page Numbers (Bottom of Page)"/>
        <w:docPartUnique/>
      </w:docPartObj>
    </w:sdtPr>
    <w:sdtEndPr>
      <w:rPr>
        <w:noProof/>
      </w:rPr>
    </w:sdtEndPr>
    <w:sdtContent>
      <w:p w14:paraId="472B713A" w14:textId="77777777" w:rsidR="00AB6262" w:rsidRDefault="00AB6262">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68A38CE5" w14:textId="77777777" w:rsidR="00AB6262" w:rsidRDefault="00AB6262">
    <w:pPr>
      <w:pStyle w:val="Footer"/>
      <w:spacing w:after="0"/>
      <w:ind w:right="993"/>
      <w:rPr>
        <w: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222660"/>
      <w:docPartObj>
        <w:docPartGallery w:val="Page Numbers (Bottom of Page)"/>
        <w:docPartUnique/>
      </w:docPartObj>
    </w:sdtPr>
    <w:sdtEndPr>
      <w:rPr>
        <w:noProof/>
      </w:rPr>
    </w:sdtEndPr>
    <w:sdtContent>
      <w:p w14:paraId="6C462D58" w14:textId="61CCFBB1" w:rsidR="00AB6262" w:rsidRPr="00114183" w:rsidRDefault="00AB6262" w:rsidP="0062421F">
        <w:pPr>
          <w:pStyle w:val="Footer"/>
          <w:tabs>
            <w:tab w:val="clear" w:pos="8640"/>
            <w:tab w:val="left" w:pos="360"/>
            <w:tab w:val="right" w:pos="9000"/>
            <w:tab w:val="right" w:pos="13860"/>
          </w:tabs>
          <w:spacing w:after="0"/>
          <w:ind w:right="30" w:firstLine="360"/>
          <w:jc w:val="center"/>
          <w:rPr>
            <w:b/>
            <w:sz w:val="20"/>
          </w:rPr>
        </w:pPr>
        <w:r>
          <w:rPr>
            <w:rStyle w:val="PageNumber"/>
            <w:b/>
            <w:sz w:val="20"/>
          </w:rPr>
          <w:tab/>
          <w:t>MBTOC Interim CUN Recommendations – May 2018</w:t>
        </w:r>
        <w:r>
          <w:rPr>
            <w:b/>
            <w:sz w:val="20"/>
          </w:rPr>
          <w:tab/>
        </w:r>
        <w:r>
          <w:fldChar w:fldCharType="begin"/>
        </w:r>
        <w:r>
          <w:instrText xml:space="preserve"> PAGE   \* MERGEFORMAT </w:instrText>
        </w:r>
        <w:r>
          <w:fldChar w:fldCharType="separate"/>
        </w:r>
        <w:r w:rsidR="003827E5">
          <w:rPr>
            <w:noProof/>
          </w:rPr>
          <w:t>9</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FCB7E" w14:textId="4C95A854" w:rsidR="00AB6262" w:rsidRDefault="00AB6262" w:rsidP="00114183">
    <w:pPr>
      <w:pStyle w:val="Footer"/>
      <w:framePr w:w="837" w:wrap="around" w:vAnchor="text" w:hAnchor="page" w:x="10601" w:y="-24"/>
      <w:ind w:right="20"/>
      <w:rPr>
        <w:rStyle w:val="PageNumber"/>
      </w:rPr>
    </w:pPr>
    <w:r>
      <w:rPr>
        <w:rStyle w:val="PageNumber"/>
      </w:rPr>
      <w:fldChar w:fldCharType="begin"/>
    </w:r>
    <w:r>
      <w:rPr>
        <w:rStyle w:val="PageNumber"/>
      </w:rPr>
      <w:instrText xml:space="preserve">PAGE  </w:instrText>
    </w:r>
    <w:r>
      <w:rPr>
        <w:rStyle w:val="PageNumber"/>
      </w:rPr>
      <w:fldChar w:fldCharType="separate"/>
    </w:r>
    <w:r w:rsidR="003827E5">
      <w:rPr>
        <w:rStyle w:val="PageNumber"/>
        <w:noProof/>
      </w:rPr>
      <w:t>iii</w:t>
    </w:r>
    <w:r>
      <w:rPr>
        <w:rStyle w:val="PageNumber"/>
      </w:rPr>
      <w:fldChar w:fldCharType="end"/>
    </w:r>
  </w:p>
  <w:p w14:paraId="34BE9404" w14:textId="0947FE80" w:rsidR="00AB6262" w:rsidRPr="00114183" w:rsidRDefault="00AB6262" w:rsidP="00114183">
    <w:pPr>
      <w:pStyle w:val="Footer"/>
      <w:tabs>
        <w:tab w:val="clear" w:pos="8640"/>
        <w:tab w:val="left" w:pos="360"/>
        <w:tab w:val="right" w:pos="13860"/>
      </w:tabs>
      <w:spacing w:after="0"/>
      <w:ind w:right="30"/>
      <w:jc w:val="center"/>
      <w:rPr>
        <w:b/>
        <w:sz w:val="20"/>
      </w:rPr>
    </w:pPr>
    <w:r>
      <w:rPr>
        <w:rStyle w:val="PageNumber"/>
        <w:b/>
        <w:sz w:val="20"/>
      </w:rPr>
      <w:tab/>
      <w:t>MBTOC Interim CUN Recommendations – May 2018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F1164" w14:textId="5BB23399" w:rsidR="00AB6262" w:rsidRPr="00114183" w:rsidRDefault="00AB6262" w:rsidP="00114183">
    <w:pPr>
      <w:pStyle w:val="Footer"/>
      <w:tabs>
        <w:tab w:val="clear" w:pos="8640"/>
        <w:tab w:val="right" w:pos="9000"/>
        <w:tab w:val="right" w:pos="13860"/>
      </w:tabs>
      <w:spacing w:after="0"/>
      <w:ind w:right="30"/>
      <w:jc w:val="center"/>
      <w:rPr>
        <w:b/>
        <w:sz w:val="20"/>
      </w:rPr>
    </w:pPr>
    <w:r>
      <w:rPr>
        <w:rStyle w:val="PageNumber"/>
      </w:rPr>
      <w:fldChar w:fldCharType="begin"/>
    </w:r>
    <w:r>
      <w:rPr>
        <w:rStyle w:val="PageNumber"/>
      </w:rPr>
      <w:instrText xml:space="preserve"> PAGE </w:instrText>
    </w:r>
    <w:r>
      <w:rPr>
        <w:rStyle w:val="PageNumber"/>
      </w:rPr>
      <w:fldChar w:fldCharType="separate"/>
    </w:r>
    <w:r w:rsidR="003827E5">
      <w:rPr>
        <w:rStyle w:val="PageNumber"/>
        <w:noProof/>
      </w:rPr>
      <w:t>8</w:t>
    </w:r>
    <w:r>
      <w:rPr>
        <w:rStyle w:val="PageNumber"/>
      </w:rPr>
      <w:fldChar w:fldCharType="end"/>
    </w:r>
    <w:r>
      <w:rPr>
        <w:rStyle w:val="PageNumber"/>
      </w:rPr>
      <w:tab/>
    </w:r>
    <w:r>
      <w:rPr>
        <w:rStyle w:val="PageNumber"/>
        <w:b/>
        <w:sz w:val="20"/>
      </w:rPr>
      <w:t>MBTOC Interim CUN Recommendations – May 2018</w:t>
    </w:r>
    <w:r>
      <w:rPr>
        <w:b/>
        <w:sz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7D2E7" w14:textId="5D561ED0" w:rsidR="00AB6262" w:rsidRDefault="00AB6262" w:rsidP="006B71CA">
    <w:pPr>
      <w:pStyle w:val="Footer"/>
      <w:tabs>
        <w:tab w:val="clear" w:pos="4320"/>
        <w:tab w:val="clear" w:pos="8640"/>
        <w:tab w:val="center" w:pos="7200"/>
        <w:tab w:val="right" w:pos="13860"/>
      </w:tabs>
      <w:ind w:right="360"/>
    </w:pPr>
    <w:r>
      <w:rPr>
        <w:rStyle w:val="PageNumber"/>
      </w:rPr>
      <w:fldChar w:fldCharType="begin"/>
    </w:r>
    <w:r>
      <w:rPr>
        <w:rStyle w:val="PageNumber"/>
      </w:rPr>
      <w:instrText xml:space="preserve"> PAGE </w:instrText>
    </w:r>
    <w:r>
      <w:rPr>
        <w:rStyle w:val="PageNumber"/>
      </w:rPr>
      <w:fldChar w:fldCharType="separate"/>
    </w:r>
    <w:r w:rsidR="003827E5">
      <w:rPr>
        <w:rStyle w:val="PageNumber"/>
        <w:noProof/>
      </w:rPr>
      <w:t>12</w:t>
    </w:r>
    <w:r>
      <w:rPr>
        <w:rStyle w:val="PageNumber"/>
      </w:rPr>
      <w:fldChar w:fldCharType="end"/>
    </w:r>
    <w:r>
      <w:rPr>
        <w:rStyle w:val="PageNumber"/>
      </w:rPr>
      <w:tab/>
    </w:r>
    <w:r>
      <w:rPr>
        <w:rStyle w:val="PageNumber"/>
        <w:b/>
        <w:sz w:val="20"/>
      </w:rPr>
      <w:t>MBTOC Interim CUN Recommendations – May 2018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3E42E" w14:textId="18995B3F" w:rsidR="00AB6262" w:rsidRDefault="00AB626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3827E5">
      <w:rPr>
        <w:rStyle w:val="PageNumber"/>
        <w:noProof/>
      </w:rPr>
      <w:t>11</w:t>
    </w:r>
    <w:r>
      <w:rPr>
        <w:rStyle w:val="PageNumber"/>
      </w:rPr>
      <w:fldChar w:fldCharType="end"/>
    </w:r>
  </w:p>
  <w:p w14:paraId="17FD341F" w14:textId="52D477BC" w:rsidR="00AB6262" w:rsidRDefault="00AB6262" w:rsidP="00114183">
    <w:pPr>
      <w:pStyle w:val="Footer"/>
      <w:tabs>
        <w:tab w:val="clear" w:pos="8640"/>
        <w:tab w:val="right" w:pos="13860"/>
      </w:tabs>
      <w:spacing w:after="0"/>
      <w:ind w:right="30" w:firstLine="360"/>
      <w:jc w:val="center"/>
      <w:rPr>
        <w:b/>
        <w:sz w:val="20"/>
      </w:rPr>
    </w:pPr>
    <w:r>
      <w:rPr>
        <w:rStyle w:val="PageNumber"/>
        <w:b/>
        <w:sz w:val="20"/>
      </w:rPr>
      <w:t>MBTOC Interim CUN Recommendations – May 2018</w:t>
    </w:r>
  </w:p>
  <w:p w14:paraId="29958FB4" w14:textId="2B33FE44" w:rsidR="00AB6262" w:rsidRPr="00245D65" w:rsidRDefault="00AB6262" w:rsidP="00E45B39">
    <w:pPr>
      <w:pStyle w:val="Footer"/>
      <w:tabs>
        <w:tab w:val="clear" w:pos="4320"/>
        <w:tab w:val="clear" w:pos="8640"/>
        <w:tab w:val="center" w:pos="6480"/>
        <w:tab w:val="right" w:pos="13860"/>
      </w:tabs>
      <w:spacing w:after="0"/>
      <w:ind w:right="30" w:firstLine="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91603" w14:textId="77777777" w:rsidR="00C575E7" w:rsidRDefault="00C575E7">
      <w:r>
        <w:separator/>
      </w:r>
    </w:p>
  </w:footnote>
  <w:footnote w:type="continuationSeparator" w:id="0">
    <w:p w14:paraId="0799C5D3" w14:textId="77777777" w:rsidR="00C575E7" w:rsidRDefault="00C575E7">
      <w:r>
        <w:continuationSeparator/>
      </w:r>
    </w:p>
  </w:footnote>
  <w:footnote w:type="continuationNotice" w:id="1">
    <w:p w14:paraId="0653885F" w14:textId="77777777" w:rsidR="00C575E7" w:rsidRDefault="00C575E7">
      <w:pPr>
        <w:spacing w:after="0"/>
      </w:pPr>
    </w:p>
  </w:footnote>
  <w:footnote w:id="2">
    <w:p w14:paraId="02844A6D" w14:textId="77777777" w:rsidR="00AB6262" w:rsidRDefault="00AB6262" w:rsidP="009B6A47">
      <w:pPr>
        <w:pStyle w:val="FootnoteText"/>
      </w:pPr>
      <w:r>
        <w:rPr>
          <w:rStyle w:val="FootnoteReference"/>
        </w:rPr>
        <w:footnoteRef/>
      </w:r>
      <w:r>
        <w:t xml:space="preserve"> During the field visit, MBTOC asked the Party to clarify technical parameters that could explain how a growing demand of runners (the strawberry fruit area has more than doubled in these years) could be supplied with a an unchanged 119 hectares along this period. </w:t>
      </w:r>
    </w:p>
  </w:footnote>
  <w:footnote w:id="3">
    <w:p w14:paraId="0E17CC56" w14:textId="77777777" w:rsidR="00AB6262" w:rsidRDefault="00AB6262" w:rsidP="00F108F5">
      <w:pPr>
        <w:pStyle w:val="FootnoteText"/>
        <w:ind w:left="1152"/>
        <w:rPr>
          <w:sz w:val="18"/>
          <w:lang w:val="en-US"/>
        </w:rPr>
      </w:pPr>
      <w:r>
        <w:rPr>
          <w:rStyle w:val="FootnoteReference"/>
          <w:sz w:val="18"/>
        </w:rPr>
        <w:footnoteRef/>
      </w:r>
      <w:r>
        <w:rPr>
          <w:sz w:val="18"/>
          <w:lang w:val="en-US"/>
        </w:rPr>
        <w:tab/>
        <w:t>UNEP/OzL.Pro.ExMP/1/INF/1, para.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8A190" w14:textId="5414E630" w:rsidR="00AB6262" w:rsidRDefault="00AB62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1B4D" w14:textId="0C5041BA" w:rsidR="00AB6262" w:rsidRDefault="00AB62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44877" w14:textId="7DF630A4" w:rsidR="00AB6262" w:rsidRDefault="00AB6262">
    <w:pPr>
      <w:pStyle w:val="Header"/>
      <w:jc w:val="right"/>
      <w:rPr>
        <w:b/>
        <w:bCs/>
        <w:sz w:val="18"/>
        <w:szCs w:val="18"/>
        <w:lang w:val="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0217" w14:textId="75A9C0A4" w:rsidR="00AB6262" w:rsidRDefault="00AB626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3332" w14:textId="04C07193" w:rsidR="00AB6262" w:rsidRDefault="00AB626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4FFA" w14:textId="65D1CD32" w:rsidR="00AB6262" w:rsidRDefault="00AB626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364C8" w14:textId="68B50CFF" w:rsidR="00AB6262" w:rsidRDefault="00AB626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DF73" w14:textId="4381F7C5" w:rsidR="00AB6262" w:rsidRDefault="00AB626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B66A8" w14:textId="6C0B2964" w:rsidR="00AB6262" w:rsidRDefault="00AB6262">
    <w:pPr>
      <w:pStyle w:val="Header"/>
      <w:jc w:val="right"/>
      <w:rPr>
        <w:b/>
        <w:sz w:val="18"/>
        <w:lang w:val="en-US"/>
      </w:rPr>
    </w:pPr>
  </w:p>
  <w:p w14:paraId="343DE824" w14:textId="77777777" w:rsidR="00AB6262" w:rsidRPr="00245D65" w:rsidRDefault="00AB6262" w:rsidP="005417D0">
    <w:pPr>
      <w:pStyle w:val="Header"/>
      <w:jc w:val="right"/>
      <w:rPr>
        <w:b/>
        <w:sz w:val="18"/>
        <w:lang w:val="en-US"/>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5FEBD" w14:textId="3CB9EB3A" w:rsidR="00AB6262" w:rsidRDefault="00AB6262">
    <w:pPr>
      <w:pStyle w:val="Header"/>
    </w:pPr>
  </w:p>
  <w:p w14:paraId="697A58A6" w14:textId="77777777" w:rsidR="00AB6262" w:rsidRDefault="00AB6262" w:rsidP="005417D0"/>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1D5EA" w14:textId="3FA5CAD0" w:rsidR="00AB6262" w:rsidRDefault="00AB62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00125" w14:textId="40CF9994" w:rsidR="00AB6262" w:rsidRDefault="00AB6262">
    <w:pPr>
      <w:pStyle w:val="Header"/>
      <w:jc w:val="right"/>
      <w:rPr>
        <w:b/>
        <w:sz w:val="18"/>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D6224" w14:textId="566267ED" w:rsidR="00AB6262" w:rsidRPr="00363DC2" w:rsidRDefault="00AB6262" w:rsidP="00363DC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89B4" w14:textId="033FBF98" w:rsidR="00AB6262" w:rsidRDefault="00AB6262">
    <w:pPr>
      <w:pStyle w:val="Header"/>
    </w:pPr>
  </w:p>
  <w:p w14:paraId="47508D37" w14:textId="77777777" w:rsidR="00AB6262" w:rsidRDefault="00AB6262" w:rsidP="005417D0"/>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7FBA2" w14:textId="7FA72546" w:rsidR="00AB6262" w:rsidRDefault="00AB626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FA6A2" w14:textId="4A4DE677" w:rsidR="00AB6262" w:rsidRDefault="00AB626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C496A" w14:textId="1839E231" w:rsidR="00AB6262" w:rsidRDefault="00AB626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F7B64" w14:textId="771B2DBA" w:rsidR="00AB6262" w:rsidRDefault="00AB626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D445" w14:textId="68B62271" w:rsidR="00AB6262" w:rsidRDefault="00AB6262">
    <w:pPr>
      <w:pStyle w:val="Header"/>
      <w:jc w:val="right"/>
      <w:rPr>
        <w:b/>
        <w:sz w:val="18"/>
        <w:lang w:val="en-US"/>
      </w:rPr>
    </w:pPr>
  </w:p>
  <w:p w14:paraId="097D3F19" w14:textId="77777777" w:rsidR="00AB6262" w:rsidRPr="00245D65" w:rsidRDefault="00AB6262" w:rsidP="006147A9">
    <w:pPr>
      <w:pStyle w:val="Header"/>
      <w:jc w:val="right"/>
      <w:rPr>
        <w:b/>
        <w:sz w:val="18"/>
        <w:lang w:val="en-US"/>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BEB4" w14:textId="298F3CC5" w:rsidR="00AB6262" w:rsidRDefault="00AB6262">
    <w:pPr>
      <w:pStyle w:val="Header"/>
    </w:pPr>
  </w:p>
  <w:p w14:paraId="3EADF481" w14:textId="77777777" w:rsidR="00AB6262" w:rsidRDefault="00AB6262" w:rsidP="006147A9"/>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B1B45" w14:textId="7096EAC9" w:rsidR="00AB6262" w:rsidRDefault="00AB626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7EF74" w14:textId="68BA14EE" w:rsidR="00AB6262" w:rsidRDefault="00AB62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8F30E" w14:textId="4218FFAA" w:rsidR="00AB6262" w:rsidRDefault="00AB6262">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0F930" w14:textId="2E543C38" w:rsidR="00AB6262" w:rsidRDefault="00AB626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2D74B" w14:textId="3BEDC16E" w:rsidR="00AB6262" w:rsidRDefault="00AB626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4BDC8" w14:textId="2B22725A" w:rsidR="00AB6262" w:rsidRDefault="00AB626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1492" w14:textId="45C1EEAA" w:rsidR="00AB6262" w:rsidRDefault="00AB626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E436" w14:textId="34EE8D7D" w:rsidR="00AB6262" w:rsidRPr="006B71CA" w:rsidRDefault="00AB6262" w:rsidP="006B71CA">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9A8A" w14:textId="3EB6C063" w:rsidR="00AB6262" w:rsidRDefault="00AB6262">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2FB06" w14:textId="6389B4EB" w:rsidR="00AB6262" w:rsidRDefault="00AB62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7378F" w14:textId="750FF82E" w:rsidR="00AB6262" w:rsidRDefault="00AB62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3E00" w14:textId="00B0F2E1" w:rsidR="00AB6262" w:rsidRDefault="00AB62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7711F" w14:textId="774389F2" w:rsidR="00AB6262" w:rsidRDefault="00AB626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76B2" w14:textId="17415520" w:rsidR="00AB6262" w:rsidRDefault="00AB62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062BE" w14:textId="406B7664" w:rsidR="00AB6262" w:rsidRDefault="00AB62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A992F" w14:textId="1F624016" w:rsidR="00AB6262" w:rsidRDefault="00AB6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4CF16F9"/>
    <w:multiLevelType w:val="hybridMultilevel"/>
    <w:tmpl w:val="F56A7EE4"/>
    <w:lvl w:ilvl="0" w:tplc="FFFFFFFF">
      <w:start w:val="1"/>
      <w:numFmt w:val="decimal"/>
      <w:lvlText w:val="%1."/>
      <w:lvlJc w:val="left"/>
      <w:pPr>
        <w:tabs>
          <w:tab w:val="num" w:pos="2304"/>
        </w:tabs>
        <w:ind w:left="1152" w:firstLine="576"/>
      </w:pPr>
      <w:rPr>
        <w:rFonts w:hint="default"/>
      </w:rPr>
    </w:lvl>
    <w:lvl w:ilvl="1" w:tplc="FFFFFFFF">
      <w:start w:val="1"/>
      <w:numFmt w:val="lowerLetter"/>
      <w:lvlText w:val="%2)"/>
      <w:lvlJc w:val="left"/>
      <w:pPr>
        <w:tabs>
          <w:tab w:val="num" w:pos="1440"/>
        </w:tabs>
        <w:ind w:left="1440" w:hanging="360"/>
      </w:pPr>
      <w:rPr>
        <w:rFonts w:hint="default"/>
      </w:rPr>
    </w:lvl>
    <w:lvl w:ilvl="2" w:tplc="04090019">
      <w:start w:val="1"/>
      <w:numFmt w:val="lowerLetter"/>
      <w:lvlText w:val="%3."/>
      <w:lvlJc w:val="left"/>
      <w:pPr>
        <w:ind w:left="2664"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6F2CB8"/>
    <w:multiLevelType w:val="singleLevel"/>
    <w:tmpl w:val="040C000F"/>
    <w:lvl w:ilvl="0">
      <w:start w:val="1"/>
      <w:numFmt w:val="decimal"/>
      <w:lvlText w:val="%1."/>
      <w:lvlJc w:val="left"/>
      <w:pPr>
        <w:tabs>
          <w:tab w:val="num" w:pos="360"/>
        </w:tabs>
        <w:ind w:left="360" w:hanging="360"/>
      </w:pPr>
      <w:rPr>
        <w:rFonts w:cs="Times New Roman"/>
      </w:rPr>
    </w:lvl>
  </w:abstractNum>
  <w:abstractNum w:abstractNumId="3" w15:restartNumberingAfterBreak="0">
    <w:nsid w:val="06824E60"/>
    <w:multiLevelType w:val="hybridMultilevel"/>
    <w:tmpl w:val="F2AAF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C5F9F"/>
    <w:multiLevelType w:val="hybridMultilevel"/>
    <w:tmpl w:val="21786D4A"/>
    <w:lvl w:ilvl="0" w:tplc="B9440E62">
      <w:start w:val="4"/>
      <w:numFmt w:val="bullet"/>
      <w:lvlText w:val=""/>
      <w:lvlJc w:val="left"/>
      <w:pPr>
        <w:ind w:left="660" w:hanging="360"/>
      </w:pPr>
      <w:rPr>
        <w:rFonts w:ascii="Symbol" w:eastAsia="Times New Roman" w:hAnsi="Symbol" w:cs="Times New Roman" w:hint="default"/>
      </w:rPr>
    </w:lvl>
    <w:lvl w:ilvl="1" w:tplc="0C090003" w:tentative="1">
      <w:start w:val="1"/>
      <w:numFmt w:val="bullet"/>
      <w:lvlText w:val="o"/>
      <w:lvlJc w:val="left"/>
      <w:pPr>
        <w:ind w:left="1380" w:hanging="360"/>
      </w:pPr>
      <w:rPr>
        <w:rFonts w:ascii="Courier New" w:hAnsi="Courier New" w:cs="Courier New" w:hint="default"/>
      </w:rPr>
    </w:lvl>
    <w:lvl w:ilvl="2" w:tplc="0C090005" w:tentative="1">
      <w:start w:val="1"/>
      <w:numFmt w:val="bullet"/>
      <w:lvlText w:val=""/>
      <w:lvlJc w:val="left"/>
      <w:pPr>
        <w:ind w:left="2100" w:hanging="360"/>
      </w:pPr>
      <w:rPr>
        <w:rFonts w:ascii="Wingdings" w:hAnsi="Wingdings" w:hint="default"/>
      </w:rPr>
    </w:lvl>
    <w:lvl w:ilvl="3" w:tplc="0C090001" w:tentative="1">
      <w:start w:val="1"/>
      <w:numFmt w:val="bullet"/>
      <w:lvlText w:val=""/>
      <w:lvlJc w:val="left"/>
      <w:pPr>
        <w:ind w:left="2820" w:hanging="360"/>
      </w:pPr>
      <w:rPr>
        <w:rFonts w:ascii="Symbol" w:hAnsi="Symbol" w:hint="default"/>
      </w:rPr>
    </w:lvl>
    <w:lvl w:ilvl="4" w:tplc="0C090003" w:tentative="1">
      <w:start w:val="1"/>
      <w:numFmt w:val="bullet"/>
      <w:lvlText w:val="o"/>
      <w:lvlJc w:val="left"/>
      <w:pPr>
        <w:ind w:left="3540" w:hanging="360"/>
      </w:pPr>
      <w:rPr>
        <w:rFonts w:ascii="Courier New" w:hAnsi="Courier New" w:cs="Courier New" w:hint="default"/>
      </w:rPr>
    </w:lvl>
    <w:lvl w:ilvl="5" w:tplc="0C090005" w:tentative="1">
      <w:start w:val="1"/>
      <w:numFmt w:val="bullet"/>
      <w:lvlText w:val=""/>
      <w:lvlJc w:val="left"/>
      <w:pPr>
        <w:ind w:left="4260" w:hanging="360"/>
      </w:pPr>
      <w:rPr>
        <w:rFonts w:ascii="Wingdings" w:hAnsi="Wingdings" w:hint="default"/>
      </w:rPr>
    </w:lvl>
    <w:lvl w:ilvl="6" w:tplc="0C090001" w:tentative="1">
      <w:start w:val="1"/>
      <w:numFmt w:val="bullet"/>
      <w:lvlText w:val=""/>
      <w:lvlJc w:val="left"/>
      <w:pPr>
        <w:ind w:left="4980" w:hanging="360"/>
      </w:pPr>
      <w:rPr>
        <w:rFonts w:ascii="Symbol" w:hAnsi="Symbol" w:hint="default"/>
      </w:rPr>
    </w:lvl>
    <w:lvl w:ilvl="7" w:tplc="0C090003" w:tentative="1">
      <w:start w:val="1"/>
      <w:numFmt w:val="bullet"/>
      <w:lvlText w:val="o"/>
      <w:lvlJc w:val="left"/>
      <w:pPr>
        <w:ind w:left="5700" w:hanging="360"/>
      </w:pPr>
      <w:rPr>
        <w:rFonts w:ascii="Courier New" w:hAnsi="Courier New" w:cs="Courier New" w:hint="default"/>
      </w:rPr>
    </w:lvl>
    <w:lvl w:ilvl="8" w:tplc="0C090005" w:tentative="1">
      <w:start w:val="1"/>
      <w:numFmt w:val="bullet"/>
      <w:lvlText w:val=""/>
      <w:lvlJc w:val="left"/>
      <w:pPr>
        <w:ind w:left="6420" w:hanging="360"/>
      </w:pPr>
      <w:rPr>
        <w:rFonts w:ascii="Wingdings" w:hAnsi="Wingdings" w:hint="default"/>
      </w:rPr>
    </w:lvl>
  </w:abstractNum>
  <w:abstractNum w:abstractNumId="5" w15:restartNumberingAfterBreak="0">
    <w:nsid w:val="18C0407C"/>
    <w:multiLevelType w:val="hybridMultilevel"/>
    <w:tmpl w:val="7DDE4A68"/>
    <w:lvl w:ilvl="0" w:tplc="DF7641A8">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9E7B8B"/>
    <w:multiLevelType w:val="hybridMultilevel"/>
    <w:tmpl w:val="C730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4A2F6D"/>
    <w:multiLevelType w:val="hybridMultilevel"/>
    <w:tmpl w:val="64940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10148"/>
    <w:multiLevelType w:val="hybridMultilevel"/>
    <w:tmpl w:val="A484D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216E50"/>
    <w:multiLevelType w:val="multilevel"/>
    <w:tmpl w:val="7FD0AD08"/>
    <w:lvl w:ilvl="0">
      <w:start w:val="1"/>
      <w:numFmt w:val="decimal"/>
      <w:lvlText w:val="%1.0"/>
      <w:lvlJc w:val="left"/>
      <w:pPr>
        <w:ind w:left="720" w:hanging="7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26070C29"/>
    <w:multiLevelType w:val="hybridMultilevel"/>
    <w:tmpl w:val="7180D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7E4905"/>
    <w:multiLevelType w:val="hybridMultilevel"/>
    <w:tmpl w:val="FC48FE2C"/>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C8614F"/>
    <w:multiLevelType w:val="multilevel"/>
    <w:tmpl w:val="9B2C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962BD"/>
    <w:multiLevelType w:val="hybridMultilevel"/>
    <w:tmpl w:val="5DC4B96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B06FE7"/>
    <w:multiLevelType w:val="multilevel"/>
    <w:tmpl w:val="0A7A6A7E"/>
    <w:lvl w:ilvl="0">
      <w:start w:val="1"/>
      <w:numFmt w:val="decimal"/>
      <w:pStyle w:val="Alt2-LevelLegal1"/>
      <w:lvlText w:val="CHAPTER %1"/>
      <w:lvlJc w:val="left"/>
      <w:pPr>
        <w:tabs>
          <w:tab w:val="num" w:pos="1440"/>
        </w:tabs>
      </w:pPr>
      <w:rPr>
        <w:rFonts w:ascii="Times New Roman" w:hAnsi="Times New Roman" w:cs="Times New Roman" w:hint="default"/>
        <w:b/>
        <w:i w:val="0"/>
        <w:color w:val="000000"/>
        <w:sz w:val="28"/>
        <w:szCs w:val="28"/>
      </w:rPr>
    </w:lvl>
    <w:lvl w:ilvl="1">
      <w:start w:val="1"/>
      <w:numFmt w:val="decimal"/>
      <w:pStyle w:val="Alt2-LevelLegal2"/>
      <w:isLgl/>
      <w:lvlText w:val="%1.%2"/>
      <w:lvlJc w:val="left"/>
      <w:pPr>
        <w:tabs>
          <w:tab w:val="num" w:pos="720"/>
        </w:tabs>
        <w:ind w:left="720" w:hanging="720"/>
      </w:pPr>
      <w:rPr>
        <w:rFonts w:ascii="Times New Roman" w:hAnsi="Times New Roman" w:cs="Times New Roman" w:hint="default"/>
        <w:b/>
        <w:i w:val="0"/>
        <w:color w:val="000000"/>
        <w:sz w:val="22"/>
      </w:rPr>
    </w:lvl>
    <w:lvl w:ilvl="2">
      <w:start w:val="1"/>
      <w:numFmt w:val="decimal"/>
      <w:pStyle w:val="Alt2-LevelLegal3"/>
      <w:isLgl/>
      <w:lvlText w:val="%1.%2.%3"/>
      <w:lvlJc w:val="left"/>
      <w:pPr>
        <w:tabs>
          <w:tab w:val="num" w:pos="720"/>
        </w:tabs>
        <w:ind w:left="720" w:hanging="720"/>
      </w:pPr>
      <w:rPr>
        <w:rFonts w:ascii="Times New Roman" w:hAnsi="Times New Roman" w:cs="Times New Roman" w:hint="default"/>
        <w:b/>
        <w:i w:val="0"/>
        <w:color w:val="000000"/>
        <w:sz w:val="22"/>
      </w:rPr>
    </w:lvl>
    <w:lvl w:ilvl="3">
      <w:start w:val="1"/>
      <w:numFmt w:val="lowerLetter"/>
      <w:pStyle w:val="Alt2-LevelLegal4"/>
      <w:lvlText w:val="(%4)"/>
      <w:lvlJc w:val="left"/>
      <w:pPr>
        <w:tabs>
          <w:tab w:val="num" w:pos="1440"/>
        </w:tabs>
        <w:ind w:left="1440" w:hanging="720"/>
      </w:pPr>
      <w:rPr>
        <w:rFonts w:cs="Times New Roman" w:hint="default"/>
        <w:color w:val="000000"/>
      </w:rPr>
    </w:lvl>
    <w:lvl w:ilvl="4">
      <w:start w:val="1"/>
      <w:numFmt w:val="lowerRoman"/>
      <w:pStyle w:val="Alt2-LevelLegal5"/>
      <w:lvlText w:val="(%5)"/>
      <w:lvlJc w:val="left"/>
      <w:pPr>
        <w:tabs>
          <w:tab w:val="num" w:pos="2160"/>
        </w:tabs>
        <w:ind w:left="2160" w:hanging="720"/>
      </w:pPr>
      <w:rPr>
        <w:rFonts w:cs="Times New Roman" w:hint="default"/>
        <w:color w:val="000000"/>
      </w:rPr>
    </w:lvl>
    <w:lvl w:ilvl="5">
      <w:start w:val="1"/>
      <w:numFmt w:val="decimal"/>
      <w:pStyle w:val="Alt2-LevelLegal6"/>
      <w:lvlText w:val="%6."/>
      <w:lvlJc w:val="left"/>
      <w:pPr>
        <w:tabs>
          <w:tab w:val="num" w:pos="1440"/>
        </w:tabs>
        <w:ind w:left="1440" w:hanging="720"/>
      </w:pPr>
      <w:rPr>
        <w:rFonts w:cs="Times New Roman" w:hint="default"/>
        <w:color w:val="000000"/>
      </w:rPr>
    </w:lvl>
    <w:lvl w:ilvl="6">
      <w:start w:val="1"/>
      <w:numFmt w:val="upperLetter"/>
      <w:pStyle w:val="Alt2-LevelLegal7"/>
      <w:lvlText w:val="(%7)"/>
      <w:lvlJc w:val="left"/>
      <w:pPr>
        <w:tabs>
          <w:tab w:val="num" w:pos="3600"/>
        </w:tabs>
        <w:ind w:left="3600" w:hanging="720"/>
      </w:pPr>
      <w:rPr>
        <w:rFonts w:cs="Times New Roman" w:hint="default"/>
        <w:color w:val="00000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3F142350"/>
    <w:multiLevelType w:val="hybridMultilevel"/>
    <w:tmpl w:val="B6FEA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3F3CE3"/>
    <w:multiLevelType w:val="hybridMultilevel"/>
    <w:tmpl w:val="7334F22A"/>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FD262C"/>
    <w:multiLevelType w:val="hybridMultilevel"/>
    <w:tmpl w:val="4AAAE598"/>
    <w:lvl w:ilvl="0" w:tplc="0001040C">
      <w:start w:val="1"/>
      <w:numFmt w:val="bullet"/>
      <w:lvlText w:val=""/>
      <w:lvlJc w:val="left"/>
      <w:pPr>
        <w:tabs>
          <w:tab w:val="num" w:pos="360"/>
        </w:tabs>
        <w:ind w:left="360" w:hanging="360"/>
      </w:pPr>
      <w:rPr>
        <w:rFonts w:ascii="Symbol" w:hAnsi="Symbol" w:hint="default"/>
      </w:rPr>
    </w:lvl>
    <w:lvl w:ilvl="1" w:tplc="0003040C">
      <w:start w:val="1"/>
      <w:numFmt w:val="bullet"/>
      <w:lvlText w:val="o"/>
      <w:lvlJc w:val="left"/>
      <w:pPr>
        <w:tabs>
          <w:tab w:val="num" w:pos="1080"/>
        </w:tabs>
        <w:ind w:left="1080" w:hanging="360"/>
      </w:pPr>
      <w:rPr>
        <w:rFonts w:ascii="Courier New" w:hAnsi="Courier New" w:cs="Times New Roman" w:hint="default"/>
      </w:rPr>
    </w:lvl>
    <w:lvl w:ilvl="2" w:tplc="0005040C">
      <w:start w:val="1"/>
      <w:numFmt w:val="bullet"/>
      <w:lvlText w:val=""/>
      <w:lvlJc w:val="left"/>
      <w:pPr>
        <w:tabs>
          <w:tab w:val="num" w:pos="1800"/>
        </w:tabs>
        <w:ind w:left="1800" w:hanging="360"/>
      </w:pPr>
      <w:rPr>
        <w:rFonts w:ascii="Wingdings" w:hAnsi="Wingdings" w:hint="default"/>
      </w:rPr>
    </w:lvl>
    <w:lvl w:ilvl="3" w:tplc="0001040C">
      <w:start w:val="1"/>
      <w:numFmt w:val="bullet"/>
      <w:lvlText w:val=""/>
      <w:lvlJc w:val="left"/>
      <w:pPr>
        <w:tabs>
          <w:tab w:val="num" w:pos="2520"/>
        </w:tabs>
        <w:ind w:left="2520" w:hanging="360"/>
      </w:pPr>
      <w:rPr>
        <w:rFonts w:ascii="Symbol" w:hAnsi="Symbol" w:hint="default"/>
      </w:rPr>
    </w:lvl>
    <w:lvl w:ilvl="4" w:tplc="0003040C">
      <w:start w:val="1"/>
      <w:numFmt w:val="bullet"/>
      <w:lvlText w:val="o"/>
      <w:lvlJc w:val="left"/>
      <w:pPr>
        <w:tabs>
          <w:tab w:val="num" w:pos="3240"/>
        </w:tabs>
        <w:ind w:left="3240" w:hanging="360"/>
      </w:pPr>
      <w:rPr>
        <w:rFonts w:ascii="Courier New" w:hAnsi="Courier New" w:cs="Times New Roman" w:hint="default"/>
      </w:rPr>
    </w:lvl>
    <w:lvl w:ilvl="5" w:tplc="0005040C">
      <w:start w:val="1"/>
      <w:numFmt w:val="bullet"/>
      <w:lvlText w:val=""/>
      <w:lvlJc w:val="left"/>
      <w:pPr>
        <w:tabs>
          <w:tab w:val="num" w:pos="3960"/>
        </w:tabs>
        <w:ind w:left="3960" w:hanging="360"/>
      </w:pPr>
      <w:rPr>
        <w:rFonts w:ascii="Wingdings" w:hAnsi="Wingdings" w:hint="default"/>
      </w:rPr>
    </w:lvl>
    <w:lvl w:ilvl="6" w:tplc="0001040C">
      <w:start w:val="1"/>
      <w:numFmt w:val="bullet"/>
      <w:lvlText w:val=""/>
      <w:lvlJc w:val="left"/>
      <w:pPr>
        <w:tabs>
          <w:tab w:val="num" w:pos="4680"/>
        </w:tabs>
        <w:ind w:left="4680" w:hanging="360"/>
      </w:pPr>
      <w:rPr>
        <w:rFonts w:ascii="Symbol" w:hAnsi="Symbol" w:hint="default"/>
      </w:rPr>
    </w:lvl>
    <w:lvl w:ilvl="7" w:tplc="0003040C">
      <w:start w:val="1"/>
      <w:numFmt w:val="bullet"/>
      <w:lvlText w:val="o"/>
      <w:lvlJc w:val="left"/>
      <w:pPr>
        <w:tabs>
          <w:tab w:val="num" w:pos="5400"/>
        </w:tabs>
        <w:ind w:left="5400" w:hanging="360"/>
      </w:pPr>
      <w:rPr>
        <w:rFonts w:ascii="Courier New" w:hAnsi="Courier New" w:cs="Times New Roman" w:hint="default"/>
      </w:rPr>
    </w:lvl>
    <w:lvl w:ilvl="8" w:tplc="0005040C">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E166811"/>
    <w:multiLevelType w:val="hybridMultilevel"/>
    <w:tmpl w:val="08E0CA18"/>
    <w:lvl w:ilvl="0" w:tplc="FFFFFFFF">
      <w:start w:val="2"/>
      <w:numFmt w:val="lowerLetter"/>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250"/>
        </w:tabs>
        <w:ind w:left="1250" w:hanging="360"/>
      </w:pPr>
      <w:rPr>
        <w:rFonts w:cs="Times New Roman"/>
      </w:rPr>
    </w:lvl>
    <w:lvl w:ilvl="2" w:tplc="FFFFFFFF" w:tentative="1">
      <w:start w:val="1"/>
      <w:numFmt w:val="lowerRoman"/>
      <w:lvlText w:val="%3."/>
      <w:lvlJc w:val="right"/>
      <w:pPr>
        <w:tabs>
          <w:tab w:val="num" w:pos="1970"/>
        </w:tabs>
        <w:ind w:left="1970" w:hanging="180"/>
      </w:pPr>
      <w:rPr>
        <w:rFonts w:cs="Times New Roman"/>
      </w:rPr>
    </w:lvl>
    <w:lvl w:ilvl="3" w:tplc="FFFFFFFF" w:tentative="1">
      <w:start w:val="1"/>
      <w:numFmt w:val="decimal"/>
      <w:lvlText w:val="%4."/>
      <w:lvlJc w:val="left"/>
      <w:pPr>
        <w:tabs>
          <w:tab w:val="num" w:pos="2690"/>
        </w:tabs>
        <w:ind w:left="2690" w:hanging="360"/>
      </w:pPr>
      <w:rPr>
        <w:rFonts w:cs="Times New Roman"/>
      </w:rPr>
    </w:lvl>
    <w:lvl w:ilvl="4" w:tplc="FFFFFFFF" w:tentative="1">
      <w:start w:val="1"/>
      <w:numFmt w:val="lowerLetter"/>
      <w:lvlText w:val="%5."/>
      <w:lvlJc w:val="left"/>
      <w:pPr>
        <w:tabs>
          <w:tab w:val="num" w:pos="3410"/>
        </w:tabs>
        <w:ind w:left="3410" w:hanging="360"/>
      </w:pPr>
      <w:rPr>
        <w:rFonts w:cs="Times New Roman"/>
      </w:rPr>
    </w:lvl>
    <w:lvl w:ilvl="5" w:tplc="FFFFFFFF" w:tentative="1">
      <w:start w:val="1"/>
      <w:numFmt w:val="lowerRoman"/>
      <w:lvlText w:val="%6."/>
      <w:lvlJc w:val="right"/>
      <w:pPr>
        <w:tabs>
          <w:tab w:val="num" w:pos="4130"/>
        </w:tabs>
        <w:ind w:left="4130" w:hanging="180"/>
      </w:pPr>
      <w:rPr>
        <w:rFonts w:cs="Times New Roman"/>
      </w:rPr>
    </w:lvl>
    <w:lvl w:ilvl="6" w:tplc="FFFFFFFF" w:tentative="1">
      <w:start w:val="1"/>
      <w:numFmt w:val="decimal"/>
      <w:lvlText w:val="%7."/>
      <w:lvlJc w:val="left"/>
      <w:pPr>
        <w:tabs>
          <w:tab w:val="num" w:pos="4850"/>
        </w:tabs>
        <w:ind w:left="4850" w:hanging="360"/>
      </w:pPr>
      <w:rPr>
        <w:rFonts w:cs="Times New Roman"/>
      </w:rPr>
    </w:lvl>
    <w:lvl w:ilvl="7" w:tplc="FFFFFFFF" w:tentative="1">
      <w:start w:val="1"/>
      <w:numFmt w:val="lowerLetter"/>
      <w:lvlText w:val="%8."/>
      <w:lvlJc w:val="left"/>
      <w:pPr>
        <w:tabs>
          <w:tab w:val="num" w:pos="5570"/>
        </w:tabs>
        <w:ind w:left="5570" w:hanging="360"/>
      </w:pPr>
      <w:rPr>
        <w:rFonts w:cs="Times New Roman"/>
      </w:rPr>
    </w:lvl>
    <w:lvl w:ilvl="8" w:tplc="FFFFFFFF" w:tentative="1">
      <w:start w:val="1"/>
      <w:numFmt w:val="lowerRoman"/>
      <w:lvlText w:val="%9."/>
      <w:lvlJc w:val="right"/>
      <w:pPr>
        <w:tabs>
          <w:tab w:val="num" w:pos="6290"/>
        </w:tabs>
        <w:ind w:left="6290" w:hanging="180"/>
      </w:pPr>
      <w:rPr>
        <w:rFonts w:cs="Times New Roman"/>
      </w:rPr>
    </w:lvl>
  </w:abstractNum>
  <w:abstractNum w:abstractNumId="19" w15:restartNumberingAfterBreak="0">
    <w:nsid w:val="4F1E7470"/>
    <w:multiLevelType w:val="hybridMultilevel"/>
    <w:tmpl w:val="71F0821C"/>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1AC6AF0"/>
    <w:multiLevelType w:val="hybridMultilevel"/>
    <w:tmpl w:val="7FD6C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D3AEB"/>
    <w:multiLevelType w:val="hybridMultilevel"/>
    <w:tmpl w:val="66F2E1D0"/>
    <w:lvl w:ilvl="0" w:tplc="040C0001">
      <w:start w:val="1"/>
      <w:numFmt w:val="lowerRoman"/>
      <w:lvlText w:val="%1)"/>
      <w:lvlJc w:val="left"/>
      <w:pPr>
        <w:tabs>
          <w:tab w:val="num" w:pos="780"/>
        </w:tabs>
        <w:ind w:left="780" w:hanging="720"/>
      </w:pPr>
      <w:rPr>
        <w:rFonts w:cs="Times New Roman" w:hint="default"/>
      </w:rPr>
    </w:lvl>
    <w:lvl w:ilvl="1" w:tplc="0C090001">
      <w:start w:val="1"/>
      <w:numFmt w:val="lowerLetter"/>
      <w:lvlText w:val="%2."/>
      <w:lvlJc w:val="left"/>
      <w:pPr>
        <w:tabs>
          <w:tab w:val="num" w:pos="1140"/>
        </w:tabs>
        <w:ind w:left="1140" w:hanging="360"/>
      </w:pPr>
      <w:rPr>
        <w:rFonts w:cs="Times New Roman"/>
      </w:rPr>
    </w:lvl>
    <w:lvl w:ilvl="2" w:tplc="040C0005" w:tentative="1">
      <w:start w:val="1"/>
      <w:numFmt w:val="lowerRoman"/>
      <w:lvlText w:val="%3."/>
      <w:lvlJc w:val="right"/>
      <w:pPr>
        <w:tabs>
          <w:tab w:val="num" w:pos="1860"/>
        </w:tabs>
        <w:ind w:left="1860" w:hanging="180"/>
      </w:pPr>
      <w:rPr>
        <w:rFonts w:cs="Times New Roman"/>
      </w:rPr>
    </w:lvl>
    <w:lvl w:ilvl="3" w:tplc="040C0001" w:tentative="1">
      <w:start w:val="1"/>
      <w:numFmt w:val="decimal"/>
      <w:lvlText w:val="%4."/>
      <w:lvlJc w:val="left"/>
      <w:pPr>
        <w:tabs>
          <w:tab w:val="num" w:pos="2580"/>
        </w:tabs>
        <w:ind w:left="2580" w:hanging="360"/>
      </w:pPr>
      <w:rPr>
        <w:rFonts w:cs="Times New Roman"/>
      </w:rPr>
    </w:lvl>
    <w:lvl w:ilvl="4" w:tplc="040C0003" w:tentative="1">
      <w:start w:val="1"/>
      <w:numFmt w:val="lowerLetter"/>
      <w:lvlText w:val="%5."/>
      <w:lvlJc w:val="left"/>
      <w:pPr>
        <w:tabs>
          <w:tab w:val="num" w:pos="3300"/>
        </w:tabs>
        <w:ind w:left="3300" w:hanging="360"/>
      </w:pPr>
      <w:rPr>
        <w:rFonts w:cs="Times New Roman"/>
      </w:rPr>
    </w:lvl>
    <w:lvl w:ilvl="5" w:tplc="040C0005" w:tentative="1">
      <w:start w:val="1"/>
      <w:numFmt w:val="lowerRoman"/>
      <w:lvlText w:val="%6."/>
      <w:lvlJc w:val="right"/>
      <w:pPr>
        <w:tabs>
          <w:tab w:val="num" w:pos="4020"/>
        </w:tabs>
        <w:ind w:left="4020" w:hanging="180"/>
      </w:pPr>
      <w:rPr>
        <w:rFonts w:cs="Times New Roman"/>
      </w:rPr>
    </w:lvl>
    <w:lvl w:ilvl="6" w:tplc="040C0001" w:tentative="1">
      <w:start w:val="1"/>
      <w:numFmt w:val="decimal"/>
      <w:lvlText w:val="%7."/>
      <w:lvlJc w:val="left"/>
      <w:pPr>
        <w:tabs>
          <w:tab w:val="num" w:pos="4740"/>
        </w:tabs>
        <w:ind w:left="4740" w:hanging="360"/>
      </w:pPr>
      <w:rPr>
        <w:rFonts w:cs="Times New Roman"/>
      </w:rPr>
    </w:lvl>
    <w:lvl w:ilvl="7" w:tplc="040C0003" w:tentative="1">
      <w:start w:val="1"/>
      <w:numFmt w:val="lowerLetter"/>
      <w:lvlText w:val="%8."/>
      <w:lvlJc w:val="left"/>
      <w:pPr>
        <w:tabs>
          <w:tab w:val="num" w:pos="5460"/>
        </w:tabs>
        <w:ind w:left="5460" w:hanging="360"/>
      </w:pPr>
      <w:rPr>
        <w:rFonts w:cs="Times New Roman"/>
      </w:rPr>
    </w:lvl>
    <w:lvl w:ilvl="8" w:tplc="040C0005" w:tentative="1">
      <w:start w:val="1"/>
      <w:numFmt w:val="lowerRoman"/>
      <w:lvlText w:val="%9."/>
      <w:lvlJc w:val="right"/>
      <w:pPr>
        <w:tabs>
          <w:tab w:val="num" w:pos="6180"/>
        </w:tabs>
        <w:ind w:left="6180" w:hanging="180"/>
      </w:pPr>
      <w:rPr>
        <w:rFonts w:cs="Times New Roman"/>
      </w:rPr>
    </w:lvl>
  </w:abstractNum>
  <w:abstractNum w:abstractNumId="22" w15:restartNumberingAfterBreak="0">
    <w:nsid w:val="5853290F"/>
    <w:multiLevelType w:val="hybridMultilevel"/>
    <w:tmpl w:val="A8AA1262"/>
    <w:lvl w:ilvl="0" w:tplc="0C090001">
      <w:start w:val="1"/>
      <w:numFmt w:val="bullet"/>
      <w:lvlText w:val=""/>
      <w:lvlJc w:val="left"/>
      <w:pPr>
        <w:ind w:left="1038"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609324D3"/>
    <w:multiLevelType w:val="hybridMultilevel"/>
    <w:tmpl w:val="CA908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14083F"/>
    <w:multiLevelType w:val="hybridMultilevel"/>
    <w:tmpl w:val="16BC72EA"/>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A6A217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6B527A83"/>
    <w:multiLevelType w:val="multilevel"/>
    <w:tmpl w:val="8A42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CD195C"/>
    <w:multiLevelType w:val="hybridMultilevel"/>
    <w:tmpl w:val="FA5EA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945D20"/>
    <w:multiLevelType w:val="hybridMultilevel"/>
    <w:tmpl w:val="ADD8C09C"/>
    <w:lvl w:ilvl="0" w:tplc="FFFFFFFF">
      <w:start w:val="1"/>
      <w:numFmt w:val="decimal"/>
      <w:lvlText w:val="%1."/>
      <w:lvlJc w:val="left"/>
      <w:pPr>
        <w:tabs>
          <w:tab w:val="num" w:pos="1168"/>
        </w:tabs>
        <w:ind w:left="16" w:firstLine="576"/>
      </w:pPr>
      <w:rPr>
        <w:rFonts w:hint="default"/>
      </w:rPr>
    </w:lvl>
    <w:lvl w:ilvl="1" w:tplc="FFFFFFFF">
      <w:start w:val="1"/>
      <w:numFmt w:val="lowerLetter"/>
      <w:lvlText w:val="%2)"/>
      <w:lvlJc w:val="left"/>
      <w:pPr>
        <w:tabs>
          <w:tab w:val="num" w:pos="304"/>
        </w:tabs>
        <w:ind w:left="304" w:hanging="360"/>
      </w:pPr>
      <w:rPr>
        <w:rFonts w:hint="default"/>
      </w:rPr>
    </w:lvl>
    <w:lvl w:ilvl="2" w:tplc="FFFFFFFF">
      <w:start w:val="1"/>
      <w:numFmt w:val="lowerLetter"/>
      <w:lvlText w:val="(%3)"/>
      <w:lvlJc w:val="left"/>
      <w:pPr>
        <w:tabs>
          <w:tab w:val="num" w:pos="1744"/>
        </w:tabs>
        <w:ind w:left="1744" w:hanging="576"/>
      </w:pPr>
      <w:rPr>
        <w:rFonts w:hint="default"/>
      </w:rPr>
    </w:lvl>
    <w:lvl w:ilvl="3" w:tplc="FFFFFFFF">
      <w:start w:val="1"/>
      <w:numFmt w:val="decimal"/>
      <w:lvlText w:val="%4."/>
      <w:lvlJc w:val="left"/>
      <w:pPr>
        <w:tabs>
          <w:tab w:val="num" w:pos="1744"/>
        </w:tabs>
        <w:ind w:left="1744" w:hanging="360"/>
      </w:pPr>
    </w:lvl>
    <w:lvl w:ilvl="4" w:tplc="FFFFFFFF" w:tentative="1">
      <w:start w:val="1"/>
      <w:numFmt w:val="lowerLetter"/>
      <w:lvlText w:val="%5."/>
      <w:lvlJc w:val="left"/>
      <w:pPr>
        <w:tabs>
          <w:tab w:val="num" w:pos="2464"/>
        </w:tabs>
        <w:ind w:left="2464" w:hanging="360"/>
      </w:pPr>
    </w:lvl>
    <w:lvl w:ilvl="5" w:tplc="FFFFFFFF" w:tentative="1">
      <w:start w:val="1"/>
      <w:numFmt w:val="lowerRoman"/>
      <w:lvlText w:val="%6."/>
      <w:lvlJc w:val="right"/>
      <w:pPr>
        <w:tabs>
          <w:tab w:val="num" w:pos="3184"/>
        </w:tabs>
        <w:ind w:left="3184" w:hanging="180"/>
      </w:pPr>
    </w:lvl>
    <w:lvl w:ilvl="6" w:tplc="FFFFFFFF" w:tentative="1">
      <w:start w:val="1"/>
      <w:numFmt w:val="decimal"/>
      <w:lvlText w:val="%7."/>
      <w:lvlJc w:val="left"/>
      <w:pPr>
        <w:tabs>
          <w:tab w:val="num" w:pos="3904"/>
        </w:tabs>
        <w:ind w:left="3904" w:hanging="360"/>
      </w:pPr>
    </w:lvl>
    <w:lvl w:ilvl="7" w:tplc="FFFFFFFF" w:tentative="1">
      <w:start w:val="1"/>
      <w:numFmt w:val="lowerLetter"/>
      <w:lvlText w:val="%8."/>
      <w:lvlJc w:val="left"/>
      <w:pPr>
        <w:tabs>
          <w:tab w:val="num" w:pos="4624"/>
        </w:tabs>
        <w:ind w:left="4624" w:hanging="360"/>
      </w:pPr>
    </w:lvl>
    <w:lvl w:ilvl="8" w:tplc="FFFFFFFF" w:tentative="1">
      <w:start w:val="1"/>
      <w:numFmt w:val="lowerRoman"/>
      <w:lvlText w:val="%9."/>
      <w:lvlJc w:val="right"/>
      <w:pPr>
        <w:tabs>
          <w:tab w:val="num" w:pos="5344"/>
        </w:tabs>
        <w:ind w:left="5344" w:hanging="180"/>
      </w:pPr>
    </w:lvl>
  </w:abstractNum>
  <w:abstractNum w:abstractNumId="29" w15:restartNumberingAfterBreak="0">
    <w:nsid w:val="741B09D0"/>
    <w:multiLevelType w:val="hybridMultilevel"/>
    <w:tmpl w:val="06309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F95F43"/>
    <w:multiLevelType w:val="hybridMultilevel"/>
    <w:tmpl w:val="A08C90D8"/>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D37640"/>
    <w:multiLevelType w:val="hybridMultilevel"/>
    <w:tmpl w:val="FE12901C"/>
    <w:lvl w:ilvl="0" w:tplc="0994E3AA">
      <w:start w:val="10"/>
      <w:numFmt w:val="decimal"/>
      <w:lvlText w:val="%1."/>
      <w:lvlJc w:val="left"/>
      <w:pPr>
        <w:tabs>
          <w:tab w:val="num" w:pos="360"/>
        </w:tabs>
        <w:ind w:left="360" w:hanging="360"/>
      </w:pPr>
      <w:rPr>
        <w:rFonts w:cs="Times New Roman"/>
        <w:b/>
        <w:bCs/>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15:restartNumberingAfterBreak="0">
    <w:nsid w:val="7C5C1826"/>
    <w:multiLevelType w:val="hybridMultilevel"/>
    <w:tmpl w:val="2A1CDFF6"/>
    <w:lvl w:ilvl="0" w:tplc="04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8"/>
  </w:num>
  <w:num w:numId="4">
    <w:abstractNumId w:val="19"/>
  </w:num>
  <w:num w:numId="5">
    <w:abstractNumId w:val="6"/>
  </w:num>
  <w:num w:numId="6">
    <w:abstractNumId w:val="8"/>
  </w:num>
  <w:num w:numId="7">
    <w:abstractNumId w:val="23"/>
  </w:num>
  <w:num w:numId="8">
    <w:abstractNumId w:val="28"/>
  </w:num>
  <w:num w:numId="9">
    <w:abstractNumId w:val="1"/>
  </w:num>
  <w:num w:numId="10">
    <w:abstractNumId w:val="29"/>
  </w:num>
  <w:num w:numId="11">
    <w:abstractNumId w:val="27"/>
  </w:num>
  <w:num w:numId="12">
    <w:abstractNumId w:val="30"/>
  </w:num>
  <w:num w:numId="13">
    <w:abstractNumId w:val="32"/>
  </w:num>
  <w:num w:numId="14">
    <w:abstractNumId w:val="11"/>
  </w:num>
  <w:num w:numId="15">
    <w:abstractNumId w:val="16"/>
  </w:num>
  <w:num w:numId="16">
    <w:abstractNumId w:val="15"/>
  </w:num>
  <w:num w:numId="17">
    <w:abstractNumId w:val="22"/>
  </w:num>
  <w:num w:numId="18">
    <w:abstractNumId w:val="13"/>
  </w:num>
  <w:num w:numId="19">
    <w:abstractNumId w:val="26"/>
  </w:num>
  <w:num w:numId="20">
    <w:abstractNumId w:val="12"/>
  </w:num>
  <w:num w:numId="21">
    <w:abstractNumId w:val="9"/>
  </w:num>
  <w:num w:numId="22">
    <w:abstractNumId w:val="25"/>
  </w:num>
  <w:num w:numId="23">
    <w:abstractNumId w:val="2"/>
    <w:lvlOverride w:ilvl="0">
      <w:startOverride w:val="1"/>
    </w:lvlOverride>
  </w:num>
  <w:num w:numId="24">
    <w:abstractNumId w:val="17"/>
  </w:num>
  <w:num w:numId="25">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
  </w:num>
  <w:num w:numId="28">
    <w:abstractNumId w:val="5"/>
  </w:num>
  <w:num w:numId="29">
    <w:abstractNumId w:val="10"/>
  </w:num>
  <w:num w:numId="30">
    <w:abstractNumId w:val="7"/>
  </w:num>
  <w:num w:numId="31">
    <w:abstractNumId w:val="20"/>
  </w:num>
  <w:num w:numId="3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AR" w:vendorID="64" w:dllVersion="0" w:nlCheck="1" w:checkStyle="1"/>
  <w:activeWritingStyle w:appName="MSWord" w:lang="es-ES_tradnl" w:vendorID="64" w:dllVersion="0" w:nlCheck="1" w:checkStyle="1"/>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AU" w:vendorID="64" w:dllVersion="0" w:nlCheck="1" w:checkStyle="1"/>
  <w:activeWritingStyle w:appName="MSWord" w:lang="es-ES" w:vendorID="64" w:dllVersion="0" w:nlCheck="1" w:checkStyle="1"/>
  <w:activeWritingStyle w:appName="MSWord" w:lang="en-CA"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80"/>
  <w:hyphenationZone w:val="425"/>
  <w:doNotHyphenateCaps/>
  <w:evenAndOddHeaders/>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5C2"/>
    <w:rsid w:val="000002B5"/>
    <w:rsid w:val="000003B8"/>
    <w:rsid w:val="00000675"/>
    <w:rsid w:val="00000A1F"/>
    <w:rsid w:val="000011BD"/>
    <w:rsid w:val="00001D7E"/>
    <w:rsid w:val="00002672"/>
    <w:rsid w:val="0000299A"/>
    <w:rsid w:val="00002AA7"/>
    <w:rsid w:val="00004816"/>
    <w:rsid w:val="00004883"/>
    <w:rsid w:val="00004ED1"/>
    <w:rsid w:val="00005800"/>
    <w:rsid w:val="00006CB1"/>
    <w:rsid w:val="00007A98"/>
    <w:rsid w:val="0001120D"/>
    <w:rsid w:val="00011ACB"/>
    <w:rsid w:val="00011E44"/>
    <w:rsid w:val="000141FA"/>
    <w:rsid w:val="0001517E"/>
    <w:rsid w:val="00015751"/>
    <w:rsid w:val="00017F5C"/>
    <w:rsid w:val="00020022"/>
    <w:rsid w:val="000204EC"/>
    <w:rsid w:val="00021635"/>
    <w:rsid w:val="00021F37"/>
    <w:rsid w:val="000232D1"/>
    <w:rsid w:val="00024E6F"/>
    <w:rsid w:val="0002509D"/>
    <w:rsid w:val="000250B6"/>
    <w:rsid w:val="00025AA4"/>
    <w:rsid w:val="00025E75"/>
    <w:rsid w:val="00026505"/>
    <w:rsid w:val="00026CBD"/>
    <w:rsid w:val="00031890"/>
    <w:rsid w:val="00031E6A"/>
    <w:rsid w:val="00032225"/>
    <w:rsid w:val="0003240D"/>
    <w:rsid w:val="000326CB"/>
    <w:rsid w:val="000345AD"/>
    <w:rsid w:val="00035378"/>
    <w:rsid w:val="00035AB3"/>
    <w:rsid w:val="000406BE"/>
    <w:rsid w:val="00040A51"/>
    <w:rsid w:val="00040C14"/>
    <w:rsid w:val="00040D6B"/>
    <w:rsid w:val="00041A4B"/>
    <w:rsid w:val="00043067"/>
    <w:rsid w:val="000439A1"/>
    <w:rsid w:val="000441DF"/>
    <w:rsid w:val="00044F20"/>
    <w:rsid w:val="00045A7D"/>
    <w:rsid w:val="00045D16"/>
    <w:rsid w:val="00047832"/>
    <w:rsid w:val="00047C4E"/>
    <w:rsid w:val="000510D9"/>
    <w:rsid w:val="0005295A"/>
    <w:rsid w:val="000536CB"/>
    <w:rsid w:val="00054E91"/>
    <w:rsid w:val="000552BC"/>
    <w:rsid w:val="000554C8"/>
    <w:rsid w:val="00056FFF"/>
    <w:rsid w:val="0005736C"/>
    <w:rsid w:val="0006114D"/>
    <w:rsid w:val="00063B5E"/>
    <w:rsid w:val="00064304"/>
    <w:rsid w:val="000646DF"/>
    <w:rsid w:val="0006535A"/>
    <w:rsid w:val="00066285"/>
    <w:rsid w:val="00066BB2"/>
    <w:rsid w:val="00067290"/>
    <w:rsid w:val="00067981"/>
    <w:rsid w:val="00067EB6"/>
    <w:rsid w:val="0007014A"/>
    <w:rsid w:val="00071108"/>
    <w:rsid w:val="00071B93"/>
    <w:rsid w:val="000728DA"/>
    <w:rsid w:val="0007364D"/>
    <w:rsid w:val="00074AB5"/>
    <w:rsid w:val="0007556B"/>
    <w:rsid w:val="00075929"/>
    <w:rsid w:val="0007660D"/>
    <w:rsid w:val="00076BD1"/>
    <w:rsid w:val="00077EAE"/>
    <w:rsid w:val="0008006F"/>
    <w:rsid w:val="000802E7"/>
    <w:rsid w:val="0008080B"/>
    <w:rsid w:val="00080C39"/>
    <w:rsid w:val="00081B64"/>
    <w:rsid w:val="000836CD"/>
    <w:rsid w:val="0008399E"/>
    <w:rsid w:val="00084B6E"/>
    <w:rsid w:val="000850EB"/>
    <w:rsid w:val="00085148"/>
    <w:rsid w:val="000863EF"/>
    <w:rsid w:val="00086B20"/>
    <w:rsid w:val="00086B93"/>
    <w:rsid w:val="000870E5"/>
    <w:rsid w:val="00087109"/>
    <w:rsid w:val="00090F48"/>
    <w:rsid w:val="00092303"/>
    <w:rsid w:val="00093383"/>
    <w:rsid w:val="00094463"/>
    <w:rsid w:val="000956DC"/>
    <w:rsid w:val="000A082B"/>
    <w:rsid w:val="000A115E"/>
    <w:rsid w:val="000A3F7C"/>
    <w:rsid w:val="000A422D"/>
    <w:rsid w:val="000A5599"/>
    <w:rsid w:val="000A591F"/>
    <w:rsid w:val="000A598B"/>
    <w:rsid w:val="000A658C"/>
    <w:rsid w:val="000A78C0"/>
    <w:rsid w:val="000A7E1D"/>
    <w:rsid w:val="000B05F1"/>
    <w:rsid w:val="000B0B29"/>
    <w:rsid w:val="000B181F"/>
    <w:rsid w:val="000B1B2C"/>
    <w:rsid w:val="000B25C2"/>
    <w:rsid w:val="000B2961"/>
    <w:rsid w:val="000B2B73"/>
    <w:rsid w:val="000B36D8"/>
    <w:rsid w:val="000B3F81"/>
    <w:rsid w:val="000B4512"/>
    <w:rsid w:val="000B4C33"/>
    <w:rsid w:val="000B4C82"/>
    <w:rsid w:val="000B4D45"/>
    <w:rsid w:val="000B4FC1"/>
    <w:rsid w:val="000B623A"/>
    <w:rsid w:val="000B6922"/>
    <w:rsid w:val="000B6D27"/>
    <w:rsid w:val="000B74E4"/>
    <w:rsid w:val="000C1B64"/>
    <w:rsid w:val="000C257B"/>
    <w:rsid w:val="000C2766"/>
    <w:rsid w:val="000C2894"/>
    <w:rsid w:val="000C34CC"/>
    <w:rsid w:val="000C374F"/>
    <w:rsid w:val="000C392F"/>
    <w:rsid w:val="000C3A21"/>
    <w:rsid w:val="000C4E3C"/>
    <w:rsid w:val="000C54E8"/>
    <w:rsid w:val="000C649D"/>
    <w:rsid w:val="000C69F5"/>
    <w:rsid w:val="000C6D2D"/>
    <w:rsid w:val="000C77F3"/>
    <w:rsid w:val="000D085E"/>
    <w:rsid w:val="000D16B0"/>
    <w:rsid w:val="000D1B2E"/>
    <w:rsid w:val="000D1CFA"/>
    <w:rsid w:val="000D1FCE"/>
    <w:rsid w:val="000D22D3"/>
    <w:rsid w:val="000D24ED"/>
    <w:rsid w:val="000D2B78"/>
    <w:rsid w:val="000D36A0"/>
    <w:rsid w:val="000D545A"/>
    <w:rsid w:val="000D590A"/>
    <w:rsid w:val="000D61B2"/>
    <w:rsid w:val="000D682B"/>
    <w:rsid w:val="000D6997"/>
    <w:rsid w:val="000D7156"/>
    <w:rsid w:val="000D7B4C"/>
    <w:rsid w:val="000D7F69"/>
    <w:rsid w:val="000E02F5"/>
    <w:rsid w:val="000E088A"/>
    <w:rsid w:val="000E117D"/>
    <w:rsid w:val="000E287D"/>
    <w:rsid w:val="000E2BAE"/>
    <w:rsid w:val="000E2E28"/>
    <w:rsid w:val="000E46B3"/>
    <w:rsid w:val="000E67BA"/>
    <w:rsid w:val="000E7DF0"/>
    <w:rsid w:val="000F01E4"/>
    <w:rsid w:val="000F1523"/>
    <w:rsid w:val="000F1FA9"/>
    <w:rsid w:val="000F2026"/>
    <w:rsid w:val="000F226B"/>
    <w:rsid w:val="000F22AA"/>
    <w:rsid w:val="000F2501"/>
    <w:rsid w:val="000F2616"/>
    <w:rsid w:val="000F2BF3"/>
    <w:rsid w:val="000F34C0"/>
    <w:rsid w:val="000F3D2C"/>
    <w:rsid w:val="000F41F4"/>
    <w:rsid w:val="000F45FE"/>
    <w:rsid w:val="000F543A"/>
    <w:rsid w:val="000F55B5"/>
    <w:rsid w:val="000F59B7"/>
    <w:rsid w:val="000F6B47"/>
    <w:rsid w:val="000F6DEC"/>
    <w:rsid w:val="000F72B1"/>
    <w:rsid w:val="000F7A7F"/>
    <w:rsid w:val="000F7F25"/>
    <w:rsid w:val="001002FA"/>
    <w:rsid w:val="0010041A"/>
    <w:rsid w:val="001004F4"/>
    <w:rsid w:val="00100FA1"/>
    <w:rsid w:val="00100FDA"/>
    <w:rsid w:val="00101B7D"/>
    <w:rsid w:val="00102C2F"/>
    <w:rsid w:val="00103D77"/>
    <w:rsid w:val="00103F31"/>
    <w:rsid w:val="00104BE4"/>
    <w:rsid w:val="00104D01"/>
    <w:rsid w:val="001061F3"/>
    <w:rsid w:val="001079E6"/>
    <w:rsid w:val="00110237"/>
    <w:rsid w:val="001106A8"/>
    <w:rsid w:val="00112410"/>
    <w:rsid w:val="00112AC1"/>
    <w:rsid w:val="00112D11"/>
    <w:rsid w:val="00113508"/>
    <w:rsid w:val="00114183"/>
    <w:rsid w:val="001155A3"/>
    <w:rsid w:val="00115B29"/>
    <w:rsid w:val="00115CC3"/>
    <w:rsid w:val="0011618B"/>
    <w:rsid w:val="001171EA"/>
    <w:rsid w:val="00117457"/>
    <w:rsid w:val="00117F1E"/>
    <w:rsid w:val="00120719"/>
    <w:rsid w:val="00120FA9"/>
    <w:rsid w:val="0012309B"/>
    <w:rsid w:val="00123174"/>
    <w:rsid w:val="00123301"/>
    <w:rsid w:val="00123606"/>
    <w:rsid w:val="0012534A"/>
    <w:rsid w:val="00125AAA"/>
    <w:rsid w:val="00127BAB"/>
    <w:rsid w:val="00127D9F"/>
    <w:rsid w:val="001307B1"/>
    <w:rsid w:val="00132E0D"/>
    <w:rsid w:val="00133155"/>
    <w:rsid w:val="001338E7"/>
    <w:rsid w:val="00133A78"/>
    <w:rsid w:val="001343C2"/>
    <w:rsid w:val="00134C19"/>
    <w:rsid w:val="00135D89"/>
    <w:rsid w:val="0013628A"/>
    <w:rsid w:val="00136ACF"/>
    <w:rsid w:val="001377B5"/>
    <w:rsid w:val="001401EF"/>
    <w:rsid w:val="00140458"/>
    <w:rsid w:val="001414DB"/>
    <w:rsid w:val="00141F14"/>
    <w:rsid w:val="00142C0A"/>
    <w:rsid w:val="00143452"/>
    <w:rsid w:val="00143796"/>
    <w:rsid w:val="00144093"/>
    <w:rsid w:val="0014640F"/>
    <w:rsid w:val="00146C0D"/>
    <w:rsid w:val="0015083C"/>
    <w:rsid w:val="00150D22"/>
    <w:rsid w:val="00150E29"/>
    <w:rsid w:val="001517C2"/>
    <w:rsid w:val="00151B56"/>
    <w:rsid w:val="00151D30"/>
    <w:rsid w:val="001526E0"/>
    <w:rsid w:val="001527B5"/>
    <w:rsid w:val="001528A3"/>
    <w:rsid w:val="00152CC7"/>
    <w:rsid w:val="00152D32"/>
    <w:rsid w:val="00153F40"/>
    <w:rsid w:val="00155158"/>
    <w:rsid w:val="00155897"/>
    <w:rsid w:val="00160AF9"/>
    <w:rsid w:val="001611C4"/>
    <w:rsid w:val="00161D29"/>
    <w:rsid w:val="001635CB"/>
    <w:rsid w:val="00164A94"/>
    <w:rsid w:val="00165D1B"/>
    <w:rsid w:val="0016662A"/>
    <w:rsid w:val="0016684C"/>
    <w:rsid w:val="00167104"/>
    <w:rsid w:val="00167392"/>
    <w:rsid w:val="00170E35"/>
    <w:rsid w:val="00171B5F"/>
    <w:rsid w:val="001735F2"/>
    <w:rsid w:val="0017367D"/>
    <w:rsid w:val="00173B76"/>
    <w:rsid w:val="001740F4"/>
    <w:rsid w:val="0017435F"/>
    <w:rsid w:val="001754FE"/>
    <w:rsid w:val="001765C8"/>
    <w:rsid w:val="00176BB4"/>
    <w:rsid w:val="00177B81"/>
    <w:rsid w:val="00177F1F"/>
    <w:rsid w:val="00180328"/>
    <w:rsid w:val="00181E17"/>
    <w:rsid w:val="001826BD"/>
    <w:rsid w:val="00183640"/>
    <w:rsid w:val="00183862"/>
    <w:rsid w:val="00183910"/>
    <w:rsid w:val="001849E8"/>
    <w:rsid w:val="00187040"/>
    <w:rsid w:val="00187856"/>
    <w:rsid w:val="00187CBC"/>
    <w:rsid w:val="0019081A"/>
    <w:rsid w:val="001909F5"/>
    <w:rsid w:val="00190CAC"/>
    <w:rsid w:val="00190D58"/>
    <w:rsid w:val="00191962"/>
    <w:rsid w:val="00191F57"/>
    <w:rsid w:val="00192C20"/>
    <w:rsid w:val="00194646"/>
    <w:rsid w:val="00195804"/>
    <w:rsid w:val="00195E96"/>
    <w:rsid w:val="00196CA6"/>
    <w:rsid w:val="00196EED"/>
    <w:rsid w:val="001975FE"/>
    <w:rsid w:val="001A153C"/>
    <w:rsid w:val="001A3B27"/>
    <w:rsid w:val="001A4BE9"/>
    <w:rsid w:val="001A6071"/>
    <w:rsid w:val="001A725F"/>
    <w:rsid w:val="001A758D"/>
    <w:rsid w:val="001A7667"/>
    <w:rsid w:val="001B00B1"/>
    <w:rsid w:val="001B0203"/>
    <w:rsid w:val="001B09DC"/>
    <w:rsid w:val="001B0F82"/>
    <w:rsid w:val="001B1427"/>
    <w:rsid w:val="001B150B"/>
    <w:rsid w:val="001B1D21"/>
    <w:rsid w:val="001B28F0"/>
    <w:rsid w:val="001B3B4A"/>
    <w:rsid w:val="001B4856"/>
    <w:rsid w:val="001B4960"/>
    <w:rsid w:val="001B4B79"/>
    <w:rsid w:val="001B5456"/>
    <w:rsid w:val="001B59DD"/>
    <w:rsid w:val="001B677C"/>
    <w:rsid w:val="001B6C52"/>
    <w:rsid w:val="001B7223"/>
    <w:rsid w:val="001B7327"/>
    <w:rsid w:val="001B7910"/>
    <w:rsid w:val="001B793A"/>
    <w:rsid w:val="001B7A50"/>
    <w:rsid w:val="001B7E13"/>
    <w:rsid w:val="001C0609"/>
    <w:rsid w:val="001C0ED1"/>
    <w:rsid w:val="001C14EF"/>
    <w:rsid w:val="001C1F46"/>
    <w:rsid w:val="001C21D2"/>
    <w:rsid w:val="001C2DA7"/>
    <w:rsid w:val="001C423E"/>
    <w:rsid w:val="001C4B13"/>
    <w:rsid w:val="001D0124"/>
    <w:rsid w:val="001D05C8"/>
    <w:rsid w:val="001D18A6"/>
    <w:rsid w:val="001D2AA7"/>
    <w:rsid w:val="001D2F3F"/>
    <w:rsid w:val="001D3023"/>
    <w:rsid w:val="001D37A4"/>
    <w:rsid w:val="001D4E42"/>
    <w:rsid w:val="001D5715"/>
    <w:rsid w:val="001D57B3"/>
    <w:rsid w:val="001D581E"/>
    <w:rsid w:val="001D766D"/>
    <w:rsid w:val="001D7AE2"/>
    <w:rsid w:val="001E0342"/>
    <w:rsid w:val="001E133A"/>
    <w:rsid w:val="001E2BD8"/>
    <w:rsid w:val="001E3306"/>
    <w:rsid w:val="001E3DC1"/>
    <w:rsid w:val="001E40D1"/>
    <w:rsid w:val="001E535B"/>
    <w:rsid w:val="001E5E54"/>
    <w:rsid w:val="001F1EAF"/>
    <w:rsid w:val="001F21A8"/>
    <w:rsid w:val="001F49CC"/>
    <w:rsid w:val="001F5912"/>
    <w:rsid w:val="002002C5"/>
    <w:rsid w:val="00200BDF"/>
    <w:rsid w:val="00200EE1"/>
    <w:rsid w:val="00201289"/>
    <w:rsid w:val="0020184A"/>
    <w:rsid w:val="002020AA"/>
    <w:rsid w:val="00204C7D"/>
    <w:rsid w:val="00205029"/>
    <w:rsid w:val="00207782"/>
    <w:rsid w:val="00210905"/>
    <w:rsid w:val="00210CEC"/>
    <w:rsid w:val="002113B3"/>
    <w:rsid w:val="002116F6"/>
    <w:rsid w:val="002121DB"/>
    <w:rsid w:val="002124FC"/>
    <w:rsid w:val="00212997"/>
    <w:rsid w:val="00212E6F"/>
    <w:rsid w:val="0021355E"/>
    <w:rsid w:val="0021406E"/>
    <w:rsid w:val="00214DED"/>
    <w:rsid w:val="00215CE4"/>
    <w:rsid w:val="00220027"/>
    <w:rsid w:val="0022091F"/>
    <w:rsid w:val="00220E4E"/>
    <w:rsid w:val="002210B3"/>
    <w:rsid w:val="00224D50"/>
    <w:rsid w:val="0022529E"/>
    <w:rsid w:val="00225AC5"/>
    <w:rsid w:val="00225B67"/>
    <w:rsid w:val="00226B2F"/>
    <w:rsid w:val="00227491"/>
    <w:rsid w:val="00227D0D"/>
    <w:rsid w:val="00227F2E"/>
    <w:rsid w:val="00230892"/>
    <w:rsid w:val="00231970"/>
    <w:rsid w:val="00232B5F"/>
    <w:rsid w:val="00233318"/>
    <w:rsid w:val="00234175"/>
    <w:rsid w:val="00234E0D"/>
    <w:rsid w:val="00234F9B"/>
    <w:rsid w:val="002354D7"/>
    <w:rsid w:val="0023613A"/>
    <w:rsid w:val="00237314"/>
    <w:rsid w:val="002402D1"/>
    <w:rsid w:val="0024077F"/>
    <w:rsid w:val="00241147"/>
    <w:rsid w:val="00241D87"/>
    <w:rsid w:val="002437E5"/>
    <w:rsid w:val="0024383A"/>
    <w:rsid w:val="00243982"/>
    <w:rsid w:val="00243D7B"/>
    <w:rsid w:val="002441EA"/>
    <w:rsid w:val="002445C1"/>
    <w:rsid w:val="00244B6A"/>
    <w:rsid w:val="00245180"/>
    <w:rsid w:val="0024574E"/>
    <w:rsid w:val="00245D65"/>
    <w:rsid w:val="0024685A"/>
    <w:rsid w:val="00247BB9"/>
    <w:rsid w:val="00250171"/>
    <w:rsid w:val="00250DBF"/>
    <w:rsid w:val="00251560"/>
    <w:rsid w:val="002522A3"/>
    <w:rsid w:val="0025277E"/>
    <w:rsid w:val="00252C4C"/>
    <w:rsid w:val="00253844"/>
    <w:rsid w:val="00253B54"/>
    <w:rsid w:val="00253CA8"/>
    <w:rsid w:val="00254F25"/>
    <w:rsid w:val="0025542E"/>
    <w:rsid w:val="00255524"/>
    <w:rsid w:val="0025560A"/>
    <w:rsid w:val="00255837"/>
    <w:rsid w:val="00255DC4"/>
    <w:rsid w:val="002573BD"/>
    <w:rsid w:val="00260BD4"/>
    <w:rsid w:val="00260FCF"/>
    <w:rsid w:val="00261066"/>
    <w:rsid w:val="0026159C"/>
    <w:rsid w:val="00261DA1"/>
    <w:rsid w:val="00263116"/>
    <w:rsid w:val="00263F75"/>
    <w:rsid w:val="00263FD8"/>
    <w:rsid w:val="00265B04"/>
    <w:rsid w:val="00266385"/>
    <w:rsid w:val="002663FF"/>
    <w:rsid w:val="00266678"/>
    <w:rsid w:val="002713F3"/>
    <w:rsid w:val="0027651E"/>
    <w:rsid w:val="002765C1"/>
    <w:rsid w:val="0027732D"/>
    <w:rsid w:val="002807DD"/>
    <w:rsid w:val="00280BE0"/>
    <w:rsid w:val="002812E9"/>
    <w:rsid w:val="00281C04"/>
    <w:rsid w:val="002822C5"/>
    <w:rsid w:val="002834E9"/>
    <w:rsid w:val="0028401E"/>
    <w:rsid w:val="00284C6E"/>
    <w:rsid w:val="00285040"/>
    <w:rsid w:val="00285472"/>
    <w:rsid w:val="002858C3"/>
    <w:rsid w:val="00285A83"/>
    <w:rsid w:val="00286C4F"/>
    <w:rsid w:val="00286DCF"/>
    <w:rsid w:val="002873C0"/>
    <w:rsid w:val="00287CD8"/>
    <w:rsid w:val="002907E7"/>
    <w:rsid w:val="00290A6D"/>
    <w:rsid w:val="00291076"/>
    <w:rsid w:val="002924D0"/>
    <w:rsid w:val="00292924"/>
    <w:rsid w:val="00293037"/>
    <w:rsid w:val="002933A7"/>
    <w:rsid w:val="0029352C"/>
    <w:rsid w:val="00294254"/>
    <w:rsid w:val="002942A8"/>
    <w:rsid w:val="00294D81"/>
    <w:rsid w:val="00295FB6"/>
    <w:rsid w:val="00295FF2"/>
    <w:rsid w:val="0029764D"/>
    <w:rsid w:val="002A0623"/>
    <w:rsid w:val="002A08AB"/>
    <w:rsid w:val="002A0BDB"/>
    <w:rsid w:val="002A1695"/>
    <w:rsid w:val="002A2B72"/>
    <w:rsid w:val="002A41A0"/>
    <w:rsid w:val="002A5729"/>
    <w:rsid w:val="002A6061"/>
    <w:rsid w:val="002A6B91"/>
    <w:rsid w:val="002A6C96"/>
    <w:rsid w:val="002A6EEC"/>
    <w:rsid w:val="002A732E"/>
    <w:rsid w:val="002B0F25"/>
    <w:rsid w:val="002B2F50"/>
    <w:rsid w:val="002B36C8"/>
    <w:rsid w:val="002B3F30"/>
    <w:rsid w:val="002B4134"/>
    <w:rsid w:val="002B439E"/>
    <w:rsid w:val="002B4A81"/>
    <w:rsid w:val="002B526F"/>
    <w:rsid w:val="002B573B"/>
    <w:rsid w:val="002B590A"/>
    <w:rsid w:val="002B5FF0"/>
    <w:rsid w:val="002B6023"/>
    <w:rsid w:val="002B6D3A"/>
    <w:rsid w:val="002B6DD1"/>
    <w:rsid w:val="002B749B"/>
    <w:rsid w:val="002B791D"/>
    <w:rsid w:val="002B7CB5"/>
    <w:rsid w:val="002C0A33"/>
    <w:rsid w:val="002C2F9B"/>
    <w:rsid w:val="002C3202"/>
    <w:rsid w:val="002C34D4"/>
    <w:rsid w:val="002C37CE"/>
    <w:rsid w:val="002C574F"/>
    <w:rsid w:val="002C6601"/>
    <w:rsid w:val="002C6E31"/>
    <w:rsid w:val="002C702A"/>
    <w:rsid w:val="002C7EEC"/>
    <w:rsid w:val="002D0261"/>
    <w:rsid w:val="002D0E38"/>
    <w:rsid w:val="002D14B8"/>
    <w:rsid w:val="002D1CA2"/>
    <w:rsid w:val="002D2101"/>
    <w:rsid w:val="002D422F"/>
    <w:rsid w:val="002D4CDD"/>
    <w:rsid w:val="002D659B"/>
    <w:rsid w:val="002D6605"/>
    <w:rsid w:val="002D66BC"/>
    <w:rsid w:val="002D6CC1"/>
    <w:rsid w:val="002E12FB"/>
    <w:rsid w:val="002E17BD"/>
    <w:rsid w:val="002E2011"/>
    <w:rsid w:val="002E2D3E"/>
    <w:rsid w:val="002E3429"/>
    <w:rsid w:val="002E3C7F"/>
    <w:rsid w:val="002E3F3D"/>
    <w:rsid w:val="002E4260"/>
    <w:rsid w:val="002E4752"/>
    <w:rsid w:val="002E4877"/>
    <w:rsid w:val="002E5378"/>
    <w:rsid w:val="002E578B"/>
    <w:rsid w:val="002E6128"/>
    <w:rsid w:val="002E65A5"/>
    <w:rsid w:val="002E67FB"/>
    <w:rsid w:val="002E7047"/>
    <w:rsid w:val="002E7B05"/>
    <w:rsid w:val="002F0999"/>
    <w:rsid w:val="002F144A"/>
    <w:rsid w:val="002F149B"/>
    <w:rsid w:val="002F153E"/>
    <w:rsid w:val="002F41A2"/>
    <w:rsid w:val="002F466D"/>
    <w:rsid w:val="002F4D34"/>
    <w:rsid w:val="002F530B"/>
    <w:rsid w:val="002F58B2"/>
    <w:rsid w:val="002F6497"/>
    <w:rsid w:val="002F6DFE"/>
    <w:rsid w:val="002F7B52"/>
    <w:rsid w:val="002F7DA9"/>
    <w:rsid w:val="0030097D"/>
    <w:rsid w:val="00300B07"/>
    <w:rsid w:val="00300B63"/>
    <w:rsid w:val="00300FB5"/>
    <w:rsid w:val="00301429"/>
    <w:rsid w:val="003027EE"/>
    <w:rsid w:val="003030D4"/>
    <w:rsid w:val="00303180"/>
    <w:rsid w:val="003031BD"/>
    <w:rsid w:val="00303CFC"/>
    <w:rsid w:val="00304B87"/>
    <w:rsid w:val="003068A8"/>
    <w:rsid w:val="00306F13"/>
    <w:rsid w:val="003072D2"/>
    <w:rsid w:val="003079B9"/>
    <w:rsid w:val="00310180"/>
    <w:rsid w:val="00310912"/>
    <w:rsid w:val="00310FF5"/>
    <w:rsid w:val="00311AD9"/>
    <w:rsid w:val="0031222D"/>
    <w:rsid w:val="00312654"/>
    <w:rsid w:val="003129AA"/>
    <w:rsid w:val="00312C96"/>
    <w:rsid w:val="00312E91"/>
    <w:rsid w:val="003133A4"/>
    <w:rsid w:val="00313E0C"/>
    <w:rsid w:val="00313E7D"/>
    <w:rsid w:val="003150E9"/>
    <w:rsid w:val="00316075"/>
    <w:rsid w:val="00316181"/>
    <w:rsid w:val="003163B5"/>
    <w:rsid w:val="003169F2"/>
    <w:rsid w:val="00317A96"/>
    <w:rsid w:val="00320375"/>
    <w:rsid w:val="00320C1C"/>
    <w:rsid w:val="0032120F"/>
    <w:rsid w:val="00321F31"/>
    <w:rsid w:val="00322528"/>
    <w:rsid w:val="00322BC3"/>
    <w:rsid w:val="00322F2B"/>
    <w:rsid w:val="003233D7"/>
    <w:rsid w:val="003235D3"/>
    <w:rsid w:val="003249EE"/>
    <w:rsid w:val="00327668"/>
    <w:rsid w:val="00327D4E"/>
    <w:rsid w:val="0033003C"/>
    <w:rsid w:val="003308B0"/>
    <w:rsid w:val="00331C9C"/>
    <w:rsid w:val="003322BA"/>
    <w:rsid w:val="00332A99"/>
    <w:rsid w:val="00334122"/>
    <w:rsid w:val="00334934"/>
    <w:rsid w:val="00334DBD"/>
    <w:rsid w:val="00336359"/>
    <w:rsid w:val="00336D32"/>
    <w:rsid w:val="00340820"/>
    <w:rsid w:val="00340D60"/>
    <w:rsid w:val="00340F94"/>
    <w:rsid w:val="0034143E"/>
    <w:rsid w:val="00341BC0"/>
    <w:rsid w:val="00342E2C"/>
    <w:rsid w:val="00345318"/>
    <w:rsid w:val="00346089"/>
    <w:rsid w:val="003467C6"/>
    <w:rsid w:val="00347656"/>
    <w:rsid w:val="003476A2"/>
    <w:rsid w:val="00350BCF"/>
    <w:rsid w:val="00351105"/>
    <w:rsid w:val="00351232"/>
    <w:rsid w:val="003528D7"/>
    <w:rsid w:val="00352E9D"/>
    <w:rsid w:val="003531E6"/>
    <w:rsid w:val="003536A0"/>
    <w:rsid w:val="00355929"/>
    <w:rsid w:val="00355CF2"/>
    <w:rsid w:val="00356EBB"/>
    <w:rsid w:val="003572A5"/>
    <w:rsid w:val="0035760E"/>
    <w:rsid w:val="00357820"/>
    <w:rsid w:val="00357AA0"/>
    <w:rsid w:val="00357FC5"/>
    <w:rsid w:val="003600DC"/>
    <w:rsid w:val="0036087C"/>
    <w:rsid w:val="003626EB"/>
    <w:rsid w:val="003627EE"/>
    <w:rsid w:val="00362C65"/>
    <w:rsid w:val="00363DC2"/>
    <w:rsid w:val="00363F9B"/>
    <w:rsid w:val="003641DD"/>
    <w:rsid w:val="00365344"/>
    <w:rsid w:val="00365D08"/>
    <w:rsid w:val="00367460"/>
    <w:rsid w:val="00367FFB"/>
    <w:rsid w:val="003708AD"/>
    <w:rsid w:val="00370B34"/>
    <w:rsid w:val="0037138E"/>
    <w:rsid w:val="00371A56"/>
    <w:rsid w:val="00372082"/>
    <w:rsid w:val="003727E2"/>
    <w:rsid w:val="00372838"/>
    <w:rsid w:val="003738C7"/>
    <w:rsid w:val="00373A85"/>
    <w:rsid w:val="003764B6"/>
    <w:rsid w:val="00377E91"/>
    <w:rsid w:val="003805AF"/>
    <w:rsid w:val="0038126D"/>
    <w:rsid w:val="00381381"/>
    <w:rsid w:val="0038178A"/>
    <w:rsid w:val="00382041"/>
    <w:rsid w:val="003827E5"/>
    <w:rsid w:val="00383131"/>
    <w:rsid w:val="0038365F"/>
    <w:rsid w:val="00383745"/>
    <w:rsid w:val="0038379E"/>
    <w:rsid w:val="003850A4"/>
    <w:rsid w:val="00385FE1"/>
    <w:rsid w:val="0038658B"/>
    <w:rsid w:val="00386E44"/>
    <w:rsid w:val="00387191"/>
    <w:rsid w:val="0038722C"/>
    <w:rsid w:val="00391519"/>
    <w:rsid w:val="003915E5"/>
    <w:rsid w:val="0039194D"/>
    <w:rsid w:val="00392C6A"/>
    <w:rsid w:val="00393577"/>
    <w:rsid w:val="0039397B"/>
    <w:rsid w:val="00393E40"/>
    <w:rsid w:val="003945DB"/>
    <w:rsid w:val="003945FA"/>
    <w:rsid w:val="00394A05"/>
    <w:rsid w:val="0039658C"/>
    <w:rsid w:val="00396DF7"/>
    <w:rsid w:val="00397A48"/>
    <w:rsid w:val="003A0A3A"/>
    <w:rsid w:val="003A0B3F"/>
    <w:rsid w:val="003A1860"/>
    <w:rsid w:val="003A1C72"/>
    <w:rsid w:val="003A1CC9"/>
    <w:rsid w:val="003A2233"/>
    <w:rsid w:val="003A31F0"/>
    <w:rsid w:val="003A3E5F"/>
    <w:rsid w:val="003A417B"/>
    <w:rsid w:val="003A4724"/>
    <w:rsid w:val="003A4A6E"/>
    <w:rsid w:val="003A4B02"/>
    <w:rsid w:val="003A753F"/>
    <w:rsid w:val="003B015C"/>
    <w:rsid w:val="003B2058"/>
    <w:rsid w:val="003B2F2A"/>
    <w:rsid w:val="003B3A4D"/>
    <w:rsid w:val="003B4CC7"/>
    <w:rsid w:val="003B4FA8"/>
    <w:rsid w:val="003B66EF"/>
    <w:rsid w:val="003B674C"/>
    <w:rsid w:val="003B687E"/>
    <w:rsid w:val="003B6890"/>
    <w:rsid w:val="003B6A8A"/>
    <w:rsid w:val="003C016D"/>
    <w:rsid w:val="003C06B0"/>
    <w:rsid w:val="003C0E77"/>
    <w:rsid w:val="003C102E"/>
    <w:rsid w:val="003C212E"/>
    <w:rsid w:val="003C25A2"/>
    <w:rsid w:val="003C2FDE"/>
    <w:rsid w:val="003C33A3"/>
    <w:rsid w:val="003C3F25"/>
    <w:rsid w:val="003C4D11"/>
    <w:rsid w:val="003C528F"/>
    <w:rsid w:val="003C583E"/>
    <w:rsid w:val="003C65B6"/>
    <w:rsid w:val="003C670B"/>
    <w:rsid w:val="003C6AC1"/>
    <w:rsid w:val="003C7C85"/>
    <w:rsid w:val="003D10FD"/>
    <w:rsid w:val="003D10FE"/>
    <w:rsid w:val="003D1F26"/>
    <w:rsid w:val="003D3675"/>
    <w:rsid w:val="003D4CDB"/>
    <w:rsid w:val="003D51BD"/>
    <w:rsid w:val="003D576D"/>
    <w:rsid w:val="003D5E18"/>
    <w:rsid w:val="003D6611"/>
    <w:rsid w:val="003D6B56"/>
    <w:rsid w:val="003D6F4A"/>
    <w:rsid w:val="003D7E0A"/>
    <w:rsid w:val="003D7FE2"/>
    <w:rsid w:val="003E098A"/>
    <w:rsid w:val="003E0E10"/>
    <w:rsid w:val="003E11F0"/>
    <w:rsid w:val="003E287F"/>
    <w:rsid w:val="003E398B"/>
    <w:rsid w:val="003E4043"/>
    <w:rsid w:val="003E47A4"/>
    <w:rsid w:val="003E48BF"/>
    <w:rsid w:val="003E49D6"/>
    <w:rsid w:val="003E4BEA"/>
    <w:rsid w:val="003E4C90"/>
    <w:rsid w:val="003E553C"/>
    <w:rsid w:val="003E63A3"/>
    <w:rsid w:val="003E66DE"/>
    <w:rsid w:val="003E6787"/>
    <w:rsid w:val="003F021F"/>
    <w:rsid w:val="003F1632"/>
    <w:rsid w:val="003F1711"/>
    <w:rsid w:val="003F32D0"/>
    <w:rsid w:val="003F36E6"/>
    <w:rsid w:val="003F384D"/>
    <w:rsid w:val="003F3DEE"/>
    <w:rsid w:val="003F3F22"/>
    <w:rsid w:val="003F498E"/>
    <w:rsid w:val="003F4A0C"/>
    <w:rsid w:val="003F4A12"/>
    <w:rsid w:val="003F68EE"/>
    <w:rsid w:val="00400A4D"/>
    <w:rsid w:val="00400BFA"/>
    <w:rsid w:val="00400CC3"/>
    <w:rsid w:val="00402D1E"/>
    <w:rsid w:val="00402D72"/>
    <w:rsid w:val="00403D30"/>
    <w:rsid w:val="0040432B"/>
    <w:rsid w:val="004047BD"/>
    <w:rsid w:val="00404D5B"/>
    <w:rsid w:val="00411520"/>
    <w:rsid w:val="0041194D"/>
    <w:rsid w:val="004120DA"/>
    <w:rsid w:val="00415442"/>
    <w:rsid w:val="0041605C"/>
    <w:rsid w:val="004161A2"/>
    <w:rsid w:val="0041789A"/>
    <w:rsid w:val="0042235B"/>
    <w:rsid w:val="004227E6"/>
    <w:rsid w:val="004229CA"/>
    <w:rsid w:val="00422B9B"/>
    <w:rsid w:val="004233CC"/>
    <w:rsid w:val="004250AA"/>
    <w:rsid w:val="004255C3"/>
    <w:rsid w:val="00425946"/>
    <w:rsid w:val="0042606F"/>
    <w:rsid w:val="00426600"/>
    <w:rsid w:val="00426B0C"/>
    <w:rsid w:val="004272A1"/>
    <w:rsid w:val="00427443"/>
    <w:rsid w:val="004274EB"/>
    <w:rsid w:val="00427C03"/>
    <w:rsid w:val="00427CCB"/>
    <w:rsid w:val="00427EF4"/>
    <w:rsid w:val="00430781"/>
    <w:rsid w:val="00431510"/>
    <w:rsid w:val="00431814"/>
    <w:rsid w:val="004327DA"/>
    <w:rsid w:val="00433A46"/>
    <w:rsid w:val="004345CC"/>
    <w:rsid w:val="00434796"/>
    <w:rsid w:val="00435676"/>
    <w:rsid w:val="004362E0"/>
    <w:rsid w:val="00436382"/>
    <w:rsid w:val="004363D7"/>
    <w:rsid w:val="00436C7F"/>
    <w:rsid w:val="00436E7F"/>
    <w:rsid w:val="004376D6"/>
    <w:rsid w:val="00437AFC"/>
    <w:rsid w:val="00437FEA"/>
    <w:rsid w:val="00441808"/>
    <w:rsid w:val="004432B1"/>
    <w:rsid w:val="00443753"/>
    <w:rsid w:val="00443C56"/>
    <w:rsid w:val="00444054"/>
    <w:rsid w:val="00444509"/>
    <w:rsid w:val="00444874"/>
    <w:rsid w:val="00444A39"/>
    <w:rsid w:val="00444C56"/>
    <w:rsid w:val="00445158"/>
    <w:rsid w:val="00445A8F"/>
    <w:rsid w:val="00446D89"/>
    <w:rsid w:val="00447000"/>
    <w:rsid w:val="004518CB"/>
    <w:rsid w:val="00451B7E"/>
    <w:rsid w:val="00451CAF"/>
    <w:rsid w:val="004523BF"/>
    <w:rsid w:val="0045493C"/>
    <w:rsid w:val="00454ECA"/>
    <w:rsid w:val="0045553D"/>
    <w:rsid w:val="004559DF"/>
    <w:rsid w:val="0045667E"/>
    <w:rsid w:val="00456B00"/>
    <w:rsid w:val="00456DA9"/>
    <w:rsid w:val="00457BF5"/>
    <w:rsid w:val="004605E4"/>
    <w:rsid w:val="004614F3"/>
    <w:rsid w:val="004619D3"/>
    <w:rsid w:val="004629C1"/>
    <w:rsid w:val="0046444E"/>
    <w:rsid w:val="00464C3C"/>
    <w:rsid w:val="004651F0"/>
    <w:rsid w:val="00466367"/>
    <w:rsid w:val="004664BC"/>
    <w:rsid w:val="004670E0"/>
    <w:rsid w:val="004674B1"/>
    <w:rsid w:val="00471F32"/>
    <w:rsid w:val="00472265"/>
    <w:rsid w:val="00472BDC"/>
    <w:rsid w:val="00472CAA"/>
    <w:rsid w:val="00473278"/>
    <w:rsid w:val="00473BE5"/>
    <w:rsid w:val="00474259"/>
    <w:rsid w:val="004755C7"/>
    <w:rsid w:val="00476610"/>
    <w:rsid w:val="00477007"/>
    <w:rsid w:val="00477015"/>
    <w:rsid w:val="00477934"/>
    <w:rsid w:val="00477E01"/>
    <w:rsid w:val="00482A74"/>
    <w:rsid w:val="00482F2B"/>
    <w:rsid w:val="00483DD4"/>
    <w:rsid w:val="0048506B"/>
    <w:rsid w:val="0048594A"/>
    <w:rsid w:val="0048609D"/>
    <w:rsid w:val="00486A0B"/>
    <w:rsid w:val="00487CFF"/>
    <w:rsid w:val="00490078"/>
    <w:rsid w:val="00490EC9"/>
    <w:rsid w:val="00491733"/>
    <w:rsid w:val="00491EF0"/>
    <w:rsid w:val="00493D05"/>
    <w:rsid w:val="00494225"/>
    <w:rsid w:val="00494802"/>
    <w:rsid w:val="004953FF"/>
    <w:rsid w:val="004969F9"/>
    <w:rsid w:val="004A01F9"/>
    <w:rsid w:val="004A0E5F"/>
    <w:rsid w:val="004A13CB"/>
    <w:rsid w:val="004A21B7"/>
    <w:rsid w:val="004A2521"/>
    <w:rsid w:val="004A38C3"/>
    <w:rsid w:val="004A41EF"/>
    <w:rsid w:val="004A4C65"/>
    <w:rsid w:val="004A57F0"/>
    <w:rsid w:val="004A590F"/>
    <w:rsid w:val="004A71E3"/>
    <w:rsid w:val="004A73B8"/>
    <w:rsid w:val="004B0524"/>
    <w:rsid w:val="004B0689"/>
    <w:rsid w:val="004B0757"/>
    <w:rsid w:val="004B07CF"/>
    <w:rsid w:val="004B1393"/>
    <w:rsid w:val="004B14FD"/>
    <w:rsid w:val="004B39C7"/>
    <w:rsid w:val="004B3C87"/>
    <w:rsid w:val="004B4F4E"/>
    <w:rsid w:val="004B5383"/>
    <w:rsid w:val="004B5D98"/>
    <w:rsid w:val="004B781C"/>
    <w:rsid w:val="004B78EB"/>
    <w:rsid w:val="004C06DD"/>
    <w:rsid w:val="004C17B7"/>
    <w:rsid w:val="004C2C09"/>
    <w:rsid w:val="004C2C8A"/>
    <w:rsid w:val="004C3B46"/>
    <w:rsid w:val="004C4AEE"/>
    <w:rsid w:val="004C4DA7"/>
    <w:rsid w:val="004C54FD"/>
    <w:rsid w:val="004C59CA"/>
    <w:rsid w:val="004C72F4"/>
    <w:rsid w:val="004C774C"/>
    <w:rsid w:val="004C777A"/>
    <w:rsid w:val="004C7E45"/>
    <w:rsid w:val="004D0B4A"/>
    <w:rsid w:val="004D14B0"/>
    <w:rsid w:val="004D1791"/>
    <w:rsid w:val="004D1E56"/>
    <w:rsid w:val="004D20A7"/>
    <w:rsid w:val="004D33A5"/>
    <w:rsid w:val="004D3D23"/>
    <w:rsid w:val="004D3FBF"/>
    <w:rsid w:val="004D5D24"/>
    <w:rsid w:val="004D6151"/>
    <w:rsid w:val="004D77C3"/>
    <w:rsid w:val="004E0429"/>
    <w:rsid w:val="004E1AF7"/>
    <w:rsid w:val="004E296C"/>
    <w:rsid w:val="004E2AD8"/>
    <w:rsid w:val="004E2C95"/>
    <w:rsid w:val="004E338B"/>
    <w:rsid w:val="004E447A"/>
    <w:rsid w:val="004E63E1"/>
    <w:rsid w:val="004E6A75"/>
    <w:rsid w:val="004E6BDA"/>
    <w:rsid w:val="004E756C"/>
    <w:rsid w:val="004F00F7"/>
    <w:rsid w:val="004F0239"/>
    <w:rsid w:val="004F1DE6"/>
    <w:rsid w:val="004F302E"/>
    <w:rsid w:val="004F3DCD"/>
    <w:rsid w:val="004F5D91"/>
    <w:rsid w:val="004F7094"/>
    <w:rsid w:val="004F70F9"/>
    <w:rsid w:val="004F7830"/>
    <w:rsid w:val="00500F07"/>
    <w:rsid w:val="00501205"/>
    <w:rsid w:val="00501DC3"/>
    <w:rsid w:val="00502336"/>
    <w:rsid w:val="00503564"/>
    <w:rsid w:val="00503C0A"/>
    <w:rsid w:val="00503FC9"/>
    <w:rsid w:val="00504A8D"/>
    <w:rsid w:val="005050AD"/>
    <w:rsid w:val="00505AE6"/>
    <w:rsid w:val="00505B09"/>
    <w:rsid w:val="005065D3"/>
    <w:rsid w:val="00506A4E"/>
    <w:rsid w:val="00507126"/>
    <w:rsid w:val="00507388"/>
    <w:rsid w:val="005106D4"/>
    <w:rsid w:val="0051161D"/>
    <w:rsid w:val="005131B2"/>
    <w:rsid w:val="00513F16"/>
    <w:rsid w:val="00514802"/>
    <w:rsid w:val="00514C23"/>
    <w:rsid w:val="00515217"/>
    <w:rsid w:val="005155CF"/>
    <w:rsid w:val="00515758"/>
    <w:rsid w:val="00516182"/>
    <w:rsid w:val="005170E3"/>
    <w:rsid w:val="0052032A"/>
    <w:rsid w:val="00521070"/>
    <w:rsid w:val="005220FC"/>
    <w:rsid w:val="00522255"/>
    <w:rsid w:val="00522411"/>
    <w:rsid w:val="005225E0"/>
    <w:rsid w:val="00522616"/>
    <w:rsid w:val="00522C61"/>
    <w:rsid w:val="005253ED"/>
    <w:rsid w:val="00525656"/>
    <w:rsid w:val="0052634B"/>
    <w:rsid w:val="005269A4"/>
    <w:rsid w:val="00526A39"/>
    <w:rsid w:val="00531AD2"/>
    <w:rsid w:val="0053337D"/>
    <w:rsid w:val="00534B35"/>
    <w:rsid w:val="005357A2"/>
    <w:rsid w:val="00535889"/>
    <w:rsid w:val="005368A6"/>
    <w:rsid w:val="00536FDA"/>
    <w:rsid w:val="00540B95"/>
    <w:rsid w:val="00540C18"/>
    <w:rsid w:val="00540CAC"/>
    <w:rsid w:val="0054146F"/>
    <w:rsid w:val="005417D0"/>
    <w:rsid w:val="005419C4"/>
    <w:rsid w:val="00541D86"/>
    <w:rsid w:val="0054210F"/>
    <w:rsid w:val="005434AD"/>
    <w:rsid w:val="00543F59"/>
    <w:rsid w:val="00544677"/>
    <w:rsid w:val="00544801"/>
    <w:rsid w:val="005452F3"/>
    <w:rsid w:val="00545766"/>
    <w:rsid w:val="00545982"/>
    <w:rsid w:val="00546796"/>
    <w:rsid w:val="00546F09"/>
    <w:rsid w:val="0054773F"/>
    <w:rsid w:val="00547775"/>
    <w:rsid w:val="00547A7C"/>
    <w:rsid w:val="00547C1D"/>
    <w:rsid w:val="00550428"/>
    <w:rsid w:val="00551540"/>
    <w:rsid w:val="0055272D"/>
    <w:rsid w:val="00552E6C"/>
    <w:rsid w:val="005531BB"/>
    <w:rsid w:val="00553525"/>
    <w:rsid w:val="00553744"/>
    <w:rsid w:val="005542A1"/>
    <w:rsid w:val="005546D5"/>
    <w:rsid w:val="00554C1A"/>
    <w:rsid w:val="00554E5E"/>
    <w:rsid w:val="005559BD"/>
    <w:rsid w:val="00555CE5"/>
    <w:rsid w:val="00556792"/>
    <w:rsid w:val="00556AD6"/>
    <w:rsid w:val="00556E72"/>
    <w:rsid w:val="0055770C"/>
    <w:rsid w:val="00557A05"/>
    <w:rsid w:val="00557D01"/>
    <w:rsid w:val="00560252"/>
    <w:rsid w:val="005606E6"/>
    <w:rsid w:val="005618A5"/>
    <w:rsid w:val="00562698"/>
    <w:rsid w:val="00562BA8"/>
    <w:rsid w:val="0056353A"/>
    <w:rsid w:val="005641C1"/>
    <w:rsid w:val="00564876"/>
    <w:rsid w:val="00564CAA"/>
    <w:rsid w:val="00564F16"/>
    <w:rsid w:val="00565216"/>
    <w:rsid w:val="00565A28"/>
    <w:rsid w:val="00566586"/>
    <w:rsid w:val="00566DB0"/>
    <w:rsid w:val="00566EFF"/>
    <w:rsid w:val="00567870"/>
    <w:rsid w:val="00567A7A"/>
    <w:rsid w:val="00570F3B"/>
    <w:rsid w:val="0057107C"/>
    <w:rsid w:val="0057202F"/>
    <w:rsid w:val="00572126"/>
    <w:rsid w:val="00572CF1"/>
    <w:rsid w:val="00577823"/>
    <w:rsid w:val="005778DC"/>
    <w:rsid w:val="00583686"/>
    <w:rsid w:val="00583990"/>
    <w:rsid w:val="005846EB"/>
    <w:rsid w:val="005848FC"/>
    <w:rsid w:val="00585EF9"/>
    <w:rsid w:val="00586128"/>
    <w:rsid w:val="00587835"/>
    <w:rsid w:val="00590634"/>
    <w:rsid w:val="00590C61"/>
    <w:rsid w:val="00590CE2"/>
    <w:rsid w:val="00590DFE"/>
    <w:rsid w:val="00591341"/>
    <w:rsid w:val="005914CA"/>
    <w:rsid w:val="00592954"/>
    <w:rsid w:val="005935A6"/>
    <w:rsid w:val="00594178"/>
    <w:rsid w:val="0059516F"/>
    <w:rsid w:val="00595981"/>
    <w:rsid w:val="00595A60"/>
    <w:rsid w:val="00595BC3"/>
    <w:rsid w:val="00595FF9"/>
    <w:rsid w:val="005968CA"/>
    <w:rsid w:val="00597747"/>
    <w:rsid w:val="00597761"/>
    <w:rsid w:val="005978A3"/>
    <w:rsid w:val="005A09A2"/>
    <w:rsid w:val="005A0D30"/>
    <w:rsid w:val="005A1DE7"/>
    <w:rsid w:val="005A2351"/>
    <w:rsid w:val="005A258A"/>
    <w:rsid w:val="005A2D43"/>
    <w:rsid w:val="005A40FB"/>
    <w:rsid w:val="005A44A9"/>
    <w:rsid w:val="005A4748"/>
    <w:rsid w:val="005A552B"/>
    <w:rsid w:val="005A573D"/>
    <w:rsid w:val="005A6D88"/>
    <w:rsid w:val="005A7434"/>
    <w:rsid w:val="005A7BDB"/>
    <w:rsid w:val="005B19E1"/>
    <w:rsid w:val="005B1B89"/>
    <w:rsid w:val="005B222B"/>
    <w:rsid w:val="005B2F78"/>
    <w:rsid w:val="005B4D37"/>
    <w:rsid w:val="005B6628"/>
    <w:rsid w:val="005B6AA1"/>
    <w:rsid w:val="005B7599"/>
    <w:rsid w:val="005C0B14"/>
    <w:rsid w:val="005C0CEB"/>
    <w:rsid w:val="005C12FD"/>
    <w:rsid w:val="005C2B42"/>
    <w:rsid w:val="005C34DE"/>
    <w:rsid w:val="005C364D"/>
    <w:rsid w:val="005C3774"/>
    <w:rsid w:val="005C4E1F"/>
    <w:rsid w:val="005C66ED"/>
    <w:rsid w:val="005C6C07"/>
    <w:rsid w:val="005D1109"/>
    <w:rsid w:val="005D18D1"/>
    <w:rsid w:val="005D1AFA"/>
    <w:rsid w:val="005D38EF"/>
    <w:rsid w:val="005D5093"/>
    <w:rsid w:val="005D6928"/>
    <w:rsid w:val="005D6B31"/>
    <w:rsid w:val="005D6D59"/>
    <w:rsid w:val="005D7973"/>
    <w:rsid w:val="005D7CF3"/>
    <w:rsid w:val="005D7D58"/>
    <w:rsid w:val="005E01F4"/>
    <w:rsid w:val="005E06CF"/>
    <w:rsid w:val="005E0957"/>
    <w:rsid w:val="005E17C0"/>
    <w:rsid w:val="005E1B68"/>
    <w:rsid w:val="005E1EA8"/>
    <w:rsid w:val="005E2A42"/>
    <w:rsid w:val="005E329A"/>
    <w:rsid w:val="005E4D1D"/>
    <w:rsid w:val="005E5097"/>
    <w:rsid w:val="005E5195"/>
    <w:rsid w:val="005E61A1"/>
    <w:rsid w:val="005E6CEE"/>
    <w:rsid w:val="005E71EF"/>
    <w:rsid w:val="005F0138"/>
    <w:rsid w:val="005F2303"/>
    <w:rsid w:val="005F2858"/>
    <w:rsid w:val="005F2AA2"/>
    <w:rsid w:val="005F370C"/>
    <w:rsid w:val="005F38BD"/>
    <w:rsid w:val="005F4B01"/>
    <w:rsid w:val="005F4B8C"/>
    <w:rsid w:val="005F51F9"/>
    <w:rsid w:val="005F54E9"/>
    <w:rsid w:val="005F6454"/>
    <w:rsid w:val="005F6B4F"/>
    <w:rsid w:val="00600BFB"/>
    <w:rsid w:val="00600E07"/>
    <w:rsid w:val="006016F3"/>
    <w:rsid w:val="00602A8C"/>
    <w:rsid w:val="00602D40"/>
    <w:rsid w:val="00603B9B"/>
    <w:rsid w:val="00604026"/>
    <w:rsid w:val="006050EB"/>
    <w:rsid w:val="0060700A"/>
    <w:rsid w:val="00610E79"/>
    <w:rsid w:val="00611BDB"/>
    <w:rsid w:val="00613936"/>
    <w:rsid w:val="00613A86"/>
    <w:rsid w:val="006141A5"/>
    <w:rsid w:val="006147A9"/>
    <w:rsid w:val="00614C6A"/>
    <w:rsid w:val="006151AC"/>
    <w:rsid w:val="0061598A"/>
    <w:rsid w:val="006166CF"/>
    <w:rsid w:val="006171B3"/>
    <w:rsid w:val="0061723B"/>
    <w:rsid w:val="006204AE"/>
    <w:rsid w:val="00620671"/>
    <w:rsid w:val="00622364"/>
    <w:rsid w:val="0062341C"/>
    <w:rsid w:val="00623C2F"/>
    <w:rsid w:val="0062421F"/>
    <w:rsid w:val="0062609D"/>
    <w:rsid w:val="006260D1"/>
    <w:rsid w:val="00626B1A"/>
    <w:rsid w:val="0062740D"/>
    <w:rsid w:val="00627838"/>
    <w:rsid w:val="00630DB1"/>
    <w:rsid w:val="00631CBB"/>
    <w:rsid w:val="006322A2"/>
    <w:rsid w:val="00632F1E"/>
    <w:rsid w:val="0063336A"/>
    <w:rsid w:val="00635440"/>
    <w:rsid w:val="006361D8"/>
    <w:rsid w:val="006365B7"/>
    <w:rsid w:val="00636A32"/>
    <w:rsid w:val="0064077E"/>
    <w:rsid w:val="00640F7F"/>
    <w:rsid w:val="00644C50"/>
    <w:rsid w:val="00644DA4"/>
    <w:rsid w:val="00644E2E"/>
    <w:rsid w:val="00645769"/>
    <w:rsid w:val="00646A37"/>
    <w:rsid w:val="00646B2D"/>
    <w:rsid w:val="00646C40"/>
    <w:rsid w:val="00646F95"/>
    <w:rsid w:val="0065021B"/>
    <w:rsid w:val="006514F2"/>
    <w:rsid w:val="00651F65"/>
    <w:rsid w:val="00653126"/>
    <w:rsid w:val="00653B3A"/>
    <w:rsid w:val="00654D93"/>
    <w:rsid w:val="00654E33"/>
    <w:rsid w:val="00654F00"/>
    <w:rsid w:val="00655481"/>
    <w:rsid w:val="00655D62"/>
    <w:rsid w:val="006567CB"/>
    <w:rsid w:val="00656ACA"/>
    <w:rsid w:val="00656BE3"/>
    <w:rsid w:val="00657F6B"/>
    <w:rsid w:val="00660441"/>
    <w:rsid w:val="006621C4"/>
    <w:rsid w:val="00662AB3"/>
    <w:rsid w:val="00662FFC"/>
    <w:rsid w:val="006633B6"/>
    <w:rsid w:val="00663C35"/>
    <w:rsid w:val="00664A02"/>
    <w:rsid w:val="006655CA"/>
    <w:rsid w:val="00665E90"/>
    <w:rsid w:val="006674C5"/>
    <w:rsid w:val="00667530"/>
    <w:rsid w:val="006676EF"/>
    <w:rsid w:val="006700B1"/>
    <w:rsid w:val="0067064F"/>
    <w:rsid w:val="00670CCE"/>
    <w:rsid w:val="0067223F"/>
    <w:rsid w:val="0067332E"/>
    <w:rsid w:val="00673ED0"/>
    <w:rsid w:val="006744E9"/>
    <w:rsid w:val="0067483C"/>
    <w:rsid w:val="00674A6D"/>
    <w:rsid w:val="00674AA4"/>
    <w:rsid w:val="006755E1"/>
    <w:rsid w:val="00675B58"/>
    <w:rsid w:val="006765D9"/>
    <w:rsid w:val="0067765E"/>
    <w:rsid w:val="006779AB"/>
    <w:rsid w:val="00680A98"/>
    <w:rsid w:val="0068109B"/>
    <w:rsid w:val="006823D4"/>
    <w:rsid w:val="00682496"/>
    <w:rsid w:val="006827A3"/>
    <w:rsid w:val="006827C5"/>
    <w:rsid w:val="00682D4E"/>
    <w:rsid w:val="006848BD"/>
    <w:rsid w:val="00684E97"/>
    <w:rsid w:val="00685C3F"/>
    <w:rsid w:val="00686E3D"/>
    <w:rsid w:val="00687D8A"/>
    <w:rsid w:val="00692982"/>
    <w:rsid w:val="00692B96"/>
    <w:rsid w:val="006931AD"/>
    <w:rsid w:val="006939EE"/>
    <w:rsid w:val="00693C78"/>
    <w:rsid w:val="00693E69"/>
    <w:rsid w:val="00694D8E"/>
    <w:rsid w:val="006955C5"/>
    <w:rsid w:val="00695E9C"/>
    <w:rsid w:val="0069634E"/>
    <w:rsid w:val="0069668A"/>
    <w:rsid w:val="00697342"/>
    <w:rsid w:val="00697C5D"/>
    <w:rsid w:val="006A0708"/>
    <w:rsid w:val="006A118C"/>
    <w:rsid w:val="006A1B34"/>
    <w:rsid w:val="006A28FA"/>
    <w:rsid w:val="006A4291"/>
    <w:rsid w:val="006A4693"/>
    <w:rsid w:val="006A4827"/>
    <w:rsid w:val="006A5D1C"/>
    <w:rsid w:val="006A648A"/>
    <w:rsid w:val="006A6D0F"/>
    <w:rsid w:val="006A7AC2"/>
    <w:rsid w:val="006A7C04"/>
    <w:rsid w:val="006B00CE"/>
    <w:rsid w:val="006B0AA1"/>
    <w:rsid w:val="006B0D78"/>
    <w:rsid w:val="006B1209"/>
    <w:rsid w:val="006B128D"/>
    <w:rsid w:val="006B2B06"/>
    <w:rsid w:val="006B2D18"/>
    <w:rsid w:val="006B35CD"/>
    <w:rsid w:val="006B37CB"/>
    <w:rsid w:val="006B3E84"/>
    <w:rsid w:val="006B71CA"/>
    <w:rsid w:val="006B76C1"/>
    <w:rsid w:val="006B7E7E"/>
    <w:rsid w:val="006B7F3C"/>
    <w:rsid w:val="006C019B"/>
    <w:rsid w:val="006C05C5"/>
    <w:rsid w:val="006C0981"/>
    <w:rsid w:val="006C0997"/>
    <w:rsid w:val="006C1CFB"/>
    <w:rsid w:val="006C1EE6"/>
    <w:rsid w:val="006C2448"/>
    <w:rsid w:val="006C286B"/>
    <w:rsid w:val="006C2AE2"/>
    <w:rsid w:val="006C333C"/>
    <w:rsid w:val="006C3961"/>
    <w:rsid w:val="006C4A1D"/>
    <w:rsid w:val="006C5F92"/>
    <w:rsid w:val="006C760F"/>
    <w:rsid w:val="006D0623"/>
    <w:rsid w:val="006D0E9A"/>
    <w:rsid w:val="006D1231"/>
    <w:rsid w:val="006D1828"/>
    <w:rsid w:val="006D1847"/>
    <w:rsid w:val="006D309C"/>
    <w:rsid w:val="006D3161"/>
    <w:rsid w:val="006D3267"/>
    <w:rsid w:val="006D332E"/>
    <w:rsid w:val="006D387F"/>
    <w:rsid w:val="006D3D7E"/>
    <w:rsid w:val="006D5AC3"/>
    <w:rsid w:val="006D5E93"/>
    <w:rsid w:val="006D60AE"/>
    <w:rsid w:val="006D7AF0"/>
    <w:rsid w:val="006D7D8A"/>
    <w:rsid w:val="006E0415"/>
    <w:rsid w:val="006E04F4"/>
    <w:rsid w:val="006E05AE"/>
    <w:rsid w:val="006E0911"/>
    <w:rsid w:val="006E0BB6"/>
    <w:rsid w:val="006E1047"/>
    <w:rsid w:val="006E2834"/>
    <w:rsid w:val="006E346F"/>
    <w:rsid w:val="006E3A1A"/>
    <w:rsid w:val="006E6BF9"/>
    <w:rsid w:val="006E76A2"/>
    <w:rsid w:val="006F0188"/>
    <w:rsid w:val="006F0355"/>
    <w:rsid w:val="006F0454"/>
    <w:rsid w:val="006F04FA"/>
    <w:rsid w:val="006F0FA2"/>
    <w:rsid w:val="006F3E5D"/>
    <w:rsid w:val="006F5355"/>
    <w:rsid w:val="006F69CE"/>
    <w:rsid w:val="006F736F"/>
    <w:rsid w:val="006F7378"/>
    <w:rsid w:val="006F75BF"/>
    <w:rsid w:val="006F776A"/>
    <w:rsid w:val="006F7BF2"/>
    <w:rsid w:val="00700F5C"/>
    <w:rsid w:val="00702C64"/>
    <w:rsid w:val="00703655"/>
    <w:rsid w:val="00703A20"/>
    <w:rsid w:val="00703EC6"/>
    <w:rsid w:val="007045DB"/>
    <w:rsid w:val="00704AFF"/>
    <w:rsid w:val="00704C7D"/>
    <w:rsid w:val="00706481"/>
    <w:rsid w:val="00707378"/>
    <w:rsid w:val="00711744"/>
    <w:rsid w:val="00712380"/>
    <w:rsid w:val="00712705"/>
    <w:rsid w:val="007139AD"/>
    <w:rsid w:val="00715BFF"/>
    <w:rsid w:val="00716179"/>
    <w:rsid w:val="0071673F"/>
    <w:rsid w:val="0071748E"/>
    <w:rsid w:val="0072038C"/>
    <w:rsid w:val="00720546"/>
    <w:rsid w:val="00720A36"/>
    <w:rsid w:val="0072185C"/>
    <w:rsid w:val="00721CE1"/>
    <w:rsid w:val="00722D61"/>
    <w:rsid w:val="00723DAB"/>
    <w:rsid w:val="007240B9"/>
    <w:rsid w:val="00724192"/>
    <w:rsid w:val="0072589E"/>
    <w:rsid w:val="00725E7E"/>
    <w:rsid w:val="00727222"/>
    <w:rsid w:val="007276FF"/>
    <w:rsid w:val="00731367"/>
    <w:rsid w:val="007325A9"/>
    <w:rsid w:val="00732619"/>
    <w:rsid w:val="00732FFC"/>
    <w:rsid w:val="00733410"/>
    <w:rsid w:val="00734AF9"/>
    <w:rsid w:val="00735306"/>
    <w:rsid w:val="0073543E"/>
    <w:rsid w:val="00735650"/>
    <w:rsid w:val="007362BF"/>
    <w:rsid w:val="00736B30"/>
    <w:rsid w:val="007400D0"/>
    <w:rsid w:val="00740BDD"/>
    <w:rsid w:val="00741077"/>
    <w:rsid w:val="0074251B"/>
    <w:rsid w:val="00742EAF"/>
    <w:rsid w:val="00744088"/>
    <w:rsid w:val="0074415B"/>
    <w:rsid w:val="0074417D"/>
    <w:rsid w:val="00744749"/>
    <w:rsid w:val="00745C1D"/>
    <w:rsid w:val="00745DC8"/>
    <w:rsid w:val="00746F3A"/>
    <w:rsid w:val="0074758C"/>
    <w:rsid w:val="00751FA0"/>
    <w:rsid w:val="00751FD0"/>
    <w:rsid w:val="007521A0"/>
    <w:rsid w:val="00753125"/>
    <w:rsid w:val="0075399F"/>
    <w:rsid w:val="007541C5"/>
    <w:rsid w:val="007556E9"/>
    <w:rsid w:val="0075581D"/>
    <w:rsid w:val="007559E6"/>
    <w:rsid w:val="00755E3A"/>
    <w:rsid w:val="00756483"/>
    <w:rsid w:val="00757359"/>
    <w:rsid w:val="00757DAE"/>
    <w:rsid w:val="0076130C"/>
    <w:rsid w:val="00763C99"/>
    <w:rsid w:val="00763FF2"/>
    <w:rsid w:val="0076427D"/>
    <w:rsid w:val="00764492"/>
    <w:rsid w:val="0076468C"/>
    <w:rsid w:val="00764FBD"/>
    <w:rsid w:val="00765CCC"/>
    <w:rsid w:val="00765FC5"/>
    <w:rsid w:val="007673B6"/>
    <w:rsid w:val="00767DDC"/>
    <w:rsid w:val="00767FAD"/>
    <w:rsid w:val="00770C3D"/>
    <w:rsid w:val="00771CE3"/>
    <w:rsid w:val="00772182"/>
    <w:rsid w:val="00773A81"/>
    <w:rsid w:val="007776AD"/>
    <w:rsid w:val="00777794"/>
    <w:rsid w:val="00781E90"/>
    <w:rsid w:val="007824EB"/>
    <w:rsid w:val="0078269B"/>
    <w:rsid w:val="00782EF5"/>
    <w:rsid w:val="00782F4C"/>
    <w:rsid w:val="00783521"/>
    <w:rsid w:val="00783D80"/>
    <w:rsid w:val="00784006"/>
    <w:rsid w:val="0078496E"/>
    <w:rsid w:val="00785757"/>
    <w:rsid w:val="007869DD"/>
    <w:rsid w:val="0079153B"/>
    <w:rsid w:val="00793CD9"/>
    <w:rsid w:val="007944AF"/>
    <w:rsid w:val="00794C75"/>
    <w:rsid w:val="00794D74"/>
    <w:rsid w:val="00795239"/>
    <w:rsid w:val="00795326"/>
    <w:rsid w:val="007972CD"/>
    <w:rsid w:val="0079732D"/>
    <w:rsid w:val="00797B12"/>
    <w:rsid w:val="007A0B46"/>
    <w:rsid w:val="007A1490"/>
    <w:rsid w:val="007A1E77"/>
    <w:rsid w:val="007A21F6"/>
    <w:rsid w:val="007A2A12"/>
    <w:rsid w:val="007A2E96"/>
    <w:rsid w:val="007A36A2"/>
    <w:rsid w:val="007A396F"/>
    <w:rsid w:val="007A4474"/>
    <w:rsid w:val="007A4571"/>
    <w:rsid w:val="007A6055"/>
    <w:rsid w:val="007A6453"/>
    <w:rsid w:val="007A735D"/>
    <w:rsid w:val="007A75E5"/>
    <w:rsid w:val="007A7E82"/>
    <w:rsid w:val="007B13EA"/>
    <w:rsid w:val="007B1D44"/>
    <w:rsid w:val="007B4B6F"/>
    <w:rsid w:val="007B6DFB"/>
    <w:rsid w:val="007B7B9B"/>
    <w:rsid w:val="007B7D6B"/>
    <w:rsid w:val="007C121E"/>
    <w:rsid w:val="007C27BF"/>
    <w:rsid w:val="007C2976"/>
    <w:rsid w:val="007C34EA"/>
    <w:rsid w:val="007C4564"/>
    <w:rsid w:val="007C5ED0"/>
    <w:rsid w:val="007C61BB"/>
    <w:rsid w:val="007C6782"/>
    <w:rsid w:val="007D265D"/>
    <w:rsid w:val="007D57C4"/>
    <w:rsid w:val="007D66A2"/>
    <w:rsid w:val="007E099B"/>
    <w:rsid w:val="007E0D1E"/>
    <w:rsid w:val="007E1820"/>
    <w:rsid w:val="007E1C19"/>
    <w:rsid w:val="007E22DE"/>
    <w:rsid w:val="007E2F33"/>
    <w:rsid w:val="007E38FC"/>
    <w:rsid w:val="007E3C82"/>
    <w:rsid w:val="007E467F"/>
    <w:rsid w:val="007E4D9B"/>
    <w:rsid w:val="007E5384"/>
    <w:rsid w:val="007E68DE"/>
    <w:rsid w:val="007E6B67"/>
    <w:rsid w:val="007E77BD"/>
    <w:rsid w:val="007F066A"/>
    <w:rsid w:val="007F24FB"/>
    <w:rsid w:val="007F2E11"/>
    <w:rsid w:val="007F37D4"/>
    <w:rsid w:val="007F4F67"/>
    <w:rsid w:val="007F5AC0"/>
    <w:rsid w:val="007F5D10"/>
    <w:rsid w:val="007F5EC3"/>
    <w:rsid w:val="00800174"/>
    <w:rsid w:val="00802A86"/>
    <w:rsid w:val="008036A6"/>
    <w:rsid w:val="008036A9"/>
    <w:rsid w:val="008036B8"/>
    <w:rsid w:val="0080381B"/>
    <w:rsid w:val="00803C52"/>
    <w:rsid w:val="0080438F"/>
    <w:rsid w:val="0080503B"/>
    <w:rsid w:val="00805D1A"/>
    <w:rsid w:val="00806550"/>
    <w:rsid w:val="00806AAF"/>
    <w:rsid w:val="00806BF9"/>
    <w:rsid w:val="00807A61"/>
    <w:rsid w:val="00807F4D"/>
    <w:rsid w:val="00810553"/>
    <w:rsid w:val="008107CD"/>
    <w:rsid w:val="00811466"/>
    <w:rsid w:val="00811F61"/>
    <w:rsid w:val="00812A0C"/>
    <w:rsid w:val="00813464"/>
    <w:rsid w:val="00813916"/>
    <w:rsid w:val="00814C4C"/>
    <w:rsid w:val="00816821"/>
    <w:rsid w:val="00821ED5"/>
    <w:rsid w:val="00822800"/>
    <w:rsid w:val="00822AED"/>
    <w:rsid w:val="0082374B"/>
    <w:rsid w:val="0082383F"/>
    <w:rsid w:val="00823ABC"/>
    <w:rsid w:val="00823B62"/>
    <w:rsid w:val="0082427A"/>
    <w:rsid w:val="00824BBE"/>
    <w:rsid w:val="0082595E"/>
    <w:rsid w:val="00826340"/>
    <w:rsid w:val="00826A84"/>
    <w:rsid w:val="00826C95"/>
    <w:rsid w:val="00827002"/>
    <w:rsid w:val="0082736F"/>
    <w:rsid w:val="008277E3"/>
    <w:rsid w:val="00830654"/>
    <w:rsid w:val="008307DE"/>
    <w:rsid w:val="00830C64"/>
    <w:rsid w:val="00831E2D"/>
    <w:rsid w:val="00832DD5"/>
    <w:rsid w:val="0083418D"/>
    <w:rsid w:val="00834414"/>
    <w:rsid w:val="0083457C"/>
    <w:rsid w:val="00834C41"/>
    <w:rsid w:val="00834DF1"/>
    <w:rsid w:val="00834EC4"/>
    <w:rsid w:val="00835555"/>
    <w:rsid w:val="008368AC"/>
    <w:rsid w:val="00837B4B"/>
    <w:rsid w:val="008408C7"/>
    <w:rsid w:val="0084140A"/>
    <w:rsid w:val="008417FC"/>
    <w:rsid w:val="0084583F"/>
    <w:rsid w:val="00845F60"/>
    <w:rsid w:val="00846108"/>
    <w:rsid w:val="00850F1E"/>
    <w:rsid w:val="00852230"/>
    <w:rsid w:val="008548D4"/>
    <w:rsid w:val="008552FB"/>
    <w:rsid w:val="0085536B"/>
    <w:rsid w:val="00855449"/>
    <w:rsid w:val="008555B3"/>
    <w:rsid w:val="00855BBF"/>
    <w:rsid w:val="00856598"/>
    <w:rsid w:val="00857C5E"/>
    <w:rsid w:val="008601B4"/>
    <w:rsid w:val="008610EE"/>
    <w:rsid w:val="008619CE"/>
    <w:rsid w:val="00861EF2"/>
    <w:rsid w:val="00862CA6"/>
    <w:rsid w:val="00864DB0"/>
    <w:rsid w:val="00865451"/>
    <w:rsid w:val="00865493"/>
    <w:rsid w:val="00866195"/>
    <w:rsid w:val="0086771C"/>
    <w:rsid w:val="0087074B"/>
    <w:rsid w:val="00871145"/>
    <w:rsid w:val="00871F90"/>
    <w:rsid w:val="0087212C"/>
    <w:rsid w:val="00872D9A"/>
    <w:rsid w:val="00873CCA"/>
    <w:rsid w:val="008745E5"/>
    <w:rsid w:val="0087480C"/>
    <w:rsid w:val="008756D3"/>
    <w:rsid w:val="0087589A"/>
    <w:rsid w:val="00875BB2"/>
    <w:rsid w:val="00876409"/>
    <w:rsid w:val="00876ECA"/>
    <w:rsid w:val="0087703E"/>
    <w:rsid w:val="0088022D"/>
    <w:rsid w:val="00880682"/>
    <w:rsid w:val="0088093E"/>
    <w:rsid w:val="008824EC"/>
    <w:rsid w:val="00883290"/>
    <w:rsid w:val="008843BA"/>
    <w:rsid w:val="00884BC3"/>
    <w:rsid w:val="00885572"/>
    <w:rsid w:val="00885576"/>
    <w:rsid w:val="0088693B"/>
    <w:rsid w:val="00886EA0"/>
    <w:rsid w:val="00887262"/>
    <w:rsid w:val="008908B4"/>
    <w:rsid w:val="00890D25"/>
    <w:rsid w:val="0089221F"/>
    <w:rsid w:val="008925D8"/>
    <w:rsid w:val="008928BE"/>
    <w:rsid w:val="0089302B"/>
    <w:rsid w:val="00893F99"/>
    <w:rsid w:val="00893FCF"/>
    <w:rsid w:val="0089528B"/>
    <w:rsid w:val="00895EBD"/>
    <w:rsid w:val="00895EE5"/>
    <w:rsid w:val="00895FF1"/>
    <w:rsid w:val="00896422"/>
    <w:rsid w:val="008966B0"/>
    <w:rsid w:val="00896B71"/>
    <w:rsid w:val="00897A83"/>
    <w:rsid w:val="00897EDE"/>
    <w:rsid w:val="008A048B"/>
    <w:rsid w:val="008A10CA"/>
    <w:rsid w:val="008A18CD"/>
    <w:rsid w:val="008A26E8"/>
    <w:rsid w:val="008A40FB"/>
    <w:rsid w:val="008A4189"/>
    <w:rsid w:val="008A43F0"/>
    <w:rsid w:val="008A4853"/>
    <w:rsid w:val="008A4B18"/>
    <w:rsid w:val="008A4D37"/>
    <w:rsid w:val="008A4E44"/>
    <w:rsid w:val="008A4F75"/>
    <w:rsid w:val="008A52BF"/>
    <w:rsid w:val="008A56FD"/>
    <w:rsid w:val="008A5C99"/>
    <w:rsid w:val="008A6DA5"/>
    <w:rsid w:val="008B08D6"/>
    <w:rsid w:val="008B121C"/>
    <w:rsid w:val="008B1352"/>
    <w:rsid w:val="008B2534"/>
    <w:rsid w:val="008B416F"/>
    <w:rsid w:val="008B4191"/>
    <w:rsid w:val="008B51B5"/>
    <w:rsid w:val="008B5778"/>
    <w:rsid w:val="008B5AA2"/>
    <w:rsid w:val="008B721F"/>
    <w:rsid w:val="008B741B"/>
    <w:rsid w:val="008C0391"/>
    <w:rsid w:val="008C04D0"/>
    <w:rsid w:val="008C0759"/>
    <w:rsid w:val="008C4885"/>
    <w:rsid w:val="008C4EE1"/>
    <w:rsid w:val="008C5ABD"/>
    <w:rsid w:val="008C6A32"/>
    <w:rsid w:val="008C7BF1"/>
    <w:rsid w:val="008D0A9C"/>
    <w:rsid w:val="008D17CD"/>
    <w:rsid w:val="008D18C1"/>
    <w:rsid w:val="008D2D82"/>
    <w:rsid w:val="008D34C7"/>
    <w:rsid w:val="008D3595"/>
    <w:rsid w:val="008D3F84"/>
    <w:rsid w:val="008D560B"/>
    <w:rsid w:val="008D5F24"/>
    <w:rsid w:val="008D6718"/>
    <w:rsid w:val="008D67E2"/>
    <w:rsid w:val="008D7679"/>
    <w:rsid w:val="008E0623"/>
    <w:rsid w:val="008E0825"/>
    <w:rsid w:val="008E13B6"/>
    <w:rsid w:val="008E33D7"/>
    <w:rsid w:val="008E4210"/>
    <w:rsid w:val="008E4262"/>
    <w:rsid w:val="008E4680"/>
    <w:rsid w:val="008E4D58"/>
    <w:rsid w:val="008E6047"/>
    <w:rsid w:val="008E64A8"/>
    <w:rsid w:val="008E78BC"/>
    <w:rsid w:val="008F0173"/>
    <w:rsid w:val="008F0E8D"/>
    <w:rsid w:val="008F292B"/>
    <w:rsid w:val="008F3812"/>
    <w:rsid w:val="008F48B0"/>
    <w:rsid w:val="008F5233"/>
    <w:rsid w:val="008F5BFB"/>
    <w:rsid w:val="008F7174"/>
    <w:rsid w:val="00900A21"/>
    <w:rsid w:val="009025F3"/>
    <w:rsid w:val="00902B42"/>
    <w:rsid w:val="00902FB6"/>
    <w:rsid w:val="0090329B"/>
    <w:rsid w:val="009038EA"/>
    <w:rsid w:val="0090394E"/>
    <w:rsid w:val="0090398C"/>
    <w:rsid w:val="00904079"/>
    <w:rsid w:val="009041AB"/>
    <w:rsid w:val="009051E2"/>
    <w:rsid w:val="009053D3"/>
    <w:rsid w:val="0090616F"/>
    <w:rsid w:val="00907D43"/>
    <w:rsid w:val="00907E7A"/>
    <w:rsid w:val="00910198"/>
    <w:rsid w:val="00910592"/>
    <w:rsid w:val="00910FEE"/>
    <w:rsid w:val="00911AD1"/>
    <w:rsid w:val="00911DE6"/>
    <w:rsid w:val="00912759"/>
    <w:rsid w:val="0091282F"/>
    <w:rsid w:val="00912935"/>
    <w:rsid w:val="00913002"/>
    <w:rsid w:val="00913B0A"/>
    <w:rsid w:val="00914874"/>
    <w:rsid w:val="00914E72"/>
    <w:rsid w:val="00914FA4"/>
    <w:rsid w:val="00915F72"/>
    <w:rsid w:val="009170E1"/>
    <w:rsid w:val="009200A5"/>
    <w:rsid w:val="00920648"/>
    <w:rsid w:val="009214FA"/>
    <w:rsid w:val="009215BF"/>
    <w:rsid w:val="009215FD"/>
    <w:rsid w:val="0092164B"/>
    <w:rsid w:val="00921733"/>
    <w:rsid w:val="00922270"/>
    <w:rsid w:val="009228AB"/>
    <w:rsid w:val="00923B1A"/>
    <w:rsid w:val="00924575"/>
    <w:rsid w:val="00924D3E"/>
    <w:rsid w:val="00925917"/>
    <w:rsid w:val="00925F57"/>
    <w:rsid w:val="009271A9"/>
    <w:rsid w:val="00927A4E"/>
    <w:rsid w:val="00931C72"/>
    <w:rsid w:val="00931D66"/>
    <w:rsid w:val="00931F6A"/>
    <w:rsid w:val="00932E81"/>
    <w:rsid w:val="00932F91"/>
    <w:rsid w:val="0093373E"/>
    <w:rsid w:val="00934A30"/>
    <w:rsid w:val="00935024"/>
    <w:rsid w:val="00935717"/>
    <w:rsid w:val="00936205"/>
    <w:rsid w:val="0093700F"/>
    <w:rsid w:val="00937075"/>
    <w:rsid w:val="0093738F"/>
    <w:rsid w:val="00937937"/>
    <w:rsid w:val="00940252"/>
    <w:rsid w:val="00940388"/>
    <w:rsid w:val="00944310"/>
    <w:rsid w:val="009446BE"/>
    <w:rsid w:val="00945FBE"/>
    <w:rsid w:val="00946A5C"/>
    <w:rsid w:val="009508A2"/>
    <w:rsid w:val="00951860"/>
    <w:rsid w:val="00952150"/>
    <w:rsid w:val="009530B3"/>
    <w:rsid w:val="00953EFC"/>
    <w:rsid w:val="00955E82"/>
    <w:rsid w:val="009563E2"/>
    <w:rsid w:val="00957E30"/>
    <w:rsid w:val="0096104D"/>
    <w:rsid w:val="009618EE"/>
    <w:rsid w:val="00961AE8"/>
    <w:rsid w:val="00962589"/>
    <w:rsid w:val="0096277B"/>
    <w:rsid w:val="009627D8"/>
    <w:rsid w:val="00962E86"/>
    <w:rsid w:val="00963F45"/>
    <w:rsid w:val="00964228"/>
    <w:rsid w:val="00964D89"/>
    <w:rsid w:val="00965237"/>
    <w:rsid w:val="00965E6F"/>
    <w:rsid w:val="0096672B"/>
    <w:rsid w:val="00970491"/>
    <w:rsid w:val="009709C9"/>
    <w:rsid w:val="009719E4"/>
    <w:rsid w:val="00971D5F"/>
    <w:rsid w:val="009729FA"/>
    <w:rsid w:val="00972F4C"/>
    <w:rsid w:val="00973AF7"/>
    <w:rsid w:val="00973D8C"/>
    <w:rsid w:val="00974A41"/>
    <w:rsid w:val="009761A4"/>
    <w:rsid w:val="009765F6"/>
    <w:rsid w:val="00976BE2"/>
    <w:rsid w:val="00977336"/>
    <w:rsid w:val="00977FED"/>
    <w:rsid w:val="0098094D"/>
    <w:rsid w:val="00980F1F"/>
    <w:rsid w:val="00980FD6"/>
    <w:rsid w:val="00981040"/>
    <w:rsid w:val="00982021"/>
    <w:rsid w:val="0098237E"/>
    <w:rsid w:val="0098269D"/>
    <w:rsid w:val="009828CB"/>
    <w:rsid w:val="00982A81"/>
    <w:rsid w:val="00983363"/>
    <w:rsid w:val="00983E86"/>
    <w:rsid w:val="0098487D"/>
    <w:rsid w:val="009856F3"/>
    <w:rsid w:val="0098577C"/>
    <w:rsid w:val="009861FE"/>
    <w:rsid w:val="00986AB9"/>
    <w:rsid w:val="00987863"/>
    <w:rsid w:val="00987A32"/>
    <w:rsid w:val="00987DE1"/>
    <w:rsid w:val="009903AB"/>
    <w:rsid w:val="00991F3B"/>
    <w:rsid w:val="00992101"/>
    <w:rsid w:val="00992478"/>
    <w:rsid w:val="00995B02"/>
    <w:rsid w:val="00996002"/>
    <w:rsid w:val="009964D3"/>
    <w:rsid w:val="00996A98"/>
    <w:rsid w:val="00996E31"/>
    <w:rsid w:val="00997902"/>
    <w:rsid w:val="00997BDD"/>
    <w:rsid w:val="009A01BE"/>
    <w:rsid w:val="009A06C9"/>
    <w:rsid w:val="009A0922"/>
    <w:rsid w:val="009A094B"/>
    <w:rsid w:val="009A0A58"/>
    <w:rsid w:val="009A0D87"/>
    <w:rsid w:val="009A0F08"/>
    <w:rsid w:val="009A102F"/>
    <w:rsid w:val="009A15C8"/>
    <w:rsid w:val="009A5726"/>
    <w:rsid w:val="009A6E16"/>
    <w:rsid w:val="009A70A9"/>
    <w:rsid w:val="009A767C"/>
    <w:rsid w:val="009B11B5"/>
    <w:rsid w:val="009B1DE8"/>
    <w:rsid w:val="009B296A"/>
    <w:rsid w:val="009B299C"/>
    <w:rsid w:val="009B35D9"/>
    <w:rsid w:val="009B3D67"/>
    <w:rsid w:val="009B4587"/>
    <w:rsid w:val="009B5640"/>
    <w:rsid w:val="009B56EB"/>
    <w:rsid w:val="009B6A47"/>
    <w:rsid w:val="009B6FBF"/>
    <w:rsid w:val="009C06F3"/>
    <w:rsid w:val="009C0DF0"/>
    <w:rsid w:val="009C172C"/>
    <w:rsid w:val="009C25F6"/>
    <w:rsid w:val="009C2836"/>
    <w:rsid w:val="009C333D"/>
    <w:rsid w:val="009C58E9"/>
    <w:rsid w:val="009C609F"/>
    <w:rsid w:val="009C6597"/>
    <w:rsid w:val="009C6CA6"/>
    <w:rsid w:val="009D0B78"/>
    <w:rsid w:val="009D0C3D"/>
    <w:rsid w:val="009D1198"/>
    <w:rsid w:val="009D1BE7"/>
    <w:rsid w:val="009D2B4C"/>
    <w:rsid w:val="009D3610"/>
    <w:rsid w:val="009D4744"/>
    <w:rsid w:val="009D4ACD"/>
    <w:rsid w:val="009D53A5"/>
    <w:rsid w:val="009D5C01"/>
    <w:rsid w:val="009D7159"/>
    <w:rsid w:val="009D75BD"/>
    <w:rsid w:val="009D7BB4"/>
    <w:rsid w:val="009E0866"/>
    <w:rsid w:val="009E12D1"/>
    <w:rsid w:val="009E1C0E"/>
    <w:rsid w:val="009E202A"/>
    <w:rsid w:val="009E2688"/>
    <w:rsid w:val="009E3FBA"/>
    <w:rsid w:val="009E6C49"/>
    <w:rsid w:val="009E7F9D"/>
    <w:rsid w:val="009F062A"/>
    <w:rsid w:val="009F11A0"/>
    <w:rsid w:val="009F17EB"/>
    <w:rsid w:val="009F2124"/>
    <w:rsid w:val="009F3308"/>
    <w:rsid w:val="009F3419"/>
    <w:rsid w:val="009F38B1"/>
    <w:rsid w:val="009F3DC2"/>
    <w:rsid w:val="009F473D"/>
    <w:rsid w:val="009F48C0"/>
    <w:rsid w:val="009F5482"/>
    <w:rsid w:val="009F5CDF"/>
    <w:rsid w:val="009F62C6"/>
    <w:rsid w:val="009F72B8"/>
    <w:rsid w:val="00A00560"/>
    <w:rsid w:val="00A00632"/>
    <w:rsid w:val="00A00721"/>
    <w:rsid w:val="00A00F3E"/>
    <w:rsid w:val="00A01B13"/>
    <w:rsid w:val="00A02F93"/>
    <w:rsid w:val="00A030F0"/>
    <w:rsid w:val="00A04A82"/>
    <w:rsid w:val="00A04F57"/>
    <w:rsid w:val="00A05B90"/>
    <w:rsid w:val="00A0765D"/>
    <w:rsid w:val="00A1031F"/>
    <w:rsid w:val="00A10663"/>
    <w:rsid w:val="00A115AA"/>
    <w:rsid w:val="00A13EE2"/>
    <w:rsid w:val="00A15BF4"/>
    <w:rsid w:val="00A1602B"/>
    <w:rsid w:val="00A168BA"/>
    <w:rsid w:val="00A16E72"/>
    <w:rsid w:val="00A17009"/>
    <w:rsid w:val="00A175FF"/>
    <w:rsid w:val="00A1775E"/>
    <w:rsid w:val="00A177E6"/>
    <w:rsid w:val="00A17DBE"/>
    <w:rsid w:val="00A22324"/>
    <w:rsid w:val="00A223EF"/>
    <w:rsid w:val="00A22C7A"/>
    <w:rsid w:val="00A23226"/>
    <w:rsid w:val="00A23740"/>
    <w:rsid w:val="00A25880"/>
    <w:rsid w:val="00A26146"/>
    <w:rsid w:val="00A2637D"/>
    <w:rsid w:val="00A26C61"/>
    <w:rsid w:val="00A270C7"/>
    <w:rsid w:val="00A27CF7"/>
    <w:rsid w:val="00A30DBD"/>
    <w:rsid w:val="00A31AE1"/>
    <w:rsid w:val="00A331AF"/>
    <w:rsid w:val="00A33384"/>
    <w:rsid w:val="00A3367B"/>
    <w:rsid w:val="00A3464B"/>
    <w:rsid w:val="00A34F9A"/>
    <w:rsid w:val="00A359C9"/>
    <w:rsid w:val="00A35E9B"/>
    <w:rsid w:val="00A37733"/>
    <w:rsid w:val="00A37DE5"/>
    <w:rsid w:val="00A401B1"/>
    <w:rsid w:val="00A407CA"/>
    <w:rsid w:val="00A40DDF"/>
    <w:rsid w:val="00A414F9"/>
    <w:rsid w:val="00A41D50"/>
    <w:rsid w:val="00A426E1"/>
    <w:rsid w:val="00A42AB1"/>
    <w:rsid w:val="00A42CD2"/>
    <w:rsid w:val="00A43315"/>
    <w:rsid w:val="00A43ED5"/>
    <w:rsid w:val="00A43F1B"/>
    <w:rsid w:val="00A4421F"/>
    <w:rsid w:val="00A44FFD"/>
    <w:rsid w:val="00A45121"/>
    <w:rsid w:val="00A458D0"/>
    <w:rsid w:val="00A45AD7"/>
    <w:rsid w:val="00A467EF"/>
    <w:rsid w:val="00A468B3"/>
    <w:rsid w:val="00A471C5"/>
    <w:rsid w:val="00A47AB5"/>
    <w:rsid w:val="00A500C9"/>
    <w:rsid w:val="00A50A63"/>
    <w:rsid w:val="00A50F28"/>
    <w:rsid w:val="00A50F34"/>
    <w:rsid w:val="00A51B9E"/>
    <w:rsid w:val="00A53E6A"/>
    <w:rsid w:val="00A549CB"/>
    <w:rsid w:val="00A54AA1"/>
    <w:rsid w:val="00A54D57"/>
    <w:rsid w:val="00A5611D"/>
    <w:rsid w:val="00A57248"/>
    <w:rsid w:val="00A5733D"/>
    <w:rsid w:val="00A601B0"/>
    <w:rsid w:val="00A60568"/>
    <w:rsid w:val="00A60735"/>
    <w:rsid w:val="00A611C6"/>
    <w:rsid w:val="00A62EEC"/>
    <w:rsid w:val="00A63167"/>
    <w:rsid w:val="00A63617"/>
    <w:rsid w:val="00A639C6"/>
    <w:rsid w:val="00A64839"/>
    <w:rsid w:val="00A64AC5"/>
    <w:rsid w:val="00A6516C"/>
    <w:rsid w:val="00A654B8"/>
    <w:rsid w:val="00A654E0"/>
    <w:rsid w:val="00A678C7"/>
    <w:rsid w:val="00A72206"/>
    <w:rsid w:val="00A72E45"/>
    <w:rsid w:val="00A730B6"/>
    <w:rsid w:val="00A73DDE"/>
    <w:rsid w:val="00A74B8C"/>
    <w:rsid w:val="00A76C3E"/>
    <w:rsid w:val="00A77DA2"/>
    <w:rsid w:val="00A80440"/>
    <w:rsid w:val="00A80E6B"/>
    <w:rsid w:val="00A81059"/>
    <w:rsid w:val="00A81A1B"/>
    <w:rsid w:val="00A82F75"/>
    <w:rsid w:val="00A83898"/>
    <w:rsid w:val="00A83E56"/>
    <w:rsid w:val="00A83F58"/>
    <w:rsid w:val="00A84412"/>
    <w:rsid w:val="00A84607"/>
    <w:rsid w:val="00A84A04"/>
    <w:rsid w:val="00A858A7"/>
    <w:rsid w:val="00A868FD"/>
    <w:rsid w:val="00A915A6"/>
    <w:rsid w:val="00A9233E"/>
    <w:rsid w:val="00A92840"/>
    <w:rsid w:val="00A930CF"/>
    <w:rsid w:val="00A9351D"/>
    <w:rsid w:val="00A93FFE"/>
    <w:rsid w:val="00A942AA"/>
    <w:rsid w:val="00A944F1"/>
    <w:rsid w:val="00A948BA"/>
    <w:rsid w:val="00A94F7E"/>
    <w:rsid w:val="00A95148"/>
    <w:rsid w:val="00A95437"/>
    <w:rsid w:val="00A956EE"/>
    <w:rsid w:val="00A963B9"/>
    <w:rsid w:val="00A96481"/>
    <w:rsid w:val="00A96FCB"/>
    <w:rsid w:val="00A97443"/>
    <w:rsid w:val="00AA0821"/>
    <w:rsid w:val="00AA0AA3"/>
    <w:rsid w:val="00AA15E9"/>
    <w:rsid w:val="00AA1E64"/>
    <w:rsid w:val="00AA225A"/>
    <w:rsid w:val="00AA2911"/>
    <w:rsid w:val="00AA2C8F"/>
    <w:rsid w:val="00AA3C9E"/>
    <w:rsid w:val="00AA4222"/>
    <w:rsid w:val="00AA43BE"/>
    <w:rsid w:val="00AA492A"/>
    <w:rsid w:val="00AA55EC"/>
    <w:rsid w:val="00AA591B"/>
    <w:rsid w:val="00AA5A08"/>
    <w:rsid w:val="00AA5D6D"/>
    <w:rsid w:val="00AA62B0"/>
    <w:rsid w:val="00AA63BE"/>
    <w:rsid w:val="00AA6A52"/>
    <w:rsid w:val="00AA73FD"/>
    <w:rsid w:val="00AA776F"/>
    <w:rsid w:val="00AB0579"/>
    <w:rsid w:val="00AB34DD"/>
    <w:rsid w:val="00AB3D6D"/>
    <w:rsid w:val="00AB4F4D"/>
    <w:rsid w:val="00AB547A"/>
    <w:rsid w:val="00AB5893"/>
    <w:rsid w:val="00AB6262"/>
    <w:rsid w:val="00AB7248"/>
    <w:rsid w:val="00AB7346"/>
    <w:rsid w:val="00AC156D"/>
    <w:rsid w:val="00AC1935"/>
    <w:rsid w:val="00AC20A5"/>
    <w:rsid w:val="00AC2796"/>
    <w:rsid w:val="00AC3037"/>
    <w:rsid w:val="00AC33FB"/>
    <w:rsid w:val="00AC4014"/>
    <w:rsid w:val="00AC43B3"/>
    <w:rsid w:val="00AC5446"/>
    <w:rsid w:val="00AC58C8"/>
    <w:rsid w:val="00AC5AEF"/>
    <w:rsid w:val="00AC5CB8"/>
    <w:rsid w:val="00AC5E06"/>
    <w:rsid w:val="00AC5F60"/>
    <w:rsid w:val="00AC6280"/>
    <w:rsid w:val="00AC6656"/>
    <w:rsid w:val="00AC759A"/>
    <w:rsid w:val="00AC7D88"/>
    <w:rsid w:val="00AD0052"/>
    <w:rsid w:val="00AD057B"/>
    <w:rsid w:val="00AD05EA"/>
    <w:rsid w:val="00AD086A"/>
    <w:rsid w:val="00AD0A31"/>
    <w:rsid w:val="00AD0F88"/>
    <w:rsid w:val="00AD13C3"/>
    <w:rsid w:val="00AD1787"/>
    <w:rsid w:val="00AD28C6"/>
    <w:rsid w:val="00AD290C"/>
    <w:rsid w:val="00AD2CA3"/>
    <w:rsid w:val="00AD34EA"/>
    <w:rsid w:val="00AD35FF"/>
    <w:rsid w:val="00AD3866"/>
    <w:rsid w:val="00AD3FD0"/>
    <w:rsid w:val="00AD4022"/>
    <w:rsid w:val="00AD4987"/>
    <w:rsid w:val="00AD49BA"/>
    <w:rsid w:val="00AD4C4B"/>
    <w:rsid w:val="00AD4E97"/>
    <w:rsid w:val="00AD568C"/>
    <w:rsid w:val="00AD5A63"/>
    <w:rsid w:val="00AD72D0"/>
    <w:rsid w:val="00AD7B2C"/>
    <w:rsid w:val="00AD7F76"/>
    <w:rsid w:val="00AE12A3"/>
    <w:rsid w:val="00AE17B6"/>
    <w:rsid w:val="00AE2169"/>
    <w:rsid w:val="00AE42EC"/>
    <w:rsid w:val="00AE4C9D"/>
    <w:rsid w:val="00AE5394"/>
    <w:rsid w:val="00AE6965"/>
    <w:rsid w:val="00AE6AA8"/>
    <w:rsid w:val="00AE73DC"/>
    <w:rsid w:val="00AF2855"/>
    <w:rsid w:val="00AF3F35"/>
    <w:rsid w:val="00AF42F0"/>
    <w:rsid w:val="00AF4632"/>
    <w:rsid w:val="00AF6463"/>
    <w:rsid w:val="00B00826"/>
    <w:rsid w:val="00B00944"/>
    <w:rsid w:val="00B00BA0"/>
    <w:rsid w:val="00B00EF0"/>
    <w:rsid w:val="00B012B6"/>
    <w:rsid w:val="00B01B58"/>
    <w:rsid w:val="00B0225A"/>
    <w:rsid w:val="00B02AAC"/>
    <w:rsid w:val="00B031CA"/>
    <w:rsid w:val="00B04349"/>
    <w:rsid w:val="00B05AB9"/>
    <w:rsid w:val="00B05B6F"/>
    <w:rsid w:val="00B06722"/>
    <w:rsid w:val="00B1005E"/>
    <w:rsid w:val="00B10177"/>
    <w:rsid w:val="00B10CF8"/>
    <w:rsid w:val="00B11EFB"/>
    <w:rsid w:val="00B1236E"/>
    <w:rsid w:val="00B12CBD"/>
    <w:rsid w:val="00B131E4"/>
    <w:rsid w:val="00B1473B"/>
    <w:rsid w:val="00B14A21"/>
    <w:rsid w:val="00B160CA"/>
    <w:rsid w:val="00B170F6"/>
    <w:rsid w:val="00B17500"/>
    <w:rsid w:val="00B17B6C"/>
    <w:rsid w:val="00B17F48"/>
    <w:rsid w:val="00B22322"/>
    <w:rsid w:val="00B22F71"/>
    <w:rsid w:val="00B239BA"/>
    <w:rsid w:val="00B2417F"/>
    <w:rsid w:val="00B26EEF"/>
    <w:rsid w:val="00B27246"/>
    <w:rsid w:val="00B2753B"/>
    <w:rsid w:val="00B276BC"/>
    <w:rsid w:val="00B27BF7"/>
    <w:rsid w:val="00B302B4"/>
    <w:rsid w:val="00B31778"/>
    <w:rsid w:val="00B31808"/>
    <w:rsid w:val="00B32385"/>
    <w:rsid w:val="00B3396A"/>
    <w:rsid w:val="00B33983"/>
    <w:rsid w:val="00B33D68"/>
    <w:rsid w:val="00B35754"/>
    <w:rsid w:val="00B35B02"/>
    <w:rsid w:val="00B35F72"/>
    <w:rsid w:val="00B37A1A"/>
    <w:rsid w:val="00B37BCC"/>
    <w:rsid w:val="00B43CAE"/>
    <w:rsid w:val="00B43EA1"/>
    <w:rsid w:val="00B44035"/>
    <w:rsid w:val="00B44164"/>
    <w:rsid w:val="00B4439A"/>
    <w:rsid w:val="00B44B21"/>
    <w:rsid w:val="00B44C45"/>
    <w:rsid w:val="00B44D41"/>
    <w:rsid w:val="00B44DB2"/>
    <w:rsid w:val="00B4514B"/>
    <w:rsid w:val="00B45581"/>
    <w:rsid w:val="00B4690A"/>
    <w:rsid w:val="00B4778F"/>
    <w:rsid w:val="00B4796C"/>
    <w:rsid w:val="00B47A35"/>
    <w:rsid w:val="00B5085B"/>
    <w:rsid w:val="00B50D4A"/>
    <w:rsid w:val="00B52A67"/>
    <w:rsid w:val="00B52F64"/>
    <w:rsid w:val="00B532AF"/>
    <w:rsid w:val="00B53573"/>
    <w:rsid w:val="00B53701"/>
    <w:rsid w:val="00B53F29"/>
    <w:rsid w:val="00B5430E"/>
    <w:rsid w:val="00B54539"/>
    <w:rsid w:val="00B54D37"/>
    <w:rsid w:val="00B54D54"/>
    <w:rsid w:val="00B556C5"/>
    <w:rsid w:val="00B5699D"/>
    <w:rsid w:val="00B600F2"/>
    <w:rsid w:val="00B60778"/>
    <w:rsid w:val="00B62983"/>
    <w:rsid w:val="00B63253"/>
    <w:rsid w:val="00B63923"/>
    <w:rsid w:val="00B63939"/>
    <w:rsid w:val="00B63EF4"/>
    <w:rsid w:val="00B63F9E"/>
    <w:rsid w:val="00B647C5"/>
    <w:rsid w:val="00B64A17"/>
    <w:rsid w:val="00B64AE3"/>
    <w:rsid w:val="00B65CD7"/>
    <w:rsid w:val="00B6650D"/>
    <w:rsid w:val="00B66635"/>
    <w:rsid w:val="00B66C3C"/>
    <w:rsid w:val="00B679A8"/>
    <w:rsid w:val="00B70B20"/>
    <w:rsid w:val="00B71030"/>
    <w:rsid w:val="00B72BDC"/>
    <w:rsid w:val="00B73337"/>
    <w:rsid w:val="00B73390"/>
    <w:rsid w:val="00B7392D"/>
    <w:rsid w:val="00B73977"/>
    <w:rsid w:val="00B73A55"/>
    <w:rsid w:val="00B73D5B"/>
    <w:rsid w:val="00B74566"/>
    <w:rsid w:val="00B750FC"/>
    <w:rsid w:val="00B752F7"/>
    <w:rsid w:val="00B76F04"/>
    <w:rsid w:val="00B76F7D"/>
    <w:rsid w:val="00B77E8B"/>
    <w:rsid w:val="00B82263"/>
    <w:rsid w:val="00B823AB"/>
    <w:rsid w:val="00B82935"/>
    <w:rsid w:val="00B84C2D"/>
    <w:rsid w:val="00B850FE"/>
    <w:rsid w:val="00B85A34"/>
    <w:rsid w:val="00B8639F"/>
    <w:rsid w:val="00B87142"/>
    <w:rsid w:val="00B87760"/>
    <w:rsid w:val="00B8785F"/>
    <w:rsid w:val="00B901ED"/>
    <w:rsid w:val="00B90B8A"/>
    <w:rsid w:val="00B90F76"/>
    <w:rsid w:val="00B9234D"/>
    <w:rsid w:val="00B92552"/>
    <w:rsid w:val="00B93812"/>
    <w:rsid w:val="00B944BA"/>
    <w:rsid w:val="00B960EE"/>
    <w:rsid w:val="00B9613B"/>
    <w:rsid w:val="00B9695C"/>
    <w:rsid w:val="00BA020F"/>
    <w:rsid w:val="00BA0ADC"/>
    <w:rsid w:val="00BA0B08"/>
    <w:rsid w:val="00BA0EBD"/>
    <w:rsid w:val="00BA13E1"/>
    <w:rsid w:val="00BA1AAD"/>
    <w:rsid w:val="00BA1B1D"/>
    <w:rsid w:val="00BA1C5C"/>
    <w:rsid w:val="00BA2A59"/>
    <w:rsid w:val="00BA3171"/>
    <w:rsid w:val="00BA3AFE"/>
    <w:rsid w:val="00BA4973"/>
    <w:rsid w:val="00BA59B3"/>
    <w:rsid w:val="00BA5A61"/>
    <w:rsid w:val="00BA5F7D"/>
    <w:rsid w:val="00BA64CA"/>
    <w:rsid w:val="00BB024E"/>
    <w:rsid w:val="00BB1274"/>
    <w:rsid w:val="00BB21D7"/>
    <w:rsid w:val="00BB2F68"/>
    <w:rsid w:val="00BB3774"/>
    <w:rsid w:val="00BB3A55"/>
    <w:rsid w:val="00BB4936"/>
    <w:rsid w:val="00BB4A06"/>
    <w:rsid w:val="00BB5D9E"/>
    <w:rsid w:val="00BB6000"/>
    <w:rsid w:val="00BB73D8"/>
    <w:rsid w:val="00BB7A90"/>
    <w:rsid w:val="00BC007C"/>
    <w:rsid w:val="00BC01BA"/>
    <w:rsid w:val="00BC05FB"/>
    <w:rsid w:val="00BC070F"/>
    <w:rsid w:val="00BC0A06"/>
    <w:rsid w:val="00BC0D34"/>
    <w:rsid w:val="00BC0D5E"/>
    <w:rsid w:val="00BC1CDC"/>
    <w:rsid w:val="00BC1ECA"/>
    <w:rsid w:val="00BC233D"/>
    <w:rsid w:val="00BC244C"/>
    <w:rsid w:val="00BC3257"/>
    <w:rsid w:val="00BC3918"/>
    <w:rsid w:val="00BC46E5"/>
    <w:rsid w:val="00BC4C15"/>
    <w:rsid w:val="00BC4CBB"/>
    <w:rsid w:val="00BC4F6E"/>
    <w:rsid w:val="00BC52CE"/>
    <w:rsid w:val="00BC546D"/>
    <w:rsid w:val="00BC5ED5"/>
    <w:rsid w:val="00BC70BF"/>
    <w:rsid w:val="00BD1275"/>
    <w:rsid w:val="00BD138A"/>
    <w:rsid w:val="00BD2B4D"/>
    <w:rsid w:val="00BD353E"/>
    <w:rsid w:val="00BD4504"/>
    <w:rsid w:val="00BD475D"/>
    <w:rsid w:val="00BD5B57"/>
    <w:rsid w:val="00BD5C67"/>
    <w:rsid w:val="00BD5FDC"/>
    <w:rsid w:val="00BD66F1"/>
    <w:rsid w:val="00BD6A8B"/>
    <w:rsid w:val="00BE0008"/>
    <w:rsid w:val="00BE0F27"/>
    <w:rsid w:val="00BE18A9"/>
    <w:rsid w:val="00BE20A4"/>
    <w:rsid w:val="00BE3AFB"/>
    <w:rsid w:val="00BE4826"/>
    <w:rsid w:val="00BE4B70"/>
    <w:rsid w:val="00BE50AF"/>
    <w:rsid w:val="00BE531D"/>
    <w:rsid w:val="00BE549E"/>
    <w:rsid w:val="00BE6F9D"/>
    <w:rsid w:val="00BE7C70"/>
    <w:rsid w:val="00BF06D3"/>
    <w:rsid w:val="00BF087C"/>
    <w:rsid w:val="00BF12AB"/>
    <w:rsid w:val="00BF1659"/>
    <w:rsid w:val="00BF1813"/>
    <w:rsid w:val="00BF298E"/>
    <w:rsid w:val="00BF2EDF"/>
    <w:rsid w:val="00BF370A"/>
    <w:rsid w:val="00BF396C"/>
    <w:rsid w:val="00BF399A"/>
    <w:rsid w:val="00BF5759"/>
    <w:rsid w:val="00BF604F"/>
    <w:rsid w:val="00BF69CB"/>
    <w:rsid w:val="00BF7642"/>
    <w:rsid w:val="00BF76AA"/>
    <w:rsid w:val="00BF7988"/>
    <w:rsid w:val="00C003A9"/>
    <w:rsid w:val="00C0066B"/>
    <w:rsid w:val="00C02E60"/>
    <w:rsid w:val="00C03C3B"/>
    <w:rsid w:val="00C03CDD"/>
    <w:rsid w:val="00C0468C"/>
    <w:rsid w:val="00C047E2"/>
    <w:rsid w:val="00C07374"/>
    <w:rsid w:val="00C11A2E"/>
    <w:rsid w:val="00C11D22"/>
    <w:rsid w:val="00C137D9"/>
    <w:rsid w:val="00C13BA1"/>
    <w:rsid w:val="00C154FE"/>
    <w:rsid w:val="00C15522"/>
    <w:rsid w:val="00C15CD1"/>
    <w:rsid w:val="00C16850"/>
    <w:rsid w:val="00C16D9A"/>
    <w:rsid w:val="00C16DC4"/>
    <w:rsid w:val="00C172B8"/>
    <w:rsid w:val="00C173B9"/>
    <w:rsid w:val="00C17D19"/>
    <w:rsid w:val="00C20563"/>
    <w:rsid w:val="00C20675"/>
    <w:rsid w:val="00C20A3A"/>
    <w:rsid w:val="00C2161C"/>
    <w:rsid w:val="00C219AE"/>
    <w:rsid w:val="00C21C82"/>
    <w:rsid w:val="00C22E50"/>
    <w:rsid w:val="00C23006"/>
    <w:rsid w:val="00C2388C"/>
    <w:rsid w:val="00C23EBA"/>
    <w:rsid w:val="00C24675"/>
    <w:rsid w:val="00C2519B"/>
    <w:rsid w:val="00C31430"/>
    <w:rsid w:val="00C3229C"/>
    <w:rsid w:val="00C32517"/>
    <w:rsid w:val="00C3272D"/>
    <w:rsid w:val="00C32C38"/>
    <w:rsid w:val="00C32DF4"/>
    <w:rsid w:val="00C33EB6"/>
    <w:rsid w:val="00C3401E"/>
    <w:rsid w:val="00C34AE8"/>
    <w:rsid w:val="00C34DC3"/>
    <w:rsid w:val="00C3509C"/>
    <w:rsid w:val="00C35C59"/>
    <w:rsid w:val="00C37053"/>
    <w:rsid w:val="00C4152F"/>
    <w:rsid w:val="00C42B86"/>
    <w:rsid w:val="00C436D0"/>
    <w:rsid w:val="00C44190"/>
    <w:rsid w:val="00C447E2"/>
    <w:rsid w:val="00C44AB5"/>
    <w:rsid w:val="00C45362"/>
    <w:rsid w:val="00C4605B"/>
    <w:rsid w:val="00C4725C"/>
    <w:rsid w:val="00C51357"/>
    <w:rsid w:val="00C51C31"/>
    <w:rsid w:val="00C52668"/>
    <w:rsid w:val="00C528FF"/>
    <w:rsid w:val="00C54B98"/>
    <w:rsid w:val="00C56853"/>
    <w:rsid w:val="00C575E7"/>
    <w:rsid w:val="00C57C98"/>
    <w:rsid w:val="00C6025C"/>
    <w:rsid w:val="00C613C8"/>
    <w:rsid w:val="00C628A1"/>
    <w:rsid w:val="00C62D5C"/>
    <w:rsid w:val="00C649DD"/>
    <w:rsid w:val="00C64E7A"/>
    <w:rsid w:val="00C66F4C"/>
    <w:rsid w:val="00C67859"/>
    <w:rsid w:val="00C67E3E"/>
    <w:rsid w:val="00C7079F"/>
    <w:rsid w:val="00C70CB5"/>
    <w:rsid w:val="00C7112B"/>
    <w:rsid w:val="00C72367"/>
    <w:rsid w:val="00C72497"/>
    <w:rsid w:val="00C72CC0"/>
    <w:rsid w:val="00C72F03"/>
    <w:rsid w:val="00C73FEE"/>
    <w:rsid w:val="00C75553"/>
    <w:rsid w:val="00C7587A"/>
    <w:rsid w:val="00C759E7"/>
    <w:rsid w:val="00C76192"/>
    <w:rsid w:val="00C764A8"/>
    <w:rsid w:val="00C76880"/>
    <w:rsid w:val="00C77A7F"/>
    <w:rsid w:val="00C77CBA"/>
    <w:rsid w:val="00C77F5A"/>
    <w:rsid w:val="00C808E7"/>
    <w:rsid w:val="00C80BD2"/>
    <w:rsid w:val="00C826F0"/>
    <w:rsid w:val="00C831B0"/>
    <w:rsid w:val="00C843CD"/>
    <w:rsid w:val="00C84DC3"/>
    <w:rsid w:val="00C85ED3"/>
    <w:rsid w:val="00C872D1"/>
    <w:rsid w:val="00C906C1"/>
    <w:rsid w:val="00C91196"/>
    <w:rsid w:val="00C912D9"/>
    <w:rsid w:val="00C91483"/>
    <w:rsid w:val="00C916E4"/>
    <w:rsid w:val="00C92750"/>
    <w:rsid w:val="00C96241"/>
    <w:rsid w:val="00CA0D72"/>
    <w:rsid w:val="00CA167C"/>
    <w:rsid w:val="00CA26FE"/>
    <w:rsid w:val="00CA2F87"/>
    <w:rsid w:val="00CA3FD2"/>
    <w:rsid w:val="00CA44D9"/>
    <w:rsid w:val="00CA49AB"/>
    <w:rsid w:val="00CA50CD"/>
    <w:rsid w:val="00CA659C"/>
    <w:rsid w:val="00CA6B2C"/>
    <w:rsid w:val="00CA70B4"/>
    <w:rsid w:val="00CA7565"/>
    <w:rsid w:val="00CA7B4C"/>
    <w:rsid w:val="00CB0052"/>
    <w:rsid w:val="00CB05EA"/>
    <w:rsid w:val="00CB127C"/>
    <w:rsid w:val="00CB2226"/>
    <w:rsid w:val="00CB26E1"/>
    <w:rsid w:val="00CB2CCB"/>
    <w:rsid w:val="00CB3D8F"/>
    <w:rsid w:val="00CB4060"/>
    <w:rsid w:val="00CB4A33"/>
    <w:rsid w:val="00CB50C4"/>
    <w:rsid w:val="00CB65F6"/>
    <w:rsid w:val="00CB71A8"/>
    <w:rsid w:val="00CB7800"/>
    <w:rsid w:val="00CB7B35"/>
    <w:rsid w:val="00CC0570"/>
    <w:rsid w:val="00CC0F5B"/>
    <w:rsid w:val="00CC1070"/>
    <w:rsid w:val="00CC16A0"/>
    <w:rsid w:val="00CC1B2C"/>
    <w:rsid w:val="00CC1F6F"/>
    <w:rsid w:val="00CC2AE7"/>
    <w:rsid w:val="00CC3CF9"/>
    <w:rsid w:val="00CC4057"/>
    <w:rsid w:val="00CC5698"/>
    <w:rsid w:val="00CC5CAC"/>
    <w:rsid w:val="00CC7073"/>
    <w:rsid w:val="00CC74D4"/>
    <w:rsid w:val="00CD0937"/>
    <w:rsid w:val="00CD0F4B"/>
    <w:rsid w:val="00CD1278"/>
    <w:rsid w:val="00CD1827"/>
    <w:rsid w:val="00CD261C"/>
    <w:rsid w:val="00CD275B"/>
    <w:rsid w:val="00CD33E7"/>
    <w:rsid w:val="00CD355A"/>
    <w:rsid w:val="00CD394C"/>
    <w:rsid w:val="00CD56A4"/>
    <w:rsid w:val="00CD5840"/>
    <w:rsid w:val="00CD6C55"/>
    <w:rsid w:val="00CE0D0E"/>
    <w:rsid w:val="00CE0D52"/>
    <w:rsid w:val="00CE0D77"/>
    <w:rsid w:val="00CE3600"/>
    <w:rsid w:val="00CE3A84"/>
    <w:rsid w:val="00CE3FA6"/>
    <w:rsid w:val="00CE474D"/>
    <w:rsid w:val="00CE474E"/>
    <w:rsid w:val="00CE5152"/>
    <w:rsid w:val="00CE5370"/>
    <w:rsid w:val="00CE5A73"/>
    <w:rsid w:val="00CE5F76"/>
    <w:rsid w:val="00CE63DB"/>
    <w:rsid w:val="00CE67EA"/>
    <w:rsid w:val="00CE7A84"/>
    <w:rsid w:val="00CF0036"/>
    <w:rsid w:val="00CF0AFA"/>
    <w:rsid w:val="00CF0D4B"/>
    <w:rsid w:val="00CF1C0E"/>
    <w:rsid w:val="00CF297A"/>
    <w:rsid w:val="00CF2ABD"/>
    <w:rsid w:val="00CF2C5A"/>
    <w:rsid w:val="00CF2F84"/>
    <w:rsid w:val="00CF40BE"/>
    <w:rsid w:val="00CF4CC0"/>
    <w:rsid w:val="00CF57D5"/>
    <w:rsid w:val="00CF6B01"/>
    <w:rsid w:val="00CF6B7A"/>
    <w:rsid w:val="00CF6CD0"/>
    <w:rsid w:val="00CF7560"/>
    <w:rsid w:val="00CF7A67"/>
    <w:rsid w:val="00CF7CAA"/>
    <w:rsid w:val="00CF7F4C"/>
    <w:rsid w:val="00D01934"/>
    <w:rsid w:val="00D01FD6"/>
    <w:rsid w:val="00D02F30"/>
    <w:rsid w:val="00D03654"/>
    <w:rsid w:val="00D04185"/>
    <w:rsid w:val="00D04654"/>
    <w:rsid w:val="00D05BB6"/>
    <w:rsid w:val="00D10245"/>
    <w:rsid w:val="00D1041E"/>
    <w:rsid w:val="00D114C1"/>
    <w:rsid w:val="00D115E5"/>
    <w:rsid w:val="00D1355A"/>
    <w:rsid w:val="00D1371C"/>
    <w:rsid w:val="00D13861"/>
    <w:rsid w:val="00D15D19"/>
    <w:rsid w:val="00D16BE1"/>
    <w:rsid w:val="00D17436"/>
    <w:rsid w:val="00D175EF"/>
    <w:rsid w:val="00D17781"/>
    <w:rsid w:val="00D17870"/>
    <w:rsid w:val="00D179E3"/>
    <w:rsid w:val="00D17C19"/>
    <w:rsid w:val="00D23485"/>
    <w:rsid w:val="00D23F72"/>
    <w:rsid w:val="00D24274"/>
    <w:rsid w:val="00D248D9"/>
    <w:rsid w:val="00D25436"/>
    <w:rsid w:val="00D26F11"/>
    <w:rsid w:val="00D3291A"/>
    <w:rsid w:val="00D329CD"/>
    <w:rsid w:val="00D33C12"/>
    <w:rsid w:val="00D33F3D"/>
    <w:rsid w:val="00D34227"/>
    <w:rsid w:val="00D34C6F"/>
    <w:rsid w:val="00D357AB"/>
    <w:rsid w:val="00D3698D"/>
    <w:rsid w:val="00D36BEE"/>
    <w:rsid w:val="00D37868"/>
    <w:rsid w:val="00D37A9B"/>
    <w:rsid w:val="00D37B67"/>
    <w:rsid w:val="00D40557"/>
    <w:rsid w:val="00D408BB"/>
    <w:rsid w:val="00D41068"/>
    <w:rsid w:val="00D414F7"/>
    <w:rsid w:val="00D418ED"/>
    <w:rsid w:val="00D4297A"/>
    <w:rsid w:val="00D4534F"/>
    <w:rsid w:val="00D4679B"/>
    <w:rsid w:val="00D46A38"/>
    <w:rsid w:val="00D46C2D"/>
    <w:rsid w:val="00D46F0E"/>
    <w:rsid w:val="00D47AE2"/>
    <w:rsid w:val="00D47BD2"/>
    <w:rsid w:val="00D502E5"/>
    <w:rsid w:val="00D50F7F"/>
    <w:rsid w:val="00D52D41"/>
    <w:rsid w:val="00D530A0"/>
    <w:rsid w:val="00D53CCF"/>
    <w:rsid w:val="00D54C94"/>
    <w:rsid w:val="00D55295"/>
    <w:rsid w:val="00D5576E"/>
    <w:rsid w:val="00D57053"/>
    <w:rsid w:val="00D577A4"/>
    <w:rsid w:val="00D607B5"/>
    <w:rsid w:val="00D62185"/>
    <w:rsid w:val="00D6456B"/>
    <w:rsid w:val="00D65EA2"/>
    <w:rsid w:val="00D66931"/>
    <w:rsid w:val="00D67BAD"/>
    <w:rsid w:val="00D67E60"/>
    <w:rsid w:val="00D70754"/>
    <w:rsid w:val="00D71192"/>
    <w:rsid w:val="00D715F8"/>
    <w:rsid w:val="00D71979"/>
    <w:rsid w:val="00D72537"/>
    <w:rsid w:val="00D72DDE"/>
    <w:rsid w:val="00D73CAA"/>
    <w:rsid w:val="00D7456A"/>
    <w:rsid w:val="00D747F8"/>
    <w:rsid w:val="00D74F33"/>
    <w:rsid w:val="00D759A2"/>
    <w:rsid w:val="00D75ED7"/>
    <w:rsid w:val="00D76523"/>
    <w:rsid w:val="00D77708"/>
    <w:rsid w:val="00D77CE9"/>
    <w:rsid w:val="00D80B5D"/>
    <w:rsid w:val="00D81925"/>
    <w:rsid w:val="00D821F7"/>
    <w:rsid w:val="00D82589"/>
    <w:rsid w:val="00D830B8"/>
    <w:rsid w:val="00D84859"/>
    <w:rsid w:val="00D85004"/>
    <w:rsid w:val="00D85659"/>
    <w:rsid w:val="00D87228"/>
    <w:rsid w:val="00D87394"/>
    <w:rsid w:val="00D900D5"/>
    <w:rsid w:val="00D90151"/>
    <w:rsid w:val="00D90513"/>
    <w:rsid w:val="00D909EA"/>
    <w:rsid w:val="00D90C05"/>
    <w:rsid w:val="00D91816"/>
    <w:rsid w:val="00D92060"/>
    <w:rsid w:val="00D9262D"/>
    <w:rsid w:val="00D92CBF"/>
    <w:rsid w:val="00D93384"/>
    <w:rsid w:val="00D93EAD"/>
    <w:rsid w:val="00D953A0"/>
    <w:rsid w:val="00D95A63"/>
    <w:rsid w:val="00D96CBB"/>
    <w:rsid w:val="00D97A68"/>
    <w:rsid w:val="00DA0354"/>
    <w:rsid w:val="00DA0677"/>
    <w:rsid w:val="00DA0AF3"/>
    <w:rsid w:val="00DA1B85"/>
    <w:rsid w:val="00DA23B7"/>
    <w:rsid w:val="00DA3BC1"/>
    <w:rsid w:val="00DA42E6"/>
    <w:rsid w:val="00DA4689"/>
    <w:rsid w:val="00DA4834"/>
    <w:rsid w:val="00DA55AC"/>
    <w:rsid w:val="00DA630F"/>
    <w:rsid w:val="00DA6643"/>
    <w:rsid w:val="00DA724C"/>
    <w:rsid w:val="00DA7522"/>
    <w:rsid w:val="00DA76FB"/>
    <w:rsid w:val="00DA7A7C"/>
    <w:rsid w:val="00DB0310"/>
    <w:rsid w:val="00DB1088"/>
    <w:rsid w:val="00DB1149"/>
    <w:rsid w:val="00DB1A7E"/>
    <w:rsid w:val="00DB2DA1"/>
    <w:rsid w:val="00DB378D"/>
    <w:rsid w:val="00DB4221"/>
    <w:rsid w:val="00DB4B9C"/>
    <w:rsid w:val="00DB4C61"/>
    <w:rsid w:val="00DB59C1"/>
    <w:rsid w:val="00DB5AC8"/>
    <w:rsid w:val="00DB5C95"/>
    <w:rsid w:val="00DB5E3F"/>
    <w:rsid w:val="00DB66DB"/>
    <w:rsid w:val="00DB6A36"/>
    <w:rsid w:val="00DB6D3C"/>
    <w:rsid w:val="00DB7036"/>
    <w:rsid w:val="00DC0C00"/>
    <w:rsid w:val="00DC394E"/>
    <w:rsid w:val="00DC3BB6"/>
    <w:rsid w:val="00DC41F4"/>
    <w:rsid w:val="00DC4F8C"/>
    <w:rsid w:val="00DC7383"/>
    <w:rsid w:val="00DC7495"/>
    <w:rsid w:val="00DD122F"/>
    <w:rsid w:val="00DD1B8C"/>
    <w:rsid w:val="00DD2380"/>
    <w:rsid w:val="00DD351C"/>
    <w:rsid w:val="00DD3B30"/>
    <w:rsid w:val="00DD3CB8"/>
    <w:rsid w:val="00DD40B2"/>
    <w:rsid w:val="00DD5153"/>
    <w:rsid w:val="00DD5DD7"/>
    <w:rsid w:val="00DD5E23"/>
    <w:rsid w:val="00DD6815"/>
    <w:rsid w:val="00DD6E3A"/>
    <w:rsid w:val="00DE0B26"/>
    <w:rsid w:val="00DE1068"/>
    <w:rsid w:val="00DE2346"/>
    <w:rsid w:val="00DE31C5"/>
    <w:rsid w:val="00DE38F6"/>
    <w:rsid w:val="00DE3D14"/>
    <w:rsid w:val="00DE48BA"/>
    <w:rsid w:val="00DE4BA8"/>
    <w:rsid w:val="00DE5331"/>
    <w:rsid w:val="00DE5A07"/>
    <w:rsid w:val="00DE6533"/>
    <w:rsid w:val="00DE66DF"/>
    <w:rsid w:val="00DE6F6C"/>
    <w:rsid w:val="00DE7300"/>
    <w:rsid w:val="00DE7A60"/>
    <w:rsid w:val="00DE7AFC"/>
    <w:rsid w:val="00DF1658"/>
    <w:rsid w:val="00DF2B90"/>
    <w:rsid w:val="00DF2DBE"/>
    <w:rsid w:val="00DF3690"/>
    <w:rsid w:val="00DF384D"/>
    <w:rsid w:val="00DF39B8"/>
    <w:rsid w:val="00DF3C9E"/>
    <w:rsid w:val="00DF45A4"/>
    <w:rsid w:val="00DF513E"/>
    <w:rsid w:val="00DF5480"/>
    <w:rsid w:val="00DF5CA0"/>
    <w:rsid w:val="00DF6E7E"/>
    <w:rsid w:val="00E0005A"/>
    <w:rsid w:val="00E0005C"/>
    <w:rsid w:val="00E00082"/>
    <w:rsid w:val="00E01476"/>
    <w:rsid w:val="00E02876"/>
    <w:rsid w:val="00E02EF1"/>
    <w:rsid w:val="00E04634"/>
    <w:rsid w:val="00E04FD9"/>
    <w:rsid w:val="00E05CD3"/>
    <w:rsid w:val="00E06DA5"/>
    <w:rsid w:val="00E06E66"/>
    <w:rsid w:val="00E10320"/>
    <w:rsid w:val="00E10F43"/>
    <w:rsid w:val="00E11572"/>
    <w:rsid w:val="00E11D60"/>
    <w:rsid w:val="00E12006"/>
    <w:rsid w:val="00E12294"/>
    <w:rsid w:val="00E13A4B"/>
    <w:rsid w:val="00E1433F"/>
    <w:rsid w:val="00E14727"/>
    <w:rsid w:val="00E1510D"/>
    <w:rsid w:val="00E160A4"/>
    <w:rsid w:val="00E16387"/>
    <w:rsid w:val="00E16819"/>
    <w:rsid w:val="00E20043"/>
    <w:rsid w:val="00E2019C"/>
    <w:rsid w:val="00E20956"/>
    <w:rsid w:val="00E21A18"/>
    <w:rsid w:val="00E21AD4"/>
    <w:rsid w:val="00E22E65"/>
    <w:rsid w:val="00E23EA7"/>
    <w:rsid w:val="00E23EC9"/>
    <w:rsid w:val="00E24B60"/>
    <w:rsid w:val="00E25FC2"/>
    <w:rsid w:val="00E26466"/>
    <w:rsid w:val="00E31587"/>
    <w:rsid w:val="00E32484"/>
    <w:rsid w:val="00E325D6"/>
    <w:rsid w:val="00E32FE8"/>
    <w:rsid w:val="00E344F1"/>
    <w:rsid w:val="00E360CC"/>
    <w:rsid w:val="00E3654D"/>
    <w:rsid w:val="00E40CD4"/>
    <w:rsid w:val="00E417DF"/>
    <w:rsid w:val="00E41DD8"/>
    <w:rsid w:val="00E4235D"/>
    <w:rsid w:val="00E42987"/>
    <w:rsid w:val="00E44B08"/>
    <w:rsid w:val="00E45B39"/>
    <w:rsid w:val="00E45EF2"/>
    <w:rsid w:val="00E45F9F"/>
    <w:rsid w:val="00E4642F"/>
    <w:rsid w:val="00E46F19"/>
    <w:rsid w:val="00E47EB5"/>
    <w:rsid w:val="00E52499"/>
    <w:rsid w:val="00E5259C"/>
    <w:rsid w:val="00E529B8"/>
    <w:rsid w:val="00E5321D"/>
    <w:rsid w:val="00E542A0"/>
    <w:rsid w:val="00E546C7"/>
    <w:rsid w:val="00E54A3B"/>
    <w:rsid w:val="00E54A8D"/>
    <w:rsid w:val="00E55B23"/>
    <w:rsid w:val="00E5601D"/>
    <w:rsid w:val="00E567FD"/>
    <w:rsid w:val="00E57142"/>
    <w:rsid w:val="00E57B00"/>
    <w:rsid w:val="00E6113A"/>
    <w:rsid w:val="00E624E3"/>
    <w:rsid w:val="00E647D6"/>
    <w:rsid w:val="00E651EB"/>
    <w:rsid w:val="00E65A3C"/>
    <w:rsid w:val="00E65C93"/>
    <w:rsid w:val="00E65DA2"/>
    <w:rsid w:val="00E66092"/>
    <w:rsid w:val="00E66AB3"/>
    <w:rsid w:val="00E66FA3"/>
    <w:rsid w:val="00E67771"/>
    <w:rsid w:val="00E67891"/>
    <w:rsid w:val="00E67A15"/>
    <w:rsid w:val="00E67D86"/>
    <w:rsid w:val="00E70194"/>
    <w:rsid w:val="00E704D9"/>
    <w:rsid w:val="00E7054B"/>
    <w:rsid w:val="00E707A5"/>
    <w:rsid w:val="00E723F5"/>
    <w:rsid w:val="00E725F3"/>
    <w:rsid w:val="00E72D12"/>
    <w:rsid w:val="00E753CC"/>
    <w:rsid w:val="00E757B8"/>
    <w:rsid w:val="00E76436"/>
    <w:rsid w:val="00E7790E"/>
    <w:rsid w:val="00E80608"/>
    <w:rsid w:val="00E80ECC"/>
    <w:rsid w:val="00E81A5B"/>
    <w:rsid w:val="00E82D8A"/>
    <w:rsid w:val="00E83F57"/>
    <w:rsid w:val="00E848B2"/>
    <w:rsid w:val="00E84FA8"/>
    <w:rsid w:val="00E85756"/>
    <w:rsid w:val="00E90F79"/>
    <w:rsid w:val="00E92047"/>
    <w:rsid w:val="00E95678"/>
    <w:rsid w:val="00E96AD8"/>
    <w:rsid w:val="00E972A5"/>
    <w:rsid w:val="00EA1A47"/>
    <w:rsid w:val="00EA29F4"/>
    <w:rsid w:val="00EA2ECE"/>
    <w:rsid w:val="00EA4530"/>
    <w:rsid w:val="00EA58F3"/>
    <w:rsid w:val="00EA5961"/>
    <w:rsid w:val="00EA5E36"/>
    <w:rsid w:val="00EA77D0"/>
    <w:rsid w:val="00EB0A63"/>
    <w:rsid w:val="00EB0DFE"/>
    <w:rsid w:val="00EB0FAE"/>
    <w:rsid w:val="00EB18D0"/>
    <w:rsid w:val="00EB3415"/>
    <w:rsid w:val="00EB3A14"/>
    <w:rsid w:val="00EB49FD"/>
    <w:rsid w:val="00EB6ECF"/>
    <w:rsid w:val="00EB7441"/>
    <w:rsid w:val="00EB7F94"/>
    <w:rsid w:val="00EC0C35"/>
    <w:rsid w:val="00EC0F8C"/>
    <w:rsid w:val="00EC1009"/>
    <w:rsid w:val="00EC10A6"/>
    <w:rsid w:val="00EC180D"/>
    <w:rsid w:val="00EC1E0E"/>
    <w:rsid w:val="00EC29D5"/>
    <w:rsid w:val="00EC2BEA"/>
    <w:rsid w:val="00EC33F5"/>
    <w:rsid w:val="00EC4873"/>
    <w:rsid w:val="00EC671A"/>
    <w:rsid w:val="00EC6B87"/>
    <w:rsid w:val="00EC7893"/>
    <w:rsid w:val="00ED0B63"/>
    <w:rsid w:val="00ED1B68"/>
    <w:rsid w:val="00ED2184"/>
    <w:rsid w:val="00ED2268"/>
    <w:rsid w:val="00ED33D1"/>
    <w:rsid w:val="00ED3853"/>
    <w:rsid w:val="00ED3856"/>
    <w:rsid w:val="00ED419E"/>
    <w:rsid w:val="00ED4589"/>
    <w:rsid w:val="00ED54EF"/>
    <w:rsid w:val="00ED5758"/>
    <w:rsid w:val="00ED609C"/>
    <w:rsid w:val="00ED68F8"/>
    <w:rsid w:val="00ED72EB"/>
    <w:rsid w:val="00ED76B3"/>
    <w:rsid w:val="00ED7931"/>
    <w:rsid w:val="00ED7BE0"/>
    <w:rsid w:val="00EE0BCB"/>
    <w:rsid w:val="00EE0BE8"/>
    <w:rsid w:val="00EE0EB5"/>
    <w:rsid w:val="00EE191B"/>
    <w:rsid w:val="00EE1C5A"/>
    <w:rsid w:val="00EE1F10"/>
    <w:rsid w:val="00EE22CB"/>
    <w:rsid w:val="00EE2F56"/>
    <w:rsid w:val="00EE3890"/>
    <w:rsid w:val="00EE3ECC"/>
    <w:rsid w:val="00EE51E8"/>
    <w:rsid w:val="00EE5D4C"/>
    <w:rsid w:val="00EE5E01"/>
    <w:rsid w:val="00EE5FCF"/>
    <w:rsid w:val="00EE6C01"/>
    <w:rsid w:val="00EE7C81"/>
    <w:rsid w:val="00EE7DDC"/>
    <w:rsid w:val="00EF2960"/>
    <w:rsid w:val="00EF30ED"/>
    <w:rsid w:val="00EF348C"/>
    <w:rsid w:val="00EF39C4"/>
    <w:rsid w:val="00EF3BA7"/>
    <w:rsid w:val="00EF449F"/>
    <w:rsid w:val="00EF53CF"/>
    <w:rsid w:val="00EF5BA2"/>
    <w:rsid w:val="00EF7986"/>
    <w:rsid w:val="00F0003A"/>
    <w:rsid w:val="00F0182E"/>
    <w:rsid w:val="00F01B6D"/>
    <w:rsid w:val="00F01FB5"/>
    <w:rsid w:val="00F0252D"/>
    <w:rsid w:val="00F02DA4"/>
    <w:rsid w:val="00F0356C"/>
    <w:rsid w:val="00F044A6"/>
    <w:rsid w:val="00F0562B"/>
    <w:rsid w:val="00F056C9"/>
    <w:rsid w:val="00F05988"/>
    <w:rsid w:val="00F07947"/>
    <w:rsid w:val="00F07A9B"/>
    <w:rsid w:val="00F104FE"/>
    <w:rsid w:val="00F1067D"/>
    <w:rsid w:val="00F108F5"/>
    <w:rsid w:val="00F10C95"/>
    <w:rsid w:val="00F1102F"/>
    <w:rsid w:val="00F11C40"/>
    <w:rsid w:val="00F130CD"/>
    <w:rsid w:val="00F130ED"/>
    <w:rsid w:val="00F133BB"/>
    <w:rsid w:val="00F14A4D"/>
    <w:rsid w:val="00F14CC2"/>
    <w:rsid w:val="00F15345"/>
    <w:rsid w:val="00F153ED"/>
    <w:rsid w:val="00F15519"/>
    <w:rsid w:val="00F16A73"/>
    <w:rsid w:val="00F172E1"/>
    <w:rsid w:val="00F17628"/>
    <w:rsid w:val="00F20A67"/>
    <w:rsid w:val="00F20A87"/>
    <w:rsid w:val="00F20C97"/>
    <w:rsid w:val="00F213A0"/>
    <w:rsid w:val="00F220F5"/>
    <w:rsid w:val="00F22396"/>
    <w:rsid w:val="00F2358C"/>
    <w:rsid w:val="00F23BA9"/>
    <w:rsid w:val="00F2408C"/>
    <w:rsid w:val="00F2463A"/>
    <w:rsid w:val="00F2474D"/>
    <w:rsid w:val="00F25143"/>
    <w:rsid w:val="00F26515"/>
    <w:rsid w:val="00F26968"/>
    <w:rsid w:val="00F27EC4"/>
    <w:rsid w:val="00F30482"/>
    <w:rsid w:val="00F30CDC"/>
    <w:rsid w:val="00F314A1"/>
    <w:rsid w:val="00F31F44"/>
    <w:rsid w:val="00F332E7"/>
    <w:rsid w:val="00F342D7"/>
    <w:rsid w:val="00F34F00"/>
    <w:rsid w:val="00F3578E"/>
    <w:rsid w:val="00F3582B"/>
    <w:rsid w:val="00F35A35"/>
    <w:rsid w:val="00F36AE3"/>
    <w:rsid w:val="00F37B85"/>
    <w:rsid w:val="00F40CB0"/>
    <w:rsid w:val="00F40EFF"/>
    <w:rsid w:val="00F41D2B"/>
    <w:rsid w:val="00F41E23"/>
    <w:rsid w:val="00F42487"/>
    <w:rsid w:val="00F42AD9"/>
    <w:rsid w:val="00F42B68"/>
    <w:rsid w:val="00F42D06"/>
    <w:rsid w:val="00F42DDD"/>
    <w:rsid w:val="00F45209"/>
    <w:rsid w:val="00F45586"/>
    <w:rsid w:val="00F46505"/>
    <w:rsid w:val="00F5042A"/>
    <w:rsid w:val="00F50436"/>
    <w:rsid w:val="00F50798"/>
    <w:rsid w:val="00F50916"/>
    <w:rsid w:val="00F50D97"/>
    <w:rsid w:val="00F51209"/>
    <w:rsid w:val="00F520DB"/>
    <w:rsid w:val="00F52639"/>
    <w:rsid w:val="00F52AA0"/>
    <w:rsid w:val="00F52E7E"/>
    <w:rsid w:val="00F545C2"/>
    <w:rsid w:val="00F56DC4"/>
    <w:rsid w:val="00F57ED9"/>
    <w:rsid w:val="00F60581"/>
    <w:rsid w:val="00F60727"/>
    <w:rsid w:val="00F6073D"/>
    <w:rsid w:val="00F627BC"/>
    <w:rsid w:val="00F6319F"/>
    <w:rsid w:val="00F635E3"/>
    <w:rsid w:val="00F6457C"/>
    <w:rsid w:val="00F64C9D"/>
    <w:rsid w:val="00F65113"/>
    <w:rsid w:val="00F654A0"/>
    <w:rsid w:val="00F65E63"/>
    <w:rsid w:val="00F66E66"/>
    <w:rsid w:val="00F66F6D"/>
    <w:rsid w:val="00F70E4D"/>
    <w:rsid w:val="00F710E3"/>
    <w:rsid w:val="00F713B4"/>
    <w:rsid w:val="00F729A5"/>
    <w:rsid w:val="00F74022"/>
    <w:rsid w:val="00F7466E"/>
    <w:rsid w:val="00F75680"/>
    <w:rsid w:val="00F7599D"/>
    <w:rsid w:val="00F77BB2"/>
    <w:rsid w:val="00F77E8A"/>
    <w:rsid w:val="00F80DEB"/>
    <w:rsid w:val="00F80F3E"/>
    <w:rsid w:val="00F81C21"/>
    <w:rsid w:val="00F827BD"/>
    <w:rsid w:val="00F82FEA"/>
    <w:rsid w:val="00F848F0"/>
    <w:rsid w:val="00F85F99"/>
    <w:rsid w:val="00F85FD5"/>
    <w:rsid w:val="00F8635B"/>
    <w:rsid w:val="00F86887"/>
    <w:rsid w:val="00F86C30"/>
    <w:rsid w:val="00F87EF3"/>
    <w:rsid w:val="00F918DF"/>
    <w:rsid w:val="00F931AD"/>
    <w:rsid w:val="00F935F8"/>
    <w:rsid w:val="00F936D3"/>
    <w:rsid w:val="00F9389D"/>
    <w:rsid w:val="00F9400D"/>
    <w:rsid w:val="00F94AFA"/>
    <w:rsid w:val="00F95A59"/>
    <w:rsid w:val="00F960C8"/>
    <w:rsid w:val="00F9654A"/>
    <w:rsid w:val="00F96FB7"/>
    <w:rsid w:val="00F97A8E"/>
    <w:rsid w:val="00FA03F1"/>
    <w:rsid w:val="00FA1231"/>
    <w:rsid w:val="00FA191A"/>
    <w:rsid w:val="00FA1BB3"/>
    <w:rsid w:val="00FA261B"/>
    <w:rsid w:val="00FA3475"/>
    <w:rsid w:val="00FA35D7"/>
    <w:rsid w:val="00FA4AA8"/>
    <w:rsid w:val="00FA5516"/>
    <w:rsid w:val="00FA552B"/>
    <w:rsid w:val="00FA57DC"/>
    <w:rsid w:val="00FA68B7"/>
    <w:rsid w:val="00FA758D"/>
    <w:rsid w:val="00FA7F73"/>
    <w:rsid w:val="00FB42AD"/>
    <w:rsid w:val="00FB46B0"/>
    <w:rsid w:val="00FB6526"/>
    <w:rsid w:val="00FB7E26"/>
    <w:rsid w:val="00FB7EA6"/>
    <w:rsid w:val="00FC125A"/>
    <w:rsid w:val="00FC1EA5"/>
    <w:rsid w:val="00FC31FD"/>
    <w:rsid w:val="00FC3577"/>
    <w:rsid w:val="00FC4A53"/>
    <w:rsid w:val="00FC63CA"/>
    <w:rsid w:val="00FC6E54"/>
    <w:rsid w:val="00FC7499"/>
    <w:rsid w:val="00FC7AD8"/>
    <w:rsid w:val="00FD06FB"/>
    <w:rsid w:val="00FD0EA4"/>
    <w:rsid w:val="00FD224E"/>
    <w:rsid w:val="00FD3A94"/>
    <w:rsid w:val="00FD4302"/>
    <w:rsid w:val="00FD4AFF"/>
    <w:rsid w:val="00FD5475"/>
    <w:rsid w:val="00FD5FCE"/>
    <w:rsid w:val="00FD7146"/>
    <w:rsid w:val="00FD78C0"/>
    <w:rsid w:val="00FE2F6E"/>
    <w:rsid w:val="00FE5A9F"/>
    <w:rsid w:val="00FE6643"/>
    <w:rsid w:val="00FE7C0D"/>
    <w:rsid w:val="00FF0157"/>
    <w:rsid w:val="00FF01F9"/>
    <w:rsid w:val="00FF0B61"/>
    <w:rsid w:val="00FF12BF"/>
    <w:rsid w:val="00FF1C09"/>
    <w:rsid w:val="00FF2340"/>
    <w:rsid w:val="00FF25A7"/>
    <w:rsid w:val="00FF3D57"/>
    <w:rsid w:val="00FF43B2"/>
    <w:rsid w:val="00FF549D"/>
    <w:rsid w:val="00FF6CFE"/>
    <w:rsid w:val="00FF74D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D5B8E9"/>
  <w15:docId w15:val="{09D28C3C-AA37-48F5-B233-2C640A11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AU" w:eastAsia="en-US"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iPriority="99"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locked="1" w:semiHidden="1"/>
    <w:lsdException w:name="No Spacing" w:locked="1" w:uiPriority="99"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qFormat="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99"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71145"/>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
    <w:basedOn w:val="Normal"/>
    <w:next w:val="Normal"/>
    <w:link w:val="Heading1Char2"/>
    <w:autoRedefine/>
    <w:qFormat/>
    <w:rsid w:val="00A426E1"/>
    <w:pPr>
      <w:keepNext/>
      <w:tabs>
        <w:tab w:val="left" w:pos="709"/>
      </w:tabs>
      <w:spacing w:after="120"/>
      <w:ind w:left="709" w:hanging="709"/>
      <w:outlineLvl w:val="0"/>
    </w:pPr>
    <w:rPr>
      <w:rFonts w:asciiTheme="majorBidi" w:eastAsiaTheme="majorEastAsia" w:hAnsiTheme="majorBidi" w:cstheme="majorBidi"/>
      <w:color w:val="auto"/>
      <w:sz w:val="20"/>
      <w:szCs w:val="22"/>
      <w:lang w:val="nb-NO" w:eastAsia="fr-FR"/>
    </w:rPr>
  </w:style>
  <w:style w:type="paragraph" w:styleId="Heading2">
    <w:name w:val="heading 2"/>
    <w:aliases w:val="SubPara (a),Heading 2 Char1 Char,SubPara (a) Char1 Char,Heading 1 C...,Heading 2 Char3 Char Char,Heading 2 Char Char2 Char Char,Heading 2 Char1 Char Char1 Char Char,SubPara (a) Char Char Char1 Char Char"/>
    <w:basedOn w:val="Heading1"/>
    <w:next w:val="Normal"/>
    <w:link w:val="Heading2Char1"/>
    <w:autoRedefine/>
    <w:qFormat/>
    <w:rsid w:val="00BE7C70"/>
    <w:pPr>
      <w:tabs>
        <w:tab w:val="num" w:pos="709"/>
      </w:tabs>
      <w:spacing w:before="60"/>
      <w:ind w:left="60" w:firstLine="0"/>
      <w:outlineLvl w:val="1"/>
    </w:pPr>
    <w:rPr>
      <w:rFonts w:eastAsia="MS Mincho"/>
      <w:b/>
      <w:sz w:val="24"/>
      <w:lang w:val="fr-FR"/>
    </w:rPr>
  </w:style>
  <w:style w:type="paragraph" w:styleId="Heading3">
    <w:name w:val="heading 3"/>
    <w:aliases w:val="Heading 3 Char1 Char,Heading 3 Char Char Char,Char Char Char Char,Char Char1 Char,Sec"/>
    <w:basedOn w:val="Heading2"/>
    <w:next w:val="Normal"/>
    <w:link w:val="Heading3Char"/>
    <w:qFormat/>
    <w:rsid w:val="00871145"/>
    <w:pPr>
      <w:keepLines/>
      <w:tabs>
        <w:tab w:val="num" w:pos="643"/>
      </w:tabs>
      <w:spacing w:before="120"/>
      <w:ind w:left="1134" w:hanging="1134"/>
      <w:outlineLvl w:val="2"/>
    </w:pPr>
    <w:rPr>
      <w:rFonts w:ascii="Times" w:eastAsia="Times New Roman" w:hAnsi="Times"/>
      <w:b w:val="0"/>
      <w:i/>
      <w:sz w:val="20"/>
      <w:szCs w:val="20"/>
      <w:lang w:val="en-AU" w:eastAsia="en-US"/>
    </w:rPr>
  </w:style>
  <w:style w:type="paragraph" w:styleId="Heading4">
    <w:name w:val="heading 4"/>
    <w:aliases w:val="MainPara"/>
    <w:basedOn w:val="Heading3"/>
    <w:next w:val="Normal"/>
    <w:link w:val="Heading4Char"/>
    <w:autoRedefine/>
    <w:qFormat/>
    <w:rsid w:val="00871145"/>
    <w:pPr>
      <w:numPr>
        <w:ilvl w:val="3"/>
      </w:numPr>
      <w:tabs>
        <w:tab w:val="num" w:pos="643"/>
        <w:tab w:val="num" w:pos="2208"/>
      </w:tabs>
      <w:ind w:left="1077" w:hanging="1077"/>
      <w:outlineLvl w:val="3"/>
    </w:pPr>
  </w:style>
  <w:style w:type="paragraph" w:styleId="Heading5">
    <w:name w:val="heading 5"/>
    <w:aliases w:val="Subpara 2"/>
    <w:basedOn w:val="Heading1"/>
    <w:next w:val="Normal"/>
    <w:link w:val="Heading5Char"/>
    <w:qFormat/>
    <w:rsid w:val="00871145"/>
    <w:pPr>
      <w:widowControl w:val="0"/>
      <w:tabs>
        <w:tab w:val="num" w:pos="643"/>
      </w:tabs>
      <w:ind w:left="1134" w:hanging="1134"/>
      <w:outlineLvl w:val="4"/>
    </w:pPr>
    <w:rPr>
      <w:rFonts w:ascii="Times New Roman" w:hAnsi="Times New Roman"/>
      <w:color w:val="000000"/>
      <w:szCs w:val="20"/>
      <w:lang w:val="en-GB" w:eastAsia="zh-CN"/>
    </w:rPr>
  </w:style>
  <w:style w:type="paragraph" w:styleId="Heading6">
    <w:name w:val="heading 6"/>
    <w:aliases w:val="Subpara 3"/>
    <w:basedOn w:val="Normal"/>
    <w:next w:val="Normal"/>
    <w:link w:val="Heading6Char"/>
    <w:qFormat/>
    <w:rsid w:val="00871145"/>
    <w:pPr>
      <w:keepNext/>
      <w:tabs>
        <w:tab w:val="left" w:pos="230"/>
        <w:tab w:val="left" w:pos="1877"/>
      </w:tabs>
      <w:spacing w:before="48"/>
      <w:outlineLvl w:val="5"/>
    </w:pPr>
    <w:rPr>
      <w:rFonts w:ascii="Calibri" w:hAnsi="Calibri"/>
      <w:b/>
      <w:sz w:val="20"/>
    </w:rPr>
  </w:style>
  <w:style w:type="paragraph" w:styleId="Heading7">
    <w:name w:val="heading 7"/>
    <w:aliases w:val="Subpara 4"/>
    <w:basedOn w:val="Normal"/>
    <w:next w:val="Normal"/>
    <w:link w:val="Heading7Char"/>
    <w:qFormat/>
    <w:rsid w:val="00871145"/>
    <w:pPr>
      <w:keepNext/>
      <w:tabs>
        <w:tab w:val="num" w:pos="1296"/>
      </w:tabs>
      <w:spacing w:before="48"/>
      <w:ind w:left="1296" w:hanging="1296"/>
      <w:jc w:val="center"/>
      <w:outlineLvl w:val="6"/>
    </w:pPr>
    <w:rPr>
      <w:b/>
      <w:sz w:val="20"/>
    </w:rPr>
  </w:style>
  <w:style w:type="paragraph" w:styleId="Heading8">
    <w:name w:val="heading 8"/>
    <w:aliases w:val="Subpara 5"/>
    <w:basedOn w:val="Normal"/>
    <w:next w:val="Normal"/>
    <w:link w:val="Heading8Char"/>
    <w:qFormat/>
    <w:rsid w:val="00871145"/>
    <w:pPr>
      <w:keepNext/>
      <w:tabs>
        <w:tab w:val="num" w:pos="1440"/>
        <w:tab w:val="left" w:pos="2160"/>
        <w:tab w:val="left" w:pos="2880"/>
        <w:tab w:val="left" w:pos="3600"/>
        <w:tab w:val="left" w:pos="6480"/>
        <w:tab w:val="left" w:pos="7290"/>
        <w:tab w:val="left" w:pos="7920"/>
        <w:tab w:val="left" w:pos="8640"/>
      </w:tabs>
      <w:spacing w:line="240" w:lineRule="exact"/>
      <w:ind w:left="1440" w:hanging="1440"/>
      <w:outlineLvl w:val="7"/>
    </w:pPr>
    <w:rPr>
      <w:b/>
      <w:sz w:val="20"/>
    </w:rPr>
  </w:style>
  <w:style w:type="paragraph" w:styleId="Heading9">
    <w:name w:val="heading 9"/>
    <w:aliases w:val="Subpara 6"/>
    <w:basedOn w:val="Normal"/>
    <w:next w:val="Normal"/>
    <w:link w:val="Heading9Char"/>
    <w:qFormat/>
    <w:rsid w:val="00871145"/>
    <w:pPr>
      <w:keepNext/>
      <w:tabs>
        <w:tab w:val="num" w:pos="1584"/>
      </w:tabs>
      <w:spacing w:line="240" w:lineRule="atLeast"/>
      <w:ind w:left="1584" w:hanging="1584"/>
      <w:jc w:val="center"/>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4">
    <w:name w:val="Heading 1 Char4"/>
    <w:aliases w:val="Para (1) Char3,Heading 1 Char1 Char Char3,Heading 1 Char Char Char Char2,Para (1) Char Char Char Char2,Para (1) Char1 Char Char2,Heading 1 Char1 Char3,Heading 1 Char Char Char3,Para (1) Char Char Char3,Para (1) Char1 Char3"/>
    <w:locked/>
    <w:rsid w:val="00604026"/>
    <w:rPr>
      <w:rFonts w:eastAsiaTheme="majorEastAsia" w:cstheme="majorBidi"/>
      <w:szCs w:val="22"/>
      <w:lang w:val="en-GB" w:eastAsia="fr-FR"/>
    </w:rPr>
  </w:style>
  <w:style w:type="character" w:customStyle="1" w:styleId="Heading2Char1">
    <w:name w:val="Heading 2 Char1"/>
    <w:aliases w:val="SubPara (a) Char1,Heading 2 Char1 Char Char1,SubPara (a) Char1 Char Char1,Heading 1 C... Char1,Heading 2 Char3 Char Char Char1,Heading 2 Char Char2 Char Char Char1,Heading 2 Char1 Char Char1 Char Char Char1"/>
    <w:link w:val="Heading2"/>
    <w:locked/>
    <w:rsid w:val="00BE7C70"/>
    <w:rPr>
      <w:rFonts w:asciiTheme="majorBidi" w:eastAsia="MS Mincho" w:hAnsiTheme="majorBidi" w:cstheme="majorBidi"/>
      <w:b/>
      <w:sz w:val="24"/>
      <w:szCs w:val="22"/>
      <w:lang w:val="fr-FR" w:eastAsia="fr-FR"/>
    </w:rPr>
  </w:style>
  <w:style w:type="character" w:customStyle="1" w:styleId="Heading3Char">
    <w:name w:val="Heading 3 Char"/>
    <w:aliases w:val="Heading 3 Char1 Char Char,Heading 3 Char Char Char Char,Char Char Char Char Char,Char Char1 Char Char,Sec Char"/>
    <w:link w:val="Heading3"/>
    <w:locked/>
    <w:rsid w:val="00871145"/>
    <w:rPr>
      <w:rFonts w:cstheme="majorBidi"/>
      <w:b/>
      <w:i/>
    </w:rPr>
  </w:style>
  <w:style w:type="character" w:customStyle="1" w:styleId="Heading4Char">
    <w:name w:val="Heading 4 Char"/>
    <w:aliases w:val="MainPara Char"/>
    <w:link w:val="Heading4"/>
    <w:locked/>
    <w:rsid w:val="00871145"/>
    <w:rPr>
      <w:rFonts w:cstheme="majorBidi"/>
      <w:b/>
      <w:i/>
    </w:rPr>
  </w:style>
  <w:style w:type="character" w:customStyle="1" w:styleId="Heading5Char">
    <w:name w:val="Heading 5 Char"/>
    <w:aliases w:val="Subpara 2 Char"/>
    <w:link w:val="Heading5"/>
    <w:locked/>
    <w:rsid w:val="00871145"/>
    <w:rPr>
      <w:rFonts w:ascii="Times New Roman" w:eastAsiaTheme="majorEastAsia" w:hAnsi="Times New Roman" w:cstheme="majorBidi"/>
      <w:color w:val="000000"/>
      <w:lang w:val="en-GB" w:eastAsia="zh-CN"/>
    </w:rPr>
  </w:style>
  <w:style w:type="character" w:customStyle="1" w:styleId="Heading6Char">
    <w:name w:val="Heading 6 Char"/>
    <w:aliases w:val="Subpara 3 Char"/>
    <w:link w:val="Heading6"/>
    <w:locked/>
    <w:rsid w:val="00871145"/>
    <w:rPr>
      <w:rFonts w:ascii="Calibri" w:hAnsi="Calibri"/>
      <w:b/>
      <w:color w:val="000000"/>
      <w:lang w:val="en-GB" w:eastAsia="zh-CN"/>
    </w:rPr>
  </w:style>
  <w:style w:type="character" w:customStyle="1" w:styleId="Heading7Char">
    <w:name w:val="Heading 7 Char"/>
    <w:aliases w:val="Subpara 4 Char"/>
    <w:link w:val="Heading7"/>
    <w:locked/>
    <w:rsid w:val="00871145"/>
    <w:rPr>
      <w:rFonts w:ascii="Times New Roman" w:hAnsi="Times New Roman"/>
      <w:b/>
      <w:color w:val="000000"/>
      <w:lang w:val="en-GB" w:eastAsia="zh-CN"/>
    </w:rPr>
  </w:style>
  <w:style w:type="character" w:customStyle="1" w:styleId="Heading8Char">
    <w:name w:val="Heading 8 Char"/>
    <w:aliases w:val="Subpara 5 Char"/>
    <w:link w:val="Heading8"/>
    <w:locked/>
    <w:rsid w:val="00871145"/>
    <w:rPr>
      <w:rFonts w:ascii="Times New Roman" w:hAnsi="Times New Roman"/>
      <w:b/>
      <w:color w:val="000000"/>
      <w:lang w:val="en-GB" w:eastAsia="zh-CN"/>
    </w:rPr>
  </w:style>
  <w:style w:type="character" w:customStyle="1" w:styleId="Heading9Char">
    <w:name w:val="Heading 9 Char"/>
    <w:aliases w:val="Subpara 6 Char"/>
    <w:link w:val="Heading9"/>
    <w:locked/>
    <w:rsid w:val="00871145"/>
    <w:rPr>
      <w:rFonts w:ascii="Times New Roman" w:hAnsi="Times New Roman"/>
      <w:b/>
      <w:color w:val="000000"/>
      <w:lang w:val="en-GB" w:eastAsia="zh-CN"/>
    </w:rPr>
  </w:style>
  <w:style w:type="paragraph" w:styleId="BalloonText">
    <w:name w:val="Balloon Text"/>
    <w:basedOn w:val="Normal"/>
    <w:link w:val="BalloonTextChar"/>
    <w:rsid w:val="00664A02"/>
    <w:rPr>
      <w:rFonts w:ascii="Tahoma" w:hAnsi="Tahoma"/>
      <w:color w:val="auto"/>
      <w:sz w:val="16"/>
    </w:rPr>
  </w:style>
  <w:style w:type="character" w:customStyle="1" w:styleId="BalloonTextChar">
    <w:name w:val="Balloon Text Char"/>
    <w:link w:val="BalloonText"/>
    <w:locked/>
    <w:rsid w:val="00564876"/>
    <w:rPr>
      <w:rFonts w:ascii="Tahoma" w:hAnsi="Tahoma" w:cs="Times New Roman"/>
      <w:sz w:val="16"/>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
    <w:link w:val="Heading1"/>
    <w:uiPriority w:val="9"/>
    <w:qFormat/>
    <w:rsid w:val="00A426E1"/>
    <w:rPr>
      <w:rFonts w:asciiTheme="majorBidi" w:eastAsiaTheme="majorEastAsia" w:hAnsiTheme="majorBidi" w:cstheme="majorBidi"/>
      <w:szCs w:val="22"/>
      <w:lang w:val="nb-NO" w:eastAsia="fr-FR"/>
    </w:rPr>
  </w:style>
  <w:style w:type="character" w:customStyle="1" w:styleId="Heading2Char">
    <w:name w:val="Heading 2 Char"/>
    <w:aliases w:val="SubPara (a) Char,Heading 2 Char1 Char Char,SubPara (a) Char1 Char Char,Heading 1 C... Char,Heading 2 Char3 Char Char Char,Heading 2 Char Char2 Char Char Char,Heading 2 Char1 Char Char1 Char Char Char"/>
    <w:locked/>
    <w:rsid w:val="0001517E"/>
    <w:rPr>
      <w:rFonts w:ascii="Cambria" w:eastAsia="MS ????" w:hAnsi="Cambria" w:cs="Times New Roman"/>
      <w:b/>
      <w:i/>
      <w:color w:val="000000"/>
      <w:sz w:val="28"/>
      <w:lang w:val="en-GB" w:eastAsia="zh-CN"/>
    </w:rPr>
  </w:style>
  <w:style w:type="character" w:customStyle="1" w:styleId="CharChar2">
    <w:name w:val="Char Char2"/>
    <w:locked/>
    <w:rsid w:val="00664A02"/>
    <w:rPr>
      <w:b/>
      <w:color w:val="000000"/>
      <w:sz w:val="28"/>
      <w:lang w:val="en-GB" w:eastAsia="zh-CN"/>
    </w:rPr>
  </w:style>
  <w:style w:type="character" w:customStyle="1" w:styleId="SubParaaCharChar">
    <w:name w:val="SubPara (a) Char Char"/>
    <w:rsid w:val="00664A02"/>
    <w:rPr>
      <w:b/>
      <w:snapToGrid/>
      <w:color w:val="000000"/>
      <w:sz w:val="24"/>
      <w:lang w:val="en-GB" w:eastAsia="zh-CN"/>
    </w:rPr>
  </w:style>
  <w:style w:type="paragraph" w:styleId="BodyText">
    <w:name w:val="Body Text"/>
    <w:aliases w:val="Char Char,Body Text Char Char Char Char Char,Body Text Char Char Char Char, Char Char"/>
    <w:basedOn w:val="Normal"/>
    <w:link w:val="BodyTextChar"/>
    <w:rsid w:val="00664A02"/>
    <w:pPr>
      <w:spacing w:line="240" w:lineRule="atLeast"/>
    </w:pPr>
    <w:rPr>
      <w:sz w:val="20"/>
    </w:rPr>
  </w:style>
  <w:style w:type="character" w:customStyle="1" w:styleId="BodyTextChar">
    <w:name w:val="Body Text Char"/>
    <w:aliases w:val="Char Char Char,Body Text Char Char Char Char Char Char,Body Text Char Char Char Char Char1, Char Char Char"/>
    <w:link w:val="BodyText"/>
    <w:locked/>
    <w:rsid w:val="00521070"/>
    <w:rPr>
      <w:rFonts w:ascii="Times New Roman" w:hAnsi="Times New Roman" w:cs="Times New Roman"/>
      <w:color w:val="000000"/>
      <w:sz w:val="20"/>
      <w:lang w:val="en-GB" w:eastAsia="zh-CN"/>
    </w:rPr>
  </w:style>
  <w:style w:type="paragraph" w:styleId="Footer">
    <w:name w:val="footer"/>
    <w:basedOn w:val="Normal"/>
    <w:link w:val="FooterChar"/>
    <w:rsid w:val="00664A02"/>
    <w:pPr>
      <w:tabs>
        <w:tab w:val="center" w:pos="4320"/>
        <w:tab w:val="right" w:pos="8640"/>
      </w:tabs>
    </w:pPr>
    <w:rPr>
      <w:rFonts w:ascii="Times" w:eastAsia="SimSun" w:hAnsi="Times"/>
      <w:color w:val="auto"/>
    </w:rPr>
  </w:style>
  <w:style w:type="character" w:customStyle="1" w:styleId="FooterChar">
    <w:name w:val="Footer Char"/>
    <w:link w:val="Footer"/>
    <w:locked/>
    <w:rsid w:val="00664A02"/>
    <w:rPr>
      <w:rFonts w:eastAsia="SimSun" w:cs="Times New Roman"/>
      <w:sz w:val="22"/>
      <w:lang w:eastAsia="zh-CN"/>
    </w:rPr>
  </w:style>
  <w:style w:type="character" w:styleId="PageNumber">
    <w:name w:val="page number"/>
    <w:rsid w:val="00664A02"/>
    <w:rPr>
      <w:rFonts w:cs="Times New Roman"/>
    </w:rPr>
  </w:style>
  <w:style w:type="paragraph" w:styleId="Header">
    <w:name w:val="header"/>
    <w:aliases w:val="EthylHeader"/>
    <w:basedOn w:val="Normal"/>
    <w:link w:val="HeaderChar"/>
    <w:rsid w:val="00664A02"/>
    <w:pPr>
      <w:tabs>
        <w:tab w:val="center" w:pos="4320"/>
        <w:tab w:val="right" w:pos="8640"/>
      </w:tabs>
    </w:pPr>
    <w:rPr>
      <w:rFonts w:ascii="Times" w:hAnsi="Times"/>
      <w:sz w:val="24"/>
    </w:rPr>
  </w:style>
  <w:style w:type="character" w:customStyle="1" w:styleId="HeaderChar">
    <w:name w:val="Header Char"/>
    <w:aliases w:val="EthylHeader Char"/>
    <w:link w:val="Header"/>
    <w:locked/>
    <w:rsid w:val="00664A02"/>
    <w:rPr>
      <w:rFonts w:cs="Times New Roman"/>
      <w:color w:val="000000"/>
      <w:sz w:val="24"/>
      <w:lang w:val="en-GB" w:eastAsia="zh-CN"/>
    </w:rPr>
  </w:style>
  <w:style w:type="paragraph" w:customStyle="1" w:styleId="ChapterHeading">
    <w:name w:val="Chapter Heading"/>
    <w:basedOn w:val="Heading1"/>
    <w:rsid w:val="004345CC"/>
    <w:pPr>
      <w:keepNext w:val="0"/>
      <w:keepLines/>
      <w:ind w:left="2520" w:hanging="1440"/>
    </w:pPr>
    <w:rPr>
      <w:sz w:val="32"/>
    </w:rPr>
  </w:style>
  <w:style w:type="paragraph" w:customStyle="1" w:styleId="Bullet">
    <w:name w:val="Bullet"/>
    <w:basedOn w:val="Normal"/>
    <w:rsid w:val="00664A02"/>
    <w:pPr>
      <w:tabs>
        <w:tab w:val="num" w:pos="1437"/>
        <w:tab w:val="left" w:pos="1531"/>
      </w:tabs>
      <w:spacing w:before="60" w:after="60"/>
      <w:ind w:left="1437" w:hanging="360"/>
    </w:pPr>
  </w:style>
  <w:style w:type="character" w:styleId="FootnoteReference">
    <w:name w:val="footnote reference"/>
    <w:aliases w:val="Footnote text,16 Point,Superscript 6 Point"/>
    <w:uiPriority w:val="99"/>
    <w:rsid w:val="004345CC"/>
    <w:rPr>
      <w:rFonts w:cs="Times New Roman"/>
      <w:vertAlign w:val="superscript"/>
    </w:rPr>
  </w:style>
  <w:style w:type="paragraph" w:styleId="ListBullet">
    <w:name w:val="List Bullet"/>
    <w:basedOn w:val="Normal"/>
    <w:rsid w:val="00664A02"/>
    <w:pPr>
      <w:widowControl w:val="0"/>
      <w:ind w:left="425" w:hanging="425"/>
    </w:pPr>
    <w:rPr>
      <w:color w:val="auto"/>
    </w:rPr>
  </w:style>
  <w:style w:type="paragraph" w:styleId="ListNumber">
    <w:name w:val="List Number"/>
    <w:basedOn w:val="Normal"/>
    <w:rsid w:val="00664A02"/>
    <w:pPr>
      <w:widowControl w:val="0"/>
      <w:spacing w:before="120"/>
      <w:ind w:left="1512" w:hanging="432"/>
    </w:pPr>
    <w:rPr>
      <w:color w:val="auto"/>
    </w:rPr>
  </w:style>
  <w:style w:type="paragraph" w:styleId="FootnoteText">
    <w:name w:val="footnote text"/>
    <w:aliases w:val="Geneva 9,Font: Geneva 9,Boston 10,f"/>
    <w:basedOn w:val="Normal"/>
    <w:link w:val="FootnoteTextChar"/>
    <w:uiPriority w:val="99"/>
    <w:semiHidden/>
    <w:rsid w:val="00664A02"/>
    <w:pPr>
      <w:widowControl w:val="0"/>
    </w:pPr>
    <w:rPr>
      <w:sz w:val="20"/>
    </w:rPr>
  </w:style>
  <w:style w:type="character" w:customStyle="1" w:styleId="FootnoteTextChar">
    <w:name w:val="Footnote Text Char"/>
    <w:aliases w:val="Geneva 9 Char,Font: Geneva 9 Char,Boston 10 Char,f Char"/>
    <w:link w:val="FootnoteText"/>
    <w:uiPriority w:val="99"/>
    <w:semiHidden/>
    <w:locked/>
    <w:rsid w:val="00521070"/>
    <w:rPr>
      <w:rFonts w:ascii="Times New Roman" w:hAnsi="Times New Roman" w:cs="Times New Roman"/>
      <w:color w:val="000000"/>
      <w:sz w:val="20"/>
      <w:lang w:val="en-GB" w:eastAsia="zh-CN"/>
    </w:rPr>
  </w:style>
  <w:style w:type="paragraph" w:styleId="BodyTextIndent">
    <w:name w:val="Body Text Indent"/>
    <w:basedOn w:val="Normal"/>
    <w:link w:val="BodyTextIndentChar"/>
    <w:rsid w:val="00664A02"/>
    <w:pPr>
      <w:spacing w:line="240" w:lineRule="atLeast"/>
      <w:ind w:left="2127" w:hanging="993"/>
    </w:pPr>
    <w:rPr>
      <w:sz w:val="20"/>
    </w:rPr>
  </w:style>
  <w:style w:type="character" w:customStyle="1" w:styleId="BodyTextIndentChar">
    <w:name w:val="Body Text Indent Char"/>
    <w:link w:val="BodyTextIndent"/>
    <w:semiHidden/>
    <w:locked/>
    <w:rsid w:val="00521070"/>
    <w:rPr>
      <w:rFonts w:ascii="Times New Roman" w:hAnsi="Times New Roman" w:cs="Times New Roman"/>
      <w:color w:val="000000"/>
      <w:sz w:val="20"/>
      <w:lang w:val="en-GB" w:eastAsia="zh-CN"/>
    </w:rPr>
  </w:style>
  <w:style w:type="character" w:styleId="LineNumber">
    <w:name w:val="line number"/>
    <w:rsid w:val="00664A02"/>
    <w:rPr>
      <w:rFonts w:cs="Times New Roman"/>
    </w:rPr>
  </w:style>
  <w:style w:type="paragraph" w:customStyle="1" w:styleId="SummaryShading">
    <w:name w:val="Summary Shading"/>
    <w:basedOn w:val="Normal"/>
    <w:rsid w:val="00664A02"/>
    <w:pPr>
      <w:shd w:val="pct5" w:color="808080" w:fill="auto"/>
      <w:spacing w:before="120" w:after="120"/>
      <w:jc w:val="both"/>
    </w:pPr>
    <w:rPr>
      <w:rFonts w:ascii="Garamond" w:hAnsi="Garamond"/>
      <w:color w:val="auto"/>
    </w:rPr>
  </w:style>
  <w:style w:type="paragraph" w:customStyle="1" w:styleId="MainText">
    <w:name w:val="Main Text"/>
    <w:rsid w:val="00664A02"/>
    <w:pPr>
      <w:widowControl w:val="0"/>
      <w:spacing w:line="240" w:lineRule="exact"/>
      <w:ind w:left="567" w:hanging="567"/>
    </w:pPr>
    <w:rPr>
      <w:color w:val="000000"/>
      <w:lang w:val="en-US" w:eastAsia="zh-CN"/>
    </w:rPr>
  </w:style>
  <w:style w:type="paragraph" w:customStyle="1" w:styleId="Paragraph">
    <w:name w:val="Paragraph"/>
    <w:basedOn w:val="Normal"/>
    <w:rsid w:val="00664A02"/>
    <w:pPr>
      <w:spacing w:before="120" w:after="120"/>
      <w:jc w:val="both"/>
    </w:pPr>
    <w:rPr>
      <w:rFonts w:ascii="Garamond" w:hAnsi="Garamond"/>
      <w:lang w:val="de-DE"/>
    </w:rPr>
  </w:style>
  <w:style w:type="paragraph" w:customStyle="1" w:styleId="DotPoints">
    <w:name w:val="Dot Points"/>
    <w:basedOn w:val="Normal"/>
    <w:rsid w:val="00664A02"/>
    <w:pPr>
      <w:spacing w:after="60"/>
      <w:ind w:left="709" w:right="284" w:hanging="284"/>
      <w:jc w:val="both"/>
    </w:pPr>
    <w:rPr>
      <w:rFonts w:ascii="Garamond" w:hAnsi="Garamond"/>
      <w:color w:val="auto"/>
    </w:rPr>
  </w:style>
  <w:style w:type="paragraph" w:customStyle="1" w:styleId="Style1">
    <w:name w:val="Style1"/>
    <w:basedOn w:val="Normal"/>
    <w:rsid w:val="00664A02"/>
    <w:pPr>
      <w:spacing w:before="120" w:after="120" w:line="360" w:lineRule="auto"/>
    </w:pPr>
    <w:rPr>
      <w:rFonts w:ascii="Garamond" w:hAnsi="Garamond"/>
      <w:color w:val="auto"/>
      <w:lang w:val="en-AU"/>
    </w:rPr>
  </w:style>
  <w:style w:type="paragraph" w:customStyle="1" w:styleId="TableColumnHeading">
    <w:name w:val="Table Column Heading"/>
    <w:basedOn w:val="Normal"/>
    <w:rsid w:val="00664A02"/>
    <w:pPr>
      <w:spacing w:before="80" w:after="120"/>
      <w:jc w:val="center"/>
    </w:pPr>
    <w:rPr>
      <w:rFonts w:ascii="Arial Narrow" w:hAnsi="Arial Narrow"/>
      <w:b/>
      <w:color w:val="auto"/>
      <w:sz w:val="20"/>
    </w:rPr>
  </w:style>
  <w:style w:type="paragraph" w:customStyle="1" w:styleId="TableDetails">
    <w:name w:val="Table Details"/>
    <w:basedOn w:val="Normal"/>
    <w:rsid w:val="00664A02"/>
    <w:pPr>
      <w:spacing w:before="60" w:after="60"/>
      <w:ind w:left="113" w:right="113"/>
      <w:jc w:val="both"/>
    </w:pPr>
    <w:rPr>
      <w:rFonts w:ascii="Arial Narrow" w:hAnsi="Arial Narrow"/>
      <w:color w:val="auto"/>
      <w:sz w:val="20"/>
    </w:rPr>
  </w:style>
  <w:style w:type="paragraph" w:customStyle="1" w:styleId="TableHeading">
    <w:name w:val="Table Heading"/>
    <w:basedOn w:val="Normal"/>
    <w:rsid w:val="00664A02"/>
    <w:pPr>
      <w:spacing w:before="120" w:after="120"/>
      <w:ind w:left="1134" w:hanging="1134"/>
      <w:jc w:val="both"/>
    </w:pPr>
    <w:rPr>
      <w:rFonts w:ascii="Arial" w:hAnsi="Arial"/>
      <w:b/>
      <w:color w:val="auto"/>
      <w:sz w:val="20"/>
    </w:rPr>
  </w:style>
  <w:style w:type="paragraph" w:customStyle="1" w:styleId="References">
    <w:name w:val="References"/>
    <w:basedOn w:val="Normal"/>
    <w:rsid w:val="005E2A42"/>
    <w:pPr>
      <w:keepLines/>
      <w:spacing w:before="60" w:after="60"/>
      <w:ind w:left="1134" w:hanging="1134"/>
      <w:jc w:val="both"/>
    </w:pPr>
    <w:rPr>
      <w:rFonts w:ascii="Garamond" w:hAnsi="Garamond"/>
      <w:bCs/>
      <w:color w:val="auto"/>
      <w:sz w:val="20"/>
    </w:rPr>
  </w:style>
  <w:style w:type="character" w:styleId="Hyperlink">
    <w:name w:val="Hyperlink"/>
    <w:rsid w:val="00664A02"/>
    <w:rPr>
      <w:rFonts w:cs="Times New Roman"/>
      <w:color w:val="0000FF"/>
      <w:u w:val="single"/>
    </w:rPr>
  </w:style>
  <w:style w:type="paragraph" w:styleId="Caption">
    <w:name w:val="caption"/>
    <w:basedOn w:val="Normal"/>
    <w:next w:val="Normal"/>
    <w:qFormat/>
    <w:rsid w:val="00871145"/>
    <w:pPr>
      <w:spacing w:line="240" w:lineRule="atLeast"/>
      <w:ind w:left="1077"/>
    </w:pPr>
    <w:rPr>
      <w:i/>
    </w:rPr>
  </w:style>
  <w:style w:type="character" w:styleId="CommentReference">
    <w:name w:val="annotation reference"/>
    <w:uiPriority w:val="99"/>
    <w:rsid w:val="00664A02"/>
    <w:rPr>
      <w:rFonts w:cs="Times New Roman"/>
      <w:sz w:val="16"/>
    </w:rPr>
  </w:style>
  <w:style w:type="paragraph" w:styleId="CommentText">
    <w:name w:val="annotation text"/>
    <w:basedOn w:val="Normal"/>
    <w:link w:val="CommentTextChar"/>
    <w:rsid w:val="00664A02"/>
    <w:pPr>
      <w:widowControl w:val="0"/>
    </w:pPr>
    <w:rPr>
      <w:color w:val="auto"/>
      <w:sz w:val="24"/>
      <w:lang w:eastAsia="ja-JP"/>
    </w:rPr>
  </w:style>
  <w:style w:type="character" w:customStyle="1" w:styleId="CommentTextChar">
    <w:name w:val="Comment Text Char"/>
    <w:link w:val="CommentText"/>
    <w:locked/>
    <w:rsid w:val="00564876"/>
    <w:rPr>
      <w:rFonts w:ascii="Times New Roman" w:hAnsi="Times New Roman" w:cs="Times New Roman"/>
      <w:sz w:val="24"/>
      <w:lang w:eastAsia="ja-JP"/>
    </w:rPr>
  </w:style>
  <w:style w:type="character" w:customStyle="1" w:styleId="CharChar1">
    <w:name w:val="Char Char1"/>
    <w:rsid w:val="00664A02"/>
    <w:rPr>
      <w:rFonts w:ascii="Arial" w:hAnsi="Arial"/>
      <w:lang w:val="en-GB" w:eastAsia="zh-CN"/>
    </w:rPr>
  </w:style>
  <w:style w:type="paragraph" w:styleId="TOC1">
    <w:name w:val="toc 1"/>
    <w:basedOn w:val="Normal"/>
    <w:next w:val="Normal"/>
    <w:autoRedefine/>
    <w:uiPriority w:val="39"/>
    <w:rsid w:val="00613936"/>
    <w:pPr>
      <w:tabs>
        <w:tab w:val="right" w:leader="dot" w:pos="9019"/>
      </w:tabs>
      <w:spacing w:before="120" w:after="0"/>
      <w:ind w:left="630" w:hanging="630"/>
    </w:pPr>
    <w:rPr>
      <w:b/>
      <w:noProof/>
      <w:sz w:val="24"/>
      <w:szCs w:val="24"/>
      <w:lang w:eastAsia="en-US"/>
    </w:rPr>
  </w:style>
  <w:style w:type="paragraph" w:styleId="TOC2">
    <w:name w:val="toc 2"/>
    <w:basedOn w:val="Normal"/>
    <w:next w:val="Normal"/>
    <w:autoRedefine/>
    <w:uiPriority w:val="39"/>
    <w:rsid w:val="00C17D19"/>
    <w:pPr>
      <w:spacing w:after="0"/>
      <w:ind w:left="220"/>
    </w:pPr>
    <w:rPr>
      <w:rFonts w:asciiTheme="minorHAnsi" w:hAnsiTheme="minorHAnsi"/>
      <w:b/>
      <w:szCs w:val="22"/>
    </w:rPr>
  </w:style>
  <w:style w:type="paragraph" w:styleId="TOC3">
    <w:name w:val="toc 3"/>
    <w:basedOn w:val="Normal"/>
    <w:next w:val="Normal"/>
    <w:autoRedefine/>
    <w:uiPriority w:val="39"/>
    <w:rsid w:val="001079E6"/>
    <w:pPr>
      <w:tabs>
        <w:tab w:val="left" w:pos="993"/>
        <w:tab w:val="right" w:leader="dot" w:pos="9019"/>
      </w:tabs>
      <w:spacing w:after="0"/>
      <w:ind w:left="220"/>
    </w:pPr>
    <w:rPr>
      <w:rFonts w:asciiTheme="minorHAnsi" w:eastAsia="MS Mincho" w:hAnsiTheme="minorHAnsi"/>
      <w:b/>
      <w:noProof/>
      <w:szCs w:val="22"/>
    </w:rPr>
  </w:style>
  <w:style w:type="paragraph" w:styleId="TOC4">
    <w:name w:val="toc 4"/>
    <w:basedOn w:val="Normal"/>
    <w:next w:val="Normal"/>
    <w:autoRedefine/>
    <w:uiPriority w:val="39"/>
    <w:rsid w:val="00C17D19"/>
    <w:pPr>
      <w:spacing w:after="0"/>
      <w:ind w:left="660"/>
    </w:pPr>
    <w:rPr>
      <w:rFonts w:asciiTheme="minorHAnsi" w:hAnsiTheme="minorHAnsi"/>
      <w:sz w:val="20"/>
    </w:rPr>
  </w:style>
  <w:style w:type="paragraph" w:styleId="TOC5">
    <w:name w:val="toc 5"/>
    <w:basedOn w:val="Normal"/>
    <w:next w:val="Normal"/>
    <w:autoRedefine/>
    <w:semiHidden/>
    <w:rsid w:val="00C17D19"/>
    <w:pPr>
      <w:spacing w:after="0"/>
      <w:ind w:left="880"/>
    </w:pPr>
    <w:rPr>
      <w:rFonts w:asciiTheme="minorHAnsi" w:hAnsiTheme="minorHAnsi"/>
      <w:sz w:val="20"/>
    </w:rPr>
  </w:style>
  <w:style w:type="paragraph" w:styleId="TOC6">
    <w:name w:val="toc 6"/>
    <w:basedOn w:val="Normal"/>
    <w:next w:val="Normal"/>
    <w:autoRedefine/>
    <w:semiHidden/>
    <w:rsid w:val="00C17D19"/>
    <w:pPr>
      <w:spacing w:after="0"/>
      <w:ind w:left="1100"/>
    </w:pPr>
    <w:rPr>
      <w:rFonts w:asciiTheme="minorHAnsi" w:hAnsiTheme="minorHAnsi"/>
      <w:sz w:val="20"/>
    </w:rPr>
  </w:style>
  <w:style w:type="paragraph" w:styleId="TOC7">
    <w:name w:val="toc 7"/>
    <w:basedOn w:val="Normal"/>
    <w:next w:val="Normal"/>
    <w:autoRedefine/>
    <w:semiHidden/>
    <w:rsid w:val="00C17D19"/>
    <w:pPr>
      <w:spacing w:after="0"/>
      <w:ind w:left="1320"/>
    </w:pPr>
    <w:rPr>
      <w:rFonts w:asciiTheme="minorHAnsi" w:hAnsiTheme="minorHAnsi"/>
      <w:sz w:val="20"/>
    </w:rPr>
  </w:style>
  <w:style w:type="paragraph" w:styleId="TOC8">
    <w:name w:val="toc 8"/>
    <w:basedOn w:val="Normal"/>
    <w:next w:val="Normal"/>
    <w:autoRedefine/>
    <w:semiHidden/>
    <w:rsid w:val="00C17D19"/>
    <w:pPr>
      <w:spacing w:after="0"/>
      <w:ind w:left="1540"/>
    </w:pPr>
    <w:rPr>
      <w:rFonts w:asciiTheme="minorHAnsi" w:hAnsiTheme="minorHAnsi"/>
      <w:sz w:val="20"/>
    </w:rPr>
  </w:style>
  <w:style w:type="paragraph" w:styleId="TOC9">
    <w:name w:val="toc 9"/>
    <w:basedOn w:val="Normal"/>
    <w:next w:val="Normal"/>
    <w:autoRedefine/>
    <w:semiHidden/>
    <w:rsid w:val="00C17D19"/>
    <w:pPr>
      <w:spacing w:after="0"/>
      <w:ind w:left="1760"/>
    </w:pPr>
    <w:rPr>
      <w:rFonts w:asciiTheme="minorHAnsi" w:hAnsiTheme="minorHAnsi"/>
      <w:sz w:val="20"/>
    </w:rPr>
  </w:style>
  <w:style w:type="paragraph" w:customStyle="1" w:styleId="Table-Labels">
    <w:name w:val="Table-Labels"/>
    <w:basedOn w:val="Normal"/>
    <w:next w:val="Normal"/>
    <w:rsid w:val="00664A02"/>
    <w:pPr>
      <w:keepNext/>
      <w:keepLines/>
      <w:spacing w:after="60"/>
      <w:ind w:left="2160" w:hanging="1080"/>
    </w:pPr>
    <w:rPr>
      <w:i/>
    </w:rPr>
  </w:style>
  <w:style w:type="paragraph" w:styleId="DocumentMap">
    <w:name w:val="Document Map"/>
    <w:basedOn w:val="Normal"/>
    <w:link w:val="DocumentMapChar"/>
    <w:semiHidden/>
    <w:rsid w:val="00664A02"/>
    <w:pPr>
      <w:shd w:val="clear" w:color="auto" w:fill="000080"/>
    </w:pPr>
    <w:rPr>
      <w:sz w:val="2"/>
    </w:rPr>
  </w:style>
  <w:style w:type="character" w:customStyle="1" w:styleId="DocumentMapChar">
    <w:name w:val="Document Map Char"/>
    <w:link w:val="DocumentMap"/>
    <w:semiHidden/>
    <w:locked/>
    <w:rsid w:val="00521070"/>
    <w:rPr>
      <w:rFonts w:ascii="Times New Roman" w:hAnsi="Times New Roman" w:cs="Times New Roman"/>
      <w:color w:val="000000"/>
      <w:sz w:val="2"/>
      <w:lang w:val="en-GB" w:eastAsia="zh-CN"/>
    </w:rPr>
  </w:style>
  <w:style w:type="paragraph" w:customStyle="1" w:styleId="Table">
    <w:name w:val="Table"/>
    <w:basedOn w:val="Normal"/>
    <w:rsid w:val="00664A02"/>
    <w:pPr>
      <w:keepLines/>
      <w:spacing w:after="0"/>
      <w:ind w:left="72" w:right="72"/>
    </w:pPr>
    <w:rPr>
      <w:sz w:val="20"/>
    </w:rPr>
  </w:style>
  <w:style w:type="paragraph" w:customStyle="1" w:styleId="Tabel">
    <w:name w:val="Tabel"/>
    <w:basedOn w:val="Normal"/>
    <w:rsid w:val="00664A02"/>
    <w:pPr>
      <w:spacing w:after="120"/>
    </w:pPr>
  </w:style>
  <w:style w:type="paragraph" w:styleId="BlockText">
    <w:name w:val="Block Text"/>
    <w:basedOn w:val="Normal"/>
    <w:rsid w:val="00664A02"/>
    <w:pPr>
      <w:spacing w:before="120" w:after="120"/>
      <w:ind w:left="450" w:right="566"/>
      <w:jc w:val="both"/>
    </w:pPr>
    <w:rPr>
      <w:rFonts w:ascii="Garamond" w:hAnsi="Garamond"/>
      <w:i/>
      <w:color w:val="auto"/>
    </w:rPr>
  </w:style>
  <w:style w:type="paragraph" w:customStyle="1" w:styleId="Document">
    <w:name w:val="Document"/>
    <w:basedOn w:val="Normal"/>
    <w:rsid w:val="00664A02"/>
    <w:pPr>
      <w:spacing w:after="0"/>
      <w:jc w:val="center"/>
    </w:pPr>
    <w:rPr>
      <w:rFonts w:ascii="CG Times" w:hAnsi="CG Times"/>
    </w:rPr>
  </w:style>
  <w:style w:type="paragraph" w:customStyle="1" w:styleId="Bibliogrphy">
    <w:name w:val="Bibliogrphy"/>
    <w:basedOn w:val="Normal"/>
    <w:rsid w:val="00664A02"/>
    <w:pPr>
      <w:spacing w:after="0"/>
      <w:ind w:left="720" w:firstLine="720"/>
    </w:pPr>
    <w:rPr>
      <w:rFonts w:ascii="CG Times" w:hAnsi="CG Times"/>
    </w:rPr>
  </w:style>
  <w:style w:type="paragraph" w:customStyle="1" w:styleId="TechInit">
    <w:name w:val="Tech Init"/>
    <w:basedOn w:val="Normal"/>
    <w:rsid w:val="00664A02"/>
    <w:pPr>
      <w:spacing w:after="0"/>
    </w:pPr>
    <w:rPr>
      <w:rFonts w:ascii="CG Times" w:hAnsi="CG Times"/>
    </w:rPr>
  </w:style>
  <w:style w:type="paragraph" w:customStyle="1" w:styleId="Technical">
    <w:name w:val="Technical"/>
    <w:basedOn w:val="Normal"/>
    <w:rsid w:val="00664A02"/>
    <w:pPr>
      <w:spacing w:after="0"/>
    </w:pPr>
    <w:rPr>
      <w:rFonts w:ascii="CG Times" w:hAnsi="CG Times"/>
    </w:rPr>
  </w:style>
  <w:style w:type="paragraph" w:customStyle="1" w:styleId="Pleading">
    <w:name w:val="Pleading"/>
    <w:basedOn w:val="Normal"/>
    <w:rsid w:val="00664A02"/>
    <w:pPr>
      <w:tabs>
        <w:tab w:val="right" w:pos="288"/>
      </w:tabs>
      <w:spacing w:after="0"/>
    </w:pPr>
    <w:rPr>
      <w:rFonts w:ascii="CG Times" w:hAnsi="CG Times"/>
    </w:rPr>
  </w:style>
  <w:style w:type="paragraph" w:customStyle="1" w:styleId="BulletList">
    <w:name w:val="Bullet List"/>
    <w:basedOn w:val="Normal"/>
    <w:rsid w:val="00664A02"/>
    <w:pPr>
      <w:spacing w:after="0"/>
      <w:ind w:left="720"/>
    </w:pPr>
    <w:rPr>
      <w:rFonts w:ascii="Roman" w:hAnsi="Roman"/>
      <w:color w:val="auto"/>
      <w:lang w:val="it-IT"/>
    </w:rPr>
  </w:style>
  <w:style w:type="character" w:styleId="FollowedHyperlink">
    <w:name w:val="FollowedHyperlink"/>
    <w:uiPriority w:val="99"/>
    <w:rsid w:val="00664A02"/>
    <w:rPr>
      <w:rFonts w:cs="Times New Roman"/>
      <w:color w:val="800080"/>
      <w:u w:val="single"/>
    </w:rPr>
  </w:style>
  <w:style w:type="paragraph" w:styleId="Title">
    <w:name w:val="Title"/>
    <w:basedOn w:val="Normal"/>
    <w:link w:val="TitleChar"/>
    <w:qFormat/>
    <w:rsid w:val="00871145"/>
    <w:pPr>
      <w:spacing w:line="240" w:lineRule="atLeast"/>
      <w:jc w:val="center"/>
    </w:pPr>
    <w:rPr>
      <w:rFonts w:ascii="Cambria" w:hAnsi="Cambria"/>
      <w:b/>
      <w:kern w:val="28"/>
      <w:sz w:val="32"/>
    </w:rPr>
  </w:style>
  <w:style w:type="character" w:customStyle="1" w:styleId="TitleChar">
    <w:name w:val="Title Char"/>
    <w:link w:val="Title"/>
    <w:locked/>
    <w:rsid w:val="00871145"/>
    <w:rPr>
      <w:rFonts w:ascii="Cambria" w:hAnsi="Cambria"/>
      <w:b/>
      <w:color w:val="000000"/>
      <w:kern w:val="28"/>
      <w:sz w:val="32"/>
      <w:lang w:val="en-GB" w:eastAsia="zh-CN"/>
    </w:rPr>
  </w:style>
  <w:style w:type="paragraph" w:customStyle="1" w:styleId="Outline">
    <w:name w:val="Outline"/>
    <w:basedOn w:val="Normal"/>
    <w:rsid w:val="00664A02"/>
    <w:pPr>
      <w:spacing w:before="240" w:after="0"/>
    </w:pPr>
    <w:rPr>
      <w:rFonts w:eastAsia="SimSun"/>
      <w:color w:val="auto"/>
      <w:kern w:val="28"/>
    </w:rPr>
  </w:style>
  <w:style w:type="paragraph" w:customStyle="1" w:styleId="Body">
    <w:name w:val="Body"/>
    <w:rsid w:val="00664A02"/>
    <w:pPr>
      <w:widowControl w:val="0"/>
    </w:pPr>
    <w:rPr>
      <w:rFonts w:ascii="Times New Roman" w:hAnsi="Times New Roman"/>
      <w:sz w:val="24"/>
      <w:lang w:val="en-GB" w:eastAsia="zh-CN"/>
    </w:rPr>
  </w:style>
  <w:style w:type="character" w:styleId="EndnoteReference">
    <w:name w:val="endnote reference"/>
    <w:semiHidden/>
    <w:rsid w:val="00664A02"/>
    <w:rPr>
      <w:rFonts w:cs="Times New Roman"/>
      <w:vertAlign w:val="superscript"/>
    </w:rPr>
  </w:style>
  <w:style w:type="paragraph" w:customStyle="1" w:styleId="DefaultText">
    <w:name w:val="Default Text"/>
    <w:basedOn w:val="Normal"/>
    <w:rsid w:val="00664A02"/>
    <w:pPr>
      <w:autoSpaceDE w:val="0"/>
      <w:autoSpaceDN w:val="0"/>
      <w:adjustRightInd w:val="0"/>
      <w:spacing w:after="0"/>
    </w:pPr>
    <w:rPr>
      <w:color w:val="auto"/>
    </w:rPr>
  </w:style>
  <w:style w:type="paragraph" w:customStyle="1" w:styleId="MSNormal">
    <w:name w:val="MSNormal"/>
    <w:basedOn w:val="Normal"/>
    <w:rsid w:val="00664A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Char"/>
    <w:basedOn w:val="Normal"/>
    <w:link w:val="PlainTextChar"/>
    <w:rsid w:val="00664A02"/>
    <w:pPr>
      <w:spacing w:after="0"/>
    </w:pPr>
    <w:rPr>
      <w:rFonts w:ascii="Times" w:hAnsi="Times"/>
      <w:color w:val="auto"/>
    </w:rPr>
  </w:style>
  <w:style w:type="character" w:customStyle="1" w:styleId="PlainTextChar">
    <w:name w:val="Plain Text Char"/>
    <w:aliases w:val="Char Char3"/>
    <w:link w:val="PlainText"/>
    <w:locked/>
    <w:rsid w:val="009D2B4C"/>
    <w:rPr>
      <w:rFonts w:cs="Times New Roman"/>
      <w:sz w:val="22"/>
    </w:rPr>
  </w:style>
  <w:style w:type="paragraph" w:customStyle="1" w:styleId="Reference">
    <w:name w:val="Reference"/>
    <w:basedOn w:val="Normal"/>
    <w:rsid w:val="00664A02"/>
    <w:pPr>
      <w:spacing w:after="60"/>
      <w:ind w:left="284"/>
    </w:pPr>
    <w:rPr>
      <w:color w:val="auto"/>
    </w:rPr>
  </w:style>
  <w:style w:type="paragraph" w:customStyle="1" w:styleId="Figures">
    <w:name w:val="Figures"/>
    <w:basedOn w:val="Normal"/>
    <w:rsid w:val="00664A02"/>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link w:val="BodyTextIndent2Char"/>
    <w:rsid w:val="00664A02"/>
    <w:pPr>
      <w:widowControl w:val="0"/>
      <w:spacing w:after="0"/>
      <w:ind w:firstLine="720"/>
      <w:jc w:val="both"/>
    </w:pPr>
    <w:rPr>
      <w:sz w:val="20"/>
    </w:rPr>
  </w:style>
  <w:style w:type="character" w:customStyle="1" w:styleId="BodyTextIndent2Char">
    <w:name w:val="Body Text Indent 2 Char"/>
    <w:link w:val="BodyTextIndent2"/>
    <w:locked/>
    <w:rsid w:val="00521070"/>
    <w:rPr>
      <w:rFonts w:ascii="Times New Roman" w:hAnsi="Times New Roman" w:cs="Times New Roman"/>
      <w:color w:val="000000"/>
      <w:sz w:val="20"/>
      <w:lang w:val="en-GB" w:eastAsia="zh-CN"/>
    </w:rPr>
  </w:style>
  <w:style w:type="paragraph" w:styleId="BodyTextIndent3">
    <w:name w:val="Body Text Indent 3"/>
    <w:basedOn w:val="Normal"/>
    <w:link w:val="BodyTextIndent3Char"/>
    <w:rsid w:val="00664A02"/>
    <w:pPr>
      <w:widowControl w:val="0"/>
      <w:spacing w:after="0"/>
      <w:ind w:firstLine="720"/>
      <w:jc w:val="both"/>
    </w:pPr>
    <w:rPr>
      <w:rFonts w:eastAsia="MS Mincho"/>
      <w:snapToGrid w:val="0"/>
      <w:color w:val="FF0000"/>
      <w:sz w:val="24"/>
    </w:rPr>
  </w:style>
  <w:style w:type="character" w:customStyle="1" w:styleId="BodyTextIndent3Char">
    <w:name w:val="Body Text Indent 3 Char"/>
    <w:link w:val="BodyTextIndent3"/>
    <w:locked/>
    <w:rsid w:val="00664A02"/>
    <w:rPr>
      <w:rFonts w:ascii="Times New Roman" w:eastAsia="MS Mincho" w:hAnsi="Times New Roman" w:cs="Times New Roman"/>
      <w:snapToGrid/>
      <w:color w:val="FF0000"/>
      <w:sz w:val="24"/>
      <w:lang w:eastAsia="zh-CN"/>
    </w:rPr>
  </w:style>
  <w:style w:type="paragraph" w:styleId="BodyText2">
    <w:name w:val="Body Text 2"/>
    <w:basedOn w:val="Normal"/>
    <w:link w:val="BodyText2Char"/>
    <w:rsid w:val="00664A02"/>
    <w:pPr>
      <w:spacing w:after="0"/>
      <w:jc w:val="center"/>
    </w:pPr>
    <w:rPr>
      <w:b/>
      <w:color w:val="auto"/>
      <w:sz w:val="24"/>
    </w:rPr>
  </w:style>
  <w:style w:type="character" w:customStyle="1" w:styleId="BodyText2Char">
    <w:name w:val="Body Text 2 Char"/>
    <w:link w:val="BodyText2"/>
    <w:locked/>
    <w:rsid w:val="00664A02"/>
    <w:rPr>
      <w:rFonts w:ascii="Times New Roman" w:hAnsi="Times New Roman" w:cs="Times New Roman"/>
      <w:b/>
      <w:sz w:val="24"/>
    </w:rPr>
  </w:style>
  <w:style w:type="paragraph" w:styleId="BodyText3">
    <w:name w:val="Body Text 3"/>
    <w:basedOn w:val="Normal"/>
    <w:link w:val="BodyText3Char"/>
    <w:rsid w:val="00664A02"/>
    <w:pPr>
      <w:spacing w:after="0"/>
      <w:jc w:val="center"/>
    </w:pPr>
    <w:rPr>
      <w:sz w:val="16"/>
    </w:rPr>
  </w:style>
  <w:style w:type="character" w:customStyle="1" w:styleId="BodyText3Char">
    <w:name w:val="Body Text 3 Char"/>
    <w:link w:val="BodyText3"/>
    <w:semiHidden/>
    <w:locked/>
    <w:rsid w:val="00521070"/>
    <w:rPr>
      <w:rFonts w:ascii="Times New Roman" w:hAnsi="Times New Roman" w:cs="Times New Roman"/>
      <w:color w:val="000000"/>
      <w:sz w:val="16"/>
      <w:lang w:val="en-GB" w:eastAsia="zh-CN"/>
    </w:rPr>
  </w:style>
  <w:style w:type="paragraph" w:customStyle="1" w:styleId="DefinitionL">
    <w:name w:val="Definition L"/>
    <w:rsid w:val="00664A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z w:val="24"/>
      <w:lang w:val="en-US" w:eastAsia="zh-CN"/>
    </w:rPr>
  </w:style>
  <w:style w:type="paragraph" w:customStyle="1" w:styleId="Tableheading0">
    <w:name w:val="Table heading"/>
    <w:basedOn w:val="Normal"/>
    <w:uiPriority w:val="99"/>
    <w:rsid w:val="00664A02"/>
    <w:pPr>
      <w:keepNext/>
      <w:spacing w:before="120"/>
      <w:ind w:left="1984" w:hanging="907"/>
    </w:pPr>
    <w:rPr>
      <w:i/>
      <w:color w:val="auto"/>
    </w:rPr>
  </w:style>
  <w:style w:type="paragraph" w:customStyle="1" w:styleId="Figure">
    <w:name w:val="Figure"/>
    <w:basedOn w:val="Normal"/>
    <w:rsid w:val="00664A02"/>
    <w:pPr>
      <w:widowControl w:val="0"/>
      <w:spacing w:line="-240" w:lineRule="auto"/>
      <w:ind w:left="1077"/>
    </w:pPr>
    <w:rPr>
      <w:rFonts w:ascii="Arial" w:hAnsi="Arial"/>
      <w:b/>
      <w:color w:val="auto"/>
    </w:rPr>
  </w:style>
  <w:style w:type="paragraph" w:styleId="Index1">
    <w:name w:val="index 1"/>
    <w:basedOn w:val="Normal"/>
    <w:next w:val="Normal"/>
    <w:autoRedefine/>
    <w:semiHidden/>
    <w:rsid w:val="00664A02"/>
    <w:pPr>
      <w:ind w:left="240" w:hanging="240"/>
    </w:pPr>
    <w:rPr>
      <w:color w:val="auto"/>
    </w:rPr>
  </w:style>
  <w:style w:type="paragraph" w:customStyle="1" w:styleId="xl24">
    <w:name w:val="xl2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rsid w:val="00664A02"/>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uiPriority w:val="22"/>
    <w:qFormat/>
    <w:rsid w:val="00871145"/>
    <w:rPr>
      <w:rFonts w:cs="Times New Roman"/>
      <w:b/>
    </w:rPr>
  </w:style>
  <w:style w:type="paragraph" w:styleId="NormalWeb">
    <w:name w:val="Normal (Web)"/>
    <w:basedOn w:val="Normal"/>
    <w:rsid w:val="00664A02"/>
    <w:pPr>
      <w:spacing w:before="100" w:after="100"/>
    </w:pPr>
    <w:rPr>
      <w:color w:val="auto"/>
      <w:lang w:val="en-US"/>
    </w:rPr>
  </w:style>
  <w:style w:type="paragraph" w:customStyle="1" w:styleId="Thesisheading1">
    <w:name w:val="Thesisheading1"/>
    <w:basedOn w:val="BodyTextIndent2"/>
    <w:rsid w:val="00664A02"/>
    <w:pPr>
      <w:widowControl/>
      <w:tabs>
        <w:tab w:val="num" w:pos="720"/>
      </w:tabs>
      <w:spacing w:line="360" w:lineRule="auto"/>
      <w:ind w:left="720" w:hanging="720"/>
    </w:pPr>
    <w:rPr>
      <w:rFonts w:ascii="Arial" w:hAnsi="Arial"/>
      <w:b/>
      <w:caps/>
      <w:sz w:val="32"/>
    </w:rPr>
  </w:style>
  <w:style w:type="paragraph" w:customStyle="1" w:styleId="Thesisheading4">
    <w:name w:val="Thesisheading4"/>
    <w:basedOn w:val="Heading3"/>
    <w:rsid w:val="004345CC"/>
    <w:pPr>
      <w:tabs>
        <w:tab w:val="clear" w:pos="643"/>
        <w:tab w:val="num" w:pos="2880"/>
      </w:tabs>
      <w:spacing w:line="360" w:lineRule="auto"/>
      <w:ind w:left="2880" w:hanging="360"/>
      <w:jc w:val="both"/>
    </w:pPr>
    <w:rPr>
      <w:rFonts w:ascii="Arial" w:hAnsi="Arial"/>
    </w:rPr>
  </w:style>
  <w:style w:type="paragraph" w:customStyle="1" w:styleId="font5">
    <w:name w:val="font5"/>
    <w:basedOn w:val="Normal"/>
    <w:rsid w:val="00664A02"/>
    <w:pPr>
      <w:spacing w:before="100" w:after="100"/>
    </w:pPr>
    <w:rPr>
      <w:rFonts w:ascii="Arial" w:eastAsia="Arial Unicode MS" w:hAnsi="Arial"/>
      <w:color w:val="00FF00"/>
      <w:sz w:val="20"/>
      <w:lang w:val="en-AU"/>
    </w:rPr>
  </w:style>
  <w:style w:type="paragraph" w:customStyle="1" w:styleId="xl34">
    <w:name w:val="xl34"/>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rsid w:val="00664A02"/>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rsid w:val="00664A02"/>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rsid w:val="00664A02"/>
    <w:pPr>
      <w:spacing w:before="100" w:after="100"/>
    </w:pPr>
    <w:rPr>
      <w:rFonts w:ascii="Arial" w:eastAsia="Arial Unicode MS" w:hAnsi="Arial"/>
      <w:color w:val="auto"/>
      <w:lang w:val="en-AU"/>
    </w:rPr>
  </w:style>
  <w:style w:type="paragraph" w:customStyle="1" w:styleId="xl42">
    <w:name w:val="xl42"/>
    <w:basedOn w:val="Normal"/>
    <w:rsid w:val="00664A02"/>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rsid w:val="00664A02"/>
    <w:pPr>
      <w:spacing w:before="100" w:after="100"/>
      <w:jc w:val="center"/>
    </w:pPr>
    <w:rPr>
      <w:rFonts w:ascii="Arial" w:eastAsia="Arial Unicode MS" w:hAnsi="Arial"/>
      <w:color w:val="auto"/>
      <w:lang w:val="en-AU"/>
    </w:rPr>
  </w:style>
  <w:style w:type="paragraph" w:customStyle="1" w:styleId="xl44">
    <w:name w:val="xl44"/>
    <w:basedOn w:val="Normal"/>
    <w:rsid w:val="00664A02"/>
    <w:pPr>
      <w:spacing w:before="100" w:after="100"/>
      <w:textAlignment w:val="top"/>
    </w:pPr>
    <w:rPr>
      <w:rFonts w:ascii="Arial" w:eastAsia="Arial Unicode MS" w:hAnsi="Arial"/>
      <w:color w:val="auto"/>
      <w:lang w:val="en-AU"/>
    </w:rPr>
  </w:style>
  <w:style w:type="paragraph" w:customStyle="1" w:styleId="xl45">
    <w:name w:val="xl4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rsid w:val="00664A02"/>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rsid w:val="00664A02"/>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rsid w:val="00664A02"/>
    <w:pPr>
      <w:autoSpaceDE w:val="0"/>
      <w:autoSpaceDN w:val="0"/>
      <w:adjustRightInd w:val="0"/>
    </w:pPr>
    <w:rPr>
      <w:rFonts w:ascii="Times New Roman" w:hAnsi="Times New Roman"/>
      <w:color w:val="000000"/>
      <w:sz w:val="24"/>
      <w:lang w:val="en-US"/>
    </w:rPr>
  </w:style>
  <w:style w:type="paragraph" w:styleId="ListNumber5">
    <w:name w:val="List Number 5"/>
    <w:basedOn w:val="Normal"/>
    <w:rsid w:val="00664A02"/>
    <w:pPr>
      <w:tabs>
        <w:tab w:val="num" w:pos="1800"/>
      </w:tabs>
      <w:spacing w:after="0"/>
      <w:ind w:left="1800" w:hanging="360"/>
    </w:pPr>
    <w:rPr>
      <w:color w:val="auto"/>
      <w:lang w:val="en-US"/>
    </w:rPr>
  </w:style>
  <w:style w:type="paragraph" w:customStyle="1" w:styleId="Sectionheading">
    <w:name w:val="Section heading"/>
    <w:basedOn w:val="Heading2"/>
    <w:rsid w:val="004345CC"/>
    <w:pPr>
      <w:spacing w:before="120"/>
      <w:ind w:left="1080" w:hanging="1080"/>
    </w:pPr>
  </w:style>
  <w:style w:type="paragraph" w:customStyle="1" w:styleId="Sectionsub-heading">
    <w:name w:val="Section sub-heading"/>
    <w:basedOn w:val="Heading3"/>
    <w:rsid w:val="004345CC"/>
    <w:pPr>
      <w:tabs>
        <w:tab w:val="clear" w:pos="643"/>
      </w:tabs>
      <w:spacing w:before="60"/>
      <w:ind w:left="2126" w:hanging="1049"/>
    </w:pPr>
  </w:style>
  <w:style w:type="paragraph" w:customStyle="1" w:styleId="MainTextIndent">
    <w:name w:val="Main Text Indent"/>
    <w:basedOn w:val="MainText"/>
    <w:rsid w:val="00664A02"/>
    <w:pPr>
      <w:tabs>
        <w:tab w:val="left" w:pos="567"/>
      </w:tabs>
      <w:ind w:left="993" w:hanging="993"/>
    </w:pPr>
  </w:style>
  <w:style w:type="paragraph" w:customStyle="1" w:styleId="MainTextDoubleIndent">
    <w:name w:val="Main Text Double Indent"/>
    <w:basedOn w:val="MainTextIndent"/>
    <w:rsid w:val="00664A02"/>
    <w:pPr>
      <w:tabs>
        <w:tab w:val="left" w:pos="993"/>
      </w:tabs>
      <w:ind w:left="1418" w:hanging="1418"/>
    </w:pPr>
  </w:style>
  <w:style w:type="paragraph" w:customStyle="1" w:styleId="HeadingSub">
    <w:name w:val="Heading: Sub"/>
    <w:basedOn w:val="MainText"/>
    <w:rsid w:val="00664A02"/>
    <w:rPr>
      <w:rFonts w:ascii="Futura" w:hAnsi="Futura"/>
    </w:rPr>
  </w:style>
  <w:style w:type="paragraph" w:customStyle="1" w:styleId="MainTextNon-indent">
    <w:name w:val="Main Text Non-indent"/>
    <w:basedOn w:val="MainText"/>
    <w:rsid w:val="00664A02"/>
    <w:pPr>
      <w:ind w:left="0" w:firstLine="0"/>
    </w:pPr>
  </w:style>
  <w:style w:type="paragraph" w:customStyle="1" w:styleId="HeadingSection">
    <w:name w:val="Heading: Section"/>
    <w:basedOn w:val="Normal"/>
    <w:rsid w:val="00664A02"/>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rsid w:val="00664A02"/>
    <w:pPr>
      <w:jc w:val="center"/>
    </w:pPr>
    <w:rPr>
      <w:b/>
      <w:color w:val="auto"/>
    </w:rPr>
  </w:style>
  <w:style w:type="paragraph" w:customStyle="1" w:styleId="Closeup">
    <w:name w:val="Closeup"/>
    <w:basedOn w:val="Normal"/>
    <w:rsid w:val="00664A02"/>
    <w:pPr>
      <w:spacing w:after="0"/>
    </w:pPr>
    <w:rPr>
      <w:color w:val="auto"/>
      <w:lang w:eastAsia="ja-JP"/>
    </w:rPr>
  </w:style>
  <w:style w:type="paragraph" w:customStyle="1" w:styleId="ScreenFormat-1">
    <w:name w:val="ScreenFormat-1"/>
    <w:basedOn w:val="Normal"/>
    <w:rsid w:val="00664A02"/>
    <w:pPr>
      <w:spacing w:before="120" w:after="120"/>
    </w:pPr>
    <w:rPr>
      <w:color w:val="auto"/>
      <w:sz w:val="32"/>
      <w:lang w:eastAsia="ja-JP"/>
    </w:rPr>
  </w:style>
  <w:style w:type="paragraph" w:customStyle="1" w:styleId="TableText">
    <w:name w:val="TableText"/>
    <w:basedOn w:val="BodyText"/>
    <w:rsid w:val="00664A02"/>
    <w:pPr>
      <w:keepLines/>
      <w:spacing w:after="0" w:line="240" w:lineRule="auto"/>
    </w:pPr>
    <w:rPr>
      <w:color w:val="auto"/>
      <w:lang w:val="en-US" w:eastAsia="ja-JP"/>
    </w:rPr>
  </w:style>
  <w:style w:type="paragraph" w:customStyle="1" w:styleId="Equation">
    <w:name w:val="Equation"/>
    <w:basedOn w:val="BodyText"/>
    <w:rsid w:val="00664A02"/>
    <w:pPr>
      <w:keepLines/>
      <w:tabs>
        <w:tab w:val="right" w:pos="9639"/>
      </w:tabs>
      <w:spacing w:after="0" w:line="240" w:lineRule="auto"/>
      <w:ind w:left="567"/>
    </w:pPr>
    <w:rPr>
      <w:color w:val="auto"/>
      <w:lang w:val="en-US" w:eastAsia="ja-JP"/>
    </w:rPr>
  </w:style>
  <w:style w:type="paragraph" w:customStyle="1" w:styleId="Note">
    <w:name w:val="Note"/>
    <w:basedOn w:val="BodyText"/>
    <w:rsid w:val="00664A02"/>
    <w:pPr>
      <w:keepLines/>
      <w:pBdr>
        <w:top w:val="single" w:sz="2" w:space="1" w:color="808080"/>
        <w:left w:val="single" w:sz="2" w:space="4" w:color="808080"/>
        <w:bottom w:val="single" w:sz="2" w:space="1" w:color="808080"/>
        <w:right w:val="single" w:sz="2" w:space="4" w:color="808080"/>
      </w:pBdr>
      <w:spacing w:after="0" w:line="240" w:lineRule="auto"/>
    </w:pPr>
    <w:rPr>
      <w:i/>
      <w:color w:val="auto"/>
      <w:lang w:val="en-US" w:eastAsia="ja-JP"/>
    </w:rPr>
  </w:style>
  <w:style w:type="paragraph" w:customStyle="1" w:styleId="AR4Listbullet1">
    <w:name w:val="AR4 List bullet 1"/>
    <w:basedOn w:val="Normal"/>
    <w:rsid w:val="00664A02"/>
    <w:pPr>
      <w:tabs>
        <w:tab w:val="num" w:pos="360"/>
      </w:tabs>
      <w:spacing w:after="0"/>
      <w:ind w:left="360" w:hanging="360"/>
    </w:pPr>
    <w:rPr>
      <w:rFonts w:ascii="Times" w:hAnsi="Times"/>
      <w:color w:val="auto"/>
      <w:lang w:val="en-US" w:eastAsia="ja-JP"/>
    </w:rPr>
  </w:style>
  <w:style w:type="paragraph" w:customStyle="1" w:styleId="OurCaption">
    <w:name w:val="OurCaption"/>
    <w:basedOn w:val="Normal"/>
    <w:rsid w:val="00664A02"/>
    <w:pPr>
      <w:spacing w:after="0"/>
      <w:ind w:right="12"/>
    </w:pPr>
    <w:rPr>
      <w:color w:val="auto"/>
      <w:sz w:val="20"/>
      <w:lang w:eastAsia="ja-JP"/>
    </w:rPr>
  </w:style>
  <w:style w:type="paragraph" w:customStyle="1" w:styleId="Paralevel1">
    <w:name w:val="Para level1"/>
    <w:basedOn w:val="Normal"/>
    <w:autoRedefine/>
    <w:rsid w:val="00664A02"/>
    <w:pPr>
      <w:tabs>
        <w:tab w:val="left" w:pos="2070"/>
      </w:tabs>
      <w:suppressAutoHyphens/>
    </w:pPr>
    <w:rPr>
      <w:color w:val="auto"/>
      <w:sz w:val="20"/>
    </w:rPr>
  </w:style>
  <w:style w:type="paragraph" w:customStyle="1" w:styleId="CH4">
    <w:name w:val="CH4"/>
    <w:basedOn w:val="Normal"/>
    <w:autoRedefine/>
    <w:rsid w:val="00664A02"/>
    <w:pPr>
      <w:keepNext/>
      <w:keepLines/>
      <w:tabs>
        <w:tab w:val="num" w:pos="360"/>
      </w:tabs>
      <w:spacing w:before="12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
    <w:rsid w:val="00664A02"/>
    <w:rPr>
      <w:rFonts w:ascii="Arial" w:eastAsia="MS Mincho" w:hAnsi="Arial"/>
      <w:b/>
      <w:kern w:val="32"/>
      <w:sz w:val="32"/>
      <w:lang w:val="en-US" w:eastAsia="ja-JP"/>
    </w:rPr>
  </w:style>
  <w:style w:type="paragraph" w:customStyle="1" w:styleId="Titulo3">
    <w:name w:val="Titulo 3"/>
    <w:basedOn w:val="Normal"/>
    <w:rsid w:val="00664A02"/>
    <w:pPr>
      <w:widowControl w:val="0"/>
      <w:spacing w:after="0"/>
      <w:ind w:left="1185"/>
      <w:jc w:val="both"/>
    </w:pPr>
    <w:rPr>
      <w:rFonts w:eastAsia="MS Mincho"/>
      <w:b/>
      <w:i/>
      <w:color w:val="auto"/>
      <w:kern w:val="2"/>
      <w:lang w:val="en-US" w:eastAsia="ja-JP"/>
    </w:rPr>
  </w:style>
  <w:style w:type="paragraph" w:customStyle="1" w:styleId="Style2">
    <w:name w:val="Style2"/>
    <w:basedOn w:val="Normal"/>
    <w:rsid w:val="00664A02"/>
    <w:pPr>
      <w:spacing w:after="0"/>
    </w:pPr>
    <w:rPr>
      <w:color w:val="auto"/>
      <w:lang w:eastAsia="en-GB"/>
    </w:rPr>
  </w:style>
  <w:style w:type="paragraph" w:customStyle="1" w:styleId="TEXTO">
    <w:name w:val="TEXTO"/>
    <w:rsid w:val="00664A02"/>
    <w:pPr>
      <w:autoSpaceDE w:val="0"/>
      <w:autoSpaceDN w:val="0"/>
      <w:adjustRightInd w:val="0"/>
      <w:jc w:val="both"/>
    </w:pPr>
    <w:rPr>
      <w:rFonts w:ascii="Galliard" w:hAnsi="Galliard"/>
      <w:color w:val="000000"/>
      <w:sz w:val="22"/>
      <w:szCs w:val="22"/>
      <w:lang w:val="en-US"/>
    </w:rPr>
  </w:style>
  <w:style w:type="paragraph" w:customStyle="1" w:styleId="font6">
    <w:name w:val="font6"/>
    <w:basedOn w:val="Normal"/>
    <w:rsid w:val="00664A02"/>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rsid w:val="00664A02"/>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rsid w:val="00664A02"/>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rsid w:val="00664A02"/>
    <w:pPr>
      <w:spacing w:before="100" w:beforeAutospacing="1" w:after="100" w:afterAutospacing="1"/>
    </w:pPr>
    <w:rPr>
      <w:szCs w:val="24"/>
      <w:lang w:val="fr-FR" w:eastAsia="fr-FR"/>
    </w:rPr>
  </w:style>
  <w:style w:type="character" w:customStyle="1" w:styleId="epaltsans1">
    <w:name w:val="epaltsans1"/>
    <w:rsid w:val="00664A02"/>
    <w:rPr>
      <w:rFonts w:ascii="Arial" w:hAnsi="Arial"/>
      <w:sz w:val="16"/>
    </w:rPr>
  </w:style>
  <w:style w:type="paragraph" w:styleId="List">
    <w:name w:val="List"/>
    <w:basedOn w:val="Normal"/>
    <w:rsid w:val="00664A02"/>
    <w:pPr>
      <w:spacing w:after="0"/>
      <w:ind w:left="360" w:hanging="360"/>
    </w:pPr>
    <w:rPr>
      <w:color w:val="auto"/>
      <w:szCs w:val="24"/>
      <w:lang w:val="en-US" w:eastAsia="en-US"/>
    </w:rPr>
  </w:style>
  <w:style w:type="character" w:customStyle="1" w:styleId="w">
    <w:name w:val="w"/>
    <w:rsid w:val="00664A02"/>
  </w:style>
  <w:style w:type="paragraph" w:customStyle="1" w:styleId="BodyTextLetterBullets">
    <w:name w:val="Body Text + Letter Bullets"/>
    <w:basedOn w:val="BodyText"/>
    <w:rsid w:val="003531E6"/>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rsid w:val="003531E6"/>
    <w:pPr>
      <w:tabs>
        <w:tab w:val="num" w:pos="360"/>
      </w:tabs>
      <w:spacing w:after="0" w:line="288" w:lineRule="auto"/>
      <w:ind w:left="360" w:hanging="360"/>
    </w:pPr>
    <w:rPr>
      <w:color w:val="auto"/>
      <w:szCs w:val="22"/>
      <w:lang w:val="en-AU" w:eastAsia="en-US"/>
    </w:rPr>
  </w:style>
  <w:style w:type="paragraph" w:customStyle="1" w:styleId="BodyTextbullet">
    <w:name w:val="Body Text + bullet"/>
    <w:basedOn w:val="BodyText"/>
    <w:rsid w:val="003531E6"/>
    <w:pPr>
      <w:tabs>
        <w:tab w:val="num" w:pos="360"/>
      </w:tabs>
      <w:spacing w:after="0" w:line="288" w:lineRule="auto"/>
      <w:ind w:left="360" w:hanging="360"/>
    </w:pPr>
    <w:rPr>
      <w:color w:val="auto"/>
      <w:szCs w:val="22"/>
      <w:lang w:val="en-AU" w:eastAsia="en-US"/>
    </w:rPr>
  </w:style>
  <w:style w:type="paragraph" w:customStyle="1" w:styleId="Head1">
    <w:name w:val="Head 1"/>
    <w:basedOn w:val="Normal"/>
    <w:rsid w:val="003531E6"/>
    <w:pPr>
      <w:tabs>
        <w:tab w:val="left" w:pos="340"/>
        <w:tab w:val="num" w:pos="720"/>
        <w:tab w:val="num" w:pos="1492"/>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rsid w:val="00664A02"/>
    <w:pP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58">
    <w:name w:val="xl5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59">
    <w:name w:val="xl59"/>
    <w:basedOn w:val="Normal"/>
    <w:rsid w:val="00664A02"/>
    <w:pP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0">
    <w:name w:val="xl6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1">
    <w:name w:val="xl61"/>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2">
    <w:name w:val="xl62"/>
    <w:basedOn w:val="Normal"/>
    <w:rsid w:val="00664A02"/>
    <w:pPr>
      <w:pBdr>
        <w:top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63">
    <w:name w:val="xl63"/>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4">
    <w:name w:val="xl64"/>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5">
    <w:name w:val="xl65"/>
    <w:basedOn w:val="Normal"/>
    <w:rsid w:val="00664A02"/>
    <w:pPr>
      <w:pBdr>
        <w:top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66">
    <w:name w:val="xl66"/>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7">
    <w:name w:val="xl67"/>
    <w:basedOn w:val="Normal"/>
    <w:rsid w:val="00664A02"/>
    <w:pPr>
      <w:pBdr>
        <w:top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8">
    <w:name w:val="xl68"/>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69">
    <w:name w:val="xl69"/>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0">
    <w:name w:val="xl70"/>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71">
    <w:name w:val="xl71"/>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2">
    <w:name w:val="xl72"/>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3">
    <w:name w:val="xl73"/>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74">
    <w:name w:val="xl74"/>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5">
    <w:name w:val="xl75"/>
    <w:basedOn w:val="Normal"/>
    <w:rsid w:val="00664A02"/>
    <w:pPr>
      <w:pBdr>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6">
    <w:name w:val="xl76"/>
    <w:basedOn w:val="Normal"/>
    <w:rsid w:val="00664A02"/>
    <w:pPr>
      <w:pBdr>
        <w:lef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7">
    <w:name w:val="xl77"/>
    <w:basedOn w:val="Normal"/>
    <w:rsid w:val="00664A02"/>
    <w:pPr>
      <w:pBdr>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78">
    <w:name w:val="xl78"/>
    <w:basedOn w:val="Normal"/>
    <w:rsid w:val="00664A02"/>
    <w:pPr>
      <w:pBdr>
        <w:left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79">
    <w:name w:val="xl79"/>
    <w:basedOn w:val="Normal"/>
    <w:rsid w:val="00664A02"/>
    <w:pPr>
      <w:pBdr>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0">
    <w:name w:val="xl80"/>
    <w:basedOn w:val="Normal"/>
    <w:rsid w:val="00664A02"/>
    <w:pPr>
      <w:pBdr>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1">
    <w:name w:val="xl81"/>
    <w:basedOn w:val="Normal"/>
    <w:rsid w:val="00664A02"/>
    <w:pPr>
      <w:pBdr>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2">
    <w:name w:val="xl82"/>
    <w:basedOn w:val="Normal"/>
    <w:rsid w:val="00664A02"/>
    <w:pPr>
      <w:pBdr>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3">
    <w:name w:val="xl8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4">
    <w:name w:val="xl84"/>
    <w:basedOn w:val="Normal"/>
    <w:rsid w:val="00664A02"/>
    <w:pPr>
      <w:pBdr>
        <w:bottom w:val="single" w:sz="4" w:space="0" w:color="auto"/>
        <w:right w:val="single" w:sz="4" w:space="0" w:color="auto"/>
      </w:pBdr>
      <w:shd w:val="clear" w:color="auto" w:fill="FFFFFF"/>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85">
    <w:name w:val="xl85"/>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86">
    <w:name w:val="xl86"/>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87">
    <w:name w:val="xl87"/>
    <w:basedOn w:val="Normal"/>
    <w:rsid w:val="00664A02"/>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88">
    <w:name w:val="xl88"/>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89">
    <w:name w:val="xl89"/>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0">
    <w:name w:val="xl90"/>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1">
    <w:name w:val="xl91"/>
    <w:basedOn w:val="Normal"/>
    <w:rsid w:val="00664A0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2">
    <w:name w:val="xl92"/>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3">
    <w:name w:val="xl93"/>
    <w:basedOn w:val="Normal"/>
    <w:rsid w:val="00664A0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94">
    <w:name w:val="xl94"/>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5">
    <w:name w:val="xl95"/>
    <w:basedOn w:val="Normal"/>
    <w:rsid w:val="00664A02"/>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6">
    <w:name w:val="xl96"/>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97">
    <w:name w:val="xl97"/>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98">
    <w:name w:val="xl98"/>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99">
    <w:name w:val="xl99"/>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00">
    <w:name w:val="xl100"/>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01">
    <w:name w:val="xl101"/>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2">
    <w:name w:val="xl102"/>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3">
    <w:name w:val="xl103"/>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4">
    <w:name w:val="xl104"/>
    <w:basedOn w:val="Normal"/>
    <w:rsid w:val="00664A0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5">
    <w:name w:val="xl105"/>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06">
    <w:name w:val="xl106"/>
    <w:basedOn w:val="Normal"/>
    <w:rsid w:val="00664A02"/>
    <w:pPr>
      <w:pBdr>
        <w:top w:val="single" w:sz="4" w:space="0" w:color="auto"/>
        <w:left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07">
    <w:name w:val="xl107"/>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8">
    <w:name w:val="xl108"/>
    <w:basedOn w:val="Normal"/>
    <w:rsid w:val="00664A02"/>
    <w:pPr>
      <w:pBdr>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09">
    <w:name w:val="xl109"/>
    <w:basedOn w:val="Normal"/>
    <w:rsid w:val="00664A02"/>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10">
    <w:name w:val="xl110"/>
    <w:basedOn w:val="Normal"/>
    <w:rsid w:val="00664A02"/>
    <w:pPr>
      <w:pBdr>
        <w:top w:val="single" w:sz="4" w:space="0" w:color="auto"/>
        <w:bottom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1">
    <w:name w:val="xl111"/>
    <w:basedOn w:val="Normal"/>
    <w:rsid w:val="00664A02"/>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Cs w:val="24"/>
      <w:lang w:val="en-AU" w:eastAsia="en-US"/>
    </w:rPr>
  </w:style>
  <w:style w:type="paragraph" w:customStyle="1" w:styleId="xl112">
    <w:name w:val="xl112"/>
    <w:basedOn w:val="Normal"/>
    <w:rsid w:val="00664A02"/>
    <w:pPr>
      <w:pBdr>
        <w:top w:val="single" w:sz="4" w:space="0" w:color="auto"/>
        <w:left w:val="single" w:sz="4" w:space="0" w:color="auto"/>
        <w:bottom w:val="single" w:sz="4" w:space="0" w:color="auto"/>
      </w:pBdr>
      <w:spacing w:before="100" w:beforeAutospacing="1" w:after="100" w:afterAutospacing="1"/>
    </w:pPr>
    <w:rPr>
      <w:rFonts w:ascii="Arial Unicode MS" w:eastAsia="Arial Unicode MS" w:cs="Galliard"/>
      <w:b/>
      <w:bCs/>
      <w:color w:val="auto"/>
      <w:sz w:val="12"/>
      <w:szCs w:val="12"/>
      <w:lang w:val="en-AU" w:eastAsia="en-US"/>
    </w:rPr>
  </w:style>
  <w:style w:type="paragraph" w:customStyle="1" w:styleId="xl113">
    <w:name w:val="xl113"/>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4">
    <w:name w:val="xl114"/>
    <w:basedOn w:val="Normal"/>
    <w:rsid w:val="00664A02"/>
    <w:pPr>
      <w:pBdr>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15">
    <w:name w:val="xl115"/>
    <w:basedOn w:val="Normal"/>
    <w:rsid w:val="00664A02"/>
    <w:pPr>
      <w:pBdr>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6">
    <w:name w:val="xl116"/>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7">
    <w:name w:val="xl117"/>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8">
    <w:name w:val="xl118"/>
    <w:basedOn w:val="Normal"/>
    <w:rsid w:val="00664A02"/>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19">
    <w:name w:val="xl119"/>
    <w:basedOn w:val="Normal"/>
    <w:rsid w:val="00664A02"/>
    <w:pP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0">
    <w:name w:val="xl120"/>
    <w:basedOn w:val="Normal"/>
    <w:rsid w:val="00664A02"/>
    <w:pPr>
      <w:pBdr>
        <w:top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1">
    <w:name w:val="xl121"/>
    <w:basedOn w:val="Normal"/>
    <w:rsid w:val="00664A02"/>
    <w:pPr>
      <w:pBdr>
        <w:top w:val="single" w:sz="4" w:space="0" w:color="auto"/>
        <w:lef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2">
    <w:name w:val="xl122"/>
    <w:basedOn w:val="Normal"/>
    <w:rsid w:val="00664A02"/>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3">
    <w:name w:val="xl123"/>
    <w:basedOn w:val="Normal"/>
    <w:rsid w:val="00664A02"/>
    <w:pPr>
      <w:pBdr>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4">
    <w:name w:val="xl124"/>
    <w:basedOn w:val="Normal"/>
    <w:rsid w:val="00664A02"/>
    <w:pPr>
      <w:pBdr>
        <w:left w:val="single" w:sz="4" w:space="0" w:color="auto"/>
        <w:bottom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25">
    <w:name w:val="xl125"/>
    <w:basedOn w:val="Normal"/>
    <w:rsid w:val="00664A02"/>
    <w:pPr>
      <w:pBdr>
        <w:bottom w:val="single" w:sz="4" w:space="0" w:color="auto"/>
        <w:right w:val="single" w:sz="4"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26">
    <w:name w:val="xl126"/>
    <w:basedOn w:val="Normal"/>
    <w:rsid w:val="00664A02"/>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rsid w:val="00664A02"/>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rsid w:val="00664A02"/>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color w:val="auto"/>
      <w:sz w:val="12"/>
      <w:szCs w:val="12"/>
      <w:lang w:val="en-AU" w:eastAsia="en-US"/>
    </w:rPr>
  </w:style>
  <w:style w:type="paragraph" w:customStyle="1" w:styleId="xl130">
    <w:name w:val="xl130"/>
    <w:basedOn w:val="Normal"/>
    <w:rsid w:val="00664A02"/>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1">
    <w:name w:val="xl131"/>
    <w:basedOn w:val="Normal"/>
    <w:rsid w:val="00664A02"/>
    <w:pPr>
      <w:pBdr>
        <w:top w:val="single" w:sz="4" w:space="0" w:color="auto"/>
        <w:bottom w:val="single" w:sz="8" w:space="0" w:color="auto"/>
      </w:pBdr>
      <w:spacing w:before="100" w:beforeAutospacing="1" w:after="100" w:afterAutospacing="1"/>
      <w:jc w:val="center"/>
    </w:pPr>
    <w:rPr>
      <w:rFonts w:ascii="Arial Unicode MS" w:eastAsia="Arial Unicode MS" w:cs="Galliard"/>
      <w:b/>
      <w:bCs/>
      <w:color w:val="auto"/>
      <w:sz w:val="12"/>
      <w:szCs w:val="12"/>
      <w:lang w:val="en-AU" w:eastAsia="en-US"/>
    </w:rPr>
  </w:style>
  <w:style w:type="paragraph" w:customStyle="1" w:styleId="xl132">
    <w:name w:val="xl132"/>
    <w:basedOn w:val="Normal"/>
    <w:rsid w:val="00664A02"/>
    <w:pPr>
      <w:pBdr>
        <w:top w:val="single" w:sz="4" w:space="0" w:color="auto"/>
        <w:bottom w:val="single" w:sz="8" w:space="0" w:color="auto"/>
      </w:pBdr>
      <w:spacing w:before="100" w:beforeAutospacing="1" w:after="100" w:afterAutospacing="1"/>
    </w:pPr>
    <w:rPr>
      <w:rFonts w:ascii="Arial Unicode MS" w:eastAsia="Arial Unicode MS" w:cs="Galliard"/>
      <w:color w:val="auto"/>
      <w:sz w:val="12"/>
      <w:szCs w:val="12"/>
      <w:lang w:val="en-AU" w:eastAsia="en-US"/>
    </w:rPr>
  </w:style>
  <w:style w:type="paragraph" w:customStyle="1" w:styleId="xl133">
    <w:name w:val="xl133"/>
    <w:basedOn w:val="Normal"/>
    <w:rsid w:val="00664A02"/>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eastAsia="Arial Unicode MS" w:cs="Galliard"/>
      <w:color w:val="auto"/>
      <w:sz w:val="12"/>
      <w:szCs w:val="12"/>
      <w:lang w:val="en-AU" w:eastAsia="en-US"/>
    </w:rPr>
  </w:style>
  <w:style w:type="paragraph" w:customStyle="1" w:styleId="xl134">
    <w:name w:val="xl134"/>
    <w:basedOn w:val="Normal"/>
    <w:rsid w:val="00664A02"/>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cs="Galliard"/>
      <w:color w:val="auto"/>
      <w:sz w:val="12"/>
      <w:szCs w:val="12"/>
      <w:lang w:val="en-AU" w:eastAsia="en-US"/>
    </w:rPr>
  </w:style>
  <w:style w:type="paragraph" w:customStyle="1" w:styleId="xl135">
    <w:name w:val="xl135"/>
    <w:basedOn w:val="Normal"/>
    <w:rsid w:val="00664A0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cs="Galliard"/>
      <w:color w:val="auto"/>
      <w:szCs w:val="24"/>
      <w:lang w:val="en-AU" w:eastAsia="en-US"/>
    </w:rPr>
  </w:style>
  <w:style w:type="paragraph" w:customStyle="1" w:styleId="xl136">
    <w:name w:val="xl136"/>
    <w:basedOn w:val="Normal"/>
    <w:rsid w:val="00664A02"/>
    <w:pPr>
      <w:pBdr>
        <w:top w:val="single" w:sz="4" w:space="0" w:color="auto"/>
        <w:bottom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7">
    <w:name w:val="xl137"/>
    <w:basedOn w:val="Normal"/>
    <w:rsid w:val="00664A02"/>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cs="Galliard"/>
      <w:color w:val="auto"/>
      <w:szCs w:val="24"/>
      <w:lang w:val="en-AU" w:eastAsia="en-US"/>
    </w:rPr>
  </w:style>
  <w:style w:type="paragraph" w:customStyle="1" w:styleId="xl138">
    <w:name w:val="xl138"/>
    <w:basedOn w:val="Normal"/>
    <w:rsid w:val="00664A02"/>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rsid w:val="00664A02"/>
    <w:pPr>
      <w:spacing w:after="0"/>
    </w:pPr>
    <w:rPr>
      <w:b/>
      <w:bCs/>
      <w:color w:val="auto"/>
      <w:sz w:val="28"/>
      <w:szCs w:val="28"/>
      <w:lang w:eastAsia="en-US"/>
    </w:rPr>
  </w:style>
  <w:style w:type="paragraph" w:customStyle="1" w:styleId="Anxtitle">
    <w:name w:val="Anx title"/>
    <w:basedOn w:val="Normal"/>
    <w:rsid w:val="00664A02"/>
    <w:pPr>
      <w:spacing w:after="0"/>
      <w:ind w:left="1247"/>
    </w:pPr>
    <w:rPr>
      <w:b/>
      <w:bCs/>
      <w:color w:val="auto"/>
      <w:sz w:val="28"/>
      <w:szCs w:val="28"/>
      <w:lang w:eastAsia="en-US"/>
    </w:rPr>
  </w:style>
  <w:style w:type="paragraph" w:customStyle="1" w:styleId="Style10ptAfter6pt1">
    <w:name w:val="Style 10 pt After:  6 pt1"/>
    <w:basedOn w:val="Normal"/>
    <w:autoRedefine/>
    <w:rsid w:val="00443C56"/>
    <w:pPr>
      <w:spacing w:after="120"/>
    </w:pPr>
    <w:rPr>
      <w:color w:val="FF0000"/>
    </w:rPr>
  </w:style>
  <w:style w:type="paragraph" w:customStyle="1" w:styleId="StyleHeading311ptBold">
    <w:name w:val="Style Heading 3 + 11 pt Bold"/>
    <w:basedOn w:val="Heading3"/>
    <w:rsid w:val="004345CC"/>
    <w:pPr>
      <w:ind w:left="0" w:firstLine="0"/>
    </w:pPr>
    <w:rPr>
      <w:bCs/>
      <w:iCs/>
    </w:rPr>
  </w:style>
  <w:style w:type="paragraph" w:customStyle="1" w:styleId="Subtitle">
    <w:name w:val="Sub title"/>
    <w:basedOn w:val="Heading2"/>
    <w:rsid w:val="004345CC"/>
    <w:pPr>
      <w:spacing w:before="0" w:after="0"/>
      <w:ind w:left="1247"/>
    </w:pPr>
    <w:rPr>
      <w:szCs w:val="24"/>
      <w:lang w:eastAsia="en-US"/>
    </w:rPr>
  </w:style>
  <w:style w:type="character" w:customStyle="1" w:styleId="maintextbldleft1">
    <w:name w:val="maintextbldleft1"/>
    <w:rsid w:val="00664A02"/>
    <w:rPr>
      <w:rFonts w:ascii="Arial" w:hAnsi="Arial"/>
      <w:b/>
      <w:color w:val="000000"/>
      <w:sz w:val="18"/>
      <w:u w:val="none"/>
      <w:effect w:val="none"/>
    </w:rPr>
  </w:style>
  <w:style w:type="character" w:customStyle="1" w:styleId="maintextleft1">
    <w:name w:val="maintextleft1"/>
    <w:rsid w:val="00664A02"/>
    <w:rPr>
      <w:rFonts w:ascii="Arial" w:hAnsi="Arial"/>
      <w:color w:val="000000"/>
      <w:sz w:val="18"/>
      <w:u w:val="none"/>
      <w:effect w:val="none"/>
    </w:rPr>
  </w:style>
  <w:style w:type="paragraph" w:customStyle="1" w:styleId="StyleHeading311ptBold1">
    <w:name w:val="Style Heading 3 + 11 pt Bold1"/>
    <w:basedOn w:val="Heading3"/>
    <w:rsid w:val="004345CC"/>
    <w:rPr>
      <w:rFonts w:ascii="Times New Roman Bold" w:hAnsi="Times New Roman Bold"/>
      <w:bCs/>
      <w:iCs/>
    </w:rPr>
  </w:style>
  <w:style w:type="paragraph" w:customStyle="1" w:styleId="ANNEXES">
    <w:name w:val="ANNEXES"/>
    <w:basedOn w:val="Normal"/>
    <w:rsid w:val="00664A02"/>
    <w:pPr>
      <w:tabs>
        <w:tab w:val="left" w:pos="1080"/>
      </w:tabs>
      <w:spacing w:before="100" w:beforeAutospacing="1" w:after="100" w:afterAutospacing="1"/>
    </w:pPr>
    <w:rPr>
      <w:b/>
      <w:sz w:val="28"/>
    </w:rPr>
  </w:style>
  <w:style w:type="paragraph" w:customStyle="1" w:styleId="Executivesummary">
    <w:name w:val="Executive summary"/>
    <w:basedOn w:val="TOC1"/>
    <w:rsid w:val="00C17D19"/>
    <w:rPr>
      <w:b w:val="0"/>
      <w:sz w:val="28"/>
    </w:rPr>
  </w:style>
  <w:style w:type="paragraph" w:customStyle="1" w:styleId="Execlevel2">
    <w:name w:val="Exec level2"/>
    <w:basedOn w:val="Anxhead"/>
    <w:rsid w:val="00664A02"/>
    <w:rPr>
      <w:sz w:val="24"/>
    </w:rPr>
  </w:style>
  <w:style w:type="character" w:customStyle="1" w:styleId="AnxheadChar">
    <w:name w:val="Anx head Char"/>
    <w:rsid w:val="00664A02"/>
    <w:rPr>
      <w:b/>
      <w:sz w:val="28"/>
      <w:lang w:val="en-GB" w:eastAsia="en-US"/>
    </w:rPr>
  </w:style>
  <w:style w:type="character" w:customStyle="1" w:styleId="Execlevel2Char">
    <w:name w:val="Exec level2 Char"/>
    <w:rsid w:val="00664A02"/>
    <w:rPr>
      <w:b/>
      <w:sz w:val="28"/>
      <w:lang w:val="en-GB" w:eastAsia="en-US"/>
    </w:rPr>
  </w:style>
  <w:style w:type="character" w:customStyle="1" w:styleId="a">
    <w:name w:val="_"/>
    <w:rsid w:val="00664A02"/>
  </w:style>
  <w:style w:type="paragraph" w:styleId="CommentSubject">
    <w:name w:val="annotation subject"/>
    <w:basedOn w:val="CommentText"/>
    <w:next w:val="CommentText"/>
    <w:link w:val="CommentSubjectChar"/>
    <w:semiHidden/>
    <w:rsid w:val="00664A02"/>
    <w:pPr>
      <w:widowControl/>
      <w:spacing w:after="0"/>
    </w:pPr>
    <w:rPr>
      <w:b/>
      <w:lang w:val="en-US"/>
    </w:rPr>
  </w:style>
  <w:style w:type="character" w:customStyle="1" w:styleId="CommentSubjectChar">
    <w:name w:val="Comment Subject Char"/>
    <w:link w:val="CommentSubject"/>
    <w:locked/>
    <w:rsid w:val="00564876"/>
    <w:rPr>
      <w:rFonts w:ascii="Times New Roman" w:hAnsi="Times New Roman" w:cs="Times New Roman"/>
      <w:b/>
      <w:sz w:val="24"/>
      <w:lang w:val="en-US" w:eastAsia="ja-JP"/>
    </w:rPr>
  </w:style>
  <w:style w:type="paragraph" w:customStyle="1" w:styleId="Indentedbullet">
    <w:name w:val="Indented bullet"/>
    <w:basedOn w:val="Indentedbodytext"/>
    <w:rsid w:val="003531E6"/>
    <w:pPr>
      <w:tabs>
        <w:tab w:val="num" w:pos="643"/>
        <w:tab w:val="num" w:pos="1440"/>
      </w:tabs>
      <w:ind w:left="1434" w:hanging="357"/>
    </w:pPr>
  </w:style>
  <w:style w:type="paragraph" w:customStyle="1" w:styleId="Indentedbodytext">
    <w:name w:val="Indented body text"/>
    <w:basedOn w:val="Normal"/>
    <w:autoRedefine/>
    <w:rsid w:val="00664A02"/>
    <w:pPr>
      <w:tabs>
        <w:tab w:val="left" w:pos="1080"/>
      </w:tabs>
      <w:ind w:left="1077"/>
    </w:pPr>
    <w:rPr>
      <w:lang w:eastAsia="en-US"/>
    </w:rPr>
  </w:style>
  <w:style w:type="paragraph" w:customStyle="1" w:styleId="Smallnumberedbullet">
    <w:name w:val="Small numbered bullet"/>
    <w:basedOn w:val="Smallbullet"/>
    <w:rsid w:val="003531E6"/>
    <w:pPr>
      <w:tabs>
        <w:tab w:val="clear" w:pos="360"/>
        <w:tab w:val="clear" w:pos="426"/>
        <w:tab w:val="num" w:pos="720"/>
        <w:tab w:val="num" w:pos="926"/>
      </w:tabs>
      <w:ind w:left="539" w:hanging="539"/>
    </w:pPr>
  </w:style>
  <w:style w:type="paragraph" w:customStyle="1" w:styleId="Smallbullet">
    <w:name w:val="Small bullet"/>
    <w:basedOn w:val="BodyTextSmallBullets"/>
    <w:autoRedefine/>
    <w:rsid w:val="003531E6"/>
    <w:pPr>
      <w:tabs>
        <w:tab w:val="num" w:pos="426"/>
      </w:tabs>
      <w:spacing w:after="240" w:line="240" w:lineRule="auto"/>
      <w:ind w:left="425" w:hanging="425"/>
    </w:pPr>
  </w:style>
  <w:style w:type="paragraph" w:customStyle="1" w:styleId="BodyText1">
    <w:name w:val="Body Text1"/>
    <w:basedOn w:val="Normal"/>
    <w:rsid w:val="00664A02"/>
    <w:rPr>
      <w:lang w:eastAsia="en-US"/>
    </w:rPr>
  </w:style>
  <w:style w:type="paragraph" w:customStyle="1" w:styleId="Heading311ptBold">
    <w:name w:val="Heading 3 + 11 pt Bold"/>
    <w:basedOn w:val="Heading3"/>
    <w:rsid w:val="00BF396C"/>
    <w:pPr>
      <w:tabs>
        <w:tab w:val="clear" w:pos="643"/>
        <w:tab w:val="num" w:pos="1800"/>
        <w:tab w:val="num" w:pos="2160"/>
      </w:tabs>
      <w:ind w:left="0" w:firstLine="0"/>
    </w:pPr>
    <w:rPr>
      <w:rFonts w:ascii="Times New Roman Bold" w:hAnsi="Times New Roman Bold"/>
      <w:b/>
      <w:i w:val="0"/>
    </w:rPr>
  </w:style>
  <w:style w:type="paragraph" w:customStyle="1" w:styleId="Table5">
    <w:name w:val="Table 5"/>
    <w:basedOn w:val="Normal"/>
    <w:rsid w:val="00664A02"/>
    <w:pPr>
      <w:spacing w:after="0" w:line="240" w:lineRule="exact"/>
      <w:ind w:left="567" w:hanging="567"/>
    </w:pPr>
    <w:rPr>
      <w:sz w:val="18"/>
      <w:lang w:eastAsia="ja-JP"/>
    </w:rPr>
  </w:style>
  <w:style w:type="paragraph" w:customStyle="1" w:styleId="ColorfulList-Accent11">
    <w:name w:val="Colorful List - Accent 11"/>
    <w:basedOn w:val="Normal"/>
    <w:rsid w:val="00664A02"/>
    <w:pPr>
      <w:spacing w:after="0"/>
      <w:ind w:left="720"/>
    </w:pPr>
    <w:rPr>
      <w:rFonts w:eastAsia="MS Mincho"/>
      <w:color w:val="auto"/>
      <w:szCs w:val="24"/>
      <w:lang w:val="en-US" w:eastAsia="ja-JP"/>
    </w:rPr>
  </w:style>
  <w:style w:type="character" w:customStyle="1" w:styleId="mw-headline">
    <w:name w:val="mw-headline"/>
    <w:rsid w:val="00664A02"/>
  </w:style>
  <w:style w:type="paragraph" w:customStyle="1" w:styleId="bullet0">
    <w:name w:val="bullet"/>
    <w:basedOn w:val="Normal"/>
    <w:autoRedefine/>
    <w:rsid w:val="00664A02"/>
    <w:pPr>
      <w:spacing w:after="0"/>
      <w:ind w:left="1080"/>
    </w:pPr>
    <w:rPr>
      <w:color w:val="auto"/>
      <w:sz w:val="24"/>
      <w:lang w:eastAsia="en-US"/>
    </w:rPr>
  </w:style>
  <w:style w:type="paragraph" w:styleId="Subtitle0">
    <w:name w:val="Subtitle"/>
    <w:basedOn w:val="Normal"/>
    <w:link w:val="SubtitleChar"/>
    <w:qFormat/>
    <w:rsid w:val="00871145"/>
    <w:pPr>
      <w:spacing w:after="0"/>
      <w:jc w:val="center"/>
    </w:pPr>
    <w:rPr>
      <w:rFonts w:ascii="Cambria" w:hAnsi="Cambria"/>
      <w:sz w:val="24"/>
    </w:rPr>
  </w:style>
  <w:style w:type="character" w:customStyle="1" w:styleId="SubtitleChar">
    <w:name w:val="Subtitle Char"/>
    <w:link w:val="Subtitle0"/>
    <w:locked/>
    <w:rsid w:val="00871145"/>
    <w:rPr>
      <w:rFonts w:ascii="Cambria" w:hAnsi="Cambria"/>
      <w:color w:val="000000"/>
      <w:sz w:val="24"/>
      <w:lang w:val="en-GB" w:eastAsia="zh-CN"/>
    </w:rPr>
  </w:style>
  <w:style w:type="paragraph" w:customStyle="1" w:styleId="Rvision1">
    <w:name w:val="Révision1"/>
    <w:hidden/>
    <w:semiHidden/>
    <w:rsid w:val="00664A02"/>
    <w:rPr>
      <w:rFonts w:ascii="Times New Roman" w:eastAsia="MS Mincho" w:hAnsi="Times New Roman"/>
      <w:sz w:val="24"/>
      <w:szCs w:val="24"/>
      <w:lang w:val="en-US"/>
    </w:rPr>
  </w:style>
  <w:style w:type="paragraph" w:customStyle="1" w:styleId="StyleHeading3Heading3Char1CharHeading3CharCharCharChar">
    <w:name w:val="Style Heading 3Heading 3 Char1 CharHeading 3 Char Char CharChar ..."/>
    <w:basedOn w:val="Heading3"/>
    <w:rsid w:val="004345CC"/>
    <w:rPr>
      <w:rFonts w:ascii="Times New Roman Bold" w:hAnsi="Times New Roman Bold"/>
      <w:iCs/>
    </w:rPr>
  </w:style>
  <w:style w:type="paragraph" w:customStyle="1" w:styleId="ParaQPS">
    <w:name w:val="Para QPS"/>
    <w:basedOn w:val="Normal"/>
    <w:rsid w:val="00664A02"/>
    <w:pPr>
      <w:spacing w:before="120" w:after="120"/>
      <w:ind w:left="1134"/>
      <w:jc w:val="both"/>
    </w:pPr>
    <w:rPr>
      <w:rFonts w:cs="Calibri"/>
      <w:iCs/>
      <w:color w:val="auto"/>
      <w:szCs w:val="24"/>
      <w:lang w:val="en-US" w:eastAsia="en-US"/>
    </w:rPr>
  </w:style>
  <w:style w:type="paragraph" w:customStyle="1" w:styleId="ParaQPSItalicindent">
    <w:name w:val="Para QPS Italic indent"/>
    <w:basedOn w:val="ParaQPS"/>
    <w:rsid w:val="00664A02"/>
    <w:rPr>
      <w:i/>
      <w:iCs w:val="0"/>
    </w:rPr>
  </w:style>
  <w:style w:type="paragraph" w:customStyle="1" w:styleId="ListParagraph1">
    <w:name w:val="List Paragraph1"/>
    <w:aliases w:val="Bullets"/>
    <w:basedOn w:val="Normal"/>
    <w:uiPriority w:val="34"/>
    <w:qFormat/>
    <w:rsid w:val="00871145"/>
    <w:pPr>
      <w:tabs>
        <w:tab w:val="num" w:pos="1209"/>
      </w:tabs>
      <w:spacing w:before="60" w:after="60"/>
      <w:ind w:left="720" w:hanging="360"/>
      <w:jc w:val="both"/>
    </w:pPr>
    <w:rPr>
      <w:rFonts w:ascii="Arial" w:eastAsia="SimSun" w:hAnsi="Arial" w:cs="Arial"/>
      <w:color w:val="auto"/>
      <w:szCs w:val="22"/>
      <w:lang w:eastAsia="en-GB"/>
    </w:rPr>
  </w:style>
  <w:style w:type="paragraph" w:customStyle="1" w:styleId="Bibliographie1">
    <w:name w:val="Bibliographie1"/>
    <w:basedOn w:val="Normal"/>
    <w:next w:val="Normal"/>
    <w:rsid w:val="00664A02"/>
    <w:pPr>
      <w:spacing w:before="120" w:after="120"/>
      <w:ind w:left="1134"/>
      <w:jc w:val="both"/>
    </w:pPr>
    <w:rPr>
      <w:rFonts w:ascii="Calibri" w:eastAsia="SimSun" w:hAnsi="Calibri"/>
      <w:color w:val="auto"/>
      <w:szCs w:val="22"/>
    </w:rPr>
  </w:style>
  <w:style w:type="paragraph" w:customStyle="1" w:styleId="Footnote">
    <w:name w:val="Footnote"/>
    <w:basedOn w:val="FootnoteText"/>
    <w:rsid w:val="00664A02"/>
    <w:pPr>
      <w:widowControl/>
      <w:spacing w:after="0"/>
    </w:pPr>
    <w:rPr>
      <w:rFonts w:eastAsia="SimSun"/>
      <w:sz w:val="18"/>
      <w:szCs w:val="22"/>
    </w:rPr>
  </w:style>
  <w:style w:type="paragraph" w:customStyle="1" w:styleId="TableforUNEPreport">
    <w:name w:val="Table for UNEP report"/>
    <w:basedOn w:val="Caption"/>
    <w:rsid w:val="00664A02"/>
    <w:pPr>
      <w:keepNext/>
      <w:spacing w:after="200" w:line="240" w:lineRule="auto"/>
      <w:ind w:left="0"/>
      <w:jc w:val="both"/>
    </w:pPr>
    <w:rPr>
      <w:rFonts w:ascii="Calibri" w:hAnsi="Calibri"/>
      <w:b/>
      <w:bCs/>
      <w:i w:val="0"/>
      <w:color w:val="auto"/>
      <w:szCs w:val="18"/>
      <w:lang w:eastAsia="en-GB"/>
    </w:rPr>
  </w:style>
  <w:style w:type="paragraph" w:customStyle="1" w:styleId="TitleQPSReport">
    <w:name w:val="Title QPS Report"/>
    <w:basedOn w:val="Normal"/>
    <w:rsid w:val="00664A02"/>
    <w:pPr>
      <w:spacing w:before="120" w:after="120"/>
      <w:jc w:val="center"/>
    </w:pPr>
    <w:rPr>
      <w:b/>
      <w:bCs/>
      <w:color w:val="auto"/>
      <w:sz w:val="28"/>
    </w:rPr>
  </w:style>
  <w:style w:type="paragraph" w:customStyle="1" w:styleId="Bulletdash">
    <w:name w:val="Bullet dash"/>
    <w:basedOn w:val="Normal"/>
    <w:rsid w:val="003531E6"/>
    <w:pPr>
      <w:spacing w:before="120" w:after="120"/>
      <w:ind w:left="1854" w:hanging="360"/>
      <w:jc w:val="both"/>
    </w:pPr>
    <w:rPr>
      <w:rFonts w:eastAsia="SimSun"/>
      <w:color w:val="auto"/>
      <w:szCs w:val="22"/>
    </w:rPr>
  </w:style>
  <w:style w:type="paragraph" w:customStyle="1" w:styleId="Paraleft">
    <w:name w:val="Para left"/>
    <w:basedOn w:val="Normal"/>
    <w:rsid w:val="00664A02"/>
    <w:pPr>
      <w:keepNext/>
      <w:spacing w:before="120" w:after="120"/>
      <w:ind w:left="1134"/>
    </w:pPr>
    <w:rPr>
      <w:rFonts w:eastAsia="SimSun"/>
      <w:b/>
      <w:bCs/>
      <w:color w:val="auto"/>
      <w:szCs w:val="22"/>
      <w:lang w:eastAsia="ja-JP"/>
    </w:rPr>
  </w:style>
  <w:style w:type="paragraph" w:customStyle="1" w:styleId="TableandFiguretitles">
    <w:name w:val="Table and Figure titles"/>
    <w:basedOn w:val="Caption"/>
    <w:rsid w:val="00664A02"/>
    <w:pPr>
      <w:keepNext/>
      <w:spacing w:after="200" w:line="240" w:lineRule="auto"/>
      <w:ind w:left="1134"/>
      <w:jc w:val="both"/>
    </w:pPr>
    <w:rPr>
      <w:rFonts w:eastAsia="SimSun"/>
      <w:b/>
      <w:bCs/>
      <w:i w:val="0"/>
      <w:color w:val="auto"/>
      <w:szCs w:val="22"/>
    </w:rPr>
  </w:style>
  <w:style w:type="paragraph" w:styleId="TableofFigures">
    <w:name w:val="table of figures"/>
    <w:basedOn w:val="Normal"/>
    <w:next w:val="Normal"/>
    <w:semiHidden/>
    <w:rsid w:val="00664A02"/>
    <w:pPr>
      <w:spacing w:before="120" w:after="120"/>
      <w:ind w:left="1757" w:right="624" w:hanging="1077"/>
      <w:jc w:val="both"/>
    </w:pPr>
    <w:rPr>
      <w:rFonts w:eastAsia="SimSun"/>
      <w:b/>
      <w:caps/>
      <w:color w:val="auto"/>
      <w:szCs w:val="22"/>
    </w:rPr>
  </w:style>
  <w:style w:type="paragraph" w:customStyle="1" w:styleId="StyleParaQPSItalic">
    <w:name w:val="Style Para QPS + Italic"/>
    <w:basedOn w:val="ParaQPS"/>
    <w:rsid w:val="00664A02"/>
    <w:rPr>
      <w:i/>
    </w:rPr>
  </w:style>
  <w:style w:type="paragraph" w:customStyle="1" w:styleId="StyleLeft017cm">
    <w:name w:val="Style Left:  0.17 cm"/>
    <w:basedOn w:val="Normal"/>
    <w:rsid w:val="00664A02"/>
    <w:pPr>
      <w:spacing w:before="120" w:after="120"/>
      <w:ind w:left="97"/>
      <w:jc w:val="both"/>
    </w:pPr>
    <w:rPr>
      <w:color w:val="auto"/>
    </w:rPr>
  </w:style>
  <w:style w:type="paragraph" w:customStyle="1" w:styleId="StyleParaQPS11ptItalic">
    <w:name w:val="Style Para QPS + 11 pt Italic"/>
    <w:basedOn w:val="ParaQPS"/>
    <w:rsid w:val="00664A02"/>
    <w:rPr>
      <w:i/>
    </w:rPr>
  </w:style>
  <w:style w:type="paragraph" w:customStyle="1" w:styleId="Bulletnumbered">
    <w:name w:val="Bullet numbered"/>
    <w:basedOn w:val="ParaQPS"/>
    <w:rsid w:val="003531E6"/>
    <w:pPr>
      <w:ind w:left="1854" w:hanging="360"/>
    </w:pPr>
  </w:style>
  <w:style w:type="paragraph" w:customStyle="1" w:styleId="Annexheader">
    <w:name w:val="Annex header"/>
    <w:basedOn w:val="Header"/>
    <w:rsid w:val="00664A02"/>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rsid w:val="00664A02"/>
    <w:pPr>
      <w:tabs>
        <w:tab w:val="left" w:pos="1080"/>
      </w:tabs>
      <w:spacing w:after="0"/>
    </w:pPr>
    <w:rPr>
      <w:b/>
      <w:i/>
    </w:rPr>
  </w:style>
  <w:style w:type="paragraph" w:customStyle="1" w:styleId="0Heading0CharChar1Char">
    <w:name w:val="0 Heading 0 Char Char1 Char"/>
    <w:rsid w:val="00664A02"/>
    <w:rPr>
      <w:rFonts w:ascii="Times New Roman" w:hAnsi="Times New Roman"/>
      <w:color w:val="000000"/>
      <w:sz w:val="24"/>
      <w:lang w:val="en-GB"/>
    </w:rPr>
  </w:style>
  <w:style w:type="character" w:customStyle="1" w:styleId="0Heading0CharChar1CharChar">
    <w:name w:val="0 Heading 0 Char Char1 Char Char"/>
    <w:rsid w:val="00664A02"/>
    <w:rPr>
      <w:color w:val="000000"/>
      <w:sz w:val="24"/>
      <w:lang w:val="en-GB" w:eastAsia="en-US"/>
    </w:rPr>
  </w:style>
  <w:style w:type="paragraph" w:customStyle="1" w:styleId="Alt2-LevelLegal1">
    <w:name w:val="Alt 2-Level Legal1"/>
    <w:basedOn w:val="Normal"/>
    <w:next w:val="Normal"/>
    <w:rsid w:val="00664A02"/>
    <w:pPr>
      <w:numPr>
        <w:numId w:val="1"/>
      </w:numPr>
      <w:jc w:val="center"/>
      <w:outlineLvl w:val="0"/>
    </w:pPr>
    <w:rPr>
      <w:rFonts w:eastAsia="SimSun"/>
      <w:b/>
      <w:color w:val="auto"/>
      <w:szCs w:val="24"/>
    </w:rPr>
  </w:style>
  <w:style w:type="paragraph" w:customStyle="1" w:styleId="Alt2-LevelLegal2">
    <w:name w:val="Alt 2-Level Legal2"/>
    <w:basedOn w:val="Normal"/>
    <w:rsid w:val="00664A02"/>
    <w:pPr>
      <w:numPr>
        <w:ilvl w:val="1"/>
        <w:numId w:val="1"/>
      </w:numPr>
      <w:outlineLvl w:val="1"/>
    </w:pPr>
    <w:rPr>
      <w:rFonts w:eastAsia="SimSun"/>
      <w:b/>
      <w:bCs/>
      <w:szCs w:val="24"/>
    </w:rPr>
  </w:style>
  <w:style w:type="paragraph" w:customStyle="1" w:styleId="Alt2-LevelLegal3">
    <w:name w:val="Alt 2-Level Legal3"/>
    <w:basedOn w:val="Normal"/>
    <w:rsid w:val="00664A02"/>
    <w:pPr>
      <w:numPr>
        <w:ilvl w:val="2"/>
        <w:numId w:val="1"/>
      </w:numPr>
      <w:outlineLvl w:val="2"/>
    </w:pPr>
    <w:rPr>
      <w:rFonts w:eastAsia="SimSun"/>
      <w:b/>
      <w:szCs w:val="24"/>
    </w:rPr>
  </w:style>
  <w:style w:type="paragraph" w:customStyle="1" w:styleId="Alt2-LevelLegal4">
    <w:name w:val="Alt 2-Level Legal4"/>
    <w:basedOn w:val="Normal"/>
    <w:rsid w:val="00664A02"/>
    <w:pPr>
      <w:numPr>
        <w:ilvl w:val="3"/>
        <w:numId w:val="1"/>
      </w:numPr>
      <w:outlineLvl w:val="3"/>
    </w:pPr>
    <w:rPr>
      <w:rFonts w:eastAsia="SimSun"/>
      <w:szCs w:val="24"/>
    </w:rPr>
  </w:style>
  <w:style w:type="paragraph" w:customStyle="1" w:styleId="Alt2-LevelLegal5">
    <w:name w:val="Alt 2-Level Legal5"/>
    <w:basedOn w:val="Normal"/>
    <w:rsid w:val="00664A02"/>
    <w:pPr>
      <w:numPr>
        <w:ilvl w:val="4"/>
        <w:numId w:val="1"/>
      </w:numPr>
      <w:ind w:right="720"/>
      <w:jc w:val="both"/>
      <w:outlineLvl w:val="4"/>
    </w:pPr>
    <w:rPr>
      <w:rFonts w:eastAsia="SimSun"/>
      <w:szCs w:val="24"/>
    </w:rPr>
  </w:style>
  <w:style w:type="paragraph" w:customStyle="1" w:styleId="Alt2-LevelLegal6">
    <w:name w:val="Alt 2-Level Legal6"/>
    <w:basedOn w:val="Normal"/>
    <w:rsid w:val="00664A02"/>
    <w:pPr>
      <w:numPr>
        <w:ilvl w:val="5"/>
        <w:numId w:val="1"/>
      </w:numPr>
      <w:jc w:val="both"/>
      <w:outlineLvl w:val="5"/>
    </w:pPr>
    <w:rPr>
      <w:rFonts w:eastAsia="SimSun"/>
      <w:szCs w:val="24"/>
    </w:rPr>
  </w:style>
  <w:style w:type="paragraph" w:customStyle="1" w:styleId="Alt2-LevelLegal7">
    <w:name w:val="Alt 2-Level Legal7"/>
    <w:basedOn w:val="Normal"/>
    <w:rsid w:val="00664A02"/>
    <w:pPr>
      <w:numPr>
        <w:ilvl w:val="6"/>
        <w:numId w:val="1"/>
      </w:numPr>
      <w:ind w:left="1440"/>
      <w:outlineLvl w:val="6"/>
    </w:pPr>
    <w:rPr>
      <w:rFonts w:eastAsia="SimSun"/>
      <w:szCs w:val="24"/>
    </w:rPr>
  </w:style>
  <w:style w:type="character" w:styleId="Emphasis">
    <w:name w:val="Emphasis"/>
    <w:uiPriority w:val="20"/>
    <w:qFormat/>
    <w:rsid w:val="00871145"/>
    <w:rPr>
      <w:rFonts w:cs="Times New Roman"/>
      <w:b/>
      <w:i/>
      <w:spacing w:val="10"/>
      <w:shd w:val="clear" w:color="auto" w:fill="auto"/>
    </w:rPr>
  </w:style>
  <w:style w:type="paragraph" w:customStyle="1" w:styleId="Sansinterligne1">
    <w:name w:val="Sans interligne1"/>
    <w:basedOn w:val="Normal"/>
    <w:locked/>
    <w:rsid w:val="00664A02"/>
    <w:pPr>
      <w:spacing w:after="0"/>
    </w:pPr>
    <w:rPr>
      <w:rFonts w:ascii="Arial" w:hAnsi="Arial" w:cs="Futura"/>
      <w:color w:val="auto"/>
      <w:szCs w:val="22"/>
      <w:lang w:eastAsia="en-US"/>
    </w:rPr>
  </w:style>
  <w:style w:type="paragraph" w:customStyle="1" w:styleId="Citation1">
    <w:name w:val="Citation1"/>
    <w:basedOn w:val="Normal"/>
    <w:next w:val="Normal"/>
    <w:link w:val="QuoteChar"/>
    <w:locked/>
    <w:rsid w:val="00664A02"/>
    <w:pPr>
      <w:spacing w:before="200" w:after="0"/>
      <w:ind w:left="360" w:right="360"/>
    </w:pPr>
    <w:rPr>
      <w:i/>
      <w:sz w:val="20"/>
    </w:rPr>
  </w:style>
  <w:style w:type="character" w:customStyle="1" w:styleId="QuoteChar">
    <w:name w:val="Quote Char"/>
    <w:link w:val="Citation1"/>
    <w:locked/>
    <w:rsid w:val="00521070"/>
    <w:rPr>
      <w:rFonts w:ascii="Times New Roman" w:hAnsi="Times New Roman"/>
      <w:i/>
      <w:color w:val="000000"/>
      <w:sz w:val="20"/>
      <w:lang w:val="en-GB" w:eastAsia="zh-CN"/>
    </w:rPr>
  </w:style>
  <w:style w:type="paragraph" w:customStyle="1" w:styleId="Citationintense1">
    <w:name w:val="Citation intense1"/>
    <w:basedOn w:val="Normal"/>
    <w:next w:val="Normal"/>
    <w:link w:val="IntenseQuoteChar"/>
    <w:locked/>
    <w:rsid w:val="00664A02"/>
    <w:pPr>
      <w:pBdr>
        <w:bottom w:val="single" w:sz="4" w:space="1" w:color="auto"/>
      </w:pBdr>
      <w:spacing w:before="200" w:after="280"/>
      <w:ind w:left="1008" w:right="1152"/>
      <w:jc w:val="both"/>
    </w:pPr>
    <w:rPr>
      <w:b/>
      <w:i/>
      <w:color w:val="4F81BD"/>
      <w:sz w:val="20"/>
    </w:rPr>
  </w:style>
  <w:style w:type="character" w:customStyle="1" w:styleId="IntenseQuoteChar">
    <w:name w:val="Intense Quote Char"/>
    <w:link w:val="Citationintense1"/>
    <w:locked/>
    <w:rsid w:val="00521070"/>
    <w:rPr>
      <w:rFonts w:ascii="Times New Roman" w:hAnsi="Times New Roman"/>
      <w:b/>
      <w:i/>
      <w:color w:val="4F81BD"/>
      <w:sz w:val="20"/>
      <w:lang w:val="en-GB" w:eastAsia="zh-CN"/>
    </w:rPr>
  </w:style>
  <w:style w:type="character" w:customStyle="1" w:styleId="Emphaseple1">
    <w:name w:val="Emphase pâle1"/>
    <w:locked/>
    <w:rsid w:val="00664A02"/>
    <w:rPr>
      <w:i/>
    </w:rPr>
  </w:style>
  <w:style w:type="character" w:customStyle="1" w:styleId="Emphaseintense1">
    <w:name w:val="Emphase intense1"/>
    <w:locked/>
    <w:rsid w:val="00664A02"/>
    <w:rPr>
      <w:b/>
    </w:rPr>
  </w:style>
  <w:style w:type="character" w:customStyle="1" w:styleId="Rfrenceple1">
    <w:name w:val="Référence pâle1"/>
    <w:locked/>
    <w:rsid w:val="00664A02"/>
    <w:rPr>
      <w:smallCaps/>
    </w:rPr>
  </w:style>
  <w:style w:type="character" w:customStyle="1" w:styleId="Rfrenceintense1">
    <w:name w:val="Référence intense1"/>
    <w:locked/>
    <w:rsid w:val="00664A02"/>
    <w:rPr>
      <w:smallCaps/>
      <w:spacing w:val="5"/>
      <w:u w:val="single"/>
    </w:rPr>
  </w:style>
  <w:style w:type="character" w:customStyle="1" w:styleId="Titredulivre1">
    <w:name w:val="Titre du livre1"/>
    <w:locked/>
    <w:rsid w:val="00664A02"/>
    <w:rPr>
      <w:i/>
      <w:smallCaps/>
      <w:spacing w:val="5"/>
    </w:rPr>
  </w:style>
  <w:style w:type="paragraph" w:customStyle="1" w:styleId="En-ttedetabledesmatires1">
    <w:name w:val="En-tête de table des matières1"/>
    <w:basedOn w:val="Heading1"/>
    <w:next w:val="Normal"/>
    <w:locked/>
    <w:rsid w:val="00664A02"/>
    <w:pPr>
      <w:keepLines/>
      <w:outlineLvl w:val="9"/>
    </w:pPr>
    <w:rPr>
      <w:rFonts w:ascii="Arial" w:hAnsi="Arial"/>
      <w:bCs/>
      <w:sz w:val="32"/>
      <w:szCs w:val="28"/>
      <w:lang w:eastAsia="en-US"/>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sid w:val="00664A02"/>
    <w:rPr>
      <w:rFonts w:ascii="Arial" w:eastAsia="MS Mincho" w:hAnsi="Arial"/>
      <w:b/>
      <w:kern w:val="32"/>
      <w:sz w:val="32"/>
      <w:lang w:val="en-US" w:eastAsia="ja-JP"/>
    </w:rPr>
  </w:style>
  <w:style w:type="paragraph" w:customStyle="1" w:styleId="a0">
    <w:name w:val="吹き出し"/>
    <w:basedOn w:val="Normal"/>
    <w:semiHidden/>
    <w:rsid w:val="00664A02"/>
    <w:pPr>
      <w:spacing w:after="0"/>
    </w:pPr>
    <w:rPr>
      <w:rFonts w:ascii="Tahoma" w:eastAsia="MS Mincho" w:hAnsi="Tahoma" w:cs="Futura"/>
      <w:color w:val="auto"/>
      <w:sz w:val="16"/>
      <w:szCs w:val="16"/>
      <w:lang w:val="en-US" w:eastAsia="en-US"/>
    </w:rPr>
  </w:style>
  <w:style w:type="character" w:customStyle="1" w:styleId="SubParaa">
    <w:name w:val="SubPara (a) (文字) (文字)"/>
    <w:rsid w:val="00664A02"/>
    <w:rPr>
      <w:rFonts w:ascii="Arial" w:eastAsia="MS Mincho" w:hAnsi="Arial"/>
      <w:b/>
      <w:i/>
      <w:kern w:val="2"/>
      <w:sz w:val="28"/>
      <w:lang w:val="en-US" w:eastAsia="ja-JP"/>
    </w:rPr>
  </w:style>
  <w:style w:type="character" w:customStyle="1" w:styleId="1">
    <w:name w:val="(文字) (文字)1"/>
    <w:rsid w:val="00664A02"/>
    <w:rPr>
      <w:rFonts w:eastAsia="SimSun"/>
      <w:sz w:val="24"/>
      <w:lang w:val="en-US" w:eastAsia="zh-CN"/>
    </w:rPr>
  </w:style>
  <w:style w:type="paragraph" w:customStyle="1" w:styleId="a1">
    <w:name w:val="コメント内容"/>
    <w:basedOn w:val="CommentText"/>
    <w:next w:val="CommentText"/>
    <w:rsid w:val="00664A02"/>
    <w:pPr>
      <w:widowControl/>
      <w:spacing w:after="0"/>
    </w:pPr>
    <w:rPr>
      <w:rFonts w:eastAsia="MS Mincho"/>
      <w:b/>
      <w:bCs/>
      <w:lang w:val="en-US" w:eastAsia="en-US"/>
    </w:rPr>
  </w:style>
  <w:style w:type="character" w:customStyle="1" w:styleId="a2">
    <w:name w:val="(文字) (文字)"/>
    <w:rsid w:val="00664A02"/>
    <w:rPr>
      <w:rFonts w:eastAsia="SimSun"/>
      <w:b/>
      <w:sz w:val="24"/>
      <w:lang w:val="en-US" w:eastAsia="en-US"/>
    </w:rPr>
  </w:style>
  <w:style w:type="character" w:customStyle="1" w:styleId="CarCar19">
    <w:name w:val="Car Car19"/>
    <w:locked/>
    <w:rsid w:val="00664A02"/>
    <w:rPr>
      <w:rFonts w:eastAsia="MS Mincho"/>
      <w:color w:val="000000"/>
      <w:sz w:val="24"/>
      <w:lang w:val="en-GB" w:eastAsia="zh-CN"/>
    </w:rPr>
  </w:style>
  <w:style w:type="paragraph" w:customStyle="1" w:styleId="Decisionparagraphs">
    <w:name w:val="Decision paragraphs"/>
    <w:basedOn w:val="Normal"/>
    <w:autoRedefine/>
    <w:rsid w:val="00664A02"/>
    <w:pPr>
      <w:spacing w:after="0"/>
    </w:pPr>
    <w:rPr>
      <w:i/>
      <w:color w:val="auto"/>
      <w:lang w:eastAsia="en-US"/>
    </w:rPr>
  </w:style>
  <w:style w:type="paragraph" w:customStyle="1" w:styleId="Style3">
    <w:name w:val="Style3"/>
    <w:basedOn w:val="Heading1"/>
    <w:rsid w:val="004345CC"/>
    <w:pPr>
      <w:tabs>
        <w:tab w:val="clear" w:pos="709"/>
        <w:tab w:val="left" w:pos="0"/>
        <w:tab w:val="left" w:pos="720"/>
        <w:tab w:val="num" w:pos="1492"/>
      </w:tabs>
      <w:spacing w:after="0"/>
      <w:ind w:left="720" w:hanging="720"/>
    </w:pPr>
    <w:rPr>
      <w:rFonts w:ascii="Times New Roman Bold" w:hAnsi="Times New Roman Bold"/>
      <w:sz w:val="30"/>
      <w:szCs w:val="28"/>
    </w:rPr>
  </w:style>
  <w:style w:type="paragraph" w:customStyle="1" w:styleId="Style4">
    <w:name w:val="Style4"/>
    <w:basedOn w:val="Heading2"/>
    <w:rsid w:val="004345CC"/>
    <w:pPr>
      <w:tabs>
        <w:tab w:val="clear" w:pos="709"/>
        <w:tab w:val="left" w:pos="720"/>
      </w:tabs>
      <w:spacing w:before="0" w:after="0"/>
      <w:ind w:left="720"/>
    </w:pPr>
    <w:rPr>
      <w:rFonts w:ascii="Times New Roman Bold" w:hAnsi="Times New Roman Bold"/>
    </w:rPr>
  </w:style>
  <w:style w:type="paragraph" w:customStyle="1" w:styleId="Style5">
    <w:name w:val="Style5"/>
    <w:basedOn w:val="Heading311ptBold"/>
    <w:autoRedefine/>
    <w:rsid w:val="004345CC"/>
    <w:pPr>
      <w:tabs>
        <w:tab w:val="clear" w:pos="709"/>
        <w:tab w:val="clear" w:pos="1800"/>
        <w:tab w:val="left" w:pos="720"/>
        <w:tab w:val="center" w:pos="1440"/>
      </w:tabs>
      <w:spacing w:before="0" w:after="0"/>
    </w:pPr>
    <w:rPr>
      <w:b w:val="0"/>
    </w:rPr>
  </w:style>
  <w:style w:type="paragraph" w:customStyle="1" w:styleId="Style6">
    <w:name w:val="Style6"/>
    <w:basedOn w:val="Heading311ptBold"/>
    <w:next w:val="Style5"/>
    <w:rsid w:val="004345CC"/>
    <w:pPr>
      <w:tabs>
        <w:tab w:val="clear" w:pos="709"/>
        <w:tab w:val="clear" w:pos="1800"/>
        <w:tab w:val="left" w:pos="720"/>
        <w:tab w:val="center" w:pos="1440"/>
      </w:tabs>
      <w:spacing w:before="0" w:after="0"/>
    </w:pPr>
    <w:rPr>
      <w:b w:val="0"/>
    </w:rPr>
  </w:style>
  <w:style w:type="paragraph" w:customStyle="1" w:styleId="Style7">
    <w:name w:val="Style7"/>
    <w:basedOn w:val="Heading311ptBold"/>
    <w:rsid w:val="004345CC"/>
    <w:pPr>
      <w:tabs>
        <w:tab w:val="clear" w:pos="709"/>
        <w:tab w:val="clear" w:pos="1800"/>
        <w:tab w:val="left" w:pos="720"/>
        <w:tab w:val="center" w:pos="1440"/>
      </w:tabs>
      <w:spacing w:before="0" w:after="0"/>
      <w:ind w:left="720" w:hanging="720"/>
    </w:pPr>
    <w:rPr>
      <w:b w:val="0"/>
    </w:rPr>
  </w:style>
  <w:style w:type="paragraph" w:customStyle="1" w:styleId="StyleHeading2SubParaaHeading2Char1CharSubParaaChar1">
    <w:name w:val="Style Heading 2SubPara (a)Heading 2 Char1 CharSubPara (a) Char1 ..."/>
    <w:basedOn w:val="Heading2"/>
    <w:autoRedefine/>
    <w:rsid w:val="004345CC"/>
    <w:pPr>
      <w:tabs>
        <w:tab w:val="clear" w:pos="709"/>
        <w:tab w:val="left" w:pos="720"/>
      </w:tabs>
      <w:spacing w:before="0" w:after="0"/>
    </w:pPr>
    <w:rPr>
      <w:rFonts w:ascii="Times New Roman Bold" w:hAnsi="Times New Roman Bold"/>
      <w:bCs/>
    </w:rPr>
  </w:style>
  <w:style w:type="paragraph" w:customStyle="1" w:styleId="StyleStyleHeading2SubParaaHeading2Char1CharSubParaaCha">
    <w:name w:val="Style Style Heading 2SubPara (a)Heading 2 Char1 CharSubPara (a) Cha..."/>
    <w:basedOn w:val="StyleHeading2SubParaaHeading2Char1CharSubParaaChar1"/>
    <w:rsid w:val="004345CC"/>
  </w:style>
  <w:style w:type="paragraph" w:customStyle="1" w:styleId="StyleHeading4Left0Firstline0">
    <w:name w:val="Style Heading 4 + Left:  0&quot; First line:  0&quot;"/>
    <w:basedOn w:val="Heading4"/>
    <w:autoRedefine/>
    <w:rsid w:val="004345CC"/>
    <w:pPr>
      <w:numPr>
        <w:ilvl w:val="0"/>
      </w:numPr>
      <w:tabs>
        <w:tab w:val="clear" w:pos="709"/>
        <w:tab w:val="num" w:pos="643"/>
        <w:tab w:val="left" w:pos="720"/>
      </w:tabs>
      <w:spacing w:before="0" w:after="0"/>
      <w:ind w:left="720" w:hanging="720"/>
    </w:pPr>
    <w:rPr>
      <w:rFonts w:ascii="Times New Roman Bold" w:hAnsi="Times New Roman Bold"/>
      <w:bCs/>
    </w:rPr>
  </w:style>
  <w:style w:type="paragraph" w:styleId="ListBullet2">
    <w:name w:val="List Bullet 2"/>
    <w:basedOn w:val="Normal"/>
    <w:rsid w:val="00664A02"/>
    <w:pPr>
      <w:tabs>
        <w:tab w:val="num" w:pos="643"/>
      </w:tabs>
      <w:spacing w:after="0"/>
      <w:ind w:left="643" w:hanging="360"/>
    </w:pPr>
    <w:rPr>
      <w:color w:val="auto"/>
      <w:szCs w:val="24"/>
      <w:lang w:eastAsia="en-GB"/>
    </w:rPr>
  </w:style>
  <w:style w:type="paragraph" w:styleId="ListBullet3">
    <w:name w:val="List Bullet 3"/>
    <w:basedOn w:val="Normal"/>
    <w:rsid w:val="00664A02"/>
    <w:pPr>
      <w:tabs>
        <w:tab w:val="num" w:pos="926"/>
      </w:tabs>
      <w:spacing w:after="0"/>
      <w:ind w:left="926" w:hanging="360"/>
    </w:pPr>
    <w:rPr>
      <w:color w:val="auto"/>
      <w:szCs w:val="24"/>
      <w:lang w:eastAsia="en-GB"/>
    </w:rPr>
  </w:style>
  <w:style w:type="paragraph" w:styleId="ListBullet4">
    <w:name w:val="List Bullet 4"/>
    <w:basedOn w:val="Normal"/>
    <w:rsid w:val="00664A02"/>
    <w:pPr>
      <w:tabs>
        <w:tab w:val="num" w:pos="1209"/>
      </w:tabs>
      <w:spacing w:after="0"/>
      <w:ind w:left="1209" w:hanging="360"/>
    </w:pPr>
    <w:rPr>
      <w:color w:val="auto"/>
      <w:szCs w:val="24"/>
      <w:lang w:eastAsia="en-GB"/>
    </w:rPr>
  </w:style>
  <w:style w:type="paragraph" w:customStyle="1" w:styleId="ECMSHeading1">
    <w:name w:val="ECMS Heading 1"/>
    <w:basedOn w:val="Heading1"/>
    <w:rsid w:val="00664A02"/>
    <w:pPr>
      <w:spacing w:after="1080"/>
    </w:pPr>
    <w:rPr>
      <w:rFonts w:ascii="Garamond" w:hAnsi="Garamond" w:cs="Arial"/>
      <w:bCs/>
      <w:sz w:val="48"/>
      <w:szCs w:val="18"/>
      <w:lang w:eastAsia="en-GB"/>
    </w:rPr>
  </w:style>
  <w:style w:type="paragraph" w:customStyle="1" w:styleId="ECMStableheader">
    <w:name w:val="ECMS table header"/>
    <w:basedOn w:val="Normal"/>
    <w:rsid w:val="00664A02"/>
    <w:pPr>
      <w:spacing w:after="0"/>
      <w:ind w:left="1320" w:hanging="1320"/>
    </w:pPr>
    <w:rPr>
      <w:b/>
      <w:color w:val="auto"/>
      <w:szCs w:val="24"/>
      <w:lang w:eastAsia="en-GB"/>
    </w:rPr>
  </w:style>
  <w:style w:type="paragraph" w:customStyle="1" w:styleId="Paralevel3">
    <w:name w:val="Para level3"/>
    <w:basedOn w:val="Normal"/>
    <w:autoRedefine/>
    <w:rsid w:val="003531E6"/>
    <w:pPr>
      <w:tabs>
        <w:tab w:val="num" w:pos="1492"/>
      </w:tabs>
      <w:suppressAutoHyphens/>
      <w:spacing w:after="120"/>
      <w:ind w:left="1492" w:hanging="360"/>
    </w:pPr>
    <w:rPr>
      <w:color w:val="auto"/>
      <w:sz w:val="20"/>
      <w:lang w:eastAsia="en-US"/>
    </w:rPr>
  </w:style>
  <w:style w:type="character" w:customStyle="1" w:styleId="ANNEXESChar">
    <w:name w:val="ANNEXES Char"/>
    <w:rsid w:val="00664A02"/>
    <w:rPr>
      <w:b/>
      <w:color w:val="000000"/>
      <w:sz w:val="28"/>
      <w:lang w:val="en-GB" w:eastAsia="zh-CN"/>
    </w:rPr>
  </w:style>
  <w:style w:type="paragraph" w:customStyle="1" w:styleId="ExecSumHeading">
    <w:name w:val="Exec Sum Heading"/>
    <w:basedOn w:val="Heading1"/>
    <w:rsid w:val="003531E6"/>
    <w:pPr>
      <w:widowControl w:val="0"/>
      <w:spacing w:before="240"/>
    </w:pPr>
    <w:rPr>
      <w:rFonts w:ascii="Times New Roman Bold" w:eastAsia="MS Mincho" w:hAnsi="Times New Roman Bold" w:cs="Arial"/>
      <w:bCs/>
      <w:kern w:val="32"/>
      <w:sz w:val="30"/>
      <w:szCs w:val="32"/>
      <w:lang w:eastAsia="en-US"/>
    </w:rPr>
  </w:style>
  <w:style w:type="paragraph" w:customStyle="1" w:styleId="BodyTextLeft">
    <w:name w:val="Body Text Left"/>
    <w:basedOn w:val="Normal"/>
    <w:rsid w:val="00664A02"/>
    <w:pPr>
      <w:widowControl w:val="0"/>
    </w:pPr>
    <w:rPr>
      <w:rFonts w:eastAsia="MS Mincho"/>
      <w:color w:val="auto"/>
      <w:kern w:val="2"/>
      <w:sz w:val="24"/>
      <w:lang w:eastAsia="en-US"/>
    </w:rPr>
  </w:style>
  <w:style w:type="paragraph" w:customStyle="1" w:styleId="summarylevel3">
    <w:name w:val="summary level3"/>
    <w:basedOn w:val="Heading3"/>
    <w:next w:val="Normal"/>
    <w:rsid w:val="004345CC"/>
    <w:pPr>
      <w:keepLines w:val="0"/>
      <w:suppressLineNumbers/>
      <w:tabs>
        <w:tab w:val="clear" w:pos="643"/>
      </w:tabs>
      <w:spacing w:before="100"/>
      <w:ind w:left="0" w:firstLine="0"/>
    </w:pPr>
    <w:rPr>
      <w:rFonts w:ascii="Times New Roman Bold" w:hAnsi="Times New Roman Bold"/>
    </w:rPr>
  </w:style>
  <w:style w:type="character" w:customStyle="1" w:styleId="text">
    <w:name w:val="text"/>
    <w:rsid w:val="00664A02"/>
  </w:style>
  <w:style w:type="paragraph" w:customStyle="1" w:styleId="StyleHeading1Para1Heading1Char1CharHeading1CharCharC">
    <w:name w:val="Style Heading 1Para (1)Heading 1 Char1 CharHeading 1 Char Char C..."/>
    <w:basedOn w:val="Heading1"/>
    <w:rsid w:val="003531E6"/>
    <w:pPr>
      <w:spacing w:before="240" w:after="60"/>
    </w:pPr>
    <w:rPr>
      <w:rFonts w:ascii="Times New Roman Bold" w:hAnsi="Times New Roman Bold" w:cs="Arial"/>
      <w:bCs/>
      <w:kern w:val="32"/>
      <w:sz w:val="30"/>
      <w:szCs w:val="32"/>
      <w:lang w:val="en-US" w:eastAsia="en-US"/>
    </w:rPr>
  </w:style>
  <w:style w:type="character" w:customStyle="1" w:styleId="StyleHeading1Para1Heading1Char1CharHeading1CharCharCChar">
    <w:name w:val="Style Heading 1Para (1)Heading 1 Char1 CharHeading 1 Char Char C... Char"/>
    <w:rsid w:val="00664A02"/>
    <w:rPr>
      <w:b/>
      <w:color w:val="000000"/>
      <w:kern w:val="32"/>
      <w:sz w:val="32"/>
      <w:lang w:val="en-US" w:eastAsia="en-US"/>
    </w:rPr>
  </w:style>
  <w:style w:type="paragraph" w:customStyle="1" w:styleId="StyleBodyTextLeftAfter0pt">
    <w:name w:val="Style Body Text Left + After:  0 pt"/>
    <w:basedOn w:val="BodyTextLeft"/>
    <w:rsid w:val="00664A02"/>
  </w:style>
  <w:style w:type="paragraph" w:customStyle="1" w:styleId="StyleBodyTextIndent2Firstline0cm">
    <w:name w:val="Style Body Text Indent 2 + First line:  0 cm"/>
    <w:basedOn w:val="BodyTextIndent2"/>
    <w:rsid w:val="00664A02"/>
    <w:pPr>
      <w:spacing w:after="240"/>
      <w:ind w:firstLine="0"/>
    </w:pPr>
  </w:style>
  <w:style w:type="paragraph" w:customStyle="1" w:styleId="StyleBodyTextIndent2Firstline0cm1">
    <w:name w:val="Style Body Text Indent 2 + First line:  0 cm1"/>
    <w:basedOn w:val="BodyTextIndent2"/>
    <w:rsid w:val="00664A02"/>
    <w:pPr>
      <w:spacing w:after="240"/>
      <w:ind w:firstLine="0"/>
    </w:pPr>
  </w:style>
  <w:style w:type="paragraph" w:customStyle="1" w:styleId="NormalBold">
    <w:name w:val="Normal + Bold"/>
    <w:aliases w:val="Italic,Centered"/>
    <w:basedOn w:val="Execlevel3"/>
    <w:rsid w:val="00664A02"/>
    <w:pPr>
      <w:spacing w:after="240"/>
      <w:jc w:val="center"/>
    </w:pPr>
  </w:style>
  <w:style w:type="paragraph" w:styleId="List5">
    <w:name w:val="List 5"/>
    <w:basedOn w:val="Normal"/>
    <w:rsid w:val="00664A02"/>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664A02"/>
    <w:pPr>
      <w:tabs>
        <w:tab w:val="right" w:pos="340"/>
        <w:tab w:val="left" w:pos="454"/>
        <w:tab w:val="right" w:pos="9360"/>
      </w:tabs>
      <w:spacing w:before="240" w:after="0"/>
    </w:pPr>
    <w:rPr>
      <w:rFonts w:ascii="Helvetica" w:hAnsi="Helvetica"/>
      <w:color w:val="auto"/>
      <w:lang w:val="en-US"/>
    </w:rPr>
  </w:style>
  <w:style w:type="character" w:customStyle="1" w:styleId="CommentTextChar1">
    <w:name w:val="Comment Text Char1"/>
    <w:rsid w:val="00564876"/>
    <w:rPr>
      <w:sz w:val="24"/>
      <w:lang w:val="en-US" w:eastAsia="ja-JP"/>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564876"/>
    <w:rPr>
      <w:b/>
      <w:color w:val="000000"/>
      <w:sz w:val="28"/>
      <w:lang w:val="en-GB" w:eastAsia="en-US"/>
    </w:rPr>
  </w:style>
  <w:style w:type="character" w:customStyle="1" w:styleId="Heading3Char1">
    <w:name w:val="Heading 3 Char1"/>
    <w:aliases w:val="Heading 3 Char1 Char Char1,Heading 3 Char Char Char Char1,Char Char Char Char Char1,Char Char1 Char Char1"/>
    <w:rsid w:val="00564876"/>
    <w:rPr>
      <w:b/>
      <w:i/>
      <w:color w:val="000000"/>
      <w:sz w:val="24"/>
      <w:lang w:val="en-GB" w:eastAsia="en-US"/>
    </w:rPr>
  </w:style>
  <w:style w:type="character" w:customStyle="1" w:styleId="Heading4Char1">
    <w:name w:val="Heading 4 Char1"/>
    <w:rsid w:val="00564876"/>
    <w:rPr>
      <w:b/>
      <w:i/>
      <w:snapToGrid/>
      <w:color w:val="000000"/>
      <w:sz w:val="24"/>
      <w:lang w:val="en-GB" w:eastAsia="zh-CN"/>
    </w:rPr>
  </w:style>
  <w:style w:type="character" w:customStyle="1" w:styleId="Heading311ptBoldChar">
    <w:name w:val="Heading 3 + 11 pt Bold Char"/>
    <w:rsid w:val="00BF396C"/>
    <w:rPr>
      <w:rFonts w:eastAsia="MS Mincho"/>
      <w:color w:val="000000"/>
      <w:sz w:val="24"/>
      <w:lang w:val="en-GB" w:eastAsia="en-US"/>
    </w:rPr>
  </w:style>
  <w:style w:type="paragraph" w:customStyle="1" w:styleId="BodyText11">
    <w:name w:val="Body Text11"/>
    <w:basedOn w:val="Normal"/>
    <w:rsid w:val="00564876"/>
    <w:pPr>
      <w:spacing w:after="0"/>
    </w:pPr>
  </w:style>
  <w:style w:type="character" w:customStyle="1" w:styleId="A20">
    <w:name w:val="A2"/>
    <w:uiPriority w:val="99"/>
    <w:rsid w:val="00564876"/>
    <w:rPr>
      <w:b/>
      <w:color w:val="000000"/>
      <w:sz w:val="12"/>
    </w:rPr>
  </w:style>
  <w:style w:type="character" w:customStyle="1" w:styleId="StyleHeading4Left0Firstline0Char">
    <w:name w:val="Style Heading 4 + Left:  0&quot; First line:  0&quot; Char"/>
    <w:rsid w:val="00564876"/>
    <w:rPr>
      <w:b/>
      <w:i/>
      <w:snapToGrid/>
      <w:color w:val="000000"/>
      <w:sz w:val="24"/>
      <w:lang w:val="en-GB" w:eastAsia="zh-CN"/>
    </w:rPr>
  </w:style>
  <w:style w:type="character" w:customStyle="1" w:styleId="ECMStableheaderChar">
    <w:name w:val="ECMS table header Char"/>
    <w:rsid w:val="00564876"/>
    <w:rPr>
      <w:b/>
      <w:sz w:val="24"/>
      <w:lang w:val="en-GB" w:eastAsia="en-GB"/>
    </w:rPr>
  </w:style>
  <w:style w:type="character" w:customStyle="1" w:styleId="maintext1">
    <w:name w:val="maintext1"/>
    <w:rsid w:val="00564876"/>
    <w:rPr>
      <w:rFonts w:ascii="Verdana" w:hAnsi="Verdana"/>
      <w:sz w:val="20"/>
    </w:rPr>
  </w:style>
  <w:style w:type="character" w:customStyle="1" w:styleId="CharChar4">
    <w:name w:val="Char Char4"/>
    <w:locked/>
    <w:rsid w:val="00564876"/>
    <w:rPr>
      <w:sz w:val="24"/>
      <w:lang w:val="en-US" w:eastAsia="en-AU"/>
    </w:rPr>
  </w:style>
  <w:style w:type="character" w:customStyle="1" w:styleId="apple-style-span">
    <w:name w:val="apple-style-span"/>
    <w:rsid w:val="00564876"/>
  </w:style>
  <w:style w:type="character" w:customStyle="1" w:styleId="CharChar5">
    <w:name w:val="Char Char5"/>
    <w:locked/>
    <w:rsid w:val="00564876"/>
    <w:rPr>
      <w:rFonts w:ascii="Tahoma" w:hAnsi="Tahoma"/>
      <w:sz w:val="16"/>
      <w:lang w:val="en-US" w:eastAsia="en-US"/>
    </w:rPr>
  </w:style>
  <w:style w:type="character" w:customStyle="1" w:styleId="apple-converted-space">
    <w:name w:val="apple-converted-space"/>
    <w:rsid w:val="00564876"/>
  </w:style>
  <w:style w:type="character" w:customStyle="1" w:styleId="txtboldonly">
    <w:name w:val="txtboldonly"/>
    <w:rsid w:val="00564876"/>
  </w:style>
  <w:style w:type="paragraph" w:customStyle="1" w:styleId="Paraindent">
    <w:name w:val="Para indent"/>
    <w:basedOn w:val="Normal"/>
    <w:rsid w:val="00564876"/>
    <w:pPr>
      <w:widowControl w:val="0"/>
      <w:spacing w:after="200" w:line="276" w:lineRule="auto"/>
      <w:ind w:left="425"/>
      <w:jc w:val="both"/>
    </w:pPr>
    <w:rPr>
      <w:rFonts w:ascii="Calibri" w:hAnsi="Calibri"/>
      <w:color w:val="auto"/>
      <w:szCs w:val="22"/>
      <w:lang w:eastAsia="en-US"/>
    </w:rPr>
  </w:style>
  <w:style w:type="paragraph" w:customStyle="1" w:styleId="Tableandfigureheaders">
    <w:name w:val="Table and figure headers"/>
    <w:basedOn w:val="Caption"/>
    <w:rsid w:val="00564876"/>
    <w:pPr>
      <w:keepNext/>
      <w:spacing w:after="200" w:line="240" w:lineRule="auto"/>
      <w:ind w:left="1417" w:hanging="992"/>
      <w:jc w:val="both"/>
    </w:pPr>
    <w:rPr>
      <w:rFonts w:ascii="Calibri" w:hAnsi="Calibri"/>
      <w:b/>
      <w:bCs/>
      <w:i w:val="0"/>
      <w:color w:val="auto"/>
      <w:sz w:val="20"/>
      <w:lang w:eastAsia="en-US"/>
    </w:rPr>
  </w:style>
  <w:style w:type="paragraph" w:customStyle="1" w:styleId="Tableandfigfooter">
    <w:name w:val="Table and fig footer"/>
    <w:basedOn w:val="Paraindent"/>
    <w:rsid w:val="00564876"/>
    <w:pPr>
      <w:spacing w:after="0" w:line="240" w:lineRule="auto"/>
    </w:pPr>
    <w:rPr>
      <w:noProof/>
      <w:sz w:val="18"/>
      <w:lang w:eastAsia="en-GB"/>
    </w:rPr>
  </w:style>
  <w:style w:type="paragraph" w:customStyle="1" w:styleId="paraindentFootnoteQPS">
    <w:name w:val="para indent Footnote QPS"/>
    <w:basedOn w:val="FootnoteText"/>
    <w:rsid w:val="006D1828"/>
    <w:pPr>
      <w:widowControl/>
      <w:spacing w:after="0"/>
      <w:ind w:left="426" w:hanging="284"/>
    </w:pPr>
    <w:rPr>
      <w:rFonts w:ascii="Calibri" w:hAnsi="Calibri"/>
      <w:sz w:val="16"/>
      <w:szCs w:val="18"/>
      <w:lang w:val="en-NZ" w:eastAsia="en-US"/>
    </w:rPr>
  </w:style>
  <w:style w:type="paragraph" w:customStyle="1" w:styleId="Paragraphedeliste1">
    <w:name w:val="Paragraphe de liste1"/>
    <w:basedOn w:val="Normal"/>
    <w:rsid w:val="00FC1EA5"/>
    <w:pPr>
      <w:ind w:left="720"/>
      <w:contextualSpacing/>
    </w:pPr>
  </w:style>
  <w:style w:type="paragraph" w:customStyle="1" w:styleId="yiv587168716msonormal">
    <w:name w:val="yiv587168716msonormal"/>
    <w:basedOn w:val="Normal"/>
    <w:rsid w:val="00E76436"/>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rsid w:val="00E76436"/>
    <w:pPr>
      <w:ind w:left="720"/>
      <w:contextualSpacing/>
    </w:pPr>
  </w:style>
  <w:style w:type="character" w:customStyle="1" w:styleId="st1">
    <w:name w:val="st1"/>
    <w:rsid w:val="00540C18"/>
  </w:style>
  <w:style w:type="table" w:styleId="TableGrid">
    <w:name w:val="Table Grid"/>
    <w:basedOn w:val="TableNormal"/>
    <w:locked/>
    <w:rsid w:val="004953FF"/>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Char8">
    <w:name w:val="Char Char8"/>
    <w:locked/>
    <w:rsid w:val="00983E86"/>
    <w:rPr>
      <w:rFonts w:ascii="Times New Roman" w:hAnsi="Times New Roman"/>
      <w:sz w:val="24"/>
      <w:lang w:eastAsia="ja-JP"/>
    </w:rPr>
  </w:style>
  <w:style w:type="character" w:customStyle="1" w:styleId="CharChar10">
    <w:name w:val="Char Char10"/>
    <w:semiHidden/>
    <w:locked/>
    <w:rsid w:val="008F3812"/>
    <w:rPr>
      <w:rFonts w:ascii="Times New Roman" w:hAnsi="Times New Roman"/>
      <w:color w:val="000000"/>
      <w:sz w:val="20"/>
      <w:lang w:val="en-GB" w:eastAsia="zh-CN"/>
    </w:rPr>
  </w:style>
  <w:style w:type="character" w:styleId="HTMLCite">
    <w:name w:val="HTML Cite"/>
    <w:uiPriority w:val="99"/>
    <w:semiHidden/>
    <w:locked/>
    <w:rsid w:val="00FD0EA4"/>
    <w:rPr>
      <w:rFonts w:cs="Times New Roman"/>
      <w:i/>
      <w:iCs/>
    </w:rPr>
  </w:style>
  <w:style w:type="character" w:customStyle="1" w:styleId="st">
    <w:name w:val="st"/>
    <w:uiPriority w:val="99"/>
    <w:rsid w:val="00227F2E"/>
  </w:style>
  <w:style w:type="paragraph" w:customStyle="1" w:styleId="TitleofManuscript">
    <w:name w:val="Title of Manuscript"/>
    <w:basedOn w:val="Normal"/>
    <w:rsid w:val="00227F2E"/>
    <w:pPr>
      <w:spacing w:after="0"/>
    </w:pPr>
    <w:rPr>
      <w:b/>
      <w:bCs/>
      <w:spacing w:val="-4"/>
      <w:sz w:val="32"/>
      <w:szCs w:val="32"/>
      <w:lang w:val="en-CA" w:eastAsia="en-CA"/>
    </w:rPr>
  </w:style>
  <w:style w:type="character" w:customStyle="1" w:styleId="author2">
    <w:name w:val="author2"/>
    <w:rsid w:val="009E3FBA"/>
    <w:rPr>
      <w:rFonts w:cs="Times New Roman"/>
    </w:rPr>
  </w:style>
  <w:style w:type="character" w:customStyle="1" w:styleId="al-hide">
    <w:name w:val="al-hide"/>
    <w:rsid w:val="009E3FBA"/>
    <w:rPr>
      <w:rFonts w:cs="Times New Roman"/>
    </w:rPr>
  </w:style>
  <w:style w:type="character" w:customStyle="1" w:styleId="al-vis">
    <w:name w:val="al-vis"/>
    <w:rsid w:val="009E3FBA"/>
    <w:rPr>
      <w:rFonts w:cs="Times New Roman"/>
    </w:rPr>
  </w:style>
  <w:style w:type="character" w:customStyle="1" w:styleId="container2">
    <w:name w:val="container2"/>
    <w:rsid w:val="009E3FBA"/>
    <w:rPr>
      <w:rFonts w:cs="Times New Roman"/>
    </w:rPr>
  </w:style>
  <w:style w:type="character" w:customStyle="1" w:styleId="year">
    <w:name w:val="year"/>
    <w:rsid w:val="009E3FBA"/>
    <w:rPr>
      <w:rFonts w:cs="Times New Roman"/>
    </w:rPr>
  </w:style>
  <w:style w:type="paragraph" w:customStyle="1" w:styleId="TOCHeading1">
    <w:name w:val="TOC Heading1"/>
    <w:basedOn w:val="Heading1"/>
    <w:next w:val="Normal"/>
    <w:qFormat/>
    <w:rsid w:val="00871145"/>
    <w:pPr>
      <w:keepLines/>
      <w:spacing w:before="480" w:after="0" w:line="276" w:lineRule="auto"/>
      <w:outlineLvl w:val="9"/>
    </w:pPr>
    <w:rPr>
      <w:rFonts w:ascii="Cambria" w:hAnsi="Cambria"/>
      <w:bCs/>
      <w:color w:val="365F91"/>
      <w:sz w:val="28"/>
      <w:szCs w:val="28"/>
      <w:lang w:val="fr-FR" w:eastAsia="en-US"/>
    </w:rPr>
  </w:style>
  <w:style w:type="character" w:customStyle="1" w:styleId="CharChar21">
    <w:name w:val="Char Char21"/>
    <w:locked/>
    <w:rsid w:val="009D2B4C"/>
    <w:rPr>
      <w:b/>
      <w:color w:val="000000"/>
      <w:sz w:val="28"/>
      <w:lang w:val="en-GB" w:eastAsia="zh-CN"/>
    </w:rPr>
  </w:style>
  <w:style w:type="character" w:customStyle="1" w:styleId="CharChar11">
    <w:name w:val="Char Char11"/>
    <w:rsid w:val="009D2B4C"/>
    <w:rPr>
      <w:rFonts w:ascii="Arial" w:hAnsi="Arial"/>
      <w:lang w:val="en-GB" w:eastAsia="zh-CN"/>
    </w:rPr>
  </w:style>
  <w:style w:type="paragraph" w:customStyle="1" w:styleId="BodyText20">
    <w:name w:val="Body Text2"/>
    <w:basedOn w:val="Normal"/>
    <w:rsid w:val="009D2B4C"/>
    <w:rPr>
      <w:lang w:eastAsia="en-US"/>
    </w:rPr>
  </w:style>
  <w:style w:type="paragraph" w:customStyle="1" w:styleId="ColorfulList-Accent12">
    <w:name w:val="Colorful List - Accent 12"/>
    <w:basedOn w:val="Normal"/>
    <w:rsid w:val="009D2B4C"/>
    <w:pPr>
      <w:spacing w:after="0"/>
    </w:pPr>
    <w:rPr>
      <w:rFonts w:ascii="Cambria" w:hAnsi="Cambria"/>
      <w:color w:val="auto"/>
      <w:sz w:val="24"/>
      <w:lang w:val="en-US"/>
    </w:rPr>
  </w:style>
  <w:style w:type="paragraph" w:customStyle="1" w:styleId="MediumList2-Accent21">
    <w:name w:val="Medium List 2 - Accent 21"/>
    <w:hidden/>
    <w:semiHidden/>
    <w:rsid w:val="009D2B4C"/>
    <w:rPr>
      <w:rFonts w:ascii="Times New Roman" w:eastAsia="MS Mincho" w:hAnsi="Times New Roman"/>
      <w:sz w:val="24"/>
      <w:szCs w:val="24"/>
      <w:lang w:val="en-US"/>
    </w:rPr>
  </w:style>
  <w:style w:type="paragraph" w:customStyle="1" w:styleId="Bibliography1">
    <w:name w:val="Bibliography1"/>
    <w:basedOn w:val="Normal"/>
    <w:next w:val="Normal"/>
    <w:rsid w:val="009D2B4C"/>
    <w:pPr>
      <w:spacing w:before="120" w:after="120"/>
      <w:ind w:left="1134"/>
      <w:jc w:val="both"/>
    </w:pPr>
    <w:rPr>
      <w:rFonts w:ascii="Calibri" w:eastAsia="SimSun" w:hAnsi="Calibri"/>
      <w:color w:val="auto"/>
      <w:szCs w:val="22"/>
    </w:rPr>
  </w:style>
  <w:style w:type="paragraph" w:customStyle="1" w:styleId="NoteLevel21">
    <w:name w:val="Note Level 21"/>
    <w:basedOn w:val="Normal"/>
    <w:locked/>
    <w:rsid w:val="009D2B4C"/>
    <w:pPr>
      <w:spacing w:after="0"/>
    </w:pPr>
    <w:rPr>
      <w:rFonts w:ascii="Arial" w:hAnsi="Arial" w:cs="Galliard"/>
      <w:color w:val="auto"/>
      <w:szCs w:val="22"/>
      <w:lang w:eastAsia="en-US"/>
    </w:rPr>
  </w:style>
  <w:style w:type="paragraph" w:customStyle="1" w:styleId="MediumGrid2-Accent21">
    <w:name w:val="Medium Grid 2 - Accent 21"/>
    <w:basedOn w:val="Normal"/>
    <w:next w:val="Normal"/>
    <w:link w:val="Grillemoyenne2-Accent2Car"/>
    <w:qFormat/>
    <w:locked/>
    <w:rsid w:val="00871145"/>
    <w:pPr>
      <w:spacing w:before="200" w:after="0"/>
      <w:ind w:left="360" w:right="360"/>
    </w:pPr>
    <w:rPr>
      <w:i/>
      <w:iCs/>
      <w:sz w:val="20"/>
    </w:rPr>
  </w:style>
  <w:style w:type="character" w:customStyle="1" w:styleId="Grillemoyenne2-Accent2Car">
    <w:name w:val="Grille moyenne 2 - Accent 2 Car"/>
    <w:link w:val="MediumGrid2-Accent21"/>
    <w:locked/>
    <w:rsid w:val="00871145"/>
    <w:rPr>
      <w:rFonts w:ascii="Times New Roman" w:hAnsi="Times New Roman"/>
      <w:i/>
      <w:iCs/>
      <w:color w:val="000000"/>
      <w:lang w:val="en-GB" w:eastAsia="zh-CN"/>
    </w:rPr>
  </w:style>
  <w:style w:type="paragraph" w:customStyle="1" w:styleId="MediumGrid3-Accent21">
    <w:name w:val="Medium Grid 3 - Accent 21"/>
    <w:basedOn w:val="Normal"/>
    <w:next w:val="Normal"/>
    <w:link w:val="Grillemoyenne3-Accent2Car"/>
    <w:qFormat/>
    <w:locked/>
    <w:rsid w:val="00871145"/>
    <w:pPr>
      <w:pBdr>
        <w:bottom w:val="single" w:sz="4" w:space="1" w:color="auto"/>
      </w:pBdr>
      <w:spacing w:before="200" w:after="280"/>
      <w:ind w:left="1008" w:right="1152"/>
      <w:jc w:val="both"/>
    </w:pPr>
    <w:rPr>
      <w:b/>
      <w:bCs/>
      <w:i/>
      <w:iCs/>
      <w:color w:val="4F81BD"/>
      <w:sz w:val="20"/>
    </w:rPr>
  </w:style>
  <w:style w:type="character" w:customStyle="1" w:styleId="Grillemoyenne3-Accent2Car">
    <w:name w:val="Grille moyenne 3 - Accent 2 Car"/>
    <w:link w:val="MediumGrid3-Accent21"/>
    <w:locked/>
    <w:rsid w:val="00871145"/>
    <w:rPr>
      <w:rFonts w:ascii="Times New Roman" w:hAnsi="Times New Roman"/>
      <w:b/>
      <w:bCs/>
      <w:i/>
      <w:iCs/>
      <w:color w:val="4F81BD"/>
      <w:lang w:val="en-GB" w:eastAsia="zh-CN"/>
    </w:rPr>
  </w:style>
  <w:style w:type="character" w:customStyle="1" w:styleId="SubtleEmphasis1">
    <w:name w:val="Subtle Emphasis1"/>
    <w:qFormat/>
    <w:locked/>
    <w:rsid w:val="00871145"/>
    <w:rPr>
      <w:rFonts w:cs="Times New Roman"/>
      <w:i/>
    </w:rPr>
  </w:style>
  <w:style w:type="character" w:customStyle="1" w:styleId="IntenseEmphasis1">
    <w:name w:val="Intense Emphasis1"/>
    <w:qFormat/>
    <w:locked/>
    <w:rsid w:val="00871145"/>
    <w:rPr>
      <w:rFonts w:cs="Times New Roman"/>
      <w:b/>
    </w:rPr>
  </w:style>
  <w:style w:type="character" w:customStyle="1" w:styleId="SubtleReference1">
    <w:name w:val="Subtle Reference1"/>
    <w:qFormat/>
    <w:locked/>
    <w:rsid w:val="00871145"/>
    <w:rPr>
      <w:rFonts w:cs="Times New Roman"/>
      <w:smallCaps/>
    </w:rPr>
  </w:style>
  <w:style w:type="character" w:customStyle="1" w:styleId="IntenseReference1">
    <w:name w:val="Intense Reference1"/>
    <w:qFormat/>
    <w:locked/>
    <w:rsid w:val="00871145"/>
    <w:rPr>
      <w:rFonts w:cs="Times New Roman"/>
      <w:smallCaps/>
      <w:spacing w:val="5"/>
      <w:u w:val="single"/>
    </w:rPr>
  </w:style>
  <w:style w:type="character" w:customStyle="1" w:styleId="BookTitle1">
    <w:name w:val="Book Title1"/>
    <w:qFormat/>
    <w:locked/>
    <w:rsid w:val="00871145"/>
    <w:rPr>
      <w:rFonts w:cs="Times New Roman"/>
      <w:i/>
      <w:smallCaps/>
      <w:spacing w:val="5"/>
    </w:rPr>
  </w:style>
  <w:style w:type="character" w:customStyle="1" w:styleId="11">
    <w:name w:val="(文字) (文字)11"/>
    <w:rsid w:val="009D2B4C"/>
    <w:rPr>
      <w:rFonts w:eastAsia="SimSun"/>
      <w:sz w:val="24"/>
      <w:lang w:val="en-US" w:eastAsia="zh-CN"/>
    </w:rPr>
  </w:style>
  <w:style w:type="character" w:customStyle="1" w:styleId="2">
    <w:name w:val="(文字) (文字)2"/>
    <w:rsid w:val="009D2B4C"/>
    <w:rPr>
      <w:rFonts w:eastAsia="SimSun"/>
      <w:b/>
      <w:sz w:val="24"/>
      <w:lang w:val="en-US" w:eastAsia="en-US"/>
    </w:rPr>
  </w:style>
  <w:style w:type="character" w:customStyle="1" w:styleId="CarCar191">
    <w:name w:val="Car Car191"/>
    <w:locked/>
    <w:rsid w:val="009D2B4C"/>
    <w:rPr>
      <w:rFonts w:eastAsia="MS Mincho"/>
      <w:color w:val="000000"/>
      <w:sz w:val="24"/>
      <w:lang w:val="en-GB" w:eastAsia="zh-CN"/>
    </w:rPr>
  </w:style>
  <w:style w:type="paragraph" w:customStyle="1" w:styleId="ColorfulShading-Accent31">
    <w:name w:val="Colorful Shading - Accent 31"/>
    <w:basedOn w:val="Normal"/>
    <w:rsid w:val="009D2B4C"/>
    <w:pPr>
      <w:spacing w:after="0"/>
    </w:pPr>
    <w:rPr>
      <w:rFonts w:ascii="Cambria" w:hAnsi="Cambria"/>
      <w:color w:val="auto"/>
      <w:sz w:val="24"/>
      <w:lang w:val="en-US"/>
    </w:rPr>
  </w:style>
  <w:style w:type="paragraph" w:customStyle="1" w:styleId="intro">
    <w:name w:val="intro"/>
    <w:basedOn w:val="Normal"/>
    <w:rsid w:val="009D2B4C"/>
    <w:pPr>
      <w:spacing w:before="100" w:after="100"/>
    </w:pPr>
    <w:rPr>
      <w:color w:val="auto"/>
      <w:sz w:val="24"/>
      <w:lang w:val="en-US" w:eastAsia="ja-JP"/>
    </w:rPr>
  </w:style>
  <w:style w:type="paragraph" w:customStyle="1" w:styleId="BulletsinTable">
    <w:name w:val="Bullets in Table"/>
    <w:basedOn w:val="ListParagraph1"/>
    <w:rsid w:val="009D2B4C"/>
    <w:pPr>
      <w:tabs>
        <w:tab w:val="clear" w:pos="1209"/>
        <w:tab w:val="num" w:pos="1492"/>
      </w:tabs>
      <w:autoSpaceDE w:val="0"/>
      <w:autoSpaceDN w:val="0"/>
      <w:adjustRightInd w:val="0"/>
      <w:ind w:right="720"/>
      <w:jc w:val="left"/>
    </w:pPr>
    <w:rPr>
      <w:rFonts w:ascii="Times New Roman" w:eastAsia="Times New Roman" w:hAnsi="Times New Roman"/>
      <w:i/>
      <w:color w:val="000000"/>
      <w:sz w:val="20"/>
    </w:rPr>
  </w:style>
  <w:style w:type="paragraph" w:customStyle="1" w:styleId="Annex">
    <w:name w:val="Annex"/>
    <w:basedOn w:val="Caption"/>
    <w:rsid w:val="009D2B4C"/>
    <w:pPr>
      <w:spacing w:before="100" w:after="100" w:line="240" w:lineRule="auto"/>
      <w:ind w:left="426" w:right="720"/>
    </w:pPr>
    <w:rPr>
      <w:b/>
      <w:caps/>
      <w:color w:val="auto"/>
      <w:sz w:val="20"/>
    </w:rPr>
  </w:style>
  <w:style w:type="paragraph" w:customStyle="1" w:styleId="Tableandfigureheadings">
    <w:name w:val="Table and figure headings"/>
    <w:basedOn w:val="TableofFigures"/>
    <w:rsid w:val="009D2B4C"/>
    <w:pPr>
      <w:keepNext/>
      <w:ind w:left="0" w:right="720" w:firstLine="0"/>
      <w:jc w:val="left"/>
    </w:pPr>
    <w:rPr>
      <w:rFonts w:eastAsia="Times New Roman"/>
      <w:i/>
      <w:caps w:val="0"/>
      <w:sz w:val="24"/>
    </w:rPr>
  </w:style>
  <w:style w:type="paragraph" w:customStyle="1" w:styleId="Bulletsnumbered">
    <w:name w:val="Bullets numbered"/>
    <w:basedOn w:val="Paraindent"/>
    <w:rsid w:val="009D2B4C"/>
    <w:pPr>
      <w:tabs>
        <w:tab w:val="num" w:pos="360"/>
      </w:tabs>
      <w:spacing w:before="120" w:after="120" w:line="240" w:lineRule="auto"/>
      <w:ind w:left="1560" w:right="720" w:hanging="360"/>
    </w:pPr>
    <w:rPr>
      <w:rFonts w:ascii="Times New Roman" w:hAnsi="Times New Roman"/>
      <w:i/>
      <w:color w:val="000000"/>
      <w:sz w:val="20"/>
      <w:szCs w:val="20"/>
      <w:lang w:eastAsia="zh-CN"/>
    </w:rPr>
  </w:style>
  <w:style w:type="paragraph" w:customStyle="1" w:styleId="Style">
    <w:name w:val="Style"/>
    <w:rsid w:val="009D2B4C"/>
    <w:pPr>
      <w:widowControl w:val="0"/>
      <w:tabs>
        <w:tab w:val="num" w:pos="1209"/>
      </w:tabs>
      <w:autoSpaceDE w:val="0"/>
      <w:autoSpaceDN w:val="0"/>
      <w:adjustRightInd w:val="0"/>
    </w:pPr>
    <w:rPr>
      <w:rFonts w:ascii="Arial" w:hAnsi="Arial"/>
      <w:sz w:val="24"/>
      <w:lang w:val="en-GB" w:eastAsia="ko-KR"/>
    </w:rPr>
  </w:style>
  <w:style w:type="paragraph" w:customStyle="1" w:styleId="Chapternumber">
    <w:name w:val="Chapter number"/>
    <w:basedOn w:val="Normal"/>
    <w:rsid w:val="009D2B4C"/>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rsid w:val="009D2B4C"/>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rsid w:val="009D2B4C"/>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rsid w:val="009D2B4C"/>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rsid w:val="009D2B4C"/>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rsid w:val="009D2B4C"/>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sid w:val="009D2B4C"/>
    <w:rPr>
      <w:rFonts w:ascii="FrutigerLTStd-Bold" w:hAnsi="FrutigerLTStd-Bold"/>
      <w:b/>
    </w:rPr>
  </w:style>
  <w:style w:type="paragraph" w:customStyle="1" w:styleId="Section3numbered">
    <w:name w:val="Section 3 numbered"/>
    <w:rsid w:val="009D2B4C"/>
    <w:pPr>
      <w:tabs>
        <w:tab w:val="num" w:pos="36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rsid w:val="009D2B4C"/>
    <w:pPr>
      <w:tabs>
        <w:tab w:val="num" w:pos="926"/>
      </w:tabs>
      <w:spacing w:after="227"/>
      <w:ind w:left="926" w:hanging="360"/>
    </w:pPr>
    <w:rPr>
      <w:rFonts w:ascii="FrutigerLTStd-Light" w:hAnsi="FrutigerLTStd-Light"/>
      <w:color w:val="000000"/>
      <w:sz w:val="24"/>
      <w:lang w:val="en-GB" w:eastAsia="ko-KR"/>
    </w:rPr>
  </w:style>
  <w:style w:type="paragraph" w:customStyle="1" w:styleId="BasicParagraph">
    <w:name w:val="[Basic Paragraph]"/>
    <w:basedOn w:val="Normal"/>
    <w:rsid w:val="009D2B4C"/>
    <w:pPr>
      <w:widowControl w:val="0"/>
      <w:tabs>
        <w:tab w:val="num" w:pos="360"/>
      </w:tabs>
      <w:autoSpaceDE w:val="0"/>
      <w:autoSpaceDN w:val="0"/>
      <w:adjustRightInd w:val="0"/>
      <w:spacing w:before="100" w:after="0" w:line="288" w:lineRule="auto"/>
      <w:ind w:right="720"/>
      <w:textAlignment w:val="center"/>
    </w:pPr>
    <w:rPr>
      <w:rFonts w:ascii="Times-Roman" w:hAnsi="Times-Roman"/>
      <w:i/>
      <w:sz w:val="24"/>
      <w:lang w:val="en-US"/>
    </w:rPr>
  </w:style>
  <w:style w:type="character" w:customStyle="1" w:styleId="t1">
    <w:name w:val="t1"/>
    <w:rsid w:val="009D2B4C"/>
    <w:rPr>
      <w:rFonts w:cs="Times New Roman"/>
    </w:rPr>
  </w:style>
  <w:style w:type="paragraph" w:customStyle="1" w:styleId="Bulletstechnologytable">
    <w:name w:val="Bullets technology table"/>
    <w:basedOn w:val="BulletsinTable"/>
    <w:rsid w:val="009D2B4C"/>
    <w:pPr>
      <w:ind w:left="175" w:hanging="142"/>
    </w:pPr>
  </w:style>
  <w:style w:type="paragraph" w:customStyle="1" w:styleId="Recommendationsnumbered">
    <w:name w:val="Recommendations numbered"/>
    <w:basedOn w:val="Bulletsnumbered"/>
    <w:rsid w:val="009D2B4C"/>
    <w:pPr>
      <w:ind w:left="1134" w:hanging="425"/>
    </w:pPr>
  </w:style>
  <w:style w:type="paragraph" w:customStyle="1" w:styleId="wbtbullet1">
    <w:name w:val="wbtbullet1"/>
    <w:basedOn w:val="Normal"/>
    <w:rsid w:val="009D2B4C"/>
    <w:pPr>
      <w:spacing w:before="100" w:after="0"/>
      <w:ind w:right="720"/>
      <w:jc w:val="both"/>
    </w:pPr>
    <w:rPr>
      <w:rFonts w:ascii="Verdana" w:hAnsi="Verdana"/>
      <w:i/>
      <w:color w:val="auto"/>
      <w:sz w:val="16"/>
    </w:rPr>
  </w:style>
  <w:style w:type="paragraph" w:customStyle="1" w:styleId="Box">
    <w:name w:val="Box"/>
    <w:basedOn w:val="BodyText"/>
    <w:rsid w:val="009D2B4C"/>
    <w:pPr>
      <w:pBdr>
        <w:top w:val="single" w:sz="4" w:space="1" w:color="auto"/>
        <w:left w:val="single" w:sz="4" w:space="4" w:color="auto"/>
        <w:bottom w:val="single" w:sz="4" w:space="1" w:color="auto"/>
        <w:right w:val="single" w:sz="4" w:space="4" w:color="auto"/>
      </w:pBdr>
      <w:tabs>
        <w:tab w:val="num" w:pos="360"/>
      </w:tabs>
      <w:spacing w:before="100" w:after="0" w:line="240" w:lineRule="auto"/>
      <w:ind w:left="360" w:right="720" w:hanging="360"/>
    </w:pPr>
    <w:rPr>
      <w:rFonts w:ascii="Calibri" w:hAnsi="Calibri"/>
      <w:i/>
      <w:color w:val="auto"/>
      <w:spacing w:val="-2"/>
      <w:sz w:val="18"/>
      <w:lang w:val="en-US"/>
    </w:rPr>
  </w:style>
  <w:style w:type="character" w:customStyle="1" w:styleId="content1">
    <w:name w:val="content1"/>
    <w:rsid w:val="009D2B4C"/>
    <w:rPr>
      <w:rFonts w:ascii="Trebuchet MS" w:hAnsi="Trebuchet MS"/>
      <w:color w:val="292929"/>
      <w:sz w:val="18"/>
    </w:rPr>
  </w:style>
  <w:style w:type="character" w:customStyle="1" w:styleId="smbody1">
    <w:name w:val="smbody1"/>
    <w:rsid w:val="009D2B4C"/>
    <w:rPr>
      <w:rFonts w:ascii="Verdana" w:hAnsi="Verdana"/>
      <w:color w:val="333333"/>
      <w:sz w:val="15"/>
    </w:rPr>
  </w:style>
  <w:style w:type="paragraph" w:customStyle="1" w:styleId="Text0">
    <w:name w:val="Text"/>
    <w:basedOn w:val="Normal"/>
    <w:rsid w:val="009D2B4C"/>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rsid w:val="009D2B4C"/>
    <w:pPr>
      <w:keepLines w:val="0"/>
      <w:widowControl w:val="0"/>
      <w:tabs>
        <w:tab w:val="clear" w:pos="643"/>
        <w:tab w:val="num" w:pos="360"/>
        <w:tab w:val="num" w:pos="1800"/>
      </w:tabs>
      <w:autoSpaceDE w:val="0"/>
      <w:autoSpaceDN w:val="0"/>
      <w:adjustRightInd w:val="0"/>
      <w:spacing w:before="240" w:after="60"/>
      <w:ind w:left="1440" w:right="29" w:firstLine="0"/>
    </w:pPr>
    <w:rPr>
      <w:b/>
      <w:i w:val="0"/>
      <w:color w:val="000000"/>
      <w:szCs w:val="24"/>
      <w:lang w:val="en-GB"/>
    </w:rPr>
  </w:style>
  <w:style w:type="paragraph" w:customStyle="1" w:styleId="xl22">
    <w:name w:val="xl22"/>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rsid w:val="009D2B4C"/>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TablesinAnnexlandscape">
    <w:name w:val="Tables in Annex landscape"/>
    <w:basedOn w:val="Table"/>
    <w:rsid w:val="009D2B4C"/>
    <w:pPr>
      <w:keepLines w:val="0"/>
      <w:spacing w:before="120" w:after="120"/>
      <w:ind w:left="709" w:right="720"/>
    </w:pPr>
    <w:rPr>
      <w:b/>
      <w:i/>
    </w:rPr>
  </w:style>
  <w:style w:type="paragraph" w:customStyle="1" w:styleId="Tablefootnote">
    <w:name w:val="Table footnote"/>
    <w:basedOn w:val="Normal"/>
    <w:rsid w:val="009D2B4C"/>
    <w:pPr>
      <w:tabs>
        <w:tab w:val="left" w:pos="3000"/>
      </w:tabs>
      <w:spacing w:before="100" w:after="0"/>
      <w:ind w:left="709" w:right="720"/>
    </w:pPr>
    <w:rPr>
      <w:i/>
      <w:color w:val="auto"/>
      <w:sz w:val="18"/>
    </w:rPr>
  </w:style>
  <w:style w:type="paragraph" w:customStyle="1" w:styleId="TableinfrontwithmeandKJ">
    <w:name w:val="Table in front with me and KJ"/>
    <w:basedOn w:val="Normal"/>
    <w:rsid w:val="009D2B4C"/>
    <w:pPr>
      <w:spacing w:before="60" w:after="60"/>
      <w:ind w:right="720"/>
    </w:pPr>
    <w:rPr>
      <w:i/>
      <w:color w:val="auto"/>
      <w:sz w:val="18"/>
    </w:rPr>
  </w:style>
  <w:style w:type="paragraph" w:customStyle="1" w:styleId="ParaindentItalicsubheader">
    <w:name w:val="Para indent Italic subheader"/>
    <w:basedOn w:val="Paraindent"/>
    <w:rsid w:val="009D2B4C"/>
    <w:pPr>
      <w:spacing w:before="120" w:after="120" w:line="240" w:lineRule="auto"/>
      <w:ind w:left="709" w:right="720"/>
    </w:pPr>
    <w:rPr>
      <w:rFonts w:ascii="Times New Roman" w:hAnsi="Times New Roman"/>
      <w:color w:val="000000"/>
      <w:sz w:val="20"/>
      <w:szCs w:val="20"/>
      <w:lang w:eastAsia="zh-CN"/>
    </w:rPr>
  </w:style>
  <w:style w:type="paragraph" w:customStyle="1" w:styleId="Paratextintable">
    <w:name w:val="Para text in table"/>
    <w:basedOn w:val="Normal"/>
    <w:rsid w:val="009D2B4C"/>
    <w:pPr>
      <w:spacing w:before="120" w:after="120"/>
      <w:ind w:right="720"/>
    </w:pPr>
    <w:rPr>
      <w:color w:val="auto"/>
      <w:sz w:val="18"/>
      <w:lang w:val="en-US"/>
    </w:rPr>
  </w:style>
  <w:style w:type="paragraph" w:customStyle="1" w:styleId="Bulletsnumberedintable">
    <w:name w:val="Bullets numbered in table"/>
    <w:basedOn w:val="ListParagraph1"/>
    <w:rsid w:val="009D2B4C"/>
    <w:pPr>
      <w:tabs>
        <w:tab w:val="clear" w:pos="1209"/>
        <w:tab w:val="num" w:pos="643"/>
      </w:tabs>
      <w:spacing w:before="100" w:after="0"/>
      <w:ind w:left="643" w:right="720"/>
      <w:jc w:val="left"/>
    </w:pPr>
    <w:rPr>
      <w:rFonts w:ascii="Times New Roman" w:eastAsia="Times New Roman" w:hAnsi="Times New Roman"/>
      <w:i/>
      <w:sz w:val="18"/>
      <w:lang w:val="en-US"/>
    </w:rPr>
  </w:style>
  <w:style w:type="paragraph" w:customStyle="1" w:styleId="Paranumbered">
    <w:name w:val="Para numbered"/>
    <w:basedOn w:val="ListParagraph1"/>
    <w:rsid w:val="009D2B4C"/>
    <w:pPr>
      <w:tabs>
        <w:tab w:val="clear" w:pos="1209"/>
        <w:tab w:val="num" w:pos="926"/>
      </w:tabs>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rsid w:val="009D2B4C"/>
    <w:pPr>
      <w:tabs>
        <w:tab w:val="clear" w:pos="1209"/>
      </w:tabs>
      <w:autoSpaceDE w:val="0"/>
      <w:autoSpaceDN w:val="0"/>
      <w:adjustRightInd w:val="0"/>
      <w:ind w:left="1985" w:right="720"/>
      <w:jc w:val="left"/>
    </w:pPr>
    <w:rPr>
      <w:rFonts w:ascii="Times New Roman" w:eastAsia="Times New Roman" w:hAnsi="Times New Roman"/>
      <w:i/>
      <w:color w:val="000000"/>
    </w:rPr>
  </w:style>
  <w:style w:type="paragraph" w:customStyle="1" w:styleId="TableandFigureVol1">
    <w:name w:val="Table and Figure Vol 1"/>
    <w:basedOn w:val="Caption"/>
    <w:rsid w:val="009D2B4C"/>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rsid w:val="009D2B4C"/>
    <w:pPr>
      <w:tabs>
        <w:tab w:val="num" w:pos="643"/>
      </w:tabs>
      <w:spacing w:before="180" w:after="0" w:line="250" w:lineRule="exact"/>
      <w:ind w:right="720"/>
      <w:jc w:val="both"/>
    </w:pPr>
    <w:rPr>
      <w:i/>
      <w:color w:val="auto"/>
      <w:sz w:val="20"/>
    </w:rPr>
  </w:style>
  <w:style w:type="character" w:customStyle="1" w:styleId="ft">
    <w:name w:val="ft"/>
    <w:rsid w:val="009D2B4C"/>
  </w:style>
  <w:style w:type="character" w:customStyle="1" w:styleId="googqs-tidbit-0">
    <w:name w:val="goog_qs-tidbit-0"/>
    <w:rsid w:val="009D2B4C"/>
    <w:rPr>
      <w:rFonts w:cs="Times New Roman"/>
    </w:rPr>
  </w:style>
  <w:style w:type="character" w:customStyle="1" w:styleId="style81">
    <w:name w:val="style81"/>
    <w:rsid w:val="009D2B4C"/>
    <w:rPr>
      <w:rFonts w:ascii="Verdana" w:hAnsi="Verdana"/>
      <w:color w:val="008000"/>
      <w:sz w:val="27"/>
    </w:rPr>
  </w:style>
  <w:style w:type="character" w:customStyle="1" w:styleId="A6">
    <w:name w:val="A6"/>
    <w:rsid w:val="009D2B4C"/>
    <w:rPr>
      <w:color w:val="000000"/>
      <w:sz w:val="20"/>
    </w:rPr>
  </w:style>
  <w:style w:type="character" w:customStyle="1" w:styleId="googqs-tidbit1">
    <w:name w:val="goog_qs-tidbit1"/>
    <w:rsid w:val="009D2B4C"/>
    <w:rPr>
      <w:vanish/>
    </w:rPr>
  </w:style>
  <w:style w:type="paragraph" w:customStyle="1" w:styleId="bodytext0">
    <w:name w:val="bodytext"/>
    <w:basedOn w:val="Normal"/>
    <w:rsid w:val="009D2B4C"/>
    <w:pPr>
      <w:spacing w:before="100" w:after="100"/>
      <w:ind w:right="720"/>
    </w:pPr>
    <w:rPr>
      <w:i/>
      <w:color w:val="auto"/>
      <w:sz w:val="24"/>
    </w:rPr>
  </w:style>
  <w:style w:type="paragraph" w:customStyle="1" w:styleId="MeetingInfo">
    <w:name w:val="MeetingInfo"/>
    <w:basedOn w:val="Normal"/>
    <w:rsid w:val="009D2B4C"/>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rsid w:val="009D2B4C"/>
    <w:pPr>
      <w:tabs>
        <w:tab w:val="num" w:pos="360"/>
      </w:tabs>
      <w:spacing w:before="100" w:after="0"/>
      <w:ind w:left="360" w:right="720" w:hanging="360"/>
    </w:pPr>
    <w:rPr>
      <w:i/>
      <w:noProof/>
      <w:color w:val="auto"/>
      <w:sz w:val="18"/>
    </w:rPr>
  </w:style>
  <w:style w:type="character" w:customStyle="1" w:styleId="Bold">
    <w:name w:val="Bold"/>
    <w:rsid w:val="009D2B4C"/>
    <w:rPr>
      <w:b/>
    </w:rPr>
  </w:style>
  <w:style w:type="character" w:customStyle="1" w:styleId="BoldItalic">
    <w:name w:val="Bold Italic"/>
    <w:rsid w:val="009D2B4C"/>
    <w:rPr>
      <w:b/>
      <w:i/>
    </w:rPr>
  </w:style>
  <w:style w:type="character" w:customStyle="1" w:styleId="BoldItalicUnderline">
    <w:name w:val="Bold Italic Underline"/>
    <w:rsid w:val="009D2B4C"/>
    <w:rPr>
      <w:b/>
      <w:i/>
      <w:u w:val="single"/>
    </w:rPr>
  </w:style>
  <w:style w:type="character" w:customStyle="1" w:styleId="BoldUnderline">
    <w:name w:val="Bold Underline"/>
    <w:rsid w:val="009D2B4C"/>
    <w:rPr>
      <w:b/>
      <w:u w:val="single"/>
    </w:rPr>
  </w:style>
  <w:style w:type="paragraph" w:customStyle="1" w:styleId="BoxText">
    <w:name w:val="Box Text"/>
    <w:basedOn w:val="BoxNewPara"/>
    <w:rsid w:val="009D2B4C"/>
    <w:pPr>
      <w:tabs>
        <w:tab w:val="clear" w:pos="425"/>
        <w:tab w:val="left" w:pos="426"/>
      </w:tabs>
    </w:pPr>
  </w:style>
  <w:style w:type="paragraph" w:customStyle="1" w:styleId="BoxNewPara">
    <w:name w:val="Box NewPara"/>
    <w:basedOn w:val="Normal"/>
    <w:next w:val="Normal"/>
    <w:rsid w:val="009D2B4C"/>
    <w:pPr>
      <w:pBdr>
        <w:left w:val="single" w:sz="6" w:space="1" w:color="auto"/>
        <w:right w:val="single" w:sz="6" w:space="1" w:color="auto"/>
      </w:pBdr>
      <w:shd w:val="pct10" w:color="auto" w:fill="auto"/>
      <w:tabs>
        <w:tab w:val="num" w:pos="360"/>
        <w:tab w:val="left" w:pos="425"/>
      </w:tabs>
      <w:spacing w:before="100" w:after="0"/>
      <w:ind w:left="360" w:right="720" w:hanging="360"/>
      <w:jc w:val="both"/>
    </w:pPr>
    <w:rPr>
      <w:i/>
      <w:noProof/>
      <w:color w:val="auto"/>
      <w:sz w:val="20"/>
    </w:rPr>
  </w:style>
  <w:style w:type="paragraph" w:customStyle="1" w:styleId="FigureCaption">
    <w:name w:val="Figure Caption"/>
    <w:basedOn w:val="Normal"/>
    <w:rsid w:val="009D2B4C"/>
    <w:pPr>
      <w:spacing w:before="120" w:after="0"/>
      <w:ind w:right="720"/>
    </w:pPr>
    <w:rPr>
      <w:noProof/>
      <w:color w:val="auto"/>
      <w:sz w:val="18"/>
    </w:rPr>
  </w:style>
  <w:style w:type="paragraph" w:customStyle="1" w:styleId="BoxNote">
    <w:name w:val="Box Note"/>
    <w:basedOn w:val="Normal"/>
    <w:next w:val="Normal"/>
    <w:rsid w:val="009D2B4C"/>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rsid w:val="009D2B4C"/>
    <w:pPr>
      <w:tabs>
        <w:tab w:val="left" w:pos="709"/>
        <w:tab w:val="num" w:pos="1209"/>
      </w:tabs>
      <w:spacing w:before="160" w:after="20"/>
      <w:ind w:right="720"/>
    </w:pPr>
    <w:rPr>
      <w:i/>
      <w:noProof/>
      <w:color w:val="auto"/>
      <w:sz w:val="18"/>
    </w:rPr>
  </w:style>
  <w:style w:type="paragraph" w:customStyle="1" w:styleId="BoxParaTitle">
    <w:name w:val="Box ParaTitle"/>
    <w:basedOn w:val="BoxNote"/>
    <w:rsid w:val="009D2B4C"/>
    <w:rPr>
      <w:b/>
      <w:i/>
    </w:rPr>
  </w:style>
  <w:style w:type="paragraph" w:customStyle="1" w:styleId="BoxRandList1">
    <w:name w:val="Box RandList 1"/>
    <w:basedOn w:val="Normal"/>
    <w:rsid w:val="009D2B4C"/>
    <w:pPr>
      <w:pBdr>
        <w:left w:val="single" w:sz="6" w:space="10" w:color="auto"/>
        <w:right w:val="single" w:sz="6" w:space="10" w:color="auto"/>
      </w:pBdr>
      <w:shd w:val="pct10" w:color="auto" w:fill="auto"/>
      <w:tabs>
        <w:tab w:val="left" w:pos="437"/>
        <w:tab w:val="num" w:pos="1492"/>
      </w:tabs>
      <w:spacing w:before="100" w:after="0" w:line="360" w:lineRule="auto"/>
      <w:ind w:left="437" w:right="181" w:hanging="256"/>
      <w:jc w:val="both"/>
    </w:pPr>
    <w:rPr>
      <w:i/>
      <w:noProof/>
      <w:color w:val="auto"/>
      <w:sz w:val="20"/>
    </w:rPr>
  </w:style>
  <w:style w:type="paragraph" w:customStyle="1" w:styleId="RandListLev1">
    <w:name w:val="Rand List Lev1"/>
    <w:basedOn w:val="Normal"/>
    <w:rsid w:val="009D2B4C"/>
    <w:pPr>
      <w:tabs>
        <w:tab w:val="left" w:pos="754"/>
        <w:tab w:val="num" w:pos="1209"/>
      </w:tabs>
      <w:spacing w:before="100" w:after="0"/>
      <w:ind w:left="754" w:right="720" w:hanging="357"/>
    </w:pPr>
    <w:rPr>
      <w:i/>
      <w:noProof/>
      <w:color w:val="auto"/>
      <w:sz w:val="18"/>
    </w:rPr>
  </w:style>
  <w:style w:type="paragraph" w:customStyle="1" w:styleId="BoxRandList2">
    <w:name w:val="Box RandList 2"/>
    <w:basedOn w:val="BoxRandList1"/>
    <w:rsid w:val="009D2B4C"/>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rsid w:val="009D2B4C"/>
    <w:pPr>
      <w:pBdr>
        <w:left w:val="single" w:sz="6" w:space="29" w:color="auto"/>
        <w:right w:val="single" w:sz="6" w:space="30" w:color="auto"/>
      </w:pBdr>
      <w:tabs>
        <w:tab w:val="left" w:pos="816"/>
      </w:tabs>
      <w:ind w:left="816" w:right="584"/>
    </w:pPr>
  </w:style>
  <w:style w:type="paragraph" w:customStyle="1" w:styleId="BoxSeqList1">
    <w:name w:val="Box SeqList 1"/>
    <w:basedOn w:val="Normal"/>
    <w:rsid w:val="009D2B4C"/>
    <w:pPr>
      <w:pBdr>
        <w:left w:val="single" w:sz="6" w:space="8" w:color="auto"/>
        <w:right w:val="single" w:sz="6" w:space="10" w:color="auto"/>
      </w:pBdr>
      <w:shd w:val="pct10" w:color="auto" w:fill="auto"/>
      <w:tabs>
        <w:tab w:val="num" w:pos="567"/>
        <w:tab w:val="num" w:pos="1440"/>
      </w:tabs>
      <w:spacing w:before="100" w:after="0" w:line="360" w:lineRule="auto"/>
      <w:ind w:left="567" w:right="181" w:hanging="425"/>
      <w:jc w:val="both"/>
    </w:pPr>
    <w:rPr>
      <w:i/>
      <w:noProof/>
      <w:color w:val="auto"/>
      <w:sz w:val="20"/>
    </w:rPr>
  </w:style>
  <w:style w:type="paragraph" w:customStyle="1" w:styleId="BoxSeqList3">
    <w:name w:val="Box SeqList 3"/>
    <w:basedOn w:val="BoxSeqList2"/>
    <w:rsid w:val="009D2B4C"/>
    <w:pPr>
      <w:pBdr>
        <w:left w:val="single" w:sz="6" w:space="30" w:color="auto"/>
        <w:right w:val="single" w:sz="6" w:space="30" w:color="auto"/>
      </w:pBdr>
      <w:tabs>
        <w:tab w:val="clear" w:pos="360"/>
        <w:tab w:val="num" w:pos="926"/>
        <w:tab w:val="num" w:pos="1009"/>
      </w:tabs>
      <w:ind w:left="1009" w:right="584" w:hanging="425"/>
    </w:pPr>
  </w:style>
  <w:style w:type="paragraph" w:customStyle="1" w:styleId="BoxSeqList2">
    <w:name w:val="Box SeqList 2"/>
    <w:basedOn w:val="BoxSeqList1"/>
    <w:rsid w:val="009D2B4C"/>
    <w:pPr>
      <w:pBdr>
        <w:left w:val="single" w:sz="6" w:space="20" w:color="auto"/>
      </w:pBdr>
      <w:tabs>
        <w:tab w:val="clear" w:pos="567"/>
        <w:tab w:val="num" w:pos="360"/>
      </w:tabs>
      <w:ind w:left="360" w:hanging="360"/>
    </w:pPr>
  </w:style>
  <w:style w:type="paragraph" w:customStyle="1" w:styleId="TableTitle">
    <w:name w:val="Table Title"/>
    <w:basedOn w:val="Normal"/>
    <w:rsid w:val="009D2B4C"/>
    <w:pPr>
      <w:keepNext/>
      <w:spacing w:before="120" w:after="0"/>
      <w:ind w:right="720"/>
    </w:pPr>
    <w:rPr>
      <w:b/>
      <w:i/>
      <w:noProof/>
      <w:color w:val="auto"/>
      <w:sz w:val="18"/>
    </w:rPr>
  </w:style>
  <w:style w:type="paragraph" w:customStyle="1" w:styleId="TableEntry">
    <w:name w:val="TableEntry"/>
    <w:basedOn w:val="Normal"/>
    <w:rsid w:val="009D2B4C"/>
    <w:pPr>
      <w:tabs>
        <w:tab w:val="num" w:pos="1209"/>
      </w:tabs>
      <w:spacing w:before="80" w:after="0"/>
      <w:ind w:right="720"/>
    </w:pPr>
    <w:rPr>
      <w:i/>
      <w:noProof/>
      <w:color w:val="auto"/>
      <w:sz w:val="18"/>
    </w:rPr>
  </w:style>
  <w:style w:type="paragraph" w:customStyle="1" w:styleId="BoxTitle">
    <w:name w:val="Box Title"/>
    <w:basedOn w:val="Normal"/>
    <w:next w:val="BoxText"/>
    <w:rsid w:val="009D2B4C"/>
    <w:pPr>
      <w:pBdr>
        <w:top w:val="single" w:sz="6" w:space="7" w:color="auto"/>
        <w:left w:val="single" w:sz="6" w:space="7" w:color="auto"/>
        <w:right w:val="single" w:sz="6" w:space="7" w:color="auto"/>
      </w:pBdr>
      <w:shd w:val="pct10" w:color="auto" w:fill="auto"/>
      <w:tabs>
        <w:tab w:val="num" w:pos="1209"/>
      </w:tabs>
      <w:spacing w:before="120" w:after="0" w:line="360" w:lineRule="auto"/>
      <w:ind w:left="119" w:right="119"/>
      <w:jc w:val="center"/>
    </w:pPr>
    <w:rPr>
      <w:b/>
      <w:noProof/>
      <w:color w:val="auto"/>
      <w:sz w:val="20"/>
    </w:rPr>
  </w:style>
  <w:style w:type="character" w:customStyle="1" w:styleId="Chart">
    <w:name w:val="Chart"/>
    <w:rsid w:val="009D2B4C"/>
    <w:rPr>
      <w:rFonts w:cs="Times New Roman"/>
    </w:rPr>
  </w:style>
  <w:style w:type="paragraph" w:customStyle="1" w:styleId="RandListLev2">
    <w:name w:val="Rand List Lev2"/>
    <w:basedOn w:val="RandListLev1"/>
    <w:rsid w:val="009D2B4C"/>
    <w:pPr>
      <w:tabs>
        <w:tab w:val="clear" w:pos="754"/>
        <w:tab w:val="left" w:pos="1134"/>
      </w:tabs>
      <w:ind w:left="1134"/>
    </w:pPr>
  </w:style>
  <w:style w:type="paragraph" w:customStyle="1" w:styleId="RandListLev3">
    <w:name w:val="Rand List Lev3"/>
    <w:basedOn w:val="RandListLev2"/>
    <w:rsid w:val="009D2B4C"/>
    <w:pPr>
      <w:tabs>
        <w:tab w:val="clear" w:pos="1134"/>
        <w:tab w:val="left" w:pos="1559"/>
      </w:tabs>
      <w:ind w:left="1559"/>
    </w:pPr>
  </w:style>
  <w:style w:type="paragraph" w:customStyle="1" w:styleId="RandListLev4">
    <w:name w:val="Rand List Lev4"/>
    <w:basedOn w:val="RandListLev3"/>
    <w:rsid w:val="009D2B4C"/>
    <w:pPr>
      <w:tabs>
        <w:tab w:val="clear" w:pos="1559"/>
        <w:tab w:val="left" w:pos="1984"/>
      </w:tabs>
      <w:ind w:left="1984"/>
    </w:pPr>
  </w:style>
  <w:style w:type="paragraph" w:customStyle="1" w:styleId="DefListHeader">
    <w:name w:val="Def List Header"/>
    <w:basedOn w:val="Normal"/>
    <w:next w:val="Normal"/>
    <w:rsid w:val="009D2B4C"/>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rsid w:val="009D2B4C"/>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rsid w:val="009D2B4C"/>
    <w:pPr>
      <w:spacing w:before="120" w:after="480"/>
      <w:ind w:right="720"/>
      <w:jc w:val="center"/>
    </w:pPr>
    <w:rPr>
      <w:i/>
      <w:smallCaps/>
      <w:noProof/>
      <w:color w:val="808080"/>
      <w:sz w:val="56"/>
    </w:rPr>
  </w:style>
  <w:style w:type="paragraph" w:customStyle="1" w:styleId="EndBox">
    <w:name w:val="EndBox"/>
    <w:basedOn w:val="Normal"/>
    <w:next w:val="Normal"/>
    <w:rsid w:val="009D2B4C"/>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rsid w:val="009D2B4C"/>
    <w:pPr>
      <w:spacing w:before="120" w:after="0"/>
      <w:ind w:right="720"/>
    </w:pPr>
    <w:rPr>
      <w:i/>
      <w:noProof/>
      <w:color w:val="auto"/>
      <w:sz w:val="18"/>
    </w:rPr>
  </w:style>
  <w:style w:type="paragraph" w:customStyle="1" w:styleId="FigureTitle">
    <w:name w:val="Figure Title"/>
    <w:basedOn w:val="Normal"/>
    <w:rsid w:val="009D2B4C"/>
    <w:pPr>
      <w:keepNext/>
      <w:spacing w:before="120" w:after="0"/>
      <w:ind w:right="720"/>
    </w:pPr>
    <w:rPr>
      <w:b/>
      <w:noProof/>
      <w:color w:val="auto"/>
      <w:sz w:val="18"/>
    </w:rPr>
  </w:style>
  <w:style w:type="character" w:customStyle="1" w:styleId="Graph">
    <w:name w:val="Graph"/>
    <w:rsid w:val="009D2B4C"/>
    <w:rPr>
      <w:rFonts w:cs="Times New Roman"/>
    </w:rPr>
  </w:style>
  <w:style w:type="character" w:customStyle="1" w:styleId="Image">
    <w:name w:val="Image"/>
    <w:rsid w:val="009D2B4C"/>
    <w:rPr>
      <w:rFonts w:cs="Times New Roman"/>
    </w:rPr>
  </w:style>
  <w:style w:type="character" w:customStyle="1" w:styleId="ItalicUnderline">
    <w:name w:val="Italic Underline"/>
    <w:rsid w:val="009D2B4C"/>
    <w:rPr>
      <w:i/>
      <w:u w:val="single"/>
    </w:rPr>
  </w:style>
  <w:style w:type="paragraph" w:customStyle="1" w:styleId="ListHeader">
    <w:name w:val="List Header"/>
    <w:basedOn w:val="Normal"/>
    <w:rsid w:val="009D2B4C"/>
    <w:pPr>
      <w:keepNext/>
      <w:spacing w:before="120" w:after="0"/>
      <w:ind w:right="720"/>
    </w:pPr>
    <w:rPr>
      <w:i/>
      <w:noProof/>
      <w:color w:val="auto"/>
      <w:sz w:val="18"/>
    </w:rPr>
  </w:style>
  <w:style w:type="paragraph" w:customStyle="1" w:styleId="MeetInfo">
    <w:name w:val="MeetInfo"/>
    <w:basedOn w:val="Normal"/>
    <w:next w:val="Normal"/>
    <w:rsid w:val="009D2B4C"/>
    <w:pPr>
      <w:tabs>
        <w:tab w:val="left" w:pos="426"/>
      </w:tabs>
      <w:spacing w:before="60" w:after="0"/>
      <w:ind w:right="720"/>
    </w:pPr>
    <w:rPr>
      <w:i/>
      <w:noProof/>
      <w:color w:val="auto"/>
      <w:sz w:val="18"/>
    </w:rPr>
  </w:style>
  <w:style w:type="paragraph" w:customStyle="1" w:styleId="SpacePara">
    <w:name w:val="SpacePara"/>
    <w:basedOn w:val="Normal"/>
    <w:next w:val="DocTitle"/>
    <w:rsid w:val="009D2B4C"/>
    <w:pPr>
      <w:spacing w:before="100" w:after="0" w:line="480" w:lineRule="auto"/>
      <w:ind w:right="720"/>
    </w:pPr>
    <w:rPr>
      <w:i/>
      <w:noProof/>
      <w:color w:val="auto"/>
      <w:sz w:val="18"/>
    </w:rPr>
  </w:style>
  <w:style w:type="character" w:customStyle="1" w:styleId="NroPara">
    <w:name w:val="NroPara"/>
    <w:rsid w:val="009D2B4C"/>
    <w:rPr>
      <w:rFonts w:cs="Times New Roman"/>
    </w:rPr>
  </w:style>
  <w:style w:type="character" w:customStyle="1" w:styleId="NumBox">
    <w:name w:val="NumBox"/>
    <w:rsid w:val="009D2B4C"/>
    <w:rPr>
      <w:rFonts w:cs="Times New Roman"/>
    </w:rPr>
  </w:style>
  <w:style w:type="character" w:customStyle="1" w:styleId="NumFigure">
    <w:name w:val="NumFigure"/>
    <w:rsid w:val="009D2B4C"/>
    <w:rPr>
      <w:rFonts w:cs="Times New Roman"/>
    </w:rPr>
  </w:style>
  <w:style w:type="character" w:customStyle="1" w:styleId="NumTable">
    <w:name w:val="NumTable"/>
    <w:rsid w:val="009D2B4C"/>
    <w:rPr>
      <w:rFonts w:cs="Times New Roman"/>
    </w:rPr>
  </w:style>
  <w:style w:type="paragraph" w:customStyle="1" w:styleId="PgBrk">
    <w:name w:val="PgBrk"/>
    <w:basedOn w:val="Normal"/>
    <w:next w:val="Heading1"/>
    <w:rsid w:val="009D2B4C"/>
    <w:pPr>
      <w:pageBreakBefore/>
      <w:spacing w:before="120" w:after="0" w:line="14" w:lineRule="exact"/>
      <w:ind w:right="720"/>
    </w:pPr>
    <w:rPr>
      <w:i/>
      <w:noProof/>
      <w:color w:val="auto"/>
      <w:sz w:val="18"/>
    </w:rPr>
  </w:style>
  <w:style w:type="paragraph" w:customStyle="1" w:styleId="StartBack">
    <w:name w:val="StartBack"/>
    <w:basedOn w:val="SpacePara"/>
    <w:next w:val="Normal"/>
    <w:rsid w:val="009D2B4C"/>
  </w:style>
  <w:style w:type="paragraph" w:customStyle="1" w:styleId="StartBody">
    <w:name w:val="StartBody"/>
    <w:basedOn w:val="SpacePara"/>
    <w:next w:val="Normal"/>
    <w:rsid w:val="009D2B4C"/>
  </w:style>
  <w:style w:type="paragraph" w:customStyle="1" w:styleId="TBL-COLMNhd">
    <w:name w:val="TBL-COLMNhd"/>
    <w:basedOn w:val="Normal"/>
    <w:rsid w:val="009D2B4C"/>
    <w:pPr>
      <w:tabs>
        <w:tab w:val="left" w:pos="-720"/>
      </w:tabs>
      <w:suppressAutoHyphens/>
      <w:spacing w:before="60" w:after="20"/>
      <w:ind w:right="720"/>
      <w:jc w:val="center"/>
    </w:pPr>
    <w:rPr>
      <w:b/>
      <w:i/>
      <w:noProof/>
      <w:color w:val="auto"/>
      <w:sz w:val="18"/>
    </w:rPr>
  </w:style>
  <w:style w:type="character" w:customStyle="1" w:styleId="Term">
    <w:name w:val="Term"/>
    <w:rsid w:val="009D2B4C"/>
    <w:rPr>
      <w:b/>
    </w:rPr>
  </w:style>
  <w:style w:type="character" w:customStyle="1" w:styleId="TermHeading">
    <w:name w:val="Term Heading"/>
    <w:rsid w:val="009D2B4C"/>
    <w:rPr>
      <w:b/>
    </w:rPr>
  </w:style>
  <w:style w:type="paragraph" w:customStyle="1" w:styleId="TOCRef">
    <w:name w:val="TOCRef"/>
    <w:basedOn w:val="Normal"/>
    <w:next w:val="TOC1"/>
    <w:rsid w:val="009D2B4C"/>
    <w:pPr>
      <w:spacing w:before="120" w:after="0" w:line="200" w:lineRule="exact"/>
      <w:ind w:right="720"/>
      <w:jc w:val="right"/>
    </w:pPr>
    <w:rPr>
      <w:i/>
      <w:noProof/>
      <w:color w:val="auto"/>
      <w:sz w:val="18"/>
    </w:rPr>
  </w:style>
  <w:style w:type="paragraph" w:customStyle="1" w:styleId="TOCTitle">
    <w:name w:val="TOCTitle"/>
    <w:basedOn w:val="Normal"/>
    <w:next w:val="TOCRef"/>
    <w:rsid w:val="009D2B4C"/>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sid w:val="009D2B4C"/>
    <w:rPr>
      <w:u w:val="single"/>
    </w:rPr>
  </w:style>
  <w:style w:type="character" w:customStyle="1" w:styleId="XReference">
    <w:name w:val="XReference"/>
    <w:rsid w:val="009D2B4C"/>
    <w:rPr>
      <w:color w:val="0000FF"/>
    </w:rPr>
  </w:style>
  <w:style w:type="paragraph" w:customStyle="1" w:styleId="Format1">
    <w:name w:val="Format1"/>
    <w:basedOn w:val="Normal"/>
    <w:rsid w:val="009D2B4C"/>
    <w:pPr>
      <w:spacing w:before="60" w:after="0"/>
      <w:ind w:right="720"/>
    </w:pPr>
    <w:rPr>
      <w:rFonts w:ascii="Courier New" w:hAnsi="Courier New"/>
      <w:i/>
      <w:noProof/>
      <w:color w:val="auto"/>
      <w:sz w:val="18"/>
    </w:rPr>
  </w:style>
  <w:style w:type="paragraph" w:customStyle="1" w:styleId="Format2">
    <w:name w:val="Format2"/>
    <w:basedOn w:val="Normal"/>
    <w:rsid w:val="009D2B4C"/>
    <w:pPr>
      <w:spacing w:before="60" w:after="0"/>
      <w:ind w:right="720"/>
    </w:pPr>
    <w:rPr>
      <w:rFonts w:ascii="Courier New" w:hAnsi="Courier New"/>
      <w:i/>
      <w:noProof/>
      <w:color w:val="auto"/>
      <w:sz w:val="16"/>
    </w:rPr>
  </w:style>
  <w:style w:type="paragraph" w:customStyle="1" w:styleId="RightJust">
    <w:name w:val="RightJust"/>
    <w:basedOn w:val="Normal"/>
    <w:rsid w:val="009D2B4C"/>
    <w:pPr>
      <w:spacing w:before="120" w:after="0"/>
      <w:ind w:right="720"/>
      <w:jc w:val="right"/>
    </w:pPr>
    <w:rPr>
      <w:i/>
      <w:noProof/>
      <w:color w:val="auto"/>
      <w:sz w:val="18"/>
    </w:rPr>
  </w:style>
  <w:style w:type="paragraph" w:customStyle="1" w:styleId="BlockQuote">
    <w:name w:val="BlockQuote"/>
    <w:basedOn w:val="Normal"/>
    <w:rsid w:val="009D2B4C"/>
    <w:pPr>
      <w:spacing w:before="60" w:after="0"/>
      <w:ind w:left="284" w:right="284"/>
    </w:pPr>
    <w:rPr>
      <w:noProof/>
      <w:color w:val="auto"/>
      <w:sz w:val="18"/>
    </w:rPr>
  </w:style>
  <w:style w:type="paragraph" w:customStyle="1" w:styleId="BoxBlankLine">
    <w:name w:val="Box BlankLine"/>
    <w:basedOn w:val="BlankLine"/>
    <w:next w:val="Normal"/>
    <w:rsid w:val="009D2B4C"/>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rsid w:val="009D2B4C"/>
    <w:pPr>
      <w:shd w:val="pct10" w:color="auto" w:fill="auto"/>
      <w:spacing w:before="100" w:after="0"/>
      <w:ind w:right="720"/>
      <w:jc w:val="both"/>
    </w:pPr>
    <w:rPr>
      <w:noProof/>
      <w:color w:val="auto"/>
      <w:sz w:val="20"/>
    </w:rPr>
  </w:style>
  <w:style w:type="paragraph" w:customStyle="1" w:styleId="BoxTableTitle">
    <w:name w:val="Box Table Title"/>
    <w:basedOn w:val="Normal"/>
    <w:rsid w:val="009D2B4C"/>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rsid w:val="009D2B4C"/>
    <w:pPr>
      <w:shd w:val="pct10" w:color="auto" w:fill="auto"/>
      <w:spacing w:before="120" w:after="0"/>
      <w:ind w:right="720"/>
      <w:jc w:val="both"/>
    </w:pPr>
    <w:rPr>
      <w:i/>
      <w:noProof/>
      <w:color w:val="auto"/>
      <w:sz w:val="20"/>
    </w:rPr>
  </w:style>
  <w:style w:type="character" w:customStyle="1" w:styleId="BoxFigInfo-C">
    <w:name w:val="BoxFigInfo-C"/>
    <w:rsid w:val="009D2B4C"/>
    <w:rPr>
      <w:rFonts w:cs="Times New Roman"/>
    </w:rPr>
  </w:style>
  <w:style w:type="paragraph" w:customStyle="1" w:styleId="BoxFigInfo-P">
    <w:name w:val="BoxFigInfo-P"/>
    <w:basedOn w:val="BoxText"/>
    <w:rsid w:val="009D2B4C"/>
  </w:style>
  <w:style w:type="paragraph" w:customStyle="1" w:styleId="BoxFigTitle">
    <w:name w:val="BoxFigTitle"/>
    <w:basedOn w:val="BoxFigCaption"/>
    <w:rsid w:val="009D2B4C"/>
    <w:pPr>
      <w:keepNext/>
    </w:pPr>
    <w:rPr>
      <w:b/>
      <w:i/>
    </w:rPr>
  </w:style>
  <w:style w:type="paragraph" w:customStyle="1" w:styleId="BoxTblColHd">
    <w:name w:val="BoxTblColHd"/>
    <w:basedOn w:val="BoxTblEntry"/>
    <w:rsid w:val="009D2B4C"/>
    <w:rPr>
      <w:b/>
    </w:rPr>
  </w:style>
  <w:style w:type="paragraph" w:customStyle="1" w:styleId="DashListLev1">
    <w:name w:val="Dash List Lev1"/>
    <w:basedOn w:val="Normal"/>
    <w:rsid w:val="009D2B4C"/>
    <w:pPr>
      <w:tabs>
        <w:tab w:val="num" w:pos="360"/>
        <w:tab w:val="num" w:pos="720"/>
      </w:tabs>
      <w:spacing w:before="100" w:after="0"/>
      <w:ind w:left="360" w:right="720" w:hanging="360"/>
    </w:pPr>
    <w:rPr>
      <w:i/>
      <w:noProof/>
      <w:color w:val="auto"/>
      <w:sz w:val="18"/>
    </w:rPr>
  </w:style>
  <w:style w:type="paragraph" w:customStyle="1" w:styleId="DashListLev2">
    <w:name w:val="Dash List Lev2"/>
    <w:basedOn w:val="DashListLev1"/>
    <w:rsid w:val="009D2B4C"/>
    <w:pPr>
      <w:tabs>
        <w:tab w:val="clear" w:pos="360"/>
        <w:tab w:val="num" w:pos="2892"/>
      </w:tabs>
      <w:ind w:left="981" w:hanging="357"/>
    </w:pPr>
  </w:style>
  <w:style w:type="paragraph" w:customStyle="1" w:styleId="DashListLev3">
    <w:name w:val="Dash List Lev3"/>
    <w:basedOn w:val="DashListLev2"/>
    <w:rsid w:val="009D2B4C"/>
    <w:pPr>
      <w:tabs>
        <w:tab w:val="clear" w:pos="720"/>
        <w:tab w:val="num" w:pos="926"/>
      </w:tabs>
      <w:ind w:left="1208"/>
    </w:pPr>
  </w:style>
  <w:style w:type="paragraph" w:customStyle="1" w:styleId="DashListLev4">
    <w:name w:val="Dash List Lev4"/>
    <w:basedOn w:val="DashListLev3"/>
    <w:rsid w:val="009D2B4C"/>
    <w:pPr>
      <w:tabs>
        <w:tab w:val="clear" w:pos="926"/>
        <w:tab w:val="num" w:pos="1080"/>
      </w:tabs>
      <w:ind w:left="1434"/>
    </w:pPr>
  </w:style>
  <w:style w:type="paragraph" w:styleId="EndnoteText">
    <w:name w:val="endnote text"/>
    <w:basedOn w:val="Normal"/>
    <w:link w:val="EndnoteTextChar"/>
    <w:semiHidden/>
    <w:locked/>
    <w:rsid w:val="009D2B4C"/>
    <w:pPr>
      <w:tabs>
        <w:tab w:val="num" w:pos="780"/>
      </w:tabs>
      <w:spacing w:before="120" w:after="0"/>
      <w:ind w:right="720"/>
    </w:pPr>
    <w:rPr>
      <w:i/>
      <w:noProof/>
      <w:color w:val="auto"/>
      <w:sz w:val="20"/>
    </w:rPr>
  </w:style>
  <w:style w:type="character" w:customStyle="1" w:styleId="EndnoteTextChar">
    <w:name w:val="Endnote Text Char"/>
    <w:link w:val="EndnoteText"/>
    <w:semiHidden/>
    <w:locked/>
    <w:rsid w:val="009D2B4C"/>
    <w:rPr>
      <w:rFonts w:ascii="Times New Roman" w:hAnsi="Times New Roman" w:cs="Times New Roman"/>
      <w:i/>
      <w:noProof/>
      <w:sz w:val="20"/>
      <w:szCs w:val="20"/>
      <w:lang w:val="en-GB" w:eastAsia="zh-CN"/>
    </w:rPr>
  </w:style>
  <w:style w:type="character" w:customStyle="1" w:styleId="FigInfo-C">
    <w:name w:val="FigInfo-C"/>
    <w:rsid w:val="009D2B4C"/>
    <w:rPr>
      <w:rFonts w:cs="Times New Roman"/>
    </w:rPr>
  </w:style>
  <w:style w:type="paragraph" w:customStyle="1" w:styleId="ParaNote">
    <w:name w:val="Para Note"/>
    <w:basedOn w:val="Note"/>
    <w:rsid w:val="009D2B4C"/>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b/>
      <w:noProof/>
      <w:sz w:val="18"/>
    </w:rPr>
  </w:style>
  <w:style w:type="character" w:customStyle="1" w:styleId="Picture">
    <w:name w:val="Picture"/>
    <w:rsid w:val="009D2B4C"/>
    <w:rPr>
      <w:rFonts w:cs="Times New Roman"/>
    </w:rPr>
  </w:style>
  <w:style w:type="paragraph" w:customStyle="1" w:styleId="PlainList1">
    <w:name w:val="PlainList 1"/>
    <w:basedOn w:val="Normal"/>
    <w:rsid w:val="009D2B4C"/>
    <w:pPr>
      <w:spacing w:before="100" w:after="0"/>
      <w:ind w:right="720"/>
    </w:pPr>
    <w:rPr>
      <w:i/>
      <w:noProof/>
      <w:color w:val="auto"/>
      <w:sz w:val="18"/>
    </w:rPr>
  </w:style>
  <w:style w:type="paragraph" w:customStyle="1" w:styleId="PlainList2">
    <w:name w:val="PlainList 2"/>
    <w:basedOn w:val="PlainList1"/>
    <w:rsid w:val="009D2B4C"/>
    <w:pPr>
      <w:ind w:left="567"/>
    </w:pPr>
  </w:style>
  <w:style w:type="paragraph" w:customStyle="1" w:styleId="PlainList3">
    <w:name w:val="PlainList 3"/>
    <w:basedOn w:val="PlainList2"/>
    <w:rsid w:val="009D2B4C"/>
    <w:pPr>
      <w:ind w:left="1134"/>
    </w:pPr>
  </w:style>
  <w:style w:type="paragraph" w:customStyle="1" w:styleId="PlainList4">
    <w:name w:val="PlainList 4"/>
    <w:basedOn w:val="PlainList3"/>
    <w:rsid w:val="009D2B4C"/>
    <w:pPr>
      <w:ind w:left="1701"/>
    </w:pPr>
  </w:style>
  <w:style w:type="character" w:customStyle="1" w:styleId="Quote1">
    <w:name w:val="Quote1"/>
    <w:rsid w:val="009D2B4C"/>
    <w:rPr>
      <w:rFonts w:ascii="Times New Roman" w:hAnsi="Times New Roman"/>
      <w:i/>
      <w:sz w:val="20"/>
    </w:rPr>
  </w:style>
  <w:style w:type="character" w:customStyle="1" w:styleId="NroSeq">
    <w:name w:val="NroSeq"/>
    <w:rsid w:val="009D2B4C"/>
    <w:rPr>
      <w:color w:val="0000FF"/>
    </w:rPr>
  </w:style>
  <w:style w:type="character" w:customStyle="1" w:styleId="NroTOC">
    <w:name w:val="NroTOC"/>
    <w:rsid w:val="009D2B4C"/>
    <w:rPr>
      <w:color w:val="auto"/>
      <w:sz w:val="22"/>
      <w:u w:val="none"/>
      <w:vertAlign w:val="baseline"/>
    </w:rPr>
  </w:style>
  <w:style w:type="paragraph" w:customStyle="1" w:styleId="PrelimNote">
    <w:name w:val="PrelimNote"/>
    <w:basedOn w:val="Normal"/>
    <w:next w:val="Normal"/>
    <w:rsid w:val="009D2B4C"/>
    <w:pPr>
      <w:spacing w:before="120" w:after="0"/>
      <w:ind w:left="709" w:right="709"/>
    </w:pPr>
    <w:rPr>
      <w:i/>
      <w:noProof/>
      <w:color w:val="auto"/>
      <w:sz w:val="18"/>
    </w:rPr>
  </w:style>
  <w:style w:type="paragraph" w:customStyle="1" w:styleId="CentredJust">
    <w:name w:val="CentredJust"/>
    <w:basedOn w:val="Normal"/>
    <w:rsid w:val="009D2B4C"/>
    <w:pPr>
      <w:spacing w:before="120" w:after="0"/>
      <w:ind w:right="720"/>
      <w:jc w:val="center"/>
    </w:pPr>
    <w:rPr>
      <w:i/>
      <w:noProof/>
      <w:color w:val="auto"/>
      <w:sz w:val="18"/>
    </w:rPr>
  </w:style>
  <w:style w:type="character" w:customStyle="1" w:styleId="Subscript">
    <w:name w:val="Subscript"/>
    <w:rsid w:val="009D2B4C"/>
    <w:rPr>
      <w:vertAlign w:val="subscript"/>
      <w:lang w:val="en-GB"/>
    </w:rPr>
  </w:style>
  <w:style w:type="character" w:customStyle="1" w:styleId="Superscript">
    <w:name w:val="Superscript"/>
    <w:rsid w:val="009D2B4C"/>
    <w:rPr>
      <w:vertAlign w:val="superscript"/>
      <w:lang w:val="en-GB"/>
    </w:rPr>
  </w:style>
  <w:style w:type="paragraph" w:customStyle="1" w:styleId="ListDel">
    <w:name w:val="ListDel"/>
    <w:basedOn w:val="Normal"/>
    <w:next w:val="Country"/>
    <w:rsid w:val="009D2B4C"/>
    <w:pPr>
      <w:spacing w:before="120" w:after="0"/>
      <w:ind w:right="720"/>
      <w:jc w:val="center"/>
    </w:pPr>
    <w:rPr>
      <w:b/>
      <w:i/>
      <w:noProof/>
      <w:color w:val="auto"/>
      <w:sz w:val="18"/>
    </w:rPr>
  </w:style>
  <w:style w:type="paragraph" w:customStyle="1" w:styleId="Country">
    <w:name w:val="Country"/>
    <w:basedOn w:val="Normal"/>
    <w:next w:val="Role"/>
    <w:rsid w:val="009D2B4C"/>
    <w:pPr>
      <w:keepNext/>
      <w:spacing w:before="120" w:after="0"/>
      <w:ind w:right="720"/>
    </w:pPr>
    <w:rPr>
      <w:b/>
      <w:i/>
      <w:caps/>
      <w:noProof/>
      <w:color w:val="auto"/>
      <w:sz w:val="18"/>
    </w:rPr>
  </w:style>
  <w:style w:type="paragraph" w:customStyle="1" w:styleId="Role">
    <w:name w:val="Role"/>
    <w:basedOn w:val="Normal"/>
    <w:next w:val="Name"/>
    <w:rsid w:val="009D2B4C"/>
    <w:pPr>
      <w:keepNext/>
      <w:spacing w:before="120" w:after="0"/>
      <w:ind w:right="720"/>
    </w:pPr>
    <w:rPr>
      <w:i/>
      <w:noProof/>
      <w:color w:val="auto"/>
      <w:sz w:val="18"/>
    </w:rPr>
  </w:style>
  <w:style w:type="paragraph" w:customStyle="1" w:styleId="Name">
    <w:name w:val="Name"/>
    <w:basedOn w:val="Normal"/>
    <w:rsid w:val="009D2B4C"/>
    <w:pPr>
      <w:keepLines/>
      <w:spacing w:before="120" w:after="0"/>
      <w:ind w:left="284" w:right="720"/>
    </w:pPr>
    <w:rPr>
      <w:i/>
      <w:noProof/>
      <w:color w:val="auto"/>
      <w:sz w:val="18"/>
    </w:rPr>
  </w:style>
  <w:style w:type="paragraph" w:customStyle="1" w:styleId="ColumnBreak">
    <w:name w:val="ColumnBreak"/>
    <w:basedOn w:val="Normal"/>
    <w:next w:val="Normal"/>
    <w:rsid w:val="009D2B4C"/>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rsid w:val="009D2B4C"/>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rsid w:val="009D2B4C"/>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rsid w:val="009D2B4C"/>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rsid w:val="009D2B4C"/>
    <w:pPr>
      <w:tabs>
        <w:tab w:val="num" w:pos="360"/>
      </w:tabs>
      <w:spacing w:before="100" w:after="0"/>
      <w:ind w:left="360" w:right="720" w:hanging="360"/>
    </w:pPr>
    <w:rPr>
      <w:i/>
      <w:noProof/>
      <w:color w:val="auto"/>
      <w:sz w:val="18"/>
    </w:rPr>
  </w:style>
  <w:style w:type="paragraph" w:customStyle="1" w:styleId="SeqListLev2">
    <w:name w:val="Seq List Lev2"/>
    <w:basedOn w:val="SeqListLev1"/>
    <w:rsid w:val="009D2B4C"/>
    <w:pPr>
      <w:numPr>
        <w:ilvl w:val="2"/>
      </w:numPr>
      <w:tabs>
        <w:tab w:val="num" w:pos="360"/>
      </w:tabs>
      <w:ind w:left="360" w:hanging="360"/>
    </w:pPr>
  </w:style>
  <w:style w:type="paragraph" w:customStyle="1" w:styleId="SeqListLev3">
    <w:name w:val="Seq List Lev3"/>
    <w:basedOn w:val="SeqListLev2"/>
    <w:rsid w:val="009D2B4C"/>
    <w:pPr>
      <w:numPr>
        <w:ilvl w:val="3"/>
      </w:numPr>
      <w:tabs>
        <w:tab w:val="num" w:pos="360"/>
      </w:tabs>
      <w:ind w:left="360" w:hanging="360"/>
    </w:pPr>
  </w:style>
  <w:style w:type="paragraph" w:customStyle="1" w:styleId="SeqListLev4">
    <w:name w:val="Seq List Lev4"/>
    <w:basedOn w:val="SeqListLev3"/>
    <w:rsid w:val="009D2B4C"/>
    <w:pPr>
      <w:numPr>
        <w:ilvl w:val="0"/>
      </w:numPr>
      <w:tabs>
        <w:tab w:val="num" w:pos="360"/>
        <w:tab w:val="num" w:pos="567"/>
        <w:tab w:val="num" w:pos="1209"/>
        <w:tab w:val="num" w:pos="2126"/>
      </w:tabs>
      <w:ind w:left="2126" w:hanging="425"/>
    </w:pPr>
  </w:style>
  <w:style w:type="paragraph" w:customStyle="1" w:styleId="CarCar">
    <w:name w:val="Car Car"/>
    <w:basedOn w:val="Normal"/>
    <w:rsid w:val="009D2B4C"/>
    <w:pPr>
      <w:tabs>
        <w:tab w:val="num" w:pos="805"/>
        <w:tab w:val="num" w:pos="1209"/>
      </w:tabs>
      <w:spacing w:before="100" w:after="160" w:line="240" w:lineRule="exact"/>
      <w:ind w:right="720"/>
    </w:pPr>
    <w:rPr>
      <w:rFonts w:ascii="Tahoma" w:eastAsia="MS Mincho" w:hAnsi="Tahoma"/>
      <w:i/>
      <w:color w:val="auto"/>
      <w:sz w:val="20"/>
      <w:lang w:val="en-US"/>
    </w:rPr>
  </w:style>
  <w:style w:type="paragraph" w:customStyle="1" w:styleId="CharChar">
    <w:name w:val="(文字) (文字) Char (文字) (文字) Char"/>
    <w:basedOn w:val="Normal"/>
    <w:rsid w:val="009D2B4C"/>
    <w:pPr>
      <w:tabs>
        <w:tab w:val="num" w:pos="1209"/>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rsid w:val="009D2B4C"/>
    <w:pPr>
      <w:tabs>
        <w:tab w:val="clear" w:pos="1440"/>
        <w:tab w:val="left" w:pos="567"/>
        <w:tab w:val="num" w:pos="643"/>
      </w:tabs>
      <w:spacing w:after="60"/>
      <w:ind w:left="720" w:hanging="360"/>
    </w:pPr>
  </w:style>
  <w:style w:type="paragraph" w:customStyle="1" w:styleId="IPPNormal">
    <w:name w:val="IPP Normal"/>
    <w:basedOn w:val="Normal"/>
    <w:rsid w:val="009D2B4C"/>
    <w:pPr>
      <w:tabs>
        <w:tab w:val="num" w:pos="1440"/>
      </w:tabs>
      <w:spacing w:before="100" w:after="180"/>
      <w:ind w:right="720"/>
      <w:jc w:val="both"/>
    </w:pPr>
    <w:rPr>
      <w:i/>
      <w:color w:val="auto"/>
      <w:sz w:val="18"/>
    </w:rPr>
  </w:style>
  <w:style w:type="paragraph" w:customStyle="1" w:styleId="IPPBullet1">
    <w:name w:val="IPP Bullet1"/>
    <w:basedOn w:val="Normal"/>
    <w:rsid w:val="009D2B4C"/>
    <w:pPr>
      <w:tabs>
        <w:tab w:val="num" w:pos="926"/>
      </w:tabs>
      <w:spacing w:before="100" w:after="60"/>
      <w:ind w:left="926" w:right="720" w:hanging="360"/>
      <w:jc w:val="both"/>
    </w:pPr>
    <w:rPr>
      <w:i/>
      <w:color w:val="auto"/>
      <w:sz w:val="18"/>
    </w:rPr>
  </w:style>
  <w:style w:type="paragraph" w:customStyle="1" w:styleId="IPPTitle16ptIndent">
    <w:name w:val="IPP Title16pt Indent"/>
    <w:basedOn w:val="Normal"/>
    <w:rsid w:val="009D2B4C"/>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rsid w:val="009D2B4C"/>
    <w:pPr>
      <w:keepNext/>
      <w:tabs>
        <w:tab w:val="left" w:pos="851"/>
      </w:tabs>
      <w:spacing w:before="360" w:after="120"/>
      <w:ind w:left="851" w:right="720" w:hanging="851"/>
      <w:jc w:val="both"/>
      <w:outlineLvl w:val="0"/>
    </w:pPr>
    <w:rPr>
      <w:b/>
      <w:i/>
      <w:caps/>
      <w:color w:val="auto"/>
      <w:sz w:val="24"/>
    </w:rPr>
  </w:style>
  <w:style w:type="paragraph" w:customStyle="1" w:styleId="IPPHeading1">
    <w:name w:val="IPP Heading1"/>
    <w:basedOn w:val="IPPNormal"/>
    <w:next w:val="IPPNormal"/>
    <w:rsid w:val="009D2B4C"/>
    <w:pPr>
      <w:keepNext/>
      <w:tabs>
        <w:tab w:val="left" w:pos="567"/>
      </w:tabs>
      <w:spacing w:before="240" w:after="120"/>
      <w:ind w:left="567" w:hanging="567"/>
      <w:jc w:val="left"/>
      <w:outlineLvl w:val="1"/>
    </w:pPr>
    <w:rPr>
      <w:b/>
      <w:sz w:val="24"/>
    </w:rPr>
  </w:style>
  <w:style w:type="paragraph" w:customStyle="1" w:styleId="IPPSubhead">
    <w:name w:val="IPP Subhead"/>
    <w:basedOn w:val="Normal"/>
    <w:rsid w:val="009D2B4C"/>
    <w:pPr>
      <w:keepNext/>
      <w:spacing w:before="100" w:after="0"/>
      <w:ind w:left="567" w:right="720" w:hanging="567"/>
    </w:pPr>
    <w:rPr>
      <w:b/>
      <w:i/>
      <w:color w:val="auto"/>
      <w:sz w:val="18"/>
    </w:rPr>
  </w:style>
  <w:style w:type="paragraph" w:customStyle="1" w:styleId="IPPBullet1Last">
    <w:name w:val="IPP Bullet1Last"/>
    <w:basedOn w:val="IPPNormal"/>
    <w:next w:val="IPPBullet1"/>
    <w:rsid w:val="009D2B4C"/>
    <w:pPr>
      <w:tabs>
        <w:tab w:val="clear" w:pos="1440"/>
        <w:tab w:val="num" w:pos="360"/>
        <w:tab w:val="num" w:pos="1492"/>
      </w:tabs>
      <w:ind w:left="360" w:hanging="360"/>
    </w:pPr>
    <w:rPr>
      <w:lang w:val="en-US"/>
    </w:rPr>
  </w:style>
  <w:style w:type="paragraph" w:customStyle="1" w:styleId="IPPTitle16pt">
    <w:name w:val="IPP Title16pt"/>
    <w:basedOn w:val="Normal"/>
    <w:rsid w:val="009D2B4C"/>
    <w:pPr>
      <w:spacing w:before="100" w:after="720"/>
      <w:ind w:left="1701" w:right="1701"/>
      <w:jc w:val="center"/>
    </w:pPr>
    <w:rPr>
      <w:rFonts w:ascii="Arial" w:hAnsi="Arial"/>
      <w:b/>
      <w:i/>
      <w:color w:val="auto"/>
      <w:sz w:val="32"/>
    </w:rPr>
  </w:style>
  <w:style w:type="paragraph" w:customStyle="1" w:styleId="IPPTitle18pt">
    <w:name w:val="IPP Title18pt"/>
    <w:basedOn w:val="Normal"/>
    <w:rsid w:val="009D2B4C"/>
    <w:pPr>
      <w:spacing w:before="100" w:after="360"/>
      <w:ind w:right="720"/>
      <w:jc w:val="center"/>
    </w:pPr>
    <w:rPr>
      <w:rFonts w:ascii="Arial" w:hAnsi="Arial"/>
      <w:b/>
      <w:i/>
      <w:color w:val="auto"/>
      <w:sz w:val="36"/>
    </w:rPr>
  </w:style>
  <w:style w:type="paragraph" w:customStyle="1" w:styleId="IPPAnnexHead">
    <w:name w:val="IPP AnnexHead"/>
    <w:basedOn w:val="IPPNormal"/>
    <w:next w:val="IPPNormal"/>
    <w:rsid w:val="009D2B4C"/>
    <w:pPr>
      <w:keepNext/>
      <w:tabs>
        <w:tab w:val="clear" w:pos="1440"/>
        <w:tab w:val="left" w:pos="567"/>
        <w:tab w:val="num" w:pos="720"/>
      </w:tabs>
      <w:spacing w:before="120"/>
      <w:jc w:val="left"/>
      <w:outlineLvl w:val="1"/>
    </w:pPr>
    <w:rPr>
      <w:b/>
      <w:sz w:val="24"/>
    </w:rPr>
  </w:style>
  <w:style w:type="paragraph" w:customStyle="1" w:styleId="IPPNormalCloseSpace">
    <w:name w:val="IPP NormalCloseSpace"/>
    <w:basedOn w:val="Normal"/>
    <w:rsid w:val="009D2B4C"/>
    <w:pPr>
      <w:keepNext/>
      <w:tabs>
        <w:tab w:val="num" w:pos="1270"/>
      </w:tabs>
      <w:spacing w:before="100" w:after="60"/>
      <w:ind w:right="720"/>
      <w:jc w:val="both"/>
    </w:pPr>
    <w:rPr>
      <w:i/>
      <w:color w:val="auto"/>
      <w:sz w:val="18"/>
    </w:rPr>
  </w:style>
  <w:style w:type="paragraph" w:customStyle="1" w:styleId="IPPHeading2">
    <w:name w:val="IPP Heading2"/>
    <w:basedOn w:val="IPPNormal"/>
    <w:next w:val="IPPNormal"/>
    <w:rsid w:val="009D2B4C"/>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rsid w:val="009D2B4C"/>
    <w:pPr>
      <w:spacing w:after="60"/>
      <w:ind w:left="567" w:hanging="567"/>
    </w:pPr>
  </w:style>
  <w:style w:type="paragraph" w:customStyle="1" w:styleId="IPPArial">
    <w:name w:val="IPP Arial"/>
    <w:basedOn w:val="IPPNormal"/>
    <w:rsid w:val="009D2B4C"/>
    <w:pPr>
      <w:spacing w:after="0"/>
    </w:pPr>
    <w:rPr>
      <w:rFonts w:ascii="Arial" w:hAnsi="Arial"/>
    </w:rPr>
  </w:style>
  <w:style w:type="paragraph" w:customStyle="1" w:styleId="IPPArialTable">
    <w:name w:val="IPP Arial Table"/>
    <w:basedOn w:val="IPPArial"/>
    <w:rsid w:val="009D2B4C"/>
    <w:pPr>
      <w:spacing w:before="60" w:after="60"/>
      <w:jc w:val="left"/>
    </w:pPr>
  </w:style>
  <w:style w:type="paragraph" w:customStyle="1" w:styleId="IPPSubheadSpace">
    <w:name w:val="IPP Subhead Space"/>
    <w:basedOn w:val="IPPSubhead"/>
    <w:rsid w:val="009D2B4C"/>
    <w:pPr>
      <w:tabs>
        <w:tab w:val="left" w:pos="567"/>
      </w:tabs>
      <w:spacing w:before="60" w:after="60"/>
    </w:pPr>
  </w:style>
  <w:style w:type="paragraph" w:customStyle="1" w:styleId="IPPNumberedList">
    <w:name w:val="IPP NumberedList"/>
    <w:basedOn w:val="IPPBullet1"/>
    <w:rsid w:val="009D2B4C"/>
    <w:pPr>
      <w:tabs>
        <w:tab w:val="clear" w:pos="926"/>
      </w:tabs>
      <w:ind w:left="720"/>
    </w:pPr>
  </w:style>
  <w:style w:type="paragraph" w:customStyle="1" w:styleId="IPPNumberedListLast">
    <w:name w:val="IPP NumberedListLast"/>
    <w:basedOn w:val="IPPNumberedList"/>
    <w:rsid w:val="009D2B4C"/>
    <w:pPr>
      <w:spacing w:after="180"/>
    </w:pPr>
  </w:style>
  <w:style w:type="paragraph" w:customStyle="1" w:styleId="IPPHdg1Num">
    <w:name w:val="IPP Hdg1Num"/>
    <w:basedOn w:val="IPPNormal"/>
    <w:next w:val="IPPNormal"/>
    <w:rsid w:val="009D2B4C"/>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rsid w:val="009D2B4C"/>
    <w:pPr>
      <w:tabs>
        <w:tab w:val="clear" w:pos="926"/>
        <w:tab w:val="num" w:pos="720"/>
      </w:tabs>
      <w:ind w:left="720"/>
    </w:pPr>
  </w:style>
  <w:style w:type="paragraph" w:customStyle="1" w:styleId="IPPLetterList">
    <w:name w:val="IPP LetterList"/>
    <w:basedOn w:val="IPPBullet2"/>
    <w:rsid w:val="009D2B4C"/>
    <w:pPr>
      <w:tabs>
        <w:tab w:val="clear" w:pos="643"/>
        <w:tab w:val="num" w:pos="360"/>
      </w:tabs>
      <w:ind w:left="360"/>
      <w:jc w:val="left"/>
    </w:pPr>
  </w:style>
  <w:style w:type="paragraph" w:customStyle="1" w:styleId="IPPSubheadSpace3">
    <w:name w:val="IPP Subhead Space3"/>
    <w:basedOn w:val="IPPSubhead"/>
    <w:rsid w:val="009D2B4C"/>
    <w:pPr>
      <w:spacing w:before="60" w:after="60"/>
    </w:pPr>
  </w:style>
  <w:style w:type="paragraph" w:customStyle="1" w:styleId="font1">
    <w:name w:val="font1"/>
    <w:basedOn w:val="Normal"/>
    <w:rsid w:val="009D2B4C"/>
    <w:pPr>
      <w:spacing w:before="100" w:after="100"/>
      <w:ind w:right="720"/>
    </w:pPr>
    <w:rPr>
      <w:rFonts w:ascii="Arial" w:hAnsi="Arial"/>
      <w:i/>
      <w:color w:val="auto"/>
      <w:sz w:val="20"/>
      <w:lang w:val="en-US"/>
    </w:rPr>
  </w:style>
  <w:style w:type="paragraph" w:customStyle="1" w:styleId="Contents">
    <w:name w:val="Contents"/>
    <w:rsid w:val="009D2B4C"/>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rsid w:val="009D2B4C"/>
    <w:pPr>
      <w:ind w:left="851" w:right="851"/>
    </w:pPr>
    <w:rPr>
      <w:sz w:val="19"/>
    </w:rPr>
  </w:style>
  <w:style w:type="character" w:customStyle="1" w:styleId="NewParaChar">
    <w:name w:val="NewPara Char"/>
    <w:rsid w:val="009D2B4C"/>
    <w:rPr>
      <w:rFonts w:ascii="Times New Roman" w:hAnsi="Times New Roman"/>
      <w:noProof/>
      <w:sz w:val="20"/>
    </w:rPr>
  </w:style>
  <w:style w:type="paragraph" w:customStyle="1" w:styleId="IPPHeading1Appendix">
    <w:name w:val="IPP Heading1 Appendix"/>
    <w:basedOn w:val="IPPHeading1"/>
    <w:rsid w:val="009D2B4C"/>
    <w:pPr>
      <w:ind w:left="720" w:hanging="360"/>
      <w:outlineLvl w:val="9"/>
    </w:pPr>
  </w:style>
  <w:style w:type="paragraph" w:customStyle="1" w:styleId="IPPHeadSectionAppendix">
    <w:name w:val="IPP HeadSection Appendix"/>
    <w:basedOn w:val="IPPHeadSection"/>
    <w:rsid w:val="009D2B4C"/>
    <w:pPr>
      <w:ind w:left="720" w:hanging="360"/>
      <w:outlineLvl w:val="9"/>
    </w:pPr>
  </w:style>
  <w:style w:type="paragraph" w:customStyle="1" w:styleId="IPPHeading2Appendix">
    <w:name w:val="IPP Heading2 Appendix"/>
    <w:basedOn w:val="IPPHeading2"/>
    <w:rsid w:val="009D2B4C"/>
    <w:pPr>
      <w:tabs>
        <w:tab w:val="left" w:pos="851"/>
        <w:tab w:val="left" w:pos="1134"/>
      </w:tabs>
      <w:ind w:left="720" w:hanging="360"/>
      <w:outlineLvl w:val="9"/>
    </w:pPr>
  </w:style>
  <w:style w:type="paragraph" w:customStyle="1" w:styleId="IPPAnnexHeadAppendix">
    <w:name w:val="IPP AnnexHead Appendix"/>
    <w:basedOn w:val="IPPAnnexHead"/>
    <w:rsid w:val="009D2B4C"/>
    <w:pPr>
      <w:tabs>
        <w:tab w:val="clear" w:pos="567"/>
        <w:tab w:val="clear" w:pos="720"/>
        <w:tab w:val="num" w:pos="360"/>
        <w:tab w:val="num" w:pos="1440"/>
      </w:tabs>
      <w:ind w:left="1440" w:hanging="360"/>
      <w:outlineLvl w:val="9"/>
    </w:pPr>
  </w:style>
  <w:style w:type="paragraph" w:customStyle="1" w:styleId="IPPIndent">
    <w:name w:val="IPP Indent"/>
    <w:basedOn w:val="Normal"/>
    <w:rsid w:val="009D2B4C"/>
    <w:pPr>
      <w:tabs>
        <w:tab w:val="left" w:pos="2835"/>
      </w:tabs>
      <w:spacing w:before="100" w:after="180"/>
      <w:ind w:left="567" w:right="720"/>
      <w:jc w:val="both"/>
    </w:pPr>
    <w:rPr>
      <w:i/>
      <w:color w:val="auto"/>
      <w:sz w:val="18"/>
    </w:rPr>
  </w:style>
  <w:style w:type="paragraph" w:customStyle="1" w:styleId="FooterLandscape">
    <w:name w:val="FooterLandscape"/>
    <w:basedOn w:val="Footer"/>
    <w:rsid w:val="009D2B4C"/>
    <w:pPr>
      <w:tabs>
        <w:tab w:val="clear" w:pos="4320"/>
        <w:tab w:val="clear" w:pos="8640"/>
        <w:tab w:val="right" w:pos="13892"/>
      </w:tabs>
      <w:spacing w:before="100" w:after="0"/>
      <w:ind w:right="720"/>
    </w:pPr>
    <w:rPr>
      <w:rFonts w:ascii="Arial" w:eastAsia="Times New Roman" w:hAnsi="Arial"/>
      <w:i/>
      <w:sz w:val="18"/>
    </w:rPr>
  </w:style>
  <w:style w:type="paragraph" w:customStyle="1" w:styleId="IPPNumberClose">
    <w:name w:val="IPP NumberClose"/>
    <w:basedOn w:val="IPPNumber"/>
    <w:rsid w:val="009D2B4C"/>
    <w:pPr>
      <w:keepNext/>
      <w:spacing w:after="60"/>
    </w:pPr>
  </w:style>
  <w:style w:type="paragraph" w:customStyle="1" w:styleId="IPPNumber">
    <w:name w:val="IPP Number"/>
    <w:basedOn w:val="IPPNormal"/>
    <w:rsid w:val="009D2B4C"/>
    <w:pPr>
      <w:tabs>
        <w:tab w:val="clear" w:pos="1440"/>
        <w:tab w:val="num" w:pos="720"/>
        <w:tab w:val="num" w:pos="1492"/>
      </w:tabs>
      <w:ind w:left="1492" w:hanging="360"/>
    </w:pPr>
  </w:style>
  <w:style w:type="paragraph" w:customStyle="1" w:styleId="IPPNumberedListLast0">
    <w:name w:val="IPPNumberedListLast"/>
    <w:basedOn w:val="IPPNumberedList0"/>
    <w:rsid w:val="009D2B4C"/>
    <w:pPr>
      <w:tabs>
        <w:tab w:val="clear" w:pos="720"/>
        <w:tab w:val="num" w:pos="680"/>
      </w:tabs>
      <w:spacing w:after="180"/>
      <w:ind w:left="680" w:hanging="680"/>
    </w:pPr>
  </w:style>
  <w:style w:type="paragraph" w:customStyle="1" w:styleId="Comments">
    <w:name w:val="Comments"/>
    <w:basedOn w:val="Normal"/>
    <w:rsid w:val="009D2B4C"/>
    <w:pPr>
      <w:spacing w:before="100" w:after="0"/>
      <w:ind w:left="284" w:right="720" w:hanging="284"/>
      <w:jc w:val="both"/>
    </w:pPr>
    <w:rPr>
      <w:i/>
      <w:color w:val="auto"/>
      <w:sz w:val="18"/>
    </w:rPr>
  </w:style>
  <w:style w:type="paragraph" w:customStyle="1" w:styleId="Indent1">
    <w:name w:val="Indent 1"/>
    <w:basedOn w:val="Normal"/>
    <w:rsid w:val="009D2B4C"/>
    <w:pPr>
      <w:spacing w:before="100" w:after="60"/>
      <w:ind w:left="567" w:right="720"/>
    </w:pPr>
    <w:rPr>
      <w:rFonts w:ascii="Georgia" w:hAnsi="Georgia"/>
      <w:i/>
      <w:color w:val="auto"/>
      <w:sz w:val="18"/>
      <w:lang w:val="en-AU"/>
    </w:rPr>
  </w:style>
  <w:style w:type="paragraph" w:customStyle="1" w:styleId="Subhead">
    <w:name w:val="Subhead"/>
    <w:basedOn w:val="Normal"/>
    <w:rsid w:val="009D2B4C"/>
    <w:pPr>
      <w:keepNext/>
      <w:spacing w:before="120" w:after="60"/>
      <w:ind w:right="720"/>
    </w:pPr>
    <w:rPr>
      <w:rFonts w:ascii="Georgia" w:hAnsi="Georgia"/>
      <w:b/>
      <w:i/>
      <w:color w:val="auto"/>
      <w:sz w:val="19"/>
      <w:lang w:val="en-AU"/>
    </w:rPr>
  </w:style>
  <w:style w:type="paragraph" w:customStyle="1" w:styleId="IPPNumberSubhead">
    <w:name w:val="IPP NumberSubhead"/>
    <w:basedOn w:val="IPPNumber"/>
    <w:rsid w:val="009D2B4C"/>
    <w:pPr>
      <w:keepNext/>
      <w:tabs>
        <w:tab w:val="clear" w:pos="720"/>
        <w:tab w:val="clear" w:pos="1492"/>
        <w:tab w:val="num" w:pos="567"/>
        <w:tab w:val="num" w:pos="780"/>
      </w:tabs>
      <w:spacing w:after="60"/>
      <w:ind w:left="780" w:firstLine="0"/>
    </w:pPr>
    <w:rPr>
      <w:b/>
    </w:rPr>
  </w:style>
  <w:style w:type="paragraph" w:customStyle="1" w:styleId="IPPSubheadNumber">
    <w:name w:val="IPP SubheadNumber"/>
    <w:basedOn w:val="IPPSubhead"/>
    <w:rsid w:val="009D2B4C"/>
    <w:pPr>
      <w:tabs>
        <w:tab w:val="num" w:pos="643"/>
        <w:tab w:val="num" w:pos="720"/>
      </w:tabs>
      <w:ind w:left="720" w:hanging="360"/>
    </w:pPr>
  </w:style>
  <w:style w:type="paragraph" w:customStyle="1" w:styleId="IPPLetterListIndent">
    <w:name w:val="IPP LetterList Indent"/>
    <w:basedOn w:val="IPPLetterList"/>
    <w:rsid w:val="009D2B4C"/>
    <w:pPr>
      <w:tabs>
        <w:tab w:val="clear" w:pos="360"/>
        <w:tab w:val="clear" w:pos="567"/>
        <w:tab w:val="num" w:pos="720"/>
        <w:tab w:val="num" w:pos="926"/>
      </w:tabs>
      <w:ind w:left="720"/>
    </w:pPr>
  </w:style>
  <w:style w:type="paragraph" w:customStyle="1" w:styleId="IPPSubheadSpaceAfter">
    <w:name w:val="IPP Subhead SpaceAfter"/>
    <w:basedOn w:val="IPPSubhead"/>
    <w:rsid w:val="009D2B4C"/>
    <w:pPr>
      <w:spacing w:after="60"/>
    </w:pPr>
  </w:style>
  <w:style w:type="paragraph" w:customStyle="1" w:styleId="IPPArialFootnote">
    <w:name w:val="IPP Arial Footnote"/>
    <w:basedOn w:val="IPPArialTable"/>
    <w:rsid w:val="009D2B4C"/>
    <w:pPr>
      <w:tabs>
        <w:tab w:val="left" w:pos="567"/>
      </w:tabs>
      <w:ind w:left="567" w:hanging="567"/>
    </w:pPr>
    <w:rPr>
      <w:sz w:val="16"/>
    </w:rPr>
  </w:style>
  <w:style w:type="paragraph" w:customStyle="1" w:styleId="IPPContentsHead">
    <w:name w:val="IPP ContentsHead"/>
    <w:basedOn w:val="IPPSubhead"/>
    <w:next w:val="IPPNormal"/>
    <w:rsid w:val="009D2B4C"/>
    <w:pPr>
      <w:spacing w:after="240"/>
    </w:pPr>
    <w:rPr>
      <w:sz w:val="24"/>
    </w:rPr>
  </w:style>
  <w:style w:type="paragraph" w:customStyle="1" w:styleId="IPPNumberedListArial">
    <w:name w:val="IPP NumberedListArial"/>
    <w:basedOn w:val="IPPNumberedList"/>
    <w:rsid w:val="009D2B4C"/>
    <w:pPr>
      <w:tabs>
        <w:tab w:val="num" w:pos="567"/>
      </w:tabs>
      <w:ind w:left="567" w:hanging="567"/>
    </w:pPr>
    <w:rPr>
      <w:rFonts w:ascii="Arial" w:hAnsi="Arial"/>
    </w:rPr>
  </w:style>
  <w:style w:type="paragraph" w:customStyle="1" w:styleId="IPPIndentClose">
    <w:name w:val="IPP Indent Close"/>
    <w:basedOn w:val="IPPNormal"/>
    <w:rsid w:val="009D2B4C"/>
    <w:pPr>
      <w:tabs>
        <w:tab w:val="clear" w:pos="1440"/>
        <w:tab w:val="left" w:pos="2835"/>
      </w:tabs>
      <w:spacing w:after="60"/>
      <w:ind w:left="567"/>
    </w:pPr>
  </w:style>
  <w:style w:type="paragraph" w:customStyle="1" w:styleId="IPPHdg2Num">
    <w:name w:val="IPP Hdg2Num"/>
    <w:basedOn w:val="IPPNormal"/>
    <w:next w:val="IPPNormal"/>
    <w:rsid w:val="009D2B4C"/>
    <w:pPr>
      <w:keepNext/>
      <w:tabs>
        <w:tab w:val="left" w:pos="567"/>
        <w:tab w:val="num" w:pos="680"/>
      </w:tabs>
      <w:spacing w:before="120" w:after="120"/>
      <w:ind w:left="680" w:hanging="680"/>
      <w:outlineLvl w:val="2"/>
    </w:pPr>
    <w:rPr>
      <w:b/>
      <w:sz w:val="24"/>
    </w:rPr>
  </w:style>
  <w:style w:type="character" w:customStyle="1" w:styleId="FollowedHyperlink1">
    <w:name w:val="FollowedHyperlink1"/>
    <w:rsid w:val="009D2B4C"/>
    <w:rPr>
      <w:color w:val="800080"/>
      <w:u w:val="single"/>
    </w:rPr>
  </w:style>
  <w:style w:type="character" w:customStyle="1" w:styleId="txt">
    <w:name w:val="txt"/>
    <w:rsid w:val="009D2B4C"/>
    <w:rPr>
      <w:rFonts w:cs="Times New Roman"/>
    </w:rPr>
  </w:style>
  <w:style w:type="character" w:customStyle="1" w:styleId="highlight">
    <w:name w:val="highlight"/>
    <w:rsid w:val="009D2B4C"/>
  </w:style>
  <w:style w:type="paragraph" w:styleId="HTMLPreformatted">
    <w:name w:val="HTML Preformatted"/>
    <w:basedOn w:val="Normal"/>
    <w:link w:val="HTMLPreformattedChar"/>
    <w:locked/>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auto"/>
      <w:sz w:val="20"/>
    </w:rPr>
  </w:style>
  <w:style w:type="character" w:customStyle="1" w:styleId="HTMLPreformattedChar">
    <w:name w:val="HTML Preformatted Char"/>
    <w:link w:val="HTMLPreformatted"/>
    <w:locked/>
    <w:rsid w:val="009D2B4C"/>
    <w:rPr>
      <w:rFonts w:ascii="Courier New" w:hAnsi="Courier New" w:cs="Times New Roman"/>
    </w:rPr>
  </w:style>
  <w:style w:type="paragraph" w:styleId="BodyTextFirstIndent2">
    <w:name w:val="Body Text First Indent 2"/>
    <w:basedOn w:val="BodyTextIndent"/>
    <w:link w:val="BodyTextFirstIndent2Char"/>
    <w:semiHidden/>
    <w:locked/>
    <w:rsid w:val="009D2B4C"/>
    <w:pPr>
      <w:spacing w:after="120" w:line="240" w:lineRule="auto"/>
      <w:ind w:left="283" w:firstLine="210"/>
    </w:pPr>
  </w:style>
  <w:style w:type="character" w:customStyle="1" w:styleId="BodyTextFirstIndent2Char">
    <w:name w:val="Body Text First Indent 2 Char"/>
    <w:link w:val="BodyTextFirstIndent2"/>
    <w:semiHidden/>
    <w:locked/>
    <w:rPr>
      <w:rFonts w:ascii="Times New Roman" w:hAnsi="Times New Roman" w:cs="Times New Roman"/>
      <w:color w:val="000000"/>
      <w:sz w:val="20"/>
      <w:szCs w:val="20"/>
      <w:lang w:val="en-GB" w:eastAsia="zh-CN"/>
    </w:rPr>
  </w:style>
  <w:style w:type="character" w:customStyle="1" w:styleId="pagination">
    <w:name w:val="pagination"/>
    <w:rsid w:val="009D2B4C"/>
    <w:rPr>
      <w:rFonts w:cs="Times New Roman"/>
    </w:rPr>
  </w:style>
  <w:style w:type="character" w:customStyle="1" w:styleId="CarCar5">
    <w:name w:val="Car Car5"/>
    <w:rsid w:val="009D2B4C"/>
    <w:rPr>
      <w:sz w:val="24"/>
      <w:u w:val="single"/>
      <w:lang w:val="en-US" w:eastAsia="ja-JP"/>
    </w:rPr>
  </w:style>
  <w:style w:type="character" w:customStyle="1" w:styleId="CarCar4">
    <w:name w:val="Car Car4"/>
    <w:rsid w:val="009D2B4C"/>
    <w:rPr>
      <w:rFonts w:eastAsia="MS Mincho"/>
      <w:b/>
      <w:kern w:val="32"/>
      <w:sz w:val="24"/>
      <w:lang w:val="en-US" w:eastAsia="ja-JP"/>
    </w:rPr>
  </w:style>
  <w:style w:type="character" w:customStyle="1" w:styleId="CarCar3">
    <w:name w:val="Car Car3"/>
    <w:locked/>
    <w:rsid w:val="009D2B4C"/>
    <w:rPr>
      <w:rFonts w:eastAsia="MS Mincho"/>
      <w:b/>
      <w:i/>
      <w:kern w:val="32"/>
      <w:sz w:val="26"/>
      <w:lang w:val="it-IT" w:eastAsia="ja-JP"/>
    </w:rPr>
  </w:style>
  <w:style w:type="paragraph" w:customStyle="1" w:styleId="CM7">
    <w:name w:val="CM7"/>
    <w:basedOn w:val="Normal"/>
    <w:next w:val="Normal"/>
    <w:rsid w:val="009D2B4C"/>
    <w:pPr>
      <w:autoSpaceDE w:val="0"/>
      <w:autoSpaceDN w:val="0"/>
      <w:adjustRightInd w:val="0"/>
      <w:spacing w:after="0" w:line="198" w:lineRule="atLeast"/>
    </w:pPr>
    <w:rPr>
      <w:rFonts w:ascii="OJFKL G+ Melior" w:hAnsi="OJFKL G+ Melior"/>
      <w:i/>
      <w:color w:val="auto"/>
      <w:sz w:val="18"/>
      <w:lang w:val="fr-FR"/>
    </w:rPr>
  </w:style>
  <w:style w:type="paragraph" w:customStyle="1" w:styleId="mainheader">
    <w:name w:val="mainheader"/>
    <w:basedOn w:val="Normal"/>
    <w:rsid w:val="009D2B4C"/>
    <w:pPr>
      <w:spacing w:before="100" w:after="100"/>
    </w:pPr>
    <w:rPr>
      <w:rFonts w:eastAsia="MS Mincho"/>
      <w:i/>
      <w:color w:val="auto"/>
      <w:sz w:val="18"/>
      <w:lang w:val="fr-FR" w:eastAsia="ja-JP"/>
    </w:rPr>
  </w:style>
  <w:style w:type="character" w:customStyle="1" w:styleId="surname">
    <w:name w:val="surname"/>
    <w:rsid w:val="009D2B4C"/>
    <w:rPr>
      <w:rFonts w:cs="Times New Roman"/>
    </w:rPr>
  </w:style>
  <w:style w:type="character" w:customStyle="1" w:styleId="CarCar6">
    <w:name w:val="Car Car6"/>
    <w:locked/>
    <w:rsid w:val="009D2B4C"/>
    <w:rPr>
      <w:rFonts w:eastAsia="MS Mincho"/>
      <w:sz w:val="24"/>
      <w:lang w:val="fr-FR" w:eastAsia="ja-JP"/>
    </w:rPr>
  </w:style>
  <w:style w:type="character" w:customStyle="1" w:styleId="name0">
    <w:name w:val="name"/>
    <w:rsid w:val="009D2B4C"/>
    <w:rPr>
      <w:rFonts w:cs="Times New Roman"/>
    </w:rPr>
  </w:style>
  <w:style w:type="character" w:customStyle="1" w:styleId="forenames">
    <w:name w:val="forenames"/>
    <w:rsid w:val="009D2B4C"/>
    <w:rPr>
      <w:rFonts w:cs="Times New Roman"/>
    </w:rPr>
  </w:style>
  <w:style w:type="character" w:customStyle="1" w:styleId="txtsmall">
    <w:name w:val="txtsmall"/>
    <w:rsid w:val="009D2B4C"/>
    <w:rPr>
      <w:rFonts w:cs="Times New Roman"/>
    </w:rPr>
  </w:style>
  <w:style w:type="character" w:customStyle="1" w:styleId="mw-formatted-date">
    <w:name w:val="mw-formatted-date"/>
    <w:rsid w:val="009D2B4C"/>
    <w:rPr>
      <w:rFonts w:cs="Times New Roman"/>
    </w:rPr>
  </w:style>
  <w:style w:type="paragraph" w:customStyle="1" w:styleId="MediumGrid1-Accent22">
    <w:name w:val="Medium Grid 1 - Accent 22"/>
    <w:basedOn w:val="Normal"/>
    <w:rsid w:val="009D2B4C"/>
    <w:pPr>
      <w:spacing w:after="200" w:line="276" w:lineRule="auto"/>
      <w:ind w:left="720"/>
    </w:pPr>
    <w:rPr>
      <w:rFonts w:ascii="Calibri" w:hAnsi="Calibri"/>
      <w:i/>
      <w:color w:val="auto"/>
    </w:rPr>
  </w:style>
  <w:style w:type="character" w:customStyle="1" w:styleId="fm-citation-ids-label1">
    <w:name w:val="fm-citation-ids-label1"/>
    <w:rsid w:val="009D2B4C"/>
    <w:rPr>
      <w:color w:val="333333"/>
    </w:rPr>
  </w:style>
  <w:style w:type="character" w:customStyle="1" w:styleId="citation-abbreviation2">
    <w:name w:val="citation-abbreviation2"/>
    <w:rsid w:val="009D2B4C"/>
    <w:rPr>
      <w:rFonts w:cs="Times New Roman"/>
    </w:rPr>
  </w:style>
  <w:style w:type="character" w:customStyle="1" w:styleId="citation-publication-date">
    <w:name w:val="citation-publication-date"/>
    <w:rsid w:val="009D2B4C"/>
    <w:rPr>
      <w:rFonts w:cs="Times New Roman"/>
    </w:rPr>
  </w:style>
  <w:style w:type="character" w:customStyle="1" w:styleId="citation-volume">
    <w:name w:val="citation-volume"/>
    <w:rsid w:val="009D2B4C"/>
    <w:rPr>
      <w:rFonts w:cs="Times New Roman"/>
    </w:rPr>
  </w:style>
  <w:style w:type="character" w:customStyle="1" w:styleId="citation-issue">
    <w:name w:val="citation-issue"/>
    <w:rsid w:val="009D2B4C"/>
    <w:rPr>
      <w:rFonts w:cs="Times New Roman"/>
    </w:rPr>
  </w:style>
  <w:style w:type="character" w:customStyle="1" w:styleId="citation-flpages">
    <w:name w:val="citation-flpages"/>
    <w:rsid w:val="009D2B4C"/>
    <w:rPr>
      <w:rFonts w:cs="Times New Roman"/>
    </w:rPr>
  </w:style>
  <w:style w:type="paragraph" w:customStyle="1" w:styleId="citation">
    <w:name w:val="citation"/>
    <w:basedOn w:val="Normal"/>
    <w:rsid w:val="009D2B4C"/>
    <w:pPr>
      <w:spacing w:before="100" w:after="100"/>
    </w:pPr>
    <w:rPr>
      <w:i/>
      <w:color w:val="auto"/>
      <w:sz w:val="18"/>
    </w:rPr>
  </w:style>
  <w:style w:type="paragraph" w:customStyle="1" w:styleId="authlist">
    <w:name w:val="auth_list"/>
    <w:basedOn w:val="Normal"/>
    <w:rsid w:val="009D2B4C"/>
    <w:pPr>
      <w:spacing w:before="100" w:after="100"/>
    </w:pPr>
    <w:rPr>
      <w:i/>
      <w:color w:val="auto"/>
      <w:sz w:val="18"/>
    </w:rPr>
  </w:style>
  <w:style w:type="paragraph" w:customStyle="1" w:styleId="MDthesisHeading2">
    <w:name w:val="MD thesis Heading 2"/>
    <w:basedOn w:val="Heading2"/>
    <w:next w:val="Normal"/>
    <w:autoRedefine/>
    <w:rsid w:val="009D2B4C"/>
    <w:pPr>
      <w:widowControl w:val="0"/>
      <w:autoSpaceDE w:val="0"/>
      <w:autoSpaceDN w:val="0"/>
      <w:adjustRightInd w:val="0"/>
      <w:spacing w:before="120" w:after="60" w:line="360" w:lineRule="auto"/>
      <w:ind w:left="709" w:right="29" w:firstLine="720"/>
      <w:jc w:val="both"/>
    </w:pPr>
    <w:rPr>
      <w:b w:val="0"/>
      <w:i/>
      <w:szCs w:val="24"/>
      <w:lang w:val="en-GB"/>
    </w:rPr>
  </w:style>
  <w:style w:type="paragraph" w:customStyle="1" w:styleId="title1">
    <w:name w:val="title1"/>
    <w:basedOn w:val="Normal"/>
    <w:rsid w:val="009D2B4C"/>
    <w:pPr>
      <w:spacing w:after="0"/>
    </w:pPr>
    <w:rPr>
      <w:i/>
      <w:color w:val="auto"/>
      <w:sz w:val="29"/>
    </w:rPr>
  </w:style>
  <w:style w:type="paragraph" w:customStyle="1" w:styleId="rprtbody1">
    <w:name w:val="rprtbody1"/>
    <w:basedOn w:val="Normal"/>
    <w:rsid w:val="009D2B4C"/>
    <w:pPr>
      <w:spacing w:before="34" w:after="34"/>
    </w:pPr>
    <w:rPr>
      <w:i/>
      <w:color w:val="auto"/>
      <w:sz w:val="28"/>
    </w:rPr>
  </w:style>
  <w:style w:type="paragraph" w:customStyle="1" w:styleId="aux1">
    <w:name w:val="aux1"/>
    <w:basedOn w:val="Normal"/>
    <w:rsid w:val="009D2B4C"/>
    <w:pPr>
      <w:spacing w:after="0" w:line="320" w:lineRule="atLeast"/>
    </w:pPr>
    <w:rPr>
      <w:i/>
      <w:color w:val="auto"/>
      <w:sz w:val="18"/>
    </w:rPr>
  </w:style>
  <w:style w:type="character" w:customStyle="1" w:styleId="src1">
    <w:name w:val="src1"/>
    <w:rsid w:val="009D2B4C"/>
  </w:style>
  <w:style w:type="character" w:customStyle="1" w:styleId="jrnl">
    <w:name w:val="jrnl"/>
    <w:rsid w:val="009D2B4C"/>
    <w:rPr>
      <w:rFonts w:cs="Times New Roman"/>
    </w:rPr>
  </w:style>
  <w:style w:type="character" w:customStyle="1" w:styleId="prevauthlinks1">
    <w:name w:val="prevauthlinks1"/>
    <w:rsid w:val="009D2B4C"/>
    <w:rPr>
      <w:color w:val="C0C0C0"/>
      <w:u w:val="single"/>
    </w:rPr>
  </w:style>
  <w:style w:type="character" w:customStyle="1" w:styleId="nbapihighlight">
    <w:name w:val="nbapihighlight"/>
    <w:rsid w:val="009D2B4C"/>
    <w:rPr>
      <w:rFonts w:cs="Times New Roman"/>
    </w:rPr>
  </w:style>
  <w:style w:type="character" w:customStyle="1" w:styleId="bf">
    <w:name w:val="bf"/>
    <w:rsid w:val="009D2B4C"/>
    <w:rPr>
      <w:rFonts w:cs="Times New Roman"/>
    </w:rPr>
  </w:style>
  <w:style w:type="character" w:customStyle="1" w:styleId="it">
    <w:name w:val="it"/>
    <w:rsid w:val="009D2B4C"/>
    <w:rPr>
      <w:rFonts w:cs="Times New Roman"/>
    </w:rPr>
  </w:style>
  <w:style w:type="paragraph" w:customStyle="1" w:styleId="ptdocpara">
    <w:name w:val="ptdocpara"/>
    <w:basedOn w:val="Normal"/>
    <w:rsid w:val="009D2B4C"/>
    <w:pPr>
      <w:spacing w:before="100" w:after="100"/>
    </w:pPr>
    <w:rPr>
      <w:i/>
      <w:color w:val="auto"/>
      <w:sz w:val="18"/>
    </w:rPr>
  </w:style>
  <w:style w:type="character" w:customStyle="1" w:styleId="ptdocpublication">
    <w:name w:val="ptdocpublication"/>
    <w:rsid w:val="009D2B4C"/>
    <w:rPr>
      <w:rFonts w:cs="Times New Roman"/>
    </w:rPr>
  </w:style>
  <w:style w:type="character" w:customStyle="1" w:styleId="ptdocissuevolume">
    <w:name w:val="ptdocissuevolume"/>
    <w:rsid w:val="009D2B4C"/>
    <w:rPr>
      <w:rFonts w:cs="Times New Roman"/>
    </w:rPr>
  </w:style>
  <w:style w:type="character" w:customStyle="1" w:styleId="ptdocissuedate">
    <w:name w:val="ptdocissuedate"/>
    <w:rsid w:val="009D2B4C"/>
    <w:rPr>
      <w:rFonts w:cs="Times New Roman"/>
    </w:rPr>
  </w:style>
  <w:style w:type="character" w:customStyle="1" w:styleId="ptdocissuepage">
    <w:name w:val="ptdocissuepage"/>
    <w:rsid w:val="009D2B4C"/>
    <w:rPr>
      <w:rFonts w:cs="Times New Roman"/>
    </w:rPr>
  </w:style>
  <w:style w:type="paragraph" w:customStyle="1" w:styleId="Referencetext121">
    <w:name w:val="סגנון Reference text + ‏12 נק מודגש1"/>
    <w:basedOn w:val="Normal"/>
    <w:autoRedefine/>
    <w:rsid w:val="009D2B4C"/>
    <w:pPr>
      <w:spacing w:after="0" w:line="480" w:lineRule="auto"/>
      <w:jc w:val="both"/>
    </w:pPr>
    <w:rPr>
      <w:i/>
      <w:color w:val="auto"/>
      <w:sz w:val="18"/>
    </w:rPr>
  </w:style>
  <w:style w:type="paragraph" w:customStyle="1" w:styleId="10">
    <w:name w:val="סגנון כותרת 1 +"/>
    <w:basedOn w:val="Heading1"/>
    <w:rsid w:val="009D2B4C"/>
    <w:pPr>
      <w:tabs>
        <w:tab w:val="clear" w:pos="709"/>
        <w:tab w:val="left" w:pos="720"/>
      </w:tabs>
      <w:spacing w:before="240" w:after="60"/>
      <w:ind w:left="720" w:hanging="720"/>
    </w:pPr>
    <w:rPr>
      <w:rFonts w:ascii="Arial" w:hAnsi="Arial"/>
      <w:i/>
      <w:kern w:val="32"/>
      <w:sz w:val="32"/>
    </w:rPr>
  </w:style>
  <w:style w:type="paragraph" w:customStyle="1" w:styleId="14">
    <w:name w:val="אותיות גדולות 14"/>
    <w:basedOn w:val="10"/>
    <w:rsid w:val="009D2B4C"/>
    <w:rPr>
      <w:b/>
    </w:rPr>
  </w:style>
  <w:style w:type="paragraph" w:customStyle="1" w:styleId="a3">
    <w:name w:val="טקסט מרכזי"/>
    <w:basedOn w:val="Normal"/>
    <w:rsid w:val="009D2B4C"/>
    <w:pPr>
      <w:spacing w:after="0" w:line="480" w:lineRule="auto"/>
      <w:jc w:val="both"/>
    </w:pPr>
    <w:rPr>
      <w:rFonts w:ascii="Arial" w:hAnsi="Arial"/>
      <w:i/>
      <w:color w:val="auto"/>
      <w:sz w:val="18"/>
    </w:rPr>
  </w:style>
  <w:style w:type="character" w:customStyle="1" w:styleId="search1">
    <w:name w:val="search1"/>
    <w:rsid w:val="009D2B4C"/>
    <w:rPr>
      <w:color w:val="228622"/>
    </w:rPr>
  </w:style>
  <w:style w:type="character" w:customStyle="1" w:styleId="style221">
    <w:name w:val="style221"/>
    <w:rsid w:val="009D2B4C"/>
    <w:rPr>
      <w:color w:val="006633"/>
    </w:rPr>
  </w:style>
  <w:style w:type="character" w:customStyle="1" w:styleId="medium-normal1">
    <w:name w:val="medium-normal1"/>
    <w:rsid w:val="009D2B4C"/>
    <w:rPr>
      <w:rFonts w:ascii="Arial" w:hAnsi="Arial"/>
      <w:sz w:val="20"/>
    </w:rPr>
  </w:style>
  <w:style w:type="character" w:styleId="HTMLVariable">
    <w:name w:val="HTML Variable"/>
    <w:locked/>
    <w:rsid w:val="009D2B4C"/>
    <w:rPr>
      <w:rFonts w:ascii="Verdana" w:hAnsi="Verdana" w:cs="Times New Roman"/>
      <w:color w:val="000000"/>
      <w:sz w:val="20"/>
    </w:rPr>
  </w:style>
  <w:style w:type="paragraph" w:customStyle="1" w:styleId="last">
    <w:name w:val="last"/>
    <w:basedOn w:val="Normal"/>
    <w:rsid w:val="009D2B4C"/>
    <w:pPr>
      <w:spacing w:before="100" w:after="100"/>
    </w:pPr>
    <w:rPr>
      <w:i/>
      <w:color w:val="auto"/>
      <w:sz w:val="18"/>
    </w:rPr>
  </w:style>
  <w:style w:type="paragraph" w:customStyle="1" w:styleId="firstlast">
    <w:name w:val="first last"/>
    <w:basedOn w:val="Normal"/>
    <w:rsid w:val="009D2B4C"/>
    <w:pPr>
      <w:spacing w:before="100" w:after="100"/>
    </w:pPr>
    <w:rPr>
      <w:i/>
      <w:color w:val="auto"/>
      <w:sz w:val="18"/>
    </w:rPr>
  </w:style>
  <w:style w:type="character" w:customStyle="1" w:styleId="databold1">
    <w:name w:val="data_bold1"/>
    <w:rsid w:val="009D2B4C"/>
    <w:rPr>
      <w:b/>
    </w:rPr>
  </w:style>
  <w:style w:type="paragraph" w:customStyle="1" w:styleId="normaltext">
    <w:name w:val="normaltext"/>
    <w:basedOn w:val="Normal"/>
    <w:rsid w:val="009D2B4C"/>
    <w:pPr>
      <w:spacing w:before="120" w:after="60"/>
    </w:pPr>
    <w:rPr>
      <w:rFonts w:ascii="Arial" w:hAnsi="Arial"/>
      <w:i/>
      <w:sz w:val="20"/>
    </w:rPr>
  </w:style>
  <w:style w:type="paragraph" w:customStyle="1" w:styleId="heading10">
    <w:name w:val="heading1"/>
    <w:basedOn w:val="Normal"/>
    <w:next w:val="Normal"/>
    <w:rsid w:val="009D2B4C"/>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sid w:val="009D2B4C"/>
    <w:rPr>
      <w:rFonts w:ascii="Times" w:hAnsi="Times"/>
      <w:b/>
      <w:sz w:val="24"/>
      <w:lang w:val="en-US" w:eastAsia="de-DE"/>
    </w:rPr>
  </w:style>
  <w:style w:type="paragraph" w:customStyle="1" w:styleId="literaturelist">
    <w:name w:val="literature list"/>
    <w:basedOn w:val="Normal"/>
    <w:rsid w:val="009D2B4C"/>
    <w:pPr>
      <w:tabs>
        <w:tab w:val="num" w:pos="360"/>
        <w:tab w:val="num" w:pos="720"/>
        <w:tab w:val="left" w:pos="5760"/>
      </w:tabs>
      <w:spacing w:after="0" w:line="480" w:lineRule="auto"/>
      <w:ind w:left="360" w:right="170" w:hanging="360"/>
      <w:jc w:val="both"/>
      <w:outlineLvl w:val="0"/>
    </w:pPr>
    <w:rPr>
      <w:i/>
      <w:noProof/>
      <w:color w:val="auto"/>
      <w:sz w:val="18"/>
    </w:rPr>
  </w:style>
  <w:style w:type="character" w:customStyle="1" w:styleId="body1">
    <w:name w:val="body1"/>
    <w:rsid w:val="009D2B4C"/>
    <w:rPr>
      <w:rFonts w:ascii="Verdana" w:hAnsi="Verdana"/>
      <w:sz w:val="20"/>
    </w:rPr>
  </w:style>
  <w:style w:type="character" w:customStyle="1" w:styleId="bodybold1">
    <w:name w:val="bodybold1"/>
    <w:rsid w:val="009D2B4C"/>
    <w:rPr>
      <w:rFonts w:ascii="Verdana" w:hAnsi="Verdana"/>
      <w:b/>
      <w:sz w:val="20"/>
    </w:rPr>
  </w:style>
  <w:style w:type="paragraph" w:customStyle="1" w:styleId="CM1">
    <w:name w:val="CM1"/>
    <w:basedOn w:val="Default"/>
    <w:next w:val="Default"/>
    <w:rsid w:val="009D2B4C"/>
    <w:pPr>
      <w:widowControl w:val="0"/>
    </w:pPr>
    <w:rPr>
      <w:color w:val="auto"/>
    </w:rPr>
  </w:style>
  <w:style w:type="paragraph" w:customStyle="1" w:styleId="CM2">
    <w:name w:val="CM2"/>
    <w:basedOn w:val="Default"/>
    <w:next w:val="Default"/>
    <w:rsid w:val="009D2B4C"/>
    <w:pPr>
      <w:widowControl w:val="0"/>
      <w:spacing w:line="553" w:lineRule="atLeast"/>
    </w:pPr>
    <w:rPr>
      <w:color w:val="auto"/>
    </w:rPr>
  </w:style>
  <w:style w:type="paragraph" w:customStyle="1" w:styleId="CM27">
    <w:name w:val="CM27"/>
    <w:basedOn w:val="Default"/>
    <w:next w:val="Default"/>
    <w:rsid w:val="009D2B4C"/>
    <w:pPr>
      <w:widowControl w:val="0"/>
      <w:spacing w:after="78"/>
    </w:pPr>
    <w:rPr>
      <w:color w:val="auto"/>
    </w:rPr>
  </w:style>
  <w:style w:type="paragraph" w:customStyle="1" w:styleId="CM3">
    <w:name w:val="CM3"/>
    <w:basedOn w:val="Default"/>
    <w:next w:val="Default"/>
    <w:rsid w:val="009D2B4C"/>
    <w:pPr>
      <w:widowControl w:val="0"/>
      <w:tabs>
        <w:tab w:val="num" w:pos="680"/>
        <w:tab w:val="num" w:pos="1492"/>
      </w:tabs>
      <w:spacing w:line="551" w:lineRule="atLeast"/>
    </w:pPr>
    <w:rPr>
      <w:color w:val="auto"/>
    </w:rPr>
  </w:style>
  <w:style w:type="paragraph" w:customStyle="1" w:styleId="CM28">
    <w:name w:val="CM28"/>
    <w:basedOn w:val="Default"/>
    <w:next w:val="Default"/>
    <w:rsid w:val="009D2B4C"/>
    <w:pPr>
      <w:widowControl w:val="0"/>
      <w:spacing w:after="412"/>
    </w:pPr>
    <w:rPr>
      <w:color w:val="auto"/>
    </w:rPr>
  </w:style>
  <w:style w:type="paragraph" w:customStyle="1" w:styleId="CM30">
    <w:name w:val="CM30"/>
    <w:basedOn w:val="Default"/>
    <w:next w:val="Default"/>
    <w:rsid w:val="009D2B4C"/>
    <w:pPr>
      <w:widowControl w:val="0"/>
      <w:spacing w:after="75"/>
    </w:pPr>
    <w:rPr>
      <w:color w:val="auto"/>
    </w:rPr>
  </w:style>
  <w:style w:type="paragraph" w:customStyle="1" w:styleId="CM10">
    <w:name w:val="CM10"/>
    <w:basedOn w:val="Default"/>
    <w:next w:val="Default"/>
    <w:rsid w:val="009D2B4C"/>
    <w:pPr>
      <w:widowControl w:val="0"/>
      <w:spacing w:line="556" w:lineRule="atLeast"/>
    </w:pPr>
    <w:rPr>
      <w:color w:val="auto"/>
    </w:rPr>
  </w:style>
  <w:style w:type="paragraph" w:customStyle="1" w:styleId="CM32">
    <w:name w:val="CM32"/>
    <w:basedOn w:val="Default"/>
    <w:next w:val="Default"/>
    <w:rsid w:val="009D2B4C"/>
    <w:pPr>
      <w:widowControl w:val="0"/>
      <w:spacing w:after="725"/>
    </w:pPr>
    <w:rPr>
      <w:color w:val="auto"/>
    </w:rPr>
  </w:style>
  <w:style w:type="paragraph" w:customStyle="1" w:styleId="CM33">
    <w:name w:val="CM33"/>
    <w:basedOn w:val="Default"/>
    <w:next w:val="Default"/>
    <w:rsid w:val="009D2B4C"/>
    <w:pPr>
      <w:widowControl w:val="0"/>
      <w:spacing w:after="538"/>
    </w:pPr>
    <w:rPr>
      <w:color w:val="auto"/>
    </w:rPr>
  </w:style>
  <w:style w:type="paragraph" w:customStyle="1" w:styleId="CM16">
    <w:name w:val="CM16"/>
    <w:basedOn w:val="Default"/>
    <w:next w:val="Default"/>
    <w:rsid w:val="009D2B4C"/>
    <w:pPr>
      <w:widowControl w:val="0"/>
      <w:spacing w:line="553" w:lineRule="atLeast"/>
    </w:pPr>
    <w:rPr>
      <w:color w:val="auto"/>
    </w:rPr>
  </w:style>
  <w:style w:type="paragraph" w:customStyle="1" w:styleId="CM19">
    <w:name w:val="CM19"/>
    <w:basedOn w:val="Default"/>
    <w:next w:val="Default"/>
    <w:rsid w:val="009D2B4C"/>
    <w:pPr>
      <w:widowControl w:val="0"/>
      <w:spacing w:line="268" w:lineRule="atLeast"/>
    </w:pPr>
    <w:rPr>
      <w:color w:val="auto"/>
    </w:rPr>
  </w:style>
  <w:style w:type="character" w:customStyle="1" w:styleId="ZchnZchn16">
    <w:name w:val="Zchn Zchn16"/>
    <w:rsid w:val="009D2B4C"/>
    <w:rPr>
      <w:rFonts w:ascii="Arial" w:hAnsi="Arial"/>
      <w:b/>
      <w:kern w:val="32"/>
      <w:sz w:val="32"/>
      <w:lang w:val="en-US" w:eastAsia="en-US"/>
    </w:rPr>
  </w:style>
  <w:style w:type="character" w:customStyle="1" w:styleId="ZchnZchn1">
    <w:name w:val="Zchn Zchn1"/>
    <w:rsid w:val="009D2B4C"/>
    <w:rPr>
      <w:rFonts w:ascii="Cambria" w:hAnsi="Cambria"/>
      <w:b/>
      <w:kern w:val="28"/>
      <w:sz w:val="32"/>
      <w:lang w:val="ca-ES" w:eastAsia="en-US"/>
    </w:rPr>
  </w:style>
  <w:style w:type="paragraph" w:customStyle="1" w:styleId="MediumShading1-Accent11">
    <w:name w:val="Medium Shading 1 - Accent 11"/>
    <w:qFormat/>
    <w:rsid w:val="00871145"/>
    <w:rPr>
      <w:rFonts w:ascii="Times New Roman" w:hAnsi="Times New Roman"/>
      <w:sz w:val="24"/>
      <w:lang w:val="en-US" w:eastAsia="ko-KR"/>
    </w:rPr>
  </w:style>
  <w:style w:type="character" w:customStyle="1" w:styleId="ZchnZchn">
    <w:name w:val="Zchn Zchn"/>
    <w:rsid w:val="009D2B4C"/>
    <w:rPr>
      <w:rFonts w:ascii="Calibri" w:hAnsi="Calibri"/>
      <w:lang w:val="ca-ES" w:eastAsia="en-US"/>
    </w:rPr>
  </w:style>
  <w:style w:type="paragraph" w:customStyle="1" w:styleId="references0">
    <w:name w:val="references"/>
    <w:basedOn w:val="Normal"/>
    <w:rsid w:val="009D2B4C"/>
    <w:pPr>
      <w:spacing w:before="60" w:after="60"/>
      <w:ind w:left="1134" w:hanging="1134"/>
      <w:jc w:val="both"/>
    </w:pPr>
    <w:rPr>
      <w:rFonts w:ascii="Garamond" w:hAnsi="Garamond"/>
      <w:i/>
      <w:color w:val="auto"/>
      <w:sz w:val="20"/>
    </w:rPr>
  </w:style>
  <w:style w:type="paragraph" w:customStyle="1" w:styleId="refs">
    <w:name w:val="refs"/>
    <w:basedOn w:val="Normal"/>
    <w:rsid w:val="009D2B4C"/>
    <w:pPr>
      <w:spacing w:before="100" w:after="100"/>
    </w:pPr>
    <w:rPr>
      <w:i/>
      <w:color w:val="auto"/>
      <w:sz w:val="18"/>
    </w:rPr>
  </w:style>
  <w:style w:type="character" w:customStyle="1" w:styleId="ital">
    <w:name w:val="ital"/>
    <w:rsid w:val="009D2B4C"/>
    <w:rPr>
      <w:rFonts w:cs="Times New Roman"/>
    </w:rPr>
  </w:style>
  <w:style w:type="paragraph" w:customStyle="1" w:styleId="Literaturverzeichnis1">
    <w:name w:val="Literaturverzeichnis1"/>
    <w:basedOn w:val="Normal"/>
    <w:next w:val="Normal"/>
    <w:rsid w:val="009D2B4C"/>
    <w:pPr>
      <w:spacing w:after="200" w:line="276" w:lineRule="auto"/>
    </w:pPr>
    <w:rPr>
      <w:rFonts w:ascii="Calibri" w:hAnsi="Calibri"/>
      <w:i/>
      <w:color w:val="auto"/>
      <w:lang w:val="de-DE"/>
    </w:rPr>
  </w:style>
  <w:style w:type="character" w:customStyle="1" w:styleId="databold">
    <w:name w:val="data_bold"/>
    <w:rsid w:val="009D2B4C"/>
    <w:rPr>
      <w:rFonts w:cs="Times New Roman"/>
    </w:rPr>
  </w:style>
  <w:style w:type="character" w:customStyle="1" w:styleId="cmpparsedlocationcmpparsedstyle">
    <w:name w:val="cmp_parsed_location cmp_parsed_style"/>
    <w:rsid w:val="009D2B4C"/>
    <w:rPr>
      <w:rFonts w:cs="Times New Roman"/>
    </w:rPr>
  </w:style>
  <w:style w:type="paragraph" w:customStyle="1" w:styleId="MediumGrid1-Accent21">
    <w:name w:val="Medium Grid 1 - Accent 21"/>
    <w:basedOn w:val="Normal"/>
    <w:rsid w:val="009D2B4C"/>
    <w:pPr>
      <w:spacing w:after="200" w:line="276" w:lineRule="auto"/>
      <w:ind w:left="720"/>
    </w:pPr>
    <w:rPr>
      <w:rFonts w:ascii="Calibri" w:hAnsi="Calibri"/>
      <w:b/>
      <w:i/>
      <w:color w:val="auto"/>
    </w:rPr>
  </w:style>
  <w:style w:type="paragraph" w:customStyle="1" w:styleId="ReferencesNIPIndia">
    <w:name w:val="References NIP India"/>
    <w:basedOn w:val="Normal"/>
    <w:rsid w:val="009D2B4C"/>
    <w:pPr>
      <w:spacing w:before="20" w:after="20"/>
      <w:ind w:left="709" w:right="720" w:hanging="709"/>
    </w:pPr>
    <w:rPr>
      <w:b/>
      <w:i/>
      <w:color w:val="auto"/>
      <w:sz w:val="18"/>
      <w:lang w:val="en-CA"/>
    </w:rPr>
  </w:style>
  <w:style w:type="paragraph" w:customStyle="1" w:styleId="Textedebulles1">
    <w:name w:val="Texte de bulles1"/>
    <w:basedOn w:val="Normal"/>
    <w:semiHidden/>
    <w:rsid w:val="009D2B4C"/>
    <w:pPr>
      <w:spacing w:before="100" w:after="0"/>
      <w:ind w:right="720"/>
      <w:jc w:val="both"/>
    </w:pPr>
    <w:rPr>
      <w:rFonts w:ascii="Tahoma" w:hAnsi="Tahoma"/>
      <w:color w:val="auto"/>
      <w:sz w:val="16"/>
    </w:rPr>
  </w:style>
  <w:style w:type="character" w:customStyle="1" w:styleId="CarCar2">
    <w:name w:val="Car Car2"/>
    <w:semiHidden/>
    <w:locked/>
    <w:rsid w:val="009D2B4C"/>
    <w:rPr>
      <w:lang w:val="en-US" w:eastAsia="ja-JP"/>
    </w:rPr>
  </w:style>
  <w:style w:type="character" w:customStyle="1" w:styleId="CarCar1">
    <w:name w:val="Car Car1"/>
    <w:semiHidden/>
    <w:locked/>
    <w:rsid w:val="009D2B4C"/>
    <w:rPr>
      <w:lang w:val="en-US" w:eastAsia="ja-JP"/>
    </w:rPr>
  </w:style>
  <w:style w:type="character" w:customStyle="1" w:styleId="CharChar41">
    <w:name w:val="Char Char41"/>
    <w:semiHidden/>
    <w:rsid w:val="009D2B4C"/>
    <w:rPr>
      <w:sz w:val="22"/>
    </w:rPr>
  </w:style>
  <w:style w:type="character" w:customStyle="1" w:styleId="ZchnZchn15">
    <w:name w:val="Zchn Zchn15"/>
    <w:semiHidden/>
    <w:rsid w:val="009D2B4C"/>
    <w:rPr>
      <w:rFonts w:ascii="Arial" w:hAnsi="Arial"/>
      <w:b/>
      <w:i/>
      <w:sz w:val="28"/>
      <w:lang w:val="en-US" w:eastAsia="en-US"/>
    </w:rPr>
  </w:style>
  <w:style w:type="character" w:customStyle="1" w:styleId="ZchnZchn14">
    <w:name w:val="Zchn Zchn14"/>
    <w:semiHidden/>
    <w:rsid w:val="009D2B4C"/>
    <w:rPr>
      <w:rFonts w:ascii="Arial" w:hAnsi="Arial"/>
      <w:b/>
      <w:sz w:val="26"/>
      <w:lang w:val="en-US" w:eastAsia="en-US"/>
    </w:rPr>
  </w:style>
  <w:style w:type="character" w:customStyle="1" w:styleId="ZchnZchn13">
    <w:name w:val="Zchn Zchn13"/>
    <w:semiHidden/>
    <w:rsid w:val="009D2B4C"/>
    <w:rPr>
      <w:rFonts w:ascii="Arial" w:hAnsi="Arial"/>
      <w:b/>
      <w:sz w:val="24"/>
      <w:lang w:val="de-DE" w:eastAsia="de-DE"/>
    </w:rPr>
  </w:style>
  <w:style w:type="character" w:customStyle="1" w:styleId="ZchnZchn12">
    <w:name w:val="Zchn Zchn12"/>
    <w:semiHidden/>
    <w:rsid w:val="009D2B4C"/>
    <w:rPr>
      <w:rFonts w:ascii="Arial" w:hAnsi="Arial"/>
      <w:b/>
      <w:sz w:val="24"/>
      <w:lang w:val="de-DE" w:eastAsia="de-DE"/>
    </w:rPr>
  </w:style>
  <w:style w:type="character" w:customStyle="1" w:styleId="ZchnZchn11">
    <w:name w:val="Zchn Zchn11"/>
    <w:semiHidden/>
    <w:rsid w:val="009D2B4C"/>
    <w:rPr>
      <w:rFonts w:ascii="Arial" w:hAnsi="Arial"/>
      <w:b/>
      <w:lang w:val="de-DE" w:eastAsia="de-DE"/>
    </w:rPr>
  </w:style>
  <w:style w:type="character" w:customStyle="1" w:styleId="ZchnZchn10">
    <w:name w:val="Zchn Zchn10"/>
    <w:semiHidden/>
    <w:rsid w:val="009D2B4C"/>
    <w:rPr>
      <w:rFonts w:ascii="Arial" w:hAnsi="Arial"/>
      <w:b/>
      <w:sz w:val="28"/>
      <w:lang w:val="de-DE" w:eastAsia="de-DE"/>
    </w:rPr>
  </w:style>
  <w:style w:type="character" w:customStyle="1" w:styleId="ZchnZchn9">
    <w:name w:val="Zchn Zchn9"/>
    <w:semiHidden/>
    <w:rsid w:val="009D2B4C"/>
    <w:rPr>
      <w:rFonts w:ascii="Arial" w:hAnsi="Arial"/>
      <w:b/>
      <w:lang w:val="de-DE" w:eastAsia="de-DE"/>
    </w:rPr>
  </w:style>
  <w:style w:type="character" w:customStyle="1" w:styleId="ZchnZchn8">
    <w:name w:val="Zchn Zchn8"/>
    <w:semiHidden/>
    <w:rsid w:val="009D2B4C"/>
    <w:rPr>
      <w:rFonts w:ascii="Arial" w:hAnsi="Arial"/>
      <w:sz w:val="24"/>
      <w:lang w:val="de-DE" w:eastAsia="de-DE"/>
    </w:rPr>
  </w:style>
  <w:style w:type="character" w:customStyle="1" w:styleId="CharCharZchn">
    <w:name w:val="Char Char Zchn"/>
    <w:aliases w:val="Body Text Char Char Char Char Char Zchn,Body Text Char Char Char Char Zchn Zchn"/>
    <w:semiHidden/>
    <w:locked/>
    <w:rsid w:val="009D2B4C"/>
    <w:rPr>
      <w:rFonts w:eastAsia="MS Mincho"/>
      <w:color w:val="000000"/>
      <w:sz w:val="24"/>
      <w:lang w:val="en-GB" w:eastAsia="zh-CN"/>
    </w:rPr>
  </w:style>
  <w:style w:type="character" w:customStyle="1" w:styleId="ZchnZchn4">
    <w:name w:val="Zchn Zchn4"/>
    <w:semiHidden/>
    <w:rsid w:val="009D2B4C"/>
    <w:rPr>
      <w:sz w:val="24"/>
      <w:lang w:val="en-US" w:eastAsia="en-US"/>
    </w:rPr>
  </w:style>
  <w:style w:type="character" w:customStyle="1" w:styleId="ZchnZchn7">
    <w:name w:val="Zchn Zchn7"/>
    <w:semiHidden/>
    <w:rsid w:val="009D2B4C"/>
    <w:rPr>
      <w:sz w:val="24"/>
      <w:lang w:val="en-US" w:eastAsia="en-US"/>
    </w:rPr>
  </w:style>
  <w:style w:type="character" w:customStyle="1" w:styleId="ZchnZchn6">
    <w:name w:val="Zchn Zchn6"/>
    <w:semiHidden/>
    <w:rsid w:val="009D2B4C"/>
    <w:rPr>
      <w:rFonts w:ascii="Courier New" w:hAnsi="Courier New"/>
      <w:lang w:val="de-DE" w:eastAsia="de-DE"/>
    </w:rPr>
  </w:style>
  <w:style w:type="character" w:customStyle="1" w:styleId="ZchnZchn5">
    <w:name w:val="Zchn Zchn5"/>
    <w:semiHidden/>
    <w:rsid w:val="009D2B4C"/>
    <w:rPr>
      <w:rFonts w:ascii="Arial" w:hAnsi="Arial"/>
      <w:sz w:val="24"/>
      <w:lang w:val="de-DE" w:eastAsia="de-DE"/>
    </w:rPr>
  </w:style>
  <w:style w:type="character" w:customStyle="1" w:styleId="ZchnZchn3">
    <w:name w:val="Zchn Zchn3"/>
    <w:semiHidden/>
    <w:rsid w:val="009D2B4C"/>
    <w:rPr>
      <w:rFonts w:ascii="Arial" w:hAnsi="Arial"/>
      <w:sz w:val="24"/>
      <w:lang w:val="de-DE" w:eastAsia="de-DE"/>
    </w:rPr>
  </w:style>
  <w:style w:type="paragraph" w:customStyle="1" w:styleId="12">
    <w:name w:val="コメント内容1"/>
    <w:basedOn w:val="CommentText"/>
    <w:next w:val="CommentText"/>
    <w:semiHidden/>
    <w:rsid w:val="009D2B4C"/>
    <w:pPr>
      <w:spacing w:after="0"/>
    </w:pPr>
    <w:rPr>
      <w:rFonts w:ascii="Century" w:eastAsia="MS Mincho" w:hAnsi="Century"/>
      <w:b/>
      <w:bCs/>
      <w:kern w:val="2"/>
      <w:szCs w:val="24"/>
      <w:lang w:val="en-US"/>
    </w:rPr>
  </w:style>
  <w:style w:type="paragraph" w:customStyle="1" w:styleId="13">
    <w:name w:val="吹き出し1"/>
    <w:basedOn w:val="Normal"/>
    <w:semiHidden/>
    <w:rsid w:val="009D2B4C"/>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rsid w:val="009D2B4C"/>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rsid w:val="009D2B4C"/>
    <w:pPr>
      <w:spacing w:after="0"/>
    </w:pPr>
    <w:rPr>
      <w:rFonts w:ascii="Century" w:eastAsia="MS Mincho" w:hAnsi="Century"/>
      <w:b/>
      <w:bCs/>
      <w:kern w:val="2"/>
      <w:szCs w:val="24"/>
      <w:lang w:val="en-US"/>
    </w:rPr>
  </w:style>
  <w:style w:type="paragraph" w:customStyle="1" w:styleId="Textodeglobo1">
    <w:name w:val="Texto de globo1"/>
    <w:basedOn w:val="Normal"/>
    <w:semiHidden/>
    <w:rsid w:val="009D2B4C"/>
    <w:pPr>
      <w:widowControl w:val="0"/>
      <w:spacing w:after="0"/>
      <w:jc w:val="both"/>
    </w:pPr>
    <w:rPr>
      <w:rFonts w:ascii="Tahoma" w:eastAsia="MS Mincho" w:hAnsi="Tahoma" w:cs="Calibri"/>
      <w:color w:val="auto"/>
      <w:kern w:val="2"/>
      <w:sz w:val="16"/>
      <w:szCs w:val="16"/>
      <w:lang w:val="en-US" w:eastAsia="ja-JP"/>
    </w:rPr>
  </w:style>
  <w:style w:type="paragraph" w:customStyle="1" w:styleId="a7">
    <w:name w:val="スタイル"/>
    <w:rsid w:val="009D2B4C"/>
    <w:pPr>
      <w:widowControl w:val="0"/>
      <w:autoSpaceDE w:val="0"/>
      <w:autoSpaceDN w:val="0"/>
      <w:adjustRightInd w:val="0"/>
    </w:pPr>
    <w:rPr>
      <w:rFonts w:ascii="Times New Roman" w:eastAsia="MS Mincho" w:hAnsi="Times New Roman"/>
      <w:sz w:val="24"/>
      <w:szCs w:val="24"/>
      <w:lang w:val="en-US" w:eastAsia="ja-JP"/>
    </w:rPr>
  </w:style>
  <w:style w:type="paragraph" w:customStyle="1" w:styleId="listparagraphcxspmiddle">
    <w:name w:val="listparagraphcxspmiddle"/>
    <w:basedOn w:val="Normal"/>
    <w:rsid w:val="009D2B4C"/>
    <w:pPr>
      <w:spacing w:before="100" w:after="100"/>
    </w:pPr>
    <w:rPr>
      <w:color w:val="auto"/>
      <w:lang w:val="en-US"/>
    </w:rPr>
  </w:style>
  <w:style w:type="paragraph" w:customStyle="1" w:styleId="StyleBodyText1After6pt">
    <w:name w:val="Style Body Text1 + After:  6 pt"/>
    <w:basedOn w:val="BodyText1"/>
    <w:rsid w:val="009D2B4C"/>
    <w:rPr>
      <w:lang w:eastAsia="zh-CN"/>
    </w:rPr>
  </w:style>
  <w:style w:type="character" w:customStyle="1" w:styleId="A00">
    <w:name w:val="A0"/>
    <w:rsid w:val="009D2B4C"/>
    <w:rPr>
      <w:color w:val="000000"/>
      <w:sz w:val="22"/>
    </w:rPr>
  </w:style>
  <w:style w:type="character" w:customStyle="1" w:styleId="srch-url21">
    <w:name w:val="srch-url21"/>
    <w:rsid w:val="009D2B4C"/>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sid w:val="009D2B4C"/>
    <w:rPr>
      <w:rFonts w:ascii="Cambria" w:hAnsi="Cambria"/>
      <w:b/>
      <w:i/>
      <w:sz w:val="28"/>
      <w:lang w:val="en-AU" w:eastAsia="en-AU"/>
    </w:rPr>
  </w:style>
  <w:style w:type="character" w:customStyle="1" w:styleId="Titre3Car">
    <w:name w:val="Titre 3 Car"/>
    <w:aliases w:val="Heading 3 Char1 Char Car,Heading 3 Char Char Char Car,Char Char Char Char Car,Char Char1 Char Car,Sec Car"/>
    <w:locked/>
    <w:rsid w:val="009D2B4C"/>
    <w:rPr>
      <w:b/>
      <w:i/>
      <w:color w:val="000000"/>
      <w:sz w:val="24"/>
      <w:lang w:val="en-GB" w:eastAsia="en-US"/>
    </w:rPr>
  </w:style>
  <w:style w:type="character" w:customStyle="1" w:styleId="Titre4Car">
    <w:name w:val="Titre 4 Car"/>
    <w:aliases w:val="MainPara Car"/>
    <w:locked/>
    <w:rsid w:val="009D2B4C"/>
    <w:rPr>
      <w:i/>
      <w:sz w:val="28"/>
      <w:lang w:val="en-AU" w:eastAsia="en-AU"/>
    </w:rPr>
  </w:style>
  <w:style w:type="character" w:customStyle="1" w:styleId="Titre5Car">
    <w:name w:val="Titre 5 Car"/>
    <w:aliases w:val="Subpara 2 Car"/>
    <w:semiHidden/>
    <w:locked/>
    <w:rsid w:val="009D2B4C"/>
    <w:rPr>
      <w:rFonts w:ascii="Calibri" w:hAnsi="Calibri"/>
      <w:b/>
      <w:i/>
      <w:sz w:val="26"/>
      <w:lang w:val="en-AU" w:eastAsia="en-AU"/>
    </w:rPr>
  </w:style>
  <w:style w:type="character" w:customStyle="1" w:styleId="Titre6Car">
    <w:name w:val="Titre 6 Car"/>
    <w:semiHidden/>
    <w:locked/>
    <w:rsid w:val="009D2B4C"/>
    <w:rPr>
      <w:rFonts w:ascii="Calibri" w:hAnsi="Calibri"/>
      <w:b/>
      <w:lang w:val="en-AU" w:eastAsia="en-AU"/>
    </w:rPr>
  </w:style>
  <w:style w:type="character" w:customStyle="1" w:styleId="Titre7Car">
    <w:name w:val="Titre 7 Car"/>
    <w:aliases w:val="Subpara 4 Car"/>
    <w:semiHidden/>
    <w:locked/>
    <w:rsid w:val="009D2B4C"/>
    <w:rPr>
      <w:rFonts w:ascii="Calibri" w:hAnsi="Calibri"/>
      <w:sz w:val="24"/>
      <w:lang w:val="en-AU" w:eastAsia="en-AU"/>
    </w:rPr>
  </w:style>
  <w:style w:type="character" w:customStyle="1" w:styleId="Titre8Car">
    <w:name w:val="Titre 8 Car"/>
    <w:aliases w:val="Subpara 5 Car"/>
    <w:semiHidden/>
    <w:locked/>
    <w:rsid w:val="009D2B4C"/>
    <w:rPr>
      <w:rFonts w:ascii="Calibri" w:hAnsi="Calibri"/>
      <w:i/>
      <w:sz w:val="24"/>
      <w:lang w:val="en-AU" w:eastAsia="en-AU"/>
    </w:rPr>
  </w:style>
  <w:style w:type="character" w:customStyle="1" w:styleId="Titre9Car">
    <w:name w:val="Titre 9 Car"/>
    <w:aliases w:val="Subpara 6 Car"/>
    <w:semiHidden/>
    <w:locked/>
    <w:rsid w:val="009D2B4C"/>
    <w:rPr>
      <w:rFonts w:ascii="Cambria" w:hAnsi="Cambria"/>
      <w:lang w:val="en-AU" w:eastAsia="en-AU"/>
    </w:rPr>
  </w:style>
  <w:style w:type="character" w:customStyle="1" w:styleId="TextedebullesCar">
    <w:name w:val="Texte de bulles Car"/>
    <w:semiHidden/>
    <w:locked/>
    <w:rsid w:val="009D2B4C"/>
    <w:rPr>
      <w:sz w:val="2"/>
      <w:lang w:val="en-AU" w:eastAsia="en-AU"/>
    </w:rPr>
  </w:style>
  <w:style w:type="character" w:customStyle="1" w:styleId="CorpsdetexteCar">
    <w:name w:val="Corps de texte Car"/>
    <w:aliases w:val="Char Char Car,Body Text Char Char Char Char Char Car,Body Text Char Char Char Char Car"/>
    <w:locked/>
    <w:rsid w:val="009D2B4C"/>
    <w:rPr>
      <w:sz w:val="24"/>
      <w:lang w:val="en-AU" w:eastAsia="en-AU"/>
    </w:rPr>
  </w:style>
  <w:style w:type="paragraph" w:customStyle="1" w:styleId="PrformatHTML1">
    <w:name w:val="Préformaté HTML1"/>
    <w:basedOn w:val="Normal"/>
    <w:rsid w:val="009D2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sid w:val="009D2B4C"/>
    <w:rPr>
      <w:rFonts w:ascii="Courier New" w:hAnsi="Courier New"/>
      <w:sz w:val="20"/>
      <w:lang w:val="en-AU" w:eastAsia="en-AU"/>
    </w:rPr>
  </w:style>
  <w:style w:type="character" w:customStyle="1" w:styleId="RetraitcorpsdetexteCar">
    <w:name w:val="Retrait corps de texte Car"/>
    <w:semiHidden/>
    <w:locked/>
    <w:rsid w:val="009D2B4C"/>
    <w:rPr>
      <w:sz w:val="24"/>
      <w:lang w:val="en-AU" w:eastAsia="en-AU"/>
    </w:rPr>
  </w:style>
  <w:style w:type="character" w:customStyle="1" w:styleId="Retraitcorpset1religCar">
    <w:name w:val="Retrait corps et 1re lig. Car"/>
    <w:semiHidden/>
    <w:locked/>
    <w:rsid w:val="009D2B4C"/>
    <w:rPr>
      <w:rFonts w:cs="Times New Roman"/>
      <w:sz w:val="24"/>
      <w:szCs w:val="24"/>
      <w:lang w:val="en-AU" w:eastAsia="en-AU"/>
    </w:rPr>
  </w:style>
  <w:style w:type="character" w:customStyle="1" w:styleId="CommentaireCar">
    <w:name w:val="Commentaire Car"/>
    <w:locked/>
    <w:rsid w:val="009D2B4C"/>
    <w:rPr>
      <w:rFonts w:eastAsia="Times New Roman"/>
      <w:lang w:val="en-AU" w:eastAsia="en-AU"/>
    </w:rPr>
  </w:style>
  <w:style w:type="paragraph" w:customStyle="1" w:styleId="Objetducommentaire1">
    <w:name w:val="Objet du commentaire1"/>
    <w:basedOn w:val="CommentText"/>
    <w:next w:val="CommentText"/>
    <w:semiHidden/>
    <w:rsid w:val="009D2B4C"/>
    <w:pPr>
      <w:widowControl/>
      <w:spacing w:after="0"/>
    </w:pPr>
    <w:rPr>
      <w:b/>
      <w:sz w:val="20"/>
      <w:lang w:eastAsia="zh-CN"/>
    </w:rPr>
  </w:style>
  <w:style w:type="character" w:customStyle="1" w:styleId="ObjetducommentaireCar">
    <w:name w:val="Objet du commentaire Car"/>
    <w:locked/>
    <w:rsid w:val="009D2B4C"/>
    <w:rPr>
      <w:rFonts w:eastAsia="Times New Roman"/>
      <w:b/>
      <w:lang w:val="en-AU" w:eastAsia="en-AU"/>
    </w:rPr>
  </w:style>
  <w:style w:type="paragraph" w:customStyle="1" w:styleId="En-ttedetabledesmatires2">
    <w:name w:val="En-tête de table des matières2"/>
    <w:basedOn w:val="Heading1"/>
    <w:next w:val="Normal"/>
    <w:rsid w:val="009D2B4C"/>
    <w:pPr>
      <w:keepLines/>
      <w:tabs>
        <w:tab w:val="clear" w:pos="709"/>
        <w:tab w:val="left" w:pos="720"/>
      </w:tabs>
      <w:spacing w:before="480" w:after="0" w:line="276" w:lineRule="auto"/>
      <w:ind w:left="0" w:firstLine="0"/>
      <w:outlineLvl w:val="9"/>
    </w:pPr>
    <w:rPr>
      <w:rFonts w:ascii="Cambria" w:eastAsia="MS Mincho" w:hAnsi="Cambria"/>
      <w:color w:val="808080"/>
      <w:sz w:val="28"/>
      <w:lang w:val="fr-FR"/>
    </w:rPr>
  </w:style>
  <w:style w:type="paragraph" w:customStyle="1" w:styleId="Paragraphedeliste2">
    <w:name w:val="Paragraphe de liste2"/>
    <w:basedOn w:val="Normal"/>
    <w:rsid w:val="009D2B4C"/>
    <w:pPr>
      <w:spacing w:after="0"/>
    </w:pPr>
    <w:rPr>
      <w:rFonts w:eastAsia="MS Mincho"/>
      <w:color w:val="auto"/>
      <w:sz w:val="24"/>
      <w:lang w:val="en-AU"/>
    </w:rPr>
  </w:style>
  <w:style w:type="character" w:customStyle="1" w:styleId="bold0">
    <w:name w:val="bold"/>
    <w:rsid w:val="009D2B4C"/>
  </w:style>
  <w:style w:type="paragraph" w:customStyle="1" w:styleId="first">
    <w:name w:val="first"/>
    <w:basedOn w:val="Normal"/>
    <w:rsid w:val="009D2B4C"/>
    <w:pPr>
      <w:spacing w:before="100" w:after="100"/>
    </w:pPr>
    <w:rPr>
      <w:rFonts w:eastAsia="MS Mincho"/>
      <w:color w:val="auto"/>
      <w:sz w:val="24"/>
      <w:lang w:val="fr-FR"/>
    </w:rPr>
  </w:style>
  <w:style w:type="character" w:customStyle="1" w:styleId="En-tteCar">
    <w:name w:val="En-tête Car"/>
    <w:locked/>
    <w:rsid w:val="009D2B4C"/>
    <w:rPr>
      <w:sz w:val="24"/>
      <w:lang w:val="en-AU" w:eastAsia="en-AU"/>
    </w:rPr>
  </w:style>
  <w:style w:type="character" w:customStyle="1" w:styleId="PieddepageCar">
    <w:name w:val="Pied de page Car"/>
    <w:locked/>
    <w:rsid w:val="009D2B4C"/>
    <w:rPr>
      <w:sz w:val="24"/>
      <w:lang w:val="en-AU" w:eastAsia="en-AU"/>
    </w:rPr>
  </w:style>
  <w:style w:type="character" w:customStyle="1" w:styleId="TitreCar">
    <w:name w:val="Titre Car"/>
    <w:locked/>
    <w:rsid w:val="009D2B4C"/>
    <w:rPr>
      <w:rFonts w:ascii="Cambria" w:hAnsi="Cambria"/>
      <w:b/>
      <w:kern w:val="28"/>
      <w:sz w:val="32"/>
      <w:lang w:val="en-AU" w:eastAsia="en-AU"/>
    </w:rPr>
  </w:style>
  <w:style w:type="paragraph" w:customStyle="1" w:styleId="Sansinterligne2">
    <w:name w:val="Sans interligne2"/>
    <w:rsid w:val="009D2B4C"/>
    <w:rPr>
      <w:rFonts w:ascii="Times New Roman" w:eastAsia="MS Mincho" w:hAnsi="Times New Roman"/>
      <w:noProof/>
      <w:sz w:val="24"/>
      <w:lang w:val="nl-NL" w:eastAsia="nl-NL"/>
    </w:rPr>
  </w:style>
  <w:style w:type="character" w:customStyle="1" w:styleId="ExplorateurdedocumentsCar">
    <w:name w:val="Explorateur de documents Car"/>
    <w:semiHidden/>
    <w:locked/>
    <w:rsid w:val="009D2B4C"/>
    <w:rPr>
      <w:rFonts w:ascii="Tahoma" w:hAnsi="Tahoma"/>
      <w:sz w:val="16"/>
      <w:lang w:val="en-AU" w:eastAsia="en-AU"/>
    </w:rPr>
  </w:style>
  <w:style w:type="character" w:customStyle="1" w:styleId="hit">
    <w:name w:val="hit"/>
    <w:uiPriority w:val="99"/>
    <w:rsid w:val="009D2B4C"/>
  </w:style>
  <w:style w:type="character" w:customStyle="1" w:styleId="NotedebasdepageCar">
    <w:name w:val="Note de bas de page Car"/>
    <w:locked/>
    <w:rsid w:val="009D2B4C"/>
    <w:rPr>
      <w:sz w:val="24"/>
      <w:lang w:val="en-AU" w:eastAsia="en-AU"/>
    </w:rPr>
  </w:style>
  <w:style w:type="paragraph" w:customStyle="1" w:styleId="Rvision2">
    <w:name w:val="Révision2"/>
    <w:hidden/>
    <w:semiHidden/>
    <w:rsid w:val="009D2B4C"/>
    <w:rPr>
      <w:rFonts w:ascii="Times New Roman" w:eastAsia="MS Mincho" w:hAnsi="Times New Roman"/>
      <w:sz w:val="24"/>
      <w:lang w:eastAsia="nl-NL"/>
    </w:rPr>
  </w:style>
  <w:style w:type="paragraph" w:customStyle="1" w:styleId="Ref">
    <w:name w:val="Ref"/>
    <w:basedOn w:val="Footnote"/>
    <w:rsid w:val="009D2B4C"/>
    <w:pPr>
      <w:autoSpaceDE w:val="0"/>
      <w:autoSpaceDN w:val="0"/>
      <w:adjustRightInd w:val="0"/>
    </w:pPr>
    <w:rPr>
      <w:rFonts w:ascii="Calibri" w:eastAsia="MS Mincho" w:hAnsi="Calibri"/>
      <w:color w:val="auto"/>
    </w:rPr>
  </w:style>
  <w:style w:type="character" w:customStyle="1" w:styleId="SansinterligneCar">
    <w:name w:val="Sans interligne Car"/>
    <w:rsid w:val="009D2B4C"/>
    <w:rPr>
      <w:sz w:val="24"/>
    </w:rPr>
  </w:style>
  <w:style w:type="paragraph" w:customStyle="1" w:styleId="Hea">
    <w:name w:val="Hea"/>
    <w:rsid w:val="009D2B4C"/>
    <w:pPr>
      <w:autoSpaceDE w:val="0"/>
      <w:autoSpaceDN w:val="0"/>
    </w:pPr>
    <w:rPr>
      <w:rFonts w:ascii="Times New Roman" w:hAnsi="Times New Roman"/>
      <w:sz w:val="24"/>
      <w:lang w:val="en-US" w:eastAsia="nl-NL"/>
    </w:rPr>
  </w:style>
  <w:style w:type="paragraph" w:customStyle="1" w:styleId="PageImage">
    <w:name w:val="PageImage"/>
    <w:rsid w:val="009D2B4C"/>
    <w:pPr>
      <w:autoSpaceDE w:val="0"/>
      <w:autoSpaceDN w:val="0"/>
      <w:spacing w:before="240"/>
      <w:jc w:val="center"/>
    </w:pPr>
    <w:rPr>
      <w:rFonts w:ascii="Times New Roman" w:hAnsi="Times New Roman"/>
      <w:lang w:eastAsia="nl-NL"/>
    </w:rPr>
  </w:style>
  <w:style w:type="paragraph" w:customStyle="1" w:styleId="Italicindent">
    <w:name w:val="Italic indent"/>
    <w:rsid w:val="009D2B4C"/>
    <w:pPr>
      <w:autoSpaceDE w:val="0"/>
      <w:autoSpaceDN w:val="0"/>
      <w:spacing w:after="200" w:line="276" w:lineRule="auto"/>
      <w:ind w:left="1701" w:right="662"/>
    </w:pPr>
    <w:rPr>
      <w:rFonts w:ascii="Calibri" w:hAnsi="Calibri"/>
      <w:i/>
      <w:color w:val="000000"/>
      <w:lang w:val="en-GB" w:eastAsia="nl-NL"/>
    </w:rPr>
  </w:style>
  <w:style w:type="paragraph" w:customStyle="1" w:styleId="a8">
    <w:name w:val="("/>
    <w:rsid w:val="009D2B4C"/>
    <w:pPr>
      <w:autoSpaceDE w:val="0"/>
      <w:autoSpaceDN w:val="0"/>
      <w:spacing w:after="160" w:line="240" w:lineRule="exact"/>
    </w:pPr>
    <w:rPr>
      <w:rFonts w:ascii="Times New Roman" w:hAnsi="Times New Roman"/>
      <w:lang w:val="en-US" w:eastAsia="nl-NL"/>
    </w:rPr>
  </w:style>
  <w:style w:type="character" w:customStyle="1" w:styleId="style61">
    <w:name w:val="style61"/>
    <w:rsid w:val="009D2B4C"/>
    <w:rPr>
      <w:rFonts w:ascii="Verdana" w:hAnsi="Verdana"/>
      <w:b/>
      <w:color w:val="808080"/>
      <w:sz w:val="24"/>
    </w:rPr>
  </w:style>
  <w:style w:type="paragraph" w:customStyle="1" w:styleId="yiv606811850msolistparagraph">
    <w:name w:val="yiv606811850msolistparagraph"/>
    <w:basedOn w:val="Normal"/>
    <w:rsid w:val="00113508"/>
    <w:pPr>
      <w:spacing w:before="100" w:beforeAutospacing="1" w:after="100" w:afterAutospacing="1"/>
    </w:pPr>
    <w:rPr>
      <w:rFonts w:eastAsia="MS Mincho"/>
      <w:color w:val="auto"/>
      <w:sz w:val="24"/>
      <w:szCs w:val="24"/>
      <w:lang w:val="en-AU" w:eastAsia="ja-JP"/>
    </w:rPr>
  </w:style>
  <w:style w:type="paragraph" w:customStyle="1" w:styleId="yiv606811850msonormal">
    <w:name w:val="yiv606811850msonormal"/>
    <w:basedOn w:val="Normal"/>
    <w:rsid w:val="006E0911"/>
    <w:pPr>
      <w:spacing w:before="100" w:beforeAutospacing="1" w:after="100" w:afterAutospacing="1"/>
    </w:pPr>
    <w:rPr>
      <w:rFonts w:eastAsia="MS Mincho"/>
      <w:color w:val="auto"/>
      <w:sz w:val="24"/>
      <w:szCs w:val="24"/>
      <w:lang w:val="en-AU" w:eastAsia="ja-JP"/>
    </w:rPr>
  </w:style>
  <w:style w:type="paragraph" w:customStyle="1" w:styleId="yiv1274957915msonormal">
    <w:name w:val="yiv1274957915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384451333msonormal">
    <w:name w:val="yiv1384451333msonormal"/>
    <w:basedOn w:val="Normal"/>
    <w:rsid w:val="00855BBF"/>
    <w:pPr>
      <w:spacing w:before="100" w:beforeAutospacing="1" w:after="100" w:afterAutospacing="1"/>
    </w:pPr>
    <w:rPr>
      <w:rFonts w:eastAsia="Calibri"/>
      <w:color w:val="auto"/>
      <w:sz w:val="24"/>
      <w:szCs w:val="24"/>
      <w:lang w:val="en-AU" w:eastAsia="en-AU"/>
    </w:rPr>
  </w:style>
  <w:style w:type="paragraph" w:customStyle="1" w:styleId="yiv1235825782msonormal">
    <w:name w:val="yiv1235825782msonormal"/>
    <w:basedOn w:val="Normal"/>
    <w:rsid w:val="00855BBF"/>
    <w:pPr>
      <w:spacing w:before="100" w:beforeAutospacing="1" w:after="100" w:afterAutospacing="1"/>
    </w:pPr>
    <w:rPr>
      <w:color w:val="auto"/>
      <w:sz w:val="24"/>
      <w:szCs w:val="24"/>
      <w:lang w:val="en-AU" w:eastAsia="en-AU"/>
    </w:rPr>
  </w:style>
  <w:style w:type="paragraph" w:customStyle="1" w:styleId="yiv6426528587msonormal">
    <w:name w:val="yiv6426528587msonormal"/>
    <w:basedOn w:val="Normal"/>
    <w:rsid w:val="00066BB2"/>
    <w:pPr>
      <w:spacing w:before="100" w:beforeAutospacing="1" w:after="100" w:afterAutospacing="1"/>
    </w:pPr>
    <w:rPr>
      <w:color w:val="auto"/>
      <w:sz w:val="24"/>
      <w:szCs w:val="24"/>
      <w:lang w:val="en-AU" w:eastAsia="en-AU"/>
    </w:rPr>
  </w:style>
  <w:style w:type="paragraph" w:customStyle="1" w:styleId="yiv5496574013msonormal">
    <w:name w:val="yiv5496574013msonormal"/>
    <w:basedOn w:val="Normal"/>
    <w:rsid w:val="002F58B2"/>
    <w:pPr>
      <w:spacing w:before="100" w:beforeAutospacing="1" w:after="100" w:afterAutospacing="1"/>
    </w:pPr>
    <w:rPr>
      <w:color w:val="auto"/>
      <w:sz w:val="24"/>
      <w:szCs w:val="24"/>
      <w:lang w:val="en-AU" w:eastAsia="en-AU"/>
    </w:rPr>
  </w:style>
  <w:style w:type="paragraph" w:customStyle="1" w:styleId="MediumGrid1-Accent23">
    <w:name w:val="Medium Grid 1 - Accent 23"/>
    <w:basedOn w:val="Normal"/>
    <w:qFormat/>
    <w:rsid w:val="00871145"/>
    <w:pPr>
      <w:spacing w:after="0"/>
      <w:ind w:left="720"/>
      <w:contextualSpacing/>
    </w:pPr>
    <w:rPr>
      <w:rFonts w:ascii="Calibri" w:hAnsi="Calibri" w:cs="Calibri"/>
      <w:color w:val="auto"/>
      <w:sz w:val="24"/>
      <w:szCs w:val="24"/>
      <w:lang w:val="en-US" w:eastAsia="en-US"/>
    </w:rPr>
  </w:style>
  <w:style w:type="paragraph" w:customStyle="1" w:styleId="ColorfulList-Accent13">
    <w:name w:val="Colorful List - Accent 13"/>
    <w:basedOn w:val="Normal"/>
    <w:qFormat/>
    <w:rsid w:val="00871145"/>
    <w:pPr>
      <w:spacing w:after="0"/>
      <w:ind w:left="720"/>
      <w:contextualSpacing/>
      <w:jc w:val="both"/>
    </w:pPr>
    <w:rPr>
      <w:rFonts w:eastAsia="Calibri"/>
      <w:color w:val="auto"/>
      <w:sz w:val="24"/>
      <w:szCs w:val="24"/>
      <w:lang w:val="en-ZA" w:eastAsia="en-US"/>
    </w:rPr>
  </w:style>
  <w:style w:type="paragraph" w:customStyle="1" w:styleId="ColorfulShading-Accent11">
    <w:name w:val="Colorful Shading - Accent 11"/>
    <w:hidden/>
    <w:uiPriority w:val="99"/>
    <w:semiHidden/>
    <w:rsid w:val="00693C78"/>
    <w:rPr>
      <w:rFonts w:ascii="Times New Roman" w:hAnsi="Times New Roman"/>
      <w:color w:val="000000"/>
      <w:sz w:val="22"/>
      <w:lang w:val="en-GB" w:eastAsia="zh-CN"/>
    </w:rPr>
  </w:style>
  <w:style w:type="paragraph" w:styleId="Revision">
    <w:name w:val="Revision"/>
    <w:hidden/>
    <w:uiPriority w:val="99"/>
    <w:rsid w:val="00DA55AC"/>
    <w:rPr>
      <w:rFonts w:ascii="Times New Roman" w:hAnsi="Times New Roman"/>
      <w:color w:val="000000"/>
      <w:sz w:val="22"/>
      <w:lang w:val="en-GB" w:eastAsia="zh-CN"/>
    </w:rPr>
  </w:style>
  <w:style w:type="paragraph" w:styleId="NoSpacing">
    <w:name w:val="No Spacing"/>
    <w:link w:val="NoSpacingChar"/>
    <w:uiPriority w:val="99"/>
    <w:qFormat/>
    <w:locked/>
    <w:rsid w:val="00871145"/>
    <w:rPr>
      <w:rFonts w:ascii="Calibri" w:eastAsia="Calibri" w:hAnsi="Calibri"/>
      <w:sz w:val="22"/>
      <w:szCs w:val="22"/>
      <w:lang w:val="en-ZA"/>
    </w:rPr>
  </w:style>
  <w:style w:type="character" w:customStyle="1" w:styleId="NoSpacingChar1">
    <w:name w:val="No Spacing Char1"/>
    <w:uiPriority w:val="99"/>
    <w:locked/>
    <w:rsid w:val="00554C1A"/>
    <w:rPr>
      <w:rFonts w:ascii="Calibri" w:eastAsia="Calibri" w:hAnsi="Calibri"/>
      <w:sz w:val="22"/>
      <w:szCs w:val="22"/>
      <w:lang w:val="en-ZA"/>
    </w:rPr>
  </w:style>
  <w:style w:type="paragraph" w:styleId="ListParagraph">
    <w:name w:val="List Paragraph"/>
    <w:basedOn w:val="Normal"/>
    <w:link w:val="ListParagraphChar"/>
    <w:uiPriority w:val="34"/>
    <w:qFormat/>
    <w:rsid w:val="00871145"/>
    <w:pPr>
      <w:ind w:left="720"/>
      <w:contextualSpacing/>
    </w:pPr>
  </w:style>
  <w:style w:type="character" w:customStyle="1" w:styleId="ListParagraphChar">
    <w:name w:val="List Paragraph Char"/>
    <w:link w:val="ListParagraph"/>
    <w:uiPriority w:val="34"/>
    <w:locked/>
    <w:rsid w:val="00871145"/>
    <w:rPr>
      <w:rFonts w:ascii="Times New Roman" w:hAnsi="Times New Roman"/>
      <w:color w:val="000000"/>
      <w:sz w:val="22"/>
      <w:lang w:val="en-GB" w:eastAsia="zh-CN"/>
    </w:rPr>
  </w:style>
  <w:style w:type="character" w:customStyle="1" w:styleId="publication-meta-journal">
    <w:name w:val="publication-meta-journal"/>
    <w:basedOn w:val="DefaultParagraphFont"/>
    <w:rsid w:val="00C17D19"/>
  </w:style>
  <w:style w:type="character" w:customStyle="1" w:styleId="publication-meta-date">
    <w:name w:val="publication-meta-date"/>
    <w:basedOn w:val="DefaultParagraphFont"/>
    <w:rsid w:val="00C17D19"/>
  </w:style>
  <w:style w:type="character" w:customStyle="1" w:styleId="yiv0733860632">
    <w:name w:val="yiv0733860632"/>
    <w:basedOn w:val="DefaultParagraphFont"/>
    <w:rsid w:val="004C3B46"/>
  </w:style>
  <w:style w:type="paragraph" w:customStyle="1" w:styleId="yiv0733860632msonormal">
    <w:name w:val="yiv0733860632msonormal"/>
    <w:basedOn w:val="Normal"/>
    <w:rsid w:val="0055770C"/>
    <w:pPr>
      <w:spacing w:before="100" w:beforeAutospacing="1" w:after="100" w:afterAutospacing="1"/>
    </w:pPr>
    <w:rPr>
      <w:color w:val="auto"/>
      <w:sz w:val="24"/>
      <w:szCs w:val="24"/>
      <w:lang w:val="en-AU" w:eastAsia="en-AU"/>
    </w:rPr>
  </w:style>
  <w:style w:type="paragraph" w:customStyle="1" w:styleId="affiliation-list-reveal">
    <w:name w:val="affiliation-list-reveal"/>
    <w:basedOn w:val="Normal"/>
    <w:rsid w:val="00B84C2D"/>
    <w:pPr>
      <w:spacing w:before="100" w:beforeAutospacing="1" w:after="100" w:afterAutospacing="1"/>
    </w:pPr>
    <w:rPr>
      <w:rFonts w:ascii="Times" w:hAnsi="Times"/>
      <w:color w:val="auto"/>
      <w:sz w:val="20"/>
      <w:lang w:val="en-US" w:eastAsia="en-US"/>
    </w:rPr>
  </w:style>
  <w:style w:type="character" w:customStyle="1" w:styleId="slug-metadata-note">
    <w:name w:val="slug-metadata-note"/>
    <w:basedOn w:val="DefaultParagraphFont"/>
    <w:rsid w:val="00B84C2D"/>
  </w:style>
  <w:style w:type="character" w:customStyle="1" w:styleId="slug-ahead-of-print-date">
    <w:name w:val="slug-ahead-of-print-date"/>
    <w:basedOn w:val="DefaultParagraphFont"/>
    <w:rsid w:val="00B84C2D"/>
  </w:style>
  <w:style w:type="character" w:customStyle="1" w:styleId="slug-pub-date">
    <w:name w:val="slug-pub-date"/>
    <w:basedOn w:val="DefaultParagraphFont"/>
    <w:rsid w:val="00B84C2D"/>
  </w:style>
  <w:style w:type="character" w:customStyle="1" w:styleId="slug-vol">
    <w:name w:val="slug-vol"/>
    <w:basedOn w:val="DefaultParagraphFont"/>
    <w:rsid w:val="00B84C2D"/>
  </w:style>
  <w:style w:type="character" w:customStyle="1" w:styleId="slug-issue">
    <w:name w:val="slug-issue"/>
    <w:basedOn w:val="DefaultParagraphFont"/>
    <w:rsid w:val="00B84C2D"/>
  </w:style>
  <w:style w:type="character" w:customStyle="1" w:styleId="slug-elocation">
    <w:name w:val="slug-elocation"/>
    <w:basedOn w:val="DefaultParagraphFont"/>
    <w:rsid w:val="00B84C2D"/>
  </w:style>
  <w:style w:type="paragraph" w:styleId="TOCHeading">
    <w:name w:val="TOC Heading"/>
    <w:basedOn w:val="Heading1"/>
    <w:next w:val="Normal"/>
    <w:uiPriority w:val="99"/>
    <w:qFormat/>
    <w:rsid w:val="00871145"/>
    <w:pPr>
      <w:keepLines/>
      <w:spacing w:before="480" w:after="0" w:line="276" w:lineRule="auto"/>
      <w:ind w:left="0" w:firstLine="0"/>
      <w:outlineLvl w:val="9"/>
    </w:pPr>
    <w:rPr>
      <w:rFonts w:ascii="Cambria" w:hAnsi="Cambria"/>
      <w:bCs/>
      <w:color w:val="365F91"/>
      <w:sz w:val="28"/>
      <w:szCs w:val="28"/>
      <w:lang w:val="fr-FR" w:eastAsia="en-US"/>
    </w:rPr>
  </w:style>
  <w:style w:type="paragraph" w:customStyle="1" w:styleId="footnotedescription">
    <w:name w:val="footnote description"/>
    <w:next w:val="Normal"/>
    <w:link w:val="footnotedescriptionChar"/>
    <w:hidden/>
    <w:rsid w:val="007B6DFB"/>
    <w:pPr>
      <w:spacing w:line="259" w:lineRule="auto"/>
    </w:pPr>
    <w:rPr>
      <w:rFonts w:ascii="Times New Roman" w:hAnsi="Times New Roman"/>
      <w:color w:val="000000"/>
      <w:sz w:val="17"/>
      <w:szCs w:val="22"/>
      <w:lang w:val="de-DE" w:eastAsia="de-DE"/>
    </w:rPr>
  </w:style>
  <w:style w:type="character" w:customStyle="1" w:styleId="footnotedescriptionChar">
    <w:name w:val="footnote description Char"/>
    <w:link w:val="footnotedescription"/>
    <w:rsid w:val="007B6DFB"/>
    <w:rPr>
      <w:rFonts w:ascii="Times New Roman" w:hAnsi="Times New Roman"/>
      <w:color w:val="000000"/>
      <w:sz w:val="17"/>
      <w:szCs w:val="22"/>
      <w:lang w:val="de-DE" w:eastAsia="de-DE"/>
    </w:rPr>
  </w:style>
  <w:style w:type="character" w:customStyle="1" w:styleId="footnotemark">
    <w:name w:val="footnote mark"/>
    <w:hidden/>
    <w:rsid w:val="007B6DFB"/>
    <w:rPr>
      <w:rFonts w:ascii="Times New Roman" w:eastAsia="Times New Roman" w:hAnsi="Times New Roman" w:cs="Times New Roman"/>
      <w:color w:val="000000"/>
      <w:sz w:val="17"/>
      <w:vertAlign w:val="superscript"/>
    </w:rPr>
  </w:style>
  <w:style w:type="character" w:customStyle="1" w:styleId="region">
    <w:name w:val="region"/>
    <w:uiPriority w:val="99"/>
    <w:rsid w:val="007B6DFB"/>
    <w:rPr>
      <w:rFonts w:ascii="Times New Roman" w:hAnsi="Times New Roman" w:cs="Times New Roman"/>
    </w:rPr>
  </w:style>
  <w:style w:type="character" w:customStyle="1" w:styleId="scopustermhighlight">
    <w:name w:val="scopustermhighlight"/>
    <w:rsid w:val="007B6DFB"/>
    <w:rPr>
      <w:rFonts w:ascii="Times New Roman" w:hAnsi="Times New Roman" w:cs="Times New Roman"/>
    </w:rPr>
  </w:style>
  <w:style w:type="character" w:customStyle="1" w:styleId="documenttype">
    <w:name w:val="documenttype"/>
    <w:rsid w:val="007B6DFB"/>
    <w:rPr>
      <w:rFonts w:ascii="Times New Roman" w:hAnsi="Times New Roman" w:cs="Times New Roman"/>
    </w:rPr>
  </w:style>
  <w:style w:type="paragraph" w:customStyle="1" w:styleId="Listenabsatz1">
    <w:name w:val="Listenabsatz1"/>
    <w:basedOn w:val="Normal"/>
    <w:rsid w:val="007B6DFB"/>
    <w:pPr>
      <w:spacing w:after="0"/>
      <w:ind w:left="720"/>
      <w:contextualSpacing/>
    </w:pPr>
    <w:rPr>
      <w:rFonts w:ascii="Calibri" w:eastAsia="MS Mincho" w:hAnsi="Calibri"/>
      <w:color w:val="auto"/>
      <w:sz w:val="24"/>
      <w:szCs w:val="24"/>
      <w:lang w:val="en-US" w:eastAsia="en-US"/>
    </w:rPr>
  </w:style>
  <w:style w:type="paragraph" w:customStyle="1" w:styleId="KeinLeerraum1">
    <w:name w:val="Kein Leerraum1"/>
    <w:rsid w:val="007B6DFB"/>
    <w:pPr>
      <w:jc w:val="both"/>
    </w:pPr>
    <w:rPr>
      <w:rFonts w:ascii="Times New Roman" w:eastAsia="MS Mincho" w:hAnsi="Times New Roman"/>
      <w:sz w:val="22"/>
      <w:szCs w:val="22"/>
    </w:rPr>
  </w:style>
  <w:style w:type="character" w:customStyle="1" w:styleId="NoSpacingChar">
    <w:name w:val="No Spacing Char"/>
    <w:link w:val="NoSpacing"/>
    <w:uiPriority w:val="99"/>
    <w:rsid w:val="00871145"/>
    <w:rPr>
      <w:rFonts w:ascii="Calibri" w:eastAsia="Calibri" w:hAnsi="Calibri"/>
      <w:sz w:val="22"/>
      <w:szCs w:val="22"/>
      <w:lang w:val="en-ZA"/>
    </w:rPr>
  </w:style>
  <w:style w:type="paragraph" w:customStyle="1" w:styleId="Inhaltsverzeichnisberschrift1">
    <w:name w:val="Inhaltsverzeichnisüberschrift1"/>
    <w:basedOn w:val="Heading1"/>
    <w:next w:val="Normal"/>
    <w:rsid w:val="007B6DFB"/>
    <w:pPr>
      <w:keepLines/>
      <w:spacing w:before="480" w:after="0" w:line="276" w:lineRule="auto"/>
      <w:ind w:left="0" w:firstLine="0"/>
      <w:outlineLvl w:val="9"/>
    </w:pPr>
    <w:rPr>
      <w:rFonts w:ascii="Cambria" w:hAnsi="Cambria"/>
      <w:bCs/>
      <w:color w:val="365F91"/>
      <w:sz w:val="28"/>
      <w:szCs w:val="28"/>
      <w:lang w:val="x-none" w:eastAsia="en-US"/>
    </w:rPr>
  </w:style>
  <w:style w:type="character" w:customStyle="1" w:styleId="subject">
    <w:name w:val="subject"/>
    <w:basedOn w:val="DefaultParagraphFont"/>
    <w:rsid w:val="007B6DFB"/>
  </w:style>
  <w:style w:type="character" w:customStyle="1" w:styleId="highlightedsearchterm">
    <w:name w:val="highlightedsearchterm"/>
    <w:basedOn w:val="DefaultParagraphFont"/>
    <w:rsid w:val="007B6DFB"/>
  </w:style>
  <w:style w:type="paragraph" w:customStyle="1" w:styleId="yiv9779639399references">
    <w:name w:val="yiv9779639399references"/>
    <w:basedOn w:val="Normal"/>
    <w:rsid w:val="00494225"/>
    <w:pPr>
      <w:spacing w:before="100" w:beforeAutospacing="1" w:after="100" w:afterAutospacing="1"/>
    </w:pPr>
    <w:rPr>
      <w:color w:val="auto"/>
      <w:sz w:val="24"/>
      <w:szCs w:val="24"/>
      <w:lang w:val="en-AU" w:eastAsia="en-AU"/>
    </w:rPr>
  </w:style>
  <w:style w:type="paragraph" w:customStyle="1" w:styleId="yiv9779639399msonormal">
    <w:name w:val="yiv9779639399msonormal"/>
    <w:basedOn w:val="Normal"/>
    <w:rsid w:val="00494225"/>
    <w:pPr>
      <w:spacing w:before="100" w:beforeAutospacing="1" w:after="100" w:afterAutospacing="1"/>
    </w:pPr>
    <w:rPr>
      <w:color w:val="auto"/>
      <w:sz w:val="24"/>
      <w:szCs w:val="24"/>
      <w:lang w:val="en-AU" w:eastAsia="en-AU"/>
    </w:rPr>
  </w:style>
  <w:style w:type="character" w:customStyle="1" w:styleId="authorname">
    <w:name w:val="authorname"/>
    <w:basedOn w:val="DefaultParagraphFont"/>
    <w:rsid w:val="00AE5394"/>
  </w:style>
  <w:style w:type="character" w:customStyle="1" w:styleId="u-sronly">
    <w:name w:val="u-sronly"/>
    <w:basedOn w:val="DefaultParagraphFont"/>
    <w:rsid w:val="00AE5394"/>
  </w:style>
  <w:style w:type="character" w:customStyle="1" w:styleId="title-text">
    <w:name w:val="title-text"/>
    <w:basedOn w:val="DefaultParagraphFont"/>
    <w:rsid w:val="00C67E3E"/>
  </w:style>
  <w:style w:type="character" w:customStyle="1" w:styleId="article-citation">
    <w:name w:val="article-citation"/>
    <w:basedOn w:val="DefaultParagraphFont"/>
    <w:rsid w:val="00C67E3E"/>
  </w:style>
  <w:style w:type="character" w:customStyle="1" w:styleId="labs-docsum-citation-part">
    <w:name w:val="labs-docsum-citation-part"/>
    <w:basedOn w:val="DefaultParagraphFont"/>
    <w:rsid w:val="00C67E3E"/>
  </w:style>
  <w:style w:type="character" w:customStyle="1" w:styleId="ogd">
    <w:name w:val="_ogd"/>
    <w:basedOn w:val="DefaultParagraphFont"/>
    <w:rsid w:val="00355CF2"/>
  </w:style>
  <w:style w:type="paragraph" w:customStyle="1" w:styleId="meta-author">
    <w:name w:val="meta-author"/>
    <w:basedOn w:val="Normal"/>
    <w:rsid w:val="00680A98"/>
    <w:pPr>
      <w:spacing w:before="100" w:beforeAutospacing="1" w:after="100" w:afterAutospacing="1"/>
    </w:pPr>
    <w:rPr>
      <w:color w:val="auto"/>
      <w:sz w:val="24"/>
      <w:szCs w:val="24"/>
      <w:lang w:val="en-AU" w:eastAsia="en-AU"/>
    </w:rPr>
  </w:style>
  <w:style w:type="paragraph" w:customStyle="1" w:styleId="meta-publication">
    <w:name w:val="meta-publication"/>
    <w:basedOn w:val="Normal"/>
    <w:rsid w:val="00680A98"/>
    <w:pPr>
      <w:spacing w:before="100" w:beforeAutospacing="1" w:after="100" w:afterAutospacing="1"/>
    </w:pPr>
    <w:rPr>
      <w:color w:val="auto"/>
      <w:sz w:val="24"/>
      <w:szCs w:val="24"/>
      <w:lang w:val="en-AU" w:eastAsia="en-AU"/>
    </w:rPr>
  </w:style>
  <w:style w:type="character" w:customStyle="1" w:styleId="hlfld-title">
    <w:name w:val="hlfld-title"/>
    <w:basedOn w:val="DefaultParagraphFont"/>
    <w:rsid w:val="006C0997"/>
  </w:style>
  <w:style w:type="character" w:customStyle="1" w:styleId="hlfld-contribauthor">
    <w:name w:val="hlfld-contribauthor"/>
    <w:basedOn w:val="DefaultParagraphFont"/>
    <w:rsid w:val="006C0997"/>
  </w:style>
  <w:style w:type="character" w:customStyle="1" w:styleId="nlmxref-aff">
    <w:name w:val="nlm_xref-aff"/>
    <w:basedOn w:val="DefaultParagraphFont"/>
    <w:rsid w:val="006C0997"/>
  </w:style>
  <w:style w:type="character" w:customStyle="1" w:styleId="institution">
    <w:name w:val="institution"/>
    <w:basedOn w:val="DefaultParagraphFont"/>
    <w:rsid w:val="006C0997"/>
  </w:style>
  <w:style w:type="character" w:customStyle="1" w:styleId="country0">
    <w:name w:val="country"/>
    <w:basedOn w:val="DefaultParagraphFont"/>
    <w:rsid w:val="006C0997"/>
  </w:style>
  <w:style w:type="character" w:customStyle="1" w:styleId="citationyear">
    <w:name w:val="citation_year"/>
    <w:basedOn w:val="DefaultParagraphFont"/>
    <w:rsid w:val="006C0997"/>
  </w:style>
  <w:style w:type="character" w:customStyle="1" w:styleId="citationvolume">
    <w:name w:val="citation_volume"/>
    <w:basedOn w:val="DefaultParagraphFont"/>
    <w:rsid w:val="006C0997"/>
  </w:style>
  <w:style w:type="character" w:customStyle="1" w:styleId="publication-meta-separator">
    <w:name w:val="publication-meta-separator"/>
    <w:basedOn w:val="DefaultParagraphFont"/>
    <w:rsid w:val="006765D9"/>
  </w:style>
  <w:style w:type="character" w:customStyle="1" w:styleId="publication-meta-stats">
    <w:name w:val="publication-meta-stats"/>
    <w:basedOn w:val="DefaultParagraphFont"/>
    <w:rsid w:val="006765D9"/>
  </w:style>
  <w:style w:type="character" w:customStyle="1" w:styleId="publication-author-position">
    <w:name w:val="publication-author-position"/>
    <w:basedOn w:val="DefaultParagraphFont"/>
    <w:rsid w:val="006765D9"/>
  </w:style>
  <w:style w:type="character" w:styleId="BookTitle">
    <w:name w:val="Book Title"/>
    <w:basedOn w:val="DefaultParagraphFont"/>
    <w:uiPriority w:val="60"/>
    <w:qFormat/>
    <w:rsid w:val="00554C1A"/>
    <w:rPr>
      <w:b/>
      <w:bCs/>
      <w:smallCaps/>
      <w:spacing w:val="5"/>
    </w:rPr>
  </w:style>
  <w:style w:type="paragraph" w:customStyle="1" w:styleId="Tablenote">
    <w:name w:val="Table note"/>
    <w:basedOn w:val="Normal"/>
    <w:qFormat/>
    <w:rsid w:val="009B6A47"/>
    <w:pPr>
      <w:spacing w:after="0"/>
      <w:ind w:left="720" w:hanging="720"/>
      <w:contextualSpacing/>
    </w:pPr>
    <w:rPr>
      <w:rFonts w:eastAsia="MS Mincho"/>
      <w:snapToGrid w:val="0"/>
      <w:color w:val="auto"/>
      <w:kern w:val="2"/>
      <w:sz w:val="20"/>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single" w:sz="6" w:space="0" w:color="A2A2A2"/>
                <w:left w:val="single" w:sz="6" w:space="0" w:color="A2A2A2"/>
                <w:bottom w:val="single" w:sz="6" w:space="0" w:color="A2A2A2"/>
                <w:right w:val="single" w:sz="6" w:space="0" w:color="A2A2A2"/>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single" w:sz="6" w:space="0" w:color="A4A4A4"/>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6" w:space="0" w:color="A2A2A2"/>
                <w:left w:val="single" w:sz="6" w:space="0" w:color="A2A2A2"/>
                <w:bottom w:val="single" w:sz="6" w:space="0" w:color="A2A2A2"/>
                <w:right w:val="single" w:sz="6" w:space="0" w:color="A2A2A2"/>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100"/>
          <w:marBottom w:val="10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100"/>
          <w:marBottom w:val="10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9895">
      <w:bodyDiv w:val="1"/>
      <w:marLeft w:val="0"/>
      <w:marRight w:val="0"/>
      <w:marTop w:val="0"/>
      <w:marBottom w:val="0"/>
      <w:divBdr>
        <w:top w:val="none" w:sz="0" w:space="0" w:color="auto"/>
        <w:left w:val="none" w:sz="0" w:space="0" w:color="auto"/>
        <w:bottom w:val="none" w:sz="0" w:space="0" w:color="auto"/>
        <w:right w:val="none" w:sz="0" w:space="0" w:color="auto"/>
      </w:divBdr>
      <w:divsChild>
        <w:div w:id="96602386">
          <w:marLeft w:val="0"/>
          <w:marRight w:val="0"/>
          <w:marTop w:val="0"/>
          <w:marBottom w:val="0"/>
          <w:divBdr>
            <w:top w:val="none" w:sz="0" w:space="0" w:color="auto"/>
            <w:left w:val="none" w:sz="0" w:space="0" w:color="auto"/>
            <w:bottom w:val="none" w:sz="0" w:space="0" w:color="auto"/>
            <w:right w:val="none" w:sz="0" w:space="0" w:color="auto"/>
          </w:divBdr>
        </w:div>
        <w:div w:id="1721052159">
          <w:marLeft w:val="0"/>
          <w:marRight w:val="0"/>
          <w:marTop w:val="0"/>
          <w:marBottom w:val="0"/>
          <w:divBdr>
            <w:top w:val="none" w:sz="0" w:space="0" w:color="auto"/>
            <w:left w:val="none" w:sz="0" w:space="0" w:color="auto"/>
            <w:bottom w:val="none" w:sz="0" w:space="0" w:color="auto"/>
            <w:right w:val="none" w:sz="0" w:space="0" w:color="auto"/>
          </w:divBdr>
        </w:div>
      </w:divsChild>
    </w:div>
    <w:div w:id="36859004">
      <w:bodyDiv w:val="1"/>
      <w:marLeft w:val="0"/>
      <w:marRight w:val="0"/>
      <w:marTop w:val="0"/>
      <w:marBottom w:val="0"/>
      <w:divBdr>
        <w:top w:val="none" w:sz="0" w:space="0" w:color="auto"/>
        <w:left w:val="none" w:sz="0" w:space="0" w:color="auto"/>
        <w:bottom w:val="none" w:sz="0" w:space="0" w:color="auto"/>
        <w:right w:val="none" w:sz="0" w:space="0" w:color="auto"/>
      </w:divBdr>
      <w:divsChild>
        <w:div w:id="288703112">
          <w:marLeft w:val="0"/>
          <w:marRight w:val="0"/>
          <w:marTop w:val="0"/>
          <w:marBottom w:val="0"/>
          <w:divBdr>
            <w:top w:val="none" w:sz="0" w:space="0" w:color="auto"/>
            <w:left w:val="none" w:sz="0" w:space="0" w:color="auto"/>
            <w:bottom w:val="none" w:sz="0" w:space="0" w:color="auto"/>
            <w:right w:val="none" w:sz="0" w:space="0" w:color="auto"/>
          </w:divBdr>
          <w:divsChild>
            <w:div w:id="680158149">
              <w:marLeft w:val="0"/>
              <w:marRight w:val="0"/>
              <w:marTop w:val="0"/>
              <w:marBottom w:val="0"/>
              <w:divBdr>
                <w:top w:val="none" w:sz="0" w:space="0" w:color="auto"/>
                <w:left w:val="none" w:sz="0" w:space="0" w:color="auto"/>
                <w:bottom w:val="none" w:sz="0" w:space="0" w:color="auto"/>
                <w:right w:val="none" w:sz="0" w:space="0" w:color="auto"/>
              </w:divBdr>
              <w:divsChild>
                <w:div w:id="2101413009">
                  <w:marLeft w:val="0"/>
                  <w:marRight w:val="0"/>
                  <w:marTop w:val="0"/>
                  <w:marBottom w:val="0"/>
                  <w:divBdr>
                    <w:top w:val="none" w:sz="0" w:space="0" w:color="auto"/>
                    <w:left w:val="none" w:sz="0" w:space="0" w:color="auto"/>
                    <w:bottom w:val="none" w:sz="0" w:space="0" w:color="auto"/>
                    <w:right w:val="none" w:sz="0" w:space="0" w:color="auto"/>
                  </w:divBdr>
                  <w:divsChild>
                    <w:div w:id="5093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05336">
              <w:marLeft w:val="0"/>
              <w:marRight w:val="0"/>
              <w:marTop w:val="0"/>
              <w:marBottom w:val="0"/>
              <w:divBdr>
                <w:top w:val="none" w:sz="0" w:space="0" w:color="auto"/>
                <w:left w:val="none" w:sz="0" w:space="0" w:color="auto"/>
                <w:bottom w:val="none" w:sz="0" w:space="0" w:color="auto"/>
                <w:right w:val="none" w:sz="0" w:space="0" w:color="auto"/>
              </w:divBdr>
              <w:divsChild>
                <w:div w:id="1076248482">
                  <w:marLeft w:val="0"/>
                  <w:marRight w:val="0"/>
                  <w:marTop w:val="0"/>
                  <w:marBottom w:val="0"/>
                  <w:divBdr>
                    <w:top w:val="none" w:sz="0" w:space="0" w:color="auto"/>
                    <w:left w:val="none" w:sz="0" w:space="0" w:color="auto"/>
                    <w:bottom w:val="none" w:sz="0" w:space="0" w:color="auto"/>
                    <w:right w:val="none" w:sz="0" w:space="0" w:color="auto"/>
                  </w:divBdr>
                  <w:divsChild>
                    <w:div w:id="17146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2814">
              <w:marLeft w:val="0"/>
              <w:marRight w:val="0"/>
              <w:marTop w:val="0"/>
              <w:marBottom w:val="0"/>
              <w:divBdr>
                <w:top w:val="none" w:sz="0" w:space="0" w:color="auto"/>
                <w:left w:val="none" w:sz="0" w:space="0" w:color="auto"/>
                <w:bottom w:val="none" w:sz="0" w:space="0" w:color="auto"/>
                <w:right w:val="none" w:sz="0" w:space="0" w:color="auto"/>
              </w:divBdr>
              <w:divsChild>
                <w:div w:id="805515153">
                  <w:marLeft w:val="0"/>
                  <w:marRight w:val="0"/>
                  <w:marTop w:val="0"/>
                  <w:marBottom w:val="0"/>
                  <w:divBdr>
                    <w:top w:val="none" w:sz="0" w:space="0" w:color="auto"/>
                    <w:left w:val="none" w:sz="0" w:space="0" w:color="auto"/>
                    <w:bottom w:val="none" w:sz="0" w:space="0" w:color="auto"/>
                    <w:right w:val="none" w:sz="0" w:space="0" w:color="auto"/>
                  </w:divBdr>
                  <w:divsChild>
                    <w:div w:id="953366690">
                      <w:marLeft w:val="0"/>
                      <w:marRight w:val="0"/>
                      <w:marTop w:val="0"/>
                      <w:marBottom w:val="0"/>
                      <w:divBdr>
                        <w:top w:val="none" w:sz="0" w:space="0" w:color="auto"/>
                        <w:left w:val="none" w:sz="0" w:space="0" w:color="auto"/>
                        <w:bottom w:val="none" w:sz="0" w:space="0" w:color="auto"/>
                        <w:right w:val="none" w:sz="0" w:space="0" w:color="auto"/>
                      </w:divBdr>
                    </w:div>
                    <w:div w:id="9839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2413">
              <w:marLeft w:val="0"/>
              <w:marRight w:val="0"/>
              <w:marTop w:val="0"/>
              <w:marBottom w:val="0"/>
              <w:divBdr>
                <w:top w:val="none" w:sz="0" w:space="0" w:color="auto"/>
                <w:left w:val="none" w:sz="0" w:space="0" w:color="auto"/>
                <w:bottom w:val="none" w:sz="0" w:space="0" w:color="auto"/>
                <w:right w:val="none" w:sz="0" w:space="0" w:color="auto"/>
              </w:divBdr>
              <w:divsChild>
                <w:div w:id="228928180">
                  <w:marLeft w:val="0"/>
                  <w:marRight w:val="0"/>
                  <w:marTop w:val="0"/>
                  <w:marBottom w:val="0"/>
                  <w:divBdr>
                    <w:top w:val="none" w:sz="0" w:space="0" w:color="auto"/>
                    <w:left w:val="none" w:sz="0" w:space="0" w:color="auto"/>
                    <w:bottom w:val="none" w:sz="0" w:space="0" w:color="auto"/>
                    <w:right w:val="none" w:sz="0" w:space="0" w:color="auto"/>
                  </w:divBdr>
                  <w:divsChild>
                    <w:div w:id="3229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74479">
          <w:marLeft w:val="0"/>
          <w:marRight w:val="0"/>
          <w:marTop w:val="0"/>
          <w:marBottom w:val="0"/>
          <w:divBdr>
            <w:top w:val="none" w:sz="0" w:space="0" w:color="auto"/>
            <w:left w:val="none" w:sz="0" w:space="0" w:color="auto"/>
            <w:bottom w:val="none" w:sz="0" w:space="0" w:color="auto"/>
            <w:right w:val="none" w:sz="0" w:space="0" w:color="auto"/>
          </w:divBdr>
        </w:div>
      </w:divsChild>
    </w:div>
    <w:div w:id="48774872">
      <w:bodyDiv w:val="1"/>
      <w:marLeft w:val="0"/>
      <w:marRight w:val="0"/>
      <w:marTop w:val="0"/>
      <w:marBottom w:val="0"/>
      <w:divBdr>
        <w:top w:val="none" w:sz="0" w:space="0" w:color="auto"/>
        <w:left w:val="none" w:sz="0" w:space="0" w:color="auto"/>
        <w:bottom w:val="none" w:sz="0" w:space="0" w:color="auto"/>
        <w:right w:val="none" w:sz="0" w:space="0" w:color="auto"/>
      </w:divBdr>
    </w:div>
    <w:div w:id="203294190">
      <w:bodyDiv w:val="1"/>
      <w:marLeft w:val="0"/>
      <w:marRight w:val="0"/>
      <w:marTop w:val="0"/>
      <w:marBottom w:val="0"/>
      <w:divBdr>
        <w:top w:val="none" w:sz="0" w:space="0" w:color="auto"/>
        <w:left w:val="none" w:sz="0" w:space="0" w:color="auto"/>
        <w:bottom w:val="none" w:sz="0" w:space="0" w:color="auto"/>
        <w:right w:val="none" w:sz="0" w:space="0" w:color="auto"/>
      </w:divBdr>
      <w:divsChild>
        <w:div w:id="597102166">
          <w:marLeft w:val="0"/>
          <w:marRight w:val="0"/>
          <w:marTop w:val="0"/>
          <w:marBottom w:val="0"/>
          <w:divBdr>
            <w:top w:val="none" w:sz="0" w:space="0" w:color="auto"/>
            <w:left w:val="none" w:sz="0" w:space="0" w:color="auto"/>
            <w:bottom w:val="none" w:sz="0" w:space="0" w:color="auto"/>
            <w:right w:val="none" w:sz="0" w:space="0" w:color="auto"/>
          </w:divBdr>
        </w:div>
      </w:divsChild>
    </w:div>
    <w:div w:id="228423927">
      <w:bodyDiv w:val="1"/>
      <w:marLeft w:val="0"/>
      <w:marRight w:val="0"/>
      <w:marTop w:val="0"/>
      <w:marBottom w:val="0"/>
      <w:divBdr>
        <w:top w:val="none" w:sz="0" w:space="0" w:color="auto"/>
        <w:left w:val="none" w:sz="0" w:space="0" w:color="auto"/>
        <w:bottom w:val="none" w:sz="0" w:space="0" w:color="auto"/>
        <w:right w:val="none" w:sz="0" w:space="0" w:color="auto"/>
      </w:divBdr>
      <w:divsChild>
        <w:div w:id="849560032">
          <w:marLeft w:val="0"/>
          <w:marRight w:val="0"/>
          <w:marTop w:val="0"/>
          <w:marBottom w:val="0"/>
          <w:divBdr>
            <w:top w:val="none" w:sz="0" w:space="0" w:color="auto"/>
            <w:left w:val="none" w:sz="0" w:space="0" w:color="auto"/>
            <w:bottom w:val="none" w:sz="0" w:space="0" w:color="auto"/>
            <w:right w:val="none" w:sz="0" w:space="0" w:color="auto"/>
          </w:divBdr>
        </w:div>
        <w:div w:id="1409418761">
          <w:marLeft w:val="0"/>
          <w:marRight w:val="0"/>
          <w:marTop w:val="0"/>
          <w:marBottom w:val="0"/>
          <w:divBdr>
            <w:top w:val="none" w:sz="0" w:space="0" w:color="auto"/>
            <w:left w:val="none" w:sz="0" w:space="0" w:color="auto"/>
            <w:bottom w:val="none" w:sz="0" w:space="0" w:color="auto"/>
            <w:right w:val="none" w:sz="0" w:space="0" w:color="auto"/>
          </w:divBdr>
        </w:div>
        <w:div w:id="2020354442">
          <w:marLeft w:val="0"/>
          <w:marRight w:val="0"/>
          <w:marTop w:val="0"/>
          <w:marBottom w:val="0"/>
          <w:divBdr>
            <w:top w:val="none" w:sz="0" w:space="0" w:color="auto"/>
            <w:left w:val="none" w:sz="0" w:space="0" w:color="auto"/>
            <w:bottom w:val="none" w:sz="0" w:space="0" w:color="auto"/>
            <w:right w:val="none" w:sz="0" w:space="0" w:color="auto"/>
          </w:divBdr>
        </w:div>
      </w:divsChild>
    </w:div>
    <w:div w:id="230122082">
      <w:bodyDiv w:val="1"/>
      <w:marLeft w:val="0"/>
      <w:marRight w:val="0"/>
      <w:marTop w:val="0"/>
      <w:marBottom w:val="0"/>
      <w:divBdr>
        <w:top w:val="none" w:sz="0" w:space="0" w:color="auto"/>
        <w:left w:val="none" w:sz="0" w:space="0" w:color="auto"/>
        <w:bottom w:val="none" w:sz="0" w:space="0" w:color="auto"/>
        <w:right w:val="none" w:sz="0" w:space="0" w:color="auto"/>
      </w:divBdr>
    </w:div>
    <w:div w:id="237250498">
      <w:bodyDiv w:val="1"/>
      <w:marLeft w:val="0"/>
      <w:marRight w:val="0"/>
      <w:marTop w:val="0"/>
      <w:marBottom w:val="0"/>
      <w:divBdr>
        <w:top w:val="none" w:sz="0" w:space="0" w:color="auto"/>
        <w:left w:val="none" w:sz="0" w:space="0" w:color="auto"/>
        <w:bottom w:val="none" w:sz="0" w:space="0" w:color="auto"/>
        <w:right w:val="none" w:sz="0" w:space="0" w:color="auto"/>
      </w:divBdr>
      <w:divsChild>
        <w:div w:id="1348673217">
          <w:marLeft w:val="0"/>
          <w:marRight w:val="0"/>
          <w:marTop w:val="0"/>
          <w:marBottom w:val="0"/>
          <w:divBdr>
            <w:top w:val="none" w:sz="0" w:space="0" w:color="auto"/>
            <w:left w:val="none" w:sz="0" w:space="0" w:color="auto"/>
            <w:bottom w:val="none" w:sz="0" w:space="0" w:color="auto"/>
            <w:right w:val="none" w:sz="0" w:space="0" w:color="auto"/>
          </w:divBdr>
        </w:div>
        <w:div w:id="1684894908">
          <w:marLeft w:val="0"/>
          <w:marRight w:val="0"/>
          <w:marTop w:val="0"/>
          <w:marBottom w:val="0"/>
          <w:divBdr>
            <w:top w:val="none" w:sz="0" w:space="0" w:color="auto"/>
            <w:left w:val="none" w:sz="0" w:space="0" w:color="auto"/>
            <w:bottom w:val="none" w:sz="0" w:space="0" w:color="auto"/>
            <w:right w:val="none" w:sz="0" w:space="0" w:color="auto"/>
          </w:divBdr>
        </w:div>
        <w:div w:id="2042893350">
          <w:marLeft w:val="0"/>
          <w:marRight w:val="0"/>
          <w:marTop w:val="0"/>
          <w:marBottom w:val="0"/>
          <w:divBdr>
            <w:top w:val="none" w:sz="0" w:space="0" w:color="auto"/>
            <w:left w:val="none" w:sz="0" w:space="0" w:color="auto"/>
            <w:bottom w:val="none" w:sz="0" w:space="0" w:color="auto"/>
            <w:right w:val="none" w:sz="0" w:space="0" w:color="auto"/>
          </w:divBdr>
        </w:div>
      </w:divsChild>
    </w:div>
    <w:div w:id="268897079">
      <w:bodyDiv w:val="1"/>
      <w:marLeft w:val="180"/>
      <w:marRight w:val="0"/>
      <w:marTop w:val="120"/>
      <w:marBottom w:val="0"/>
      <w:divBdr>
        <w:top w:val="none" w:sz="0" w:space="0" w:color="auto"/>
        <w:left w:val="none" w:sz="0" w:space="0" w:color="auto"/>
        <w:bottom w:val="none" w:sz="0" w:space="0" w:color="auto"/>
        <w:right w:val="none" w:sz="0" w:space="0" w:color="auto"/>
      </w:divBdr>
      <w:divsChild>
        <w:div w:id="1516505439">
          <w:marLeft w:val="0"/>
          <w:marRight w:val="0"/>
          <w:marTop w:val="0"/>
          <w:marBottom w:val="0"/>
          <w:divBdr>
            <w:top w:val="none" w:sz="0" w:space="0" w:color="auto"/>
            <w:left w:val="none" w:sz="0" w:space="0" w:color="auto"/>
            <w:bottom w:val="none" w:sz="0" w:space="0" w:color="auto"/>
            <w:right w:val="none" w:sz="0" w:space="0" w:color="auto"/>
          </w:divBdr>
          <w:divsChild>
            <w:div w:id="1738670593">
              <w:marLeft w:val="0"/>
              <w:marRight w:val="0"/>
              <w:marTop w:val="0"/>
              <w:marBottom w:val="0"/>
              <w:divBdr>
                <w:top w:val="none" w:sz="0" w:space="0" w:color="auto"/>
                <w:left w:val="none" w:sz="0" w:space="0" w:color="auto"/>
                <w:bottom w:val="none" w:sz="0" w:space="0" w:color="auto"/>
                <w:right w:val="none" w:sz="0" w:space="0" w:color="auto"/>
              </w:divBdr>
              <w:divsChild>
                <w:div w:id="1353023443">
                  <w:marLeft w:val="0"/>
                  <w:marRight w:val="0"/>
                  <w:marTop w:val="0"/>
                  <w:marBottom w:val="0"/>
                  <w:divBdr>
                    <w:top w:val="none" w:sz="0" w:space="0" w:color="auto"/>
                    <w:left w:val="none" w:sz="0" w:space="0" w:color="auto"/>
                    <w:bottom w:val="none" w:sz="0" w:space="0" w:color="auto"/>
                    <w:right w:val="none" w:sz="0" w:space="0" w:color="auto"/>
                  </w:divBdr>
                  <w:divsChild>
                    <w:div w:id="1162043351">
                      <w:marLeft w:val="0"/>
                      <w:marRight w:val="0"/>
                      <w:marTop w:val="0"/>
                      <w:marBottom w:val="0"/>
                      <w:divBdr>
                        <w:top w:val="none" w:sz="0" w:space="0" w:color="auto"/>
                        <w:left w:val="none" w:sz="0" w:space="0" w:color="auto"/>
                        <w:bottom w:val="none" w:sz="0" w:space="0" w:color="auto"/>
                        <w:right w:val="none" w:sz="0" w:space="0" w:color="auto"/>
                      </w:divBdr>
                      <w:divsChild>
                        <w:div w:id="19408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1130368">
      <w:bodyDiv w:val="1"/>
      <w:marLeft w:val="0"/>
      <w:marRight w:val="0"/>
      <w:marTop w:val="0"/>
      <w:marBottom w:val="0"/>
      <w:divBdr>
        <w:top w:val="none" w:sz="0" w:space="0" w:color="auto"/>
        <w:left w:val="none" w:sz="0" w:space="0" w:color="auto"/>
        <w:bottom w:val="none" w:sz="0" w:space="0" w:color="auto"/>
        <w:right w:val="none" w:sz="0" w:space="0" w:color="auto"/>
      </w:divBdr>
    </w:div>
    <w:div w:id="277372420">
      <w:bodyDiv w:val="1"/>
      <w:marLeft w:val="0"/>
      <w:marRight w:val="0"/>
      <w:marTop w:val="0"/>
      <w:marBottom w:val="0"/>
      <w:divBdr>
        <w:top w:val="none" w:sz="0" w:space="0" w:color="auto"/>
        <w:left w:val="none" w:sz="0" w:space="0" w:color="auto"/>
        <w:bottom w:val="none" w:sz="0" w:space="0" w:color="auto"/>
        <w:right w:val="none" w:sz="0" w:space="0" w:color="auto"/>
      </w:divBdr>
      <w:divsChild>
        <w:div w:id="28603536">
          <w:marLeft w:val="0"/>
          <w:marRight w:val="0"/>
          <w:marTop w:val="0"/>
          <w:marBottom w:val="0"/>
          <w:divBdr>
            <w:top w:val="none" w:sz="0" w:space="0" w:color="auto"/>
            <w:left w:val="none" w:sz="0" w:space="0" w:color="auto"/>
            <w:bottom w:val="none" w:sz="0" w:space="0" w:color="auto"/>
            <w:right w:val="none" w:sz="0" w:space="0" w:color="auto"/>
          </w:divBdr>
        </w:div>
        <w:div w:id="632252732">
          <w:marLeft w:val="0"/>
          <w:marRight w:val="0"/>
          <w:marTop w:val="0"/>
          <w:marBottom w:val="0"/>
          <w:divBdr>
            <w:top w:val="none" w:sz="0" w:space="0" w:color="auto"/>
            <w:left w:val="none" w:sz="0" w:space="0" w:color="auto"/>
            <w:bottom w:val="none" w:sz="0" w:space="0" w:color="auto"/>
            <w:right w:val="none" w:sz="0" w:space="0" w:color="auto"/>
          </w:divBdr>
        </w:div>
        <w:div w:id="846747092">
          <w:marLeft w:val="0"/>
          <w:marRight w:val="0"/>
          <w:marTop w:val="0"/>
          <w:marBottom w:val="0"/>
          <w:divBdr>
            <w:top w:val="none" w:sz="0" w:space="0" w:color="auto"/>
            <w:left w:val="none" w:sz="0" w:space="0" w:color="auto"/>
            <w:bottom w:val="none" w:sz="0" w:space="0" w:color="auto"/>
            <w:right w:val="none" w:sz="0" w:space="0" w:color="auto"/>
          </w:divBdr>
        </w:div>
        <w:div w:id="1110735767">
          <w:marLeft w:val="0"/>
          <w:marRight w:val="0"/>
          <w:marTop w:val="0"/>
          <w:marBottom w:val="0"/>
          <w:divBdr>
            <w:top w:val="none" w:sz="0" w:space="0" w:color="auto"/>
            <w:left w:val="none" w:sz="0" w:space="0" w:color="auto"/>
            <w:bottom w:val="none" w:sz="0" w:space="0" w:color="auto"/>
            <w:right w:val="none" w:sz="0" w:space="0" w:color="auto"/>
          </w:divBdr>
        </w:div>
        <w:div w:id="1244602713">
          <w:marLeft w:val="0"/>
          <w:marRight w:val="0"/>
          <w:marTop w:val="0"/>
          <w:marBottom w:val="0"/>
          <w:divBdr>
            <w:top w:val="none" w:sz="0" w:space="0" w:color="auto"/>
            <w:left w:val="none" w:sz="0" w:space="0" w:color="auto"/>
            <w:bottom w:val="none" w:sz="0" w:space="0" w:color="auto"/>
            <w:right w:val="none" w:sz="0" w:space="0" w:color="auto"/>
          </w:divBdr>
        </w:div>
        <w:div w:id="1291286495">
          <w:marLeft w:val="0"/>
          <w:marRight w:val="0"/>
          <w:marTop w:val="0"/>
          <w:marBottom w:val="0"/>
          <w:divBdr>
            <w:top w:val="none" w:sz="0" w:space="0" w:color="auto"/>
            <w:left w:val="none" w:sz="0" w:space="0" w:color="auto"/>
            <w:bottom w:val="none" w:sz="0" w:space="0" w:color="auto"/>
            <w:right w:val="none" w:sz="0" w:space="0" w:color="auto"/>
          </w:divBdr>
        </w:div>
        <w:div w:id="1331954915">
          <w:marLeft w:val="0"/>
          <w:marRight w:val="0"/>
          <w:marTop w:val="0"/>
          <w:marBottom w:val="0"/>
          <w:divBdr>
            <w:top w:val="none" w:sz="0" w:space="0" w:color="auto"/>
            <w:left w:val="none" w:sz="0" w:space="0" w:color="auto"/>
            <w:bottom w:val="none" w:sz="0" w:space="0" w:color="auto"/>
            <w:right w:val="none" w:sz="0" w:space="0" w:color="auto"/>
          </w:divBdr>
        </w:div>
        <w:div w:id="1385062786">
          <w:marLeft w:val="0"/>
          <w:marRight w:val="0"/>
          <w:marTop w:val="0"/>
          <w:marBottom w:val="0"/>
          <w:divBdr>
            <w:top w:val="none" w:sz="0" w:space="0" w:color="auto"/>
            <w:left w:val="none" w:sz="0" w:space="0" w:color="auto"/>
            <w:bottom w:val="none" w:sz="0" w:space="0" w:color="auto"/>
            <w:right w:val="none" w:sz="0" w:space="0" w:color="auto"/>
          </w:divBdr>
        </w:div>
        <w:div w:id="1795639859">
          <w:marLeft w:val="0"/>
          <w:marRight w:val="0"/>
          <w:marTop w:val="0"/>
          <w:marBottom w:val="0"/>
          <w:divBdr>
            <w:top w:val="none" w:sz="0" w:space="0" w:color="auto"/>
            <w:left w:val="none" w:sz="0" w:space="0" w:color="auto"/>
            <w:bottom w:val="none" w:sz="0" w:space="0" w:color="auto"/>
            <w:right w:val="none" w:sz="0" w:space="0" w:color="auto"/>
          </w:divBdr>
        </w:div>
        <w:div w:id="1849561690">
          <w:marLeft w:val="0"/>
          <w:marRight w:val="0"/>
          <w:marTop w:val="0"/>
          <w:marBottom w:val="0"/>
          <w:divBdr>
            <w:top w:val="none" w:sz="0" w:space="0" w:color="auto"/>
            <w:left w:val="none" w:sz="0" w:space="0" w:color="auto"/>
            <w:bottom w:val="none" w:sz="0" w:space="0" w:color="auto"/>
            <w:right w:val="none" w:sz="0" w:space="0" w:color="auto"/>
          </w:divBdr>
        </w:div>
        <w:div w:id="1888299473">
          <w:marLeft w:val="0"/>
          <w:marRight w:val="0"/>
          <w:marTop w:val="0"/>
          <w:marBottom w:val="0"/>
          <w:divBdr>
            <w:top w:val="none" w:sz="0" w:space="0" w:color="auto"/>
            <w:left w:val="none" w:sz="0" w:space="0" w:color="auto"/>
            <w:bottom w:val="none" w:sz="0" w:space="0" w:color="auto"/>
            <w:right w:val="none" w:sz="0" w:space="0" w:color="auto"/>
          </w:divBdr>
        </w:div>
        <w:div w:id="1908956527">
          <w:marLeft w:val="0"/>
          <w:marRight w:val="0"/>
          <w:marTop w:val="0"/>
          <w:marBottom w:val="0"/>
          <w:divBdr>
            <w:top w:val="none" w:sz="0" w:space="0" w:color="auto"/>
            <w:left w:val="none" w:sz="0" w:space="0" w:color="auto"/>
            <w:bottom w:val="none" w:sz="0" w:space="0" w:color="auto"/>
            <w:right w:val="none" w:sz="0" w:space="0" w:color="auto"/>
          </w:divBdr>
        </w:div>
      </w:divsChild>
    </w:div>
    <w:div w:id="285161814">
      <w:bodyDiv w:val="1"/>
      <w:marLeft w:val="0"/>
      <w:marRight w:val="0"/>
      <w:marTop w:val="0"/>
      <w:marBottom w:val="0"/>
      <w:divBdr>
        <w:top w:val="none" w:sz="0" w:space="0" w:color="auto"/>
        <w:left w:val="none" w:sz="0" w:space="0" w:color="auto"/>
        <w:bottom w:val="none" w:sz="0" w:space="0" w:color="auto"/>
        <w:right w:val="none" w:sz="0" w:space="0" w:color="auto"/>
      </w:divBdr>
      <w:divsChild>
        <w:div w:id="1386950766">
          <w:marLeft w:val="0"/>
          <w:marRight w:val="0"/>
          <w:marTop w:val="0"/>
          <w:marBottom w:val="0"/>
          <w:divBdr>
            <w:top w:val="none" w:sz="0" w:space="0" w:color="auto"/>
            <w:left w:val="none" w:sz="0" w:space="0" w:color="auto"/>
            <w:bottom w:val="none" w:sz="0" w:space="0" w:color="auto"/>
            <w:right w:val="none" w:sz="0" w:space="0" w:color="auto"/>
          </w:divBdr>
        </w:div>
      </w:divsChild>
    </w:div>
    <w:div w:id="291129870">
      <w:bodyDiv w:val="1"/>
      <w:marLeft w:val="0"/>
      <w:marRight w:val="0"/>
      <w:marTop w:val="0"/>
      <w:marBottom w:val="0"/>
      <w:divBdr>
        <w:top w:val="none" w:sz="0" w:space="0" w:color="auto"/>
        <w:left w:val="none" w:sz="0" w:space="0" w:color="auto"/>
        <w:bottom w:val="none" w:sz="0" w:space="0" w:color="auto"/>
        <w:right w:val="none" w:sz="0" w:space="0" w:color="auto"/>
      </w:divBdr>
      <w:divsChild>
        <w:div w:id="1363240673">
          <w:marLeft w:val="0"/>
          <w:marRight w:val="0"/>
          <w:marTop w:val="0"/>
          <w:marBottom w:val="0"/>
          <w:divBdr>
            <w:top w:val="none" w:sz="0" w:space="0" w:color="auto"/>
            <w:left w:val="none" w:sz="0" w:space="0" w:color="auto"/>
            <w:bottom w:val="none" w:sz="0" w:space="0" w:color="auto"/>
            <w:right w:val="none" w:sz="0" w:space="0" w:color="auto"/>
          </w:divBdr>
        </w:div>
        <w:div w:id="1995254856">
          <w:marLeft w:val="0"/>
          <w:marRight w:val="0"/>
          <w:marTop w:val="0"/>
          <w:marBottom w:val="0"/>
          <w:divBdr>
            <w:top w:val="none" w:sz="0" w:space="0" w:color="auto"/>
            <w:left w:val="none" w:sz="0" w:space="0" w:color="auto"/>
            <w:bottom w:val="none" w:sz="0" w:space="0" w:color="auto"/>
            <w:right w:val="none" w:sz="0" w:space="0" w:color="auto"/>
          </w:divBdr>
        </w:div>
        <w:div w:id="1406799367">
          <w:marLeft w:val="0"/>
          <w:marRight w:val="0"/>
          <w:marTop w:val="0"/>
          <w:marBottom w:val="0"/>
          <w:divBdr>
            <w:top w:val="none" w:sz="0" w:space="0" w:color="auto"/>
            <w:left w:val="none" w:sz="0" w:space="0" w:color="auto"/>
            <w:bottom w:val="none" w:sz="0" w:space="0" w:color="auto"/>
            <w:right w:val="none" w:sz="0" w:space="0" w:color="auto"/>
          </w:divBdr>
        </w:div>
        <w:div w:id="593172049">
          <w:marLeft w:val="0"/>
          <w:marRight w:val="0"/>
          <w:marTop w:val="0"/>
          <w:marBottom w:val="0"/>
          <w:divBdr>
            <w:top w:val="none" w:sz="0" w:space="0" w:color="auto"/>
            <w:left w:val="none" w:sz="0" w:space="0" w:color="auto"/>
            <w:bottom w:val="none" w:sz="0" w:space="0" w:color="auto"/>
            <w:right w:val="none" w:sz="0" w:space="0" w:color="auto"/>
          </w:divBdr>
        </w:div>
        <w:div w:id="615252949">
          <w:marLeft w:val="0"/>
          <w:marRight w:val="0"/>
          <w:marTop w:val="0"/>
          <w:marBottom w:val="0"/>
          <w:divBdr>
            <w:top w:val="none" w:sz="0" w:space="0" w:color="auto"/>
            <w:left w:val="none" w:sz="0" w:space="0" w:color="auto"/>
            <w:bottom w:val="none" w:sz="0" w:space="0" w:color="auto"/>
            <w:right w:val="none" w:sz="0" w:space="0" w:color="auto"/>
          </w:divBdr>
        </w:div>
      </w:divsChild>
    </w:div>
    <w:div w:id="341130042">
      <w:bodyDiv w:val="1"/>
      <w:marLeft w:val="0"/>
      <w:marRight w:val="0"/>
      <w:marTop w:val="0"/>
      <w:marBottom w:val="0"/>
      <w:divBdr>
        <w:top w:val="none" w:sz="0" w:space="0" w:color="auto"/>
        <w:left w:val="none" w:sz="0" w:space="0" w:color="auto"/>
        <w:bottom w:val="none" w:sz="0" w:space="0" w:color="auto"/>
        <w:right w:val="none" w:sz="0" w:space="0" w:color="auto"/>
      </w:divBdr>
      <w:divsChild>
        <w:div w:id="2015648354">
          <w:marLeft w:val="0"/>
          <w:marRight w:val="0"/>
          <w:marTop w:val="0"/>
          <w:marBottom w:val="0"/>
          <w:divBdr>
            <w:top w:val="none" w:sz="0" w:space="0" w:color="auto"/>
            <w:left w:val="none" w:sz="0" w:space="0" w:color="auto"/>
            <w:bottom w:val="none" w:sz="0" w:space="0" w:color="auto"/>
            <w:right w:val="none" w:sz="0" w:space="0" w:color="auto"/>
          </w:divBdr>
        </w:div>
      </w:divsChild>
    </w:div>
    <w:div w:id="520627064">
      <w:bodyDiv w:val="1"/>
      <w:marLeft w:val="0"/>
      <w:marRight w:val="0"/>
      <w:marTop w:val="0"/>
      <w:marBottom w:val="0"/>
      <w:divBdr>
        <w:top w:val="none" w:sz="0" w:space="0" w:color="auto"/>
        <w:left w:val="none" w:sz="0" w:space="0" w:color="auto"/>
        <w:bottom w:val="none" w:sz="0" w:space="0" w:color="auto"/>
        <w:right w:val="none" w:sz="0" w:space="0" w:color="auto"/>
      </w:divBdr>
    </w:div>
    <w:div w:id="580678818">
      <w:bodyDiv w:val="1"/>
      <w:marLeft w:val="0"/>
      <w:marRight w:val="0"/>
      <w:marTop w:val="0"/>
      <w:marBottom w:val="0"/>
      <w:divBdr>
        <w:top w:val="none" w:sz="0" w:space="0" w:color="auto"/>
        <w:left w:val="none" w:sz="0" w:space="0" w:color="auto"/>
        <w:bottom w:val="none" w:sz="0" w:space="0" w:color="auto"/>
        <w:right w:val="none" w:sz="0" w:space="0" w:color="auto"/>
      </w:divBdr>
      <w:divsChild>
        <w:div w:id="25061731">
          <w:marLeft w:val="0"/>
          <w:marRight w:val="0"/>
          <w:marTop w:val="0"/>
          <w:marBottom w:val="0"/>
          <w:divBdr>
            <w:top w:val="none" w:sz="0" w:space="0" w:color="auto"/>
            <w:left w:val="none" w:sz="0" w:space="0" w:color="auto"/>
            <w:bottom w:val="none" w:sz="0" w:space="0" w:color="auto"/>
            <w:right w:val="none" w:sz="0" w:space="0" w:color="auto"/>
          </w:divBdr>
        </w:div>
        <w:div w:id="410665423">
          <w:marLeft w:val="0"/>
          <w:marRight w:val="0"/>
          <w:marTop w:val="0"/>
          <w:marBottom w:val="0"/>
          <w:divBdr>
            <w:top w:val="none" w:sz="0" w:space="0" w:color="auto"/>
            <w:left w:val="none" w:sz="0" w:space="0" w:color="auto"/>
            <w:bottom w:val="none" w:sz="0" w:space="0" w:color="auto"/>
            <w:right w:val="none" w:sz="0" w:space="0" w:color="auto"/>
          </w:divBdr>
        </w:div>
        <w:div w:id="1073165436">
          <w:marLeft w:val="0"/>
          <w:marRight w:val="0"/>
          <w:marTop w:val="0"/>
          <w:marBottom w:val="0"/>
          <w:divBdr>
            <w:top w:val="none" w:sz="0" w:space="0" w:color="auto"/>
            <w:left w:val="none" w:sz="0" w:space="0" w:color="auto"/>
            <w:bottom w:val="none" w:sz="0" w:space="0" w:color="auto"/>
            <w:right w:val="none" w:sz="0" w:space="0" w:color="auto"/>
          </w:divBdr>
        </w:div>
        <w:div w:id="1354456742">
          <w:marLeft w:val="0"/>
          <w:marRight w:val="0"/>
          <w:marTop w:val="0"/>
          <w:marBottom w:val="0"/>
          <w:divBdr>
            <w:top w:val="none" w:sz="0" w:space="0" w:color="auto"/>
            <w:left w:val="none" w:sz="0" w:space="0" w:color="auto"/>
            <w:bottom w:val="none" w:sz="0" w:space="0" w:color="auto"/>
            <w:right w:val="none" w:sz="0" w:space="0" w:color="auto"/>
          </w:divBdr>
        </w:div>
        <w:div w:id="1803957544">
          <w:marLeft w:val="0"/>
          <w:marRight w:val="0"/>
          <w:marTop w:val="0"/>
          <w:marBottom w:val="0"/>
          <w:divBdr>
            <w:top w:val="none" w:sz="0" w:space="0" w:color="auto"/>
            <w:left w:val="none" w:sz="0" w:space="0" w:color="auto"/>
            <w:bottom w:val="none" w:sz="0" w:space="0" w:color="auto"/>
            <w:right w:val="none" w:sz="0" w:space="0" w:color="auto"/>
          </w:divBdr>
        </w:div>
      </w:divsChild>
    </w:div>
    <w:div w:id="600837187">
      <w:bodyDiv w:val="1"/>
      <w:marLeft w:val="0"/>
      <w:marRight w:val="0"/>
      <w:marTop w:val="0"/>
      <w:marBottom w:val="0"/>
      <w:divBdr>
        <w:top w:val="none" w:sz="0" w:space="0" w:color="auto"/>
        <w:left w:val="none" w:sz="0" w:space="0" w:color="auto"/>
        <w:bottom w:val="none" w:sz="0" w:space="0" w:color="auto"/>
        <w:right w:val="none" w:sz="0" w:space="0" w:color="auto"/>
      </w:divBdr>
      <w:divsChild>
        <w:div w:id="457334962">
          <w:marLeft w:val="0"/>
          <w:marRight w:val="0"/>
          <w:marTop w:val="0"/>
          <w:marBottom w:val="0"/>
          <w:divBdr>
            <w:top w:val="none" w:sz="0" w:space="0" w:color="auto"/>
            <w:left w:val="none" w:sz="0" w:space="0" w:color="auto"/>
            <w:bottom w:val="none" w:sz="0" w:space="0" w:color="auto"/>
            <w:right w:val="none" w:sz="0" w:space="0" w:color="auto"/>
          </w:divBdr>
          <w:divsChild>
            <w:div w:id="766190085">
              <w:marLeft w:val="0"/>
              <w:marRight w:val="0"/>
              <w:marTop w:val="0"/>
              <w:marBottom w:val="0"/>
              <w:divBdr>
                <w:top w:val="none" w:sz="0" w:space="0" w:color="auto"/>
                <w:left w:val="none" w:sz="0" w:space="0" w:color="auto"/>
                <w:bottom w:val="none" w:sz="0" w:space="0" w:color="auto"/>
                <w:right w:val="none" w:sz="0" w:space="0" w:color="auto"/>
              </w:divBdr>
              <w:divsChild>
                <w:div w:id="1992054434">
                  <w:marLeft w:val="0"/>
                  <w:marRight w:val="0"/>
                  <w:marTop w:val="0"/>
                  <w:marBottom w:val="0"/>
                  <w:divBdr>
                    <w:top w:val="none" w:sz="0" w:space="0" w:color="auto"/>
                    <w:left w:val="none" w:sz="0" w:space="0" w:color="auto"/>
                    <w:bottom w:val="none" w:sz="0" w:space="0" w:color="auto"/>
                    <w:right w:val="none" w:sz="0" w:space="0" w:color="auto"/>
                  </w:divBdr>
                  <w:divsChild>
                    <w:div w:id="419521336">
                      <w:marLeft w:val="0"/>
                      <w:marRight w:val="0"/>
                      <w:marTop w:val="0"/>
                      <w:marBottom w:val="0"/>
                      <w:divBdr>
                        <w:top w:val="none" w:sz="0" w:space="0" w:color="auto"/>
                        <w:left w:val="none" w:sz="0" w:space="0" w:color="auto"/>
                        <w:bottom w:val="none" w:sz="0" w:space="0" w:color="auto"/>
                        <w:right w:val="none" w:sz="0" w:space="0" w:color="auto"/>
                      </w:divBdr>
                      <w:divsChild>
                        <w:div w:id="1307588662">
                          <w:marLeft w:val="0"/>
                          <w:marRight w:val="0"/>
                          <w:marTop w:val="0"/>
                          <w:marBottom w:val="0"/>
                          <w:divBdr>
                            <w:top w:val="none" w:sz="0" w:space="0" w:color="auto"/>
                            <w:left w:val="none" w:sz="0" w:space="0" w:color="auto"/>
                            <w:bottom w:val="none" w:sz="0" w:space="0" w:color="auto"/>
                            <w:right w:val="none" w:sz="0" w:space="0" w:color="auto"/>
                          </w:divBdr>
                          <w:divsChild>
                            <w:div w:id="866986936">
                              <w:marLeft w:val="0"/>
                              <w:marRight w:val="0"/>
                              <w:marTop w:val="0"/>
                              <w:marBottom w:val="0"/>
                              <w:divBdr>
                                <w:top w:val="none" w:sz="0" w:space="0" w:color="auto"/>
                                <w:left w:val="none" w:sz="0" w:space="0" w:color="auto"/>
                                <w:bottom w:val="none" w:sz="0" w:space="0" w:color="auto"/>
                                <w:right w:val="none" w:sz="0" w:space="0" w:color="auto"/>
                              </w:divBdr>
                              <w:divsChild>
                                <w:div w:id="712849984">
                                  <w:marLeft w:val="0"/>
                                  <w:marRight w:val="0"/>
                                  <w:marTop w:val="0"/>
                                  <w:marBottom w:val="0"/>
                                  <w:divBdr>
                                    <w:top w:val="none" w:sz="0" w:space="0" w:color="auto"/>
                                    <w:left w:val="none" w:sz="0" w:space="0" w:color="auto"/>
                                    <w:bottom w:val="none" w:sz="0" w:space="0" w:color="auto"/>
                                    <w:right w:val="none" w:sz="0" w:space="0" w:color="auto"/>
                                  </w:divBdr>
                                  <w:divsChild>
                                    <w:div w:id="1790591532">
                                      <w:marLeft w:val="0"/>
                                      <w:marRight w:val="0"/>
                                      <w:marTop w:val="0"/>
                                      <w:marBottom w:val="0"/>
                                      <w:divBdr>
                                        <w:top w:val="none" w:sz="0" w:space="0" w:color="auto"/>
                                        <w:left w:val="none" w:sz="0" w:space="0" w:color="auto"/>
                                        <w:bottom w:val="none" w:sz="0" w:space="0" w:color="auto"/>
                                        <w:right w:val="none" w:sz="0" w:space="0" w:color="auto"/>
                                      </w:divBdr>
                                      <w:divsChild>
                                        <w:div w:id="1585989907">
                                          <w:marLeft w:val="0"/>
                                          <w:marRight w:val="0"/>
                                          <w:marTop w:val="0"/>
                                          <w:marBottom w:val="0"/>
                                          <w:divBdr>
                                            <w:top w:val="none" w:sz="0" w:space="0" w:color="auto"/>
                                            <w:left w:val="none" w:sz="0" w:space="0" w:color="auto"/>
                                            <w:bottom w:val="none" w:sz="0" w:space="0" w:color="auto"/>
                                            <w:right w:val="none" w:sz="0" w:space="0" w:color="auto"/>
                                          </w:divBdr>
                                          <w:divsChild>
                                            <w:div w:id="147059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9366376">
      <w:bodyDiv w:val="1"/>
      <w:marLeft w:val="0"/>
      <w:marRight w:val="0"/>
      <w:marTop w:val="0"/>
      <w:marBottom w:val="0"/>
      <w:divBdr>
        <w:top w:val="none" w:sz="0" w:space="0" w:color="auto"/>
        <w:left w:val="none" w:sz="0" w:space="0" w:color="auto"/>
        <w:bottom w:val="none" w:sz="0" w:space="0" w:color="auto"/>
        <w:right w:val="none" w:sz="0" w:space="0" w:color="auto"/>
      </w:divBdr>
    </w:div>
    <w:div w:id="720397855">
      <w:bodyDiv w:val="1"/>
      <w:marLeft w:val="0"/>
      <w:marRight w:val="0"/>
      <w:marTop w:val="0"/>
      <w:marBottom w:val="0"/>
      <w:divBdr>
        <w:top w:val="none" w:sz="0" w:space="0" w:color="auto"/>
        <w:left w:val="none" w:sz="0" w:space="0" w:color="auto"/>
        <w:bottom w:val="none" w:sz="0" w:space="0" w:color="auto"/>
        <w:right w:val="none" w:sz="0" w:space="0" w:color="auto"/>
      </w:divBdr>
    </w:div>
    <w:div w:id="727529312">
      <w:bodyDiv w:val="1"/>
      <w:marLeft w:val="0"/>
      <w:marRight w:val="0"/>
      <w:marTop w:val="0"/>
      <w:marBottom w:val="0"/>
      <w:divBdr>
        <w:top w:val="none" w:sz="0" w:space="0" w:color="auto"/>
        <w:left w:val="none" w:sz="0" w:space="0" w:color="auto"/>
        <w:bottom w:val="none" w:sz="0" w:space="0" w:color="auto"/>
        <w:right w:val="none" w:sz="0" w:space="0" w:color="auto"/>
      </w:divBdr>
      <w:divsChild>
        <w:div w:id="594288059">
          <w:marLeft w:val="0"/>
          <w:marRight w:val="0"/>
          <w:marTop w:val="0"/>
          <w:marBottom w:val="0"/>
          <w:divBdr>
            <w:top w:val="none" w:sz="0" w:space="0" w:color="auto"/>
            <w:left w:val="none" w:sz="0" w:space="0" w:color="auto"/>
            <w:bottom w:val="none" w:sz="0" w:space="0" w:color="auto"/>
            <w:right w:val="none" w:sz="0" w:space="0" w:color="auto"/>
          </w:divBdr>
          <w:divsChild>
            <w:div w:id="1040472024">
              <w:marLeft w:val="0"/>
              <w:marRight w:val="0"/>
              <w:marTop w:val="0"/>
              <w:marBottom w:val="0"/>
              <w:divBdr>
                <w:top w:val="none" w:sz="0" w:space="0" w:color="auto"/>
                <w:left w:val="none" w:sz="0" w:space="0" w:color="auto"/>
                <w:bottom w:val="none" w:sz="0" w:space="0" w:color="auto"/>
                <w:right w:val="none" w:sz="0" w:space="0" w:color="auto"/>
              </w:divBdr>
              <w:divsChild>
                <w:div w:id="1450123655">
                  <w:marLeft w:val="0"/>
                  <w:marRight w:val="0"/>
                  <w:marTop w:val="0"/>
                  <w:marBottom w:val="0"/>
                  <w:divBdr>
                    <w:top w:val="none" w:sz="0" w:space="0" w:color="auto"/>
                    <w:left w:val="none" w:sz="0" w:space="0" w:color="auto"/>
                    <w:bottom w:val="none" w:sz="0" w:space="0" w:color="auto"/>
                    <w:right w:val="none" w:sz="0" w:space="0" w:color="auto"/>
                  </w:divBdr>
                  <w:divsChild>
                    <w:div w:id="638610128">
                      <w:marLeft w:val="0"/>
                      <w:marRight w:val="0"/>
                      <w:marTop w:val="0"/>
                      <w:marBottom w:val="0"/>
                      <w:divBdr>
                        <w:top w:val="none" w:sz="0" w:space="0" w:color="auto"/>
                        <w:left w:val="none" w:sz="0" w:space="0" w:color="auto"/>
                        <w:bottom w:val="none" w:sz="0" w:space="0" w:color="auto"/>
                        <w:right w:val="none" w:sz="0" w:space="0" w:color="auto"/>
                      </w:divBdr>
                      <w:divsChild>
                        <w:div w:id="997267468">
                          <w:marLeft w:val="0"/>
                          <w:marRight w:val="0"/>
                          <w:marTop w:val="0"/>
                          <w:marBottom w:val="0"/>
                          <w:divBdr>
                            <w:top w:val="none" w:sz="0" w:space="0" w:color="auto"/>
                            <w:left w:val="none" w:sz="0" w:space="0" w:color="auto"/>
                            <w:bottom w:val="none" w:sz="0" w:space="0" w:color="auto"/>
                            <w:right w:val="none" w:sz="0" w:space="0" w:color="auto"/>
                          </w:divBdr>
                          <w:divsChild>
                            <w:div w:id="328144112">
                              <w:marLeft w:val="0"/>
                              <w:marRight w:val="0"/>
                              <w:marTop w:val="0"/>
                              <w:marBottom w:val="0"/>
                              <w:divBdr>
                                <w:top w:val="none" w:sz="0" w:space="0" w:color="auto"/>
                                <w:left w:val="none" w:sz="0" w:space="0" w:color="auto"/>
                                <w:bottom w:val="none" w:sz="0" w:space="0" w:color="auto"/>
                                <w:right w:val="none" w:sz="0" w:space="0" w:color="auto"/>
                              </w:divBdr>
                              <w:divsChild>
                                <w:div w:id="1583946474">
                                  <w:marLeft w:val="0"/>
                                  <w:marRight w:val="0"/>
                                  <w:marTop w:val="0"/>
                                  <w:marBottom w:val="0"/>
                                  <w:divBdr>
                                    <w:top w:val="none" w:sz="0" w:space="0" w:color="auto"/>
                                    <w:left w:val="none" w:sz="0" w:space="0" w:color="auto"/>
                                    <w:bottom w:val="none" w:sz="0" w:space="0" w:color="auto"/>
                                    <w:right w:val="none" w:sz="0" w:space="0" w:color="auto"/>
                                  </w:divBdr>
                                  <w:divsChild>
                                    <w:div w:id="1616522332">
                                      <w:marLeft w:val="0"/>
                                      <w:marRight w:val="0"/>
                                      <w:marTop w:val="0"/>
                                      <w:marBottom w:val="0"/>
                                      <w:divBdr>
                                        <w:top w:val="none" w:sz="0" w:space="0" w:color="auto"/>
                                        <w:left w:val="none" w:sz="0" w:space="0" w:color="auto"/>
                                        <w:bottom w:val="none" w:sz="0" w:space="0" w:color="auto"/>
                                        <w:right w:val="none" w:sz="0" w:space="0" w:color="auto"/>
                                      </w:divBdr>
                                      <w:divsChild>
                                        <w:div w:id="945699830">
                                          <w:marLeft w:val="0"/>
                                          <w:marRight w:val="0"/>
                                          <w:marTop w:val="0"/>
                                          <w:marBottom w:val="0"/>
                                          <w:divBdr>
                                            <w:top w:val="none" w:sz="0" w:space="0" w:color="auto"/>
                                            <w:left w:val="none" w:sz="0" w:space="0" w:color="auto"/>
                                            <w:bottom w:val="none" w:sz="0" w:space="0" w:color="auto"/>
                                            <w:right w:val="none" w:sz="0" w:space="0" w:color="auto"/>
                                          </w:divBdr>
                                          <w:divsChild>
                                            <w:div w:id="14511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6679268">
      <w:bodyDiv w:val="1"/>
      <w:marLeft w:val="0"/>
      <w:marRight w:val="0"/>
      <w:marTop w:val="0"/>
      <w:marBottom w:val="0"/>
      <w:divBdr>
        <w:top w:val="none" w:sz="0" w:space="0" w:color="auto"/>
        <w:left w:val="none" w:sz="0" w:space="0" w:color="auto"/>
        <w:bottom w:val="none" w:sz="0" w:space="0" w:color="auto"/>
        <w:right w:val="none" w:sz="0" w:space="0" w:color="auto"/>
      </w:divBdr>
      <w:divsChild>
        <w:div w:id="267929219">
          <w:marLeft w:val="0"/>
          <w:marRight w:val="0"/>
          <w:marTop w:val="0"/>
          <w:marBottom w:val="0"/>
          <w:divBdr>
            <w:top w:val="none" w:sz="0" w:space="0" w:color="auto"/>
            <w:left w:val="none" w:sz="0" w:space="0" w:color="auto"/>
            <w:bottom w:val="none" w:sz="0" w:space="0" w:color="auto"/>
            <w:right w:val="none" w:sz="0" w:space="0" w:color="auto"/>
          </w:divBdr>
        </w:div>
        <w:div w:id="1453866783">
          <w:marLeft w:val="0"/>
          <w:marRight w:val="0"/>
          <w:marTop w:val="0"/>
          <w:marBottom w:val="0"/>
          <w:divBdr>
            <w:top w:val="none" w:sz="0" w:space="0" w:color="auto"/>
            <w:left w:val="none" w:sz="0" w:space="0" w:color="auto"/>
            <w:bottom w:val="none" w:sz="0" w:space="0" w:color="auto"/>
            <w:right w:val="none" w:sz="0" w:space="0" w:color="auto"/>
          </w:divBdr>
        </w:div>
      </w:divsChild>
    </w:div>
    <w:div w:id="826631075">
      <w:bodyDiv w:val="1"/>
      <w:marLeft w:val="0"/>
      <w:marRight w:val="0"/>
      <w:marTop w:val="0"/>
      <w:marBottom w:val="0"/>
      <w:divBdr>
        <w:top w:val="none" w:sz="0" w:space="0" w:color="auto"/>
        <w:left w:val="none" w:sz="0" w:space="0" w:color="auto"/>
        <w:bottom w:val="none" w:sz="0" w:space="0" w:color="auto"/>
        <w:right w:val="none" w:sz="0" w:space="0" w:color="auto"/>
      </w:divBdr>
      <w:divsChild>
        <w:div w:id="265886623">
          <w:marLeft w:val="0"/>
          <w:marRight w:val="0"/>
          <w:marTop w:val="0"/>
          <w:marBottom w:val="0"/>
          <w:divBdr>
            <w:top w:val="none" w:sz="0" w:space="0" w:color="auto"/>
            <w:left w:val="none" w:sz="0" w:space="0" w:color="auto"/>
            <w:bottom w:val="none" w:sz="0" w:space="0" w:color="auto"/>
            <w:right w:val="none" w:sz="0" w:space="0" w:color="auto"/>
          </w:divBdr>
        </w:div>
        <w:div w:id="995301587">
          <w:marLeft w:val="0"/>
          <w:marRight w:val="0"/>
          <w:marTop w:val="0"/>
          <w:marBottom w:val="0"/>
          <w:divBdr>
            <w:top w:val="none" w:sz="0" w:space="0" w:color="auto"/>
            <w:left w:val="none" w:sz="0" w:space="0" w:color="auto"/>
            <w:bottom w:val="none" w:sz="0" w:space="0" w:color="auto"/>
            <w:right w:val="none" w:sz="0" w:space="0" w:color="auto"/>
          </w:divBdr>
        </w:div>
        <w:div w:id="1510216992">
          <w:marLeft w:val="0"/>
          <w:marRight w:val="0"/>
          <w:marTop w:val="0"/>
          <w:marBottom w:val="0"/>
          <w:divBdr>
            <w:top w:val="none" w:sz="0" w:space="0" w:color="auto"/>
            <w:left w:val="none" w:sz="0" w:space="0" w:color="auto"/>
            <w:bottom w:val="none" w:sz="0" w:space="0" w:color="auto"/>
            <w:right w:val="none" w:sz="0" w:space="0" w:color="auto"/>
          </w:divBdr>
        </w:div>
        <w:div w:id="1815296194">
          <w:marLeft w:val="0"/>
          <w:marRight w:val="0"/>
          <w:marTop w:val="0"/>
          <w:marBottom w:val="0"/>
          <w:divBdr>
            <w:top w:val="none" w:sz="0" w:space="0" w:color="auto"/>
            <w:left w:val="none" w:sz="0" w:space="0" w:color="auto"/>
            <w:bottom w:val="none" w:sz="0" w:space="0" w:color="auto"/>
            <w:right w:val="none" w:sz="0" w:space="0" w:color="auto"/>
          </w:divBdr>
        </w:div>
        <w:div w:id="1871648207">
          <w:marLeft w:val="0"/>
          <w:marRight w:val="0"/>
          <w:marTop w:val="0"/>
          <w:marBottom w:val="0"/>
          <w:divBdr>
            <w:top w:val="none" w:sz="0" w:space="0" w:color="auto"/>
            <w:left w:val="none" w:sz="0" w:space="0" w:color="auto"/>
            <w:bottom w:val="none" w:sz="0" w:space="0" w:color="auto"/>
            <w:right w:val="none" w:sz="0" w:space="0" w:color="auto"/>
          </w:divBdr>
        </w:div>
        <w:div w:id="2006198358">
          <w:marLeft w:val="0"/>
          <w:marRight w:val="0"/>
          <w:marTop w:val="0"/>
          <w:marBottom w:val="0"/>
          <w:divBdr>
            <w:top w:val="none" w:sz="0" w:space="0" w:color="auto"/>
            <w:left w:val="none" w:sz="0" w:space="0" w:color="auto"/>
            <w:bottom w:val="none" w:sz="0" w:space="0" w:color="auto"/>
            <w:right w:val="none" w:sz="0" w:space="0" w:color="auto"/>
          </w:divBdr>
        </w:div>
      </w:divsChild>
    </w:div>
    <w:div w:id="861554474">
      <w:bodyDiv w:val="1"/>
      <w:marLeft w:val="0"/>
      <w:marRight w:val="0"/>
      <w:marTop w:val="0"/>
      <w:marBottom w:val="0"/>
      <w:divBdr>
        <w:top w:val="none" w:sz="0" w:space="0" w:color="auto"/>
        <w:left w:val="none" w:sz="0" w:space="0" w:color="auto"/>
        <w:bottom w:val="none" w:sz="0" w:space="0" w:color="auto"/>
        <w:right w:val="none" w:sz="0" w:space="0" w:color="auto"/>
      </w:divBdr>
    </w:div>
    <w:div w:id="985086690">
      <w:bodyDiv w:val="1"/>
      <w:marLeft w:val="0"/>
      <w:marRight w:val="0"/>
      <w:marTop w:val="0"/>
      <w:marBottom w:val="0"/>
      <w:divBdr>
        <w:top w:val="none" w:sz="0" w:space="0" w:color="auto"/>
        <w:left w:val="none" w:sz="0" w:space="0" w:color="auto"/>
        <w:bottom w:val="none" w:sz="0" w:space="0" w:color="auto"/>
        <w:right w:val="none" w:sz="0" w:space="0" w:color="auto"/>
      </w:divBdr>
      <w:divsChild>
        <w:div w:id="206724038">
          <w:marLeft w:val="0"/>
          <w:marRight w:val="0"/>
          <w:marTop w:val="0"/>
          <w:marBottom w:val="0"/>
          <w:divBdr>
            <w:top w:val="none" w:sz="0" w:space="0" w:color="auto"/>
            <w:left w:val="none" w:sz="0" w:space="0" w:color="auto"/>
            <w:bottom w:val="none" w:sz="0" w:space="0" w:color="auto"/>
            <w:right w:val="none" w:sz="0" w:space="0" w:color="auto"/>
          </w:divBdr>
        </w:div>
        <w:div w:id="1766530842">
          <w:marLeft w:val="0"/>
          <w:marRight w:val="0"/>
          <w:marTop w:val="0"/>
          <w:marBottom w:val="0"/>
          <w:divBdr>
            <w:top w:val="none" w:sz="0" w:space="0" w:color="auto"/>
            <w:left w:val="none" w:sz="0" w:space="0" w:color="auto"/>
            <w:bottom w:val="none" w:sz="0" w:space="0" w:color="auto"/>
            <w:right w:val="none" w:sz="0" w:space="0" w:color="auto"/>
          </w:divBdr>
        </w:div>
      </w:divsChild>
    </w:div>
    <w:div w:id="1009869756">
      <w:bodyDiv w:val="1"/>
      <w:marLeft w:val="0"/>
      <w:marRight w:val="0"/>
      <w:marTop w:val="0"/>
      <w:marBottom w:val="0"/>
      <w:divBdr>
        <w:top w:val="none" w:sz="0" w:space="0" w:color="auto"/>
        <w:left w:val="none" w:sz="0" w:space="0" w:color="auto"/>
        <w:bottom w:val="none" w:sz="0" w:space="0" w:color="auto"/>
        <w:right w:val="none" w:sz="0" w:space="0" w:color="auto"/>
      </w:divBdr>
      <w:divsChild>
        <w:div w:id="638388357">
          <w:marLeft w:val="0"/>
          <w:marRight w:val="0"/>
          <w:marTop w:val="0"/>
          <w:marBottom w:val="0"/>
          <w:divBdr>
            <w:top w:val="none" w:sz="0" w:space="0" w:color="auto"/>
            <w:left w:val="none" w:sz="0" w:space="0" w:color="auto"/>
            <w:bottom w:val="none" w:sz="0" w:space="0" w:color="auto"/>
            <w:right w:val="none" w:sz="0" w:space="0" w:color="auto"/>
          </w:divBdr>
          <w:divsChild>
            <w:div w:id="1385175083">
              <w:marLeft w:val="0"/>
              <w:marRight w:val="0"/>
              <w:marTop w:val="0"/>
              <w:marBottom w:val="0"/>
              <w:divBdr>
                <w:top w:val="none" w:sz="0" w:space="0" w:color="auto"/>
                <w:left w:val="none" w:sz="0" w:space="0" w:color="auto"/>
                <w:bottom w:val="none" w:sz="0" w:space="0" w:color="auto"/>
                <w:right w:val="none" w:sz="0" w:space="0" w:color="auto"/>
              </w:divBdr>
              <w:divsChild>
                <w:div w:id="1257329769">
                  <w:marLeft w:val="0"/>
                  <w:marRight w:val="0"/>
                  <w:marTop w:val="0"/>
                  <w:marBottom w:val="0"/>
                  <w:divBdr>
                    <w:top w:val="none" w:sz="0" w:space="0" w:color="auto"/>
                    <w:left w:val="none" w:sz="0" w:space="0" w:color="auto"/>
                    <w:bottom w:val="none" w:sz="0" w:space="0" w:color="auto"/>
                    <w:right w:val="none" w:sz="0" w:space="0" w:color="auto"/>
                  </w:divBdr>
                </w:div>
                <w:div w:id="1460493871">
                  <w:marLeft w:val="0"/>
                  <w:marRight w:val="0"/>
                  <w:marTop w:val="0"/>
                  <w:marBottom w:val="0"/>
                  <w:divBdr>
                    <w:top w:val="none" w:sz="0" w:space="0" w:color="auto"/>
                    <w:left w:val="none" w:sz="0" w:space="0" w:color="auto"/>
                    <w:bottom w:val="none" w:sz="0" w:space="0" w:color="auto"/>
                    <w:right w:val="none" w:sz="0" w:space="0" w:color="auto"/>
                  </w:divBdr>
                </w:div>
                <w:div w:id="1466774374">
                  <w:marLeft w:val="0"/>
                  <w:marRight w:val="0"/>
                  <w:marTop w:val="0"/>
                  <w:marBottom w:val="0"/>
                  <w:divBdr>
                    <w:top w:val="none" w:sz="0" w:space="0" w:color="auto"/>
                    <w:left w:val="none" w:sz="0" w:space="0" w:color="auto"/>
                    <w:bottom w:val="none" w:sz="0" w:space="0" w:color="auto"/>
                    <w:right w:val="none" w:sz="0" w:space="0" w:color="auto"/>
                  </w:divBdr>
                </w:div>
                <w:div w:id="1821266238">
                  <w:marLeft w:val="0"/>
                  <w:marRight w:val="0"/>
                  <w:marTop w:val="0"/>
                  <w:marBottom w:val="0"/>
                  <w:divBdr>
                    <w:top w:val="none" w:sz="0" w:space="0" w:color="auto"/>
                    <w:left w:val="none" w:sz="0" w:space="0" w:color="auto"/>
                    <w:bottom w:val="none" w:sz="0" w:space="0" w:color="auto"/>
                    <w:right w:val="none" w:sz="0" w:space="0" w:color="auto"/>
                  </w:divBdr>
                </w:div>
                <w:div w:id="1844389637">
                  <w:marLeft w:val="0"/>
                  <w:marRight w:val="0"/>
                  <w:marTop w:val="0"/>
                  <w:marBottom w:val="0"/>
                  <w:divBdr>
                    <w:top w:val="none" w:sz="0" w:space="0" w:color="auto"/>
                    <w:left w:val="none" w:sz="0" w:space="0" w:color="auto"/>
                    <w:bottom w:val="none" w:sz="0" w:space="0" w:color="auto"/>
                    <w:right w:val="none" w:sz="0" w:space="0" w:color="auto"/>
                  </w:divBdr>
                </w:div>
                <w:div w:id="2070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46667">
          <w:marLeft w:val="0"/>
          <w:marRight w:val="0"/>
          <w:marTop w:val="0"/>
          <w:marBottom w:val="0"/>
          <w:divBdr>
            <w:top w:val="none" w:sz="0" w:space="0" w:color="auto"/>
            <w:left w:val="none" w:sz="0" w:space="0" w:color="auto"/>
            <w:bottom w:val="none" w:sz="0" w:space="0" w:color="auto"/>
            <w:right w:val="none" w:sz="0" w:space="0" w:color="auto"/>
          </w:divBdr>
          <w:divsChild>
            <w:div w:id="640770622">
              <w:marLeft w:val="0"/>
              <w:marRight w:val="0"/>
              <w:marTop w:val="0"/>
              <w:marBottom w:val="0"/>
              <w:divBdr>
                <w:top w:val="none" w:sz="0" w:space="0" w:color="auto"/>
                <w:left w:val="none" w:sz="0" w:space="0" w:color="auto"/>
                <w:bottom w:val="none" w:sz="0" w:space="0" w:color="auto"/>
                <w:right w:val="none" w:sz="0" w:space="0" w:color="auto"/>
              </w:divBdr>
              <w:divsChild>
                <w:div w:id="1892842612">
                  <w:marLeft w:val="0"/>
                  <w:marRight w:val="0"/>
                  <w:marTop w:val="0"/>
                  <w:marBottom w:val="0"/>
                  <w:divBdr>
                    <w:top w:val="none" w:sz="0" w:space="0" w:color="auto"/>
                    <w:left w:val="none" w:sz="0" w:space="0" w:color="auto"/>
                    <w:bottom w:val="none" w:sz="0" w:space="0" w:color="auto"/>
                    <w:right w:val="none" w:sz="0" w:space="0" w:color="auto"/>
                  </w:divBdr>
                  <w:divsChild>
                    <w:div w:id="1680540325">
                      <w:marLeft w:val="0"/>
                      <w:marRight w:val="0"/>
                      <w:marTop w:val="0"/>
                      <w:marBottom w:val="0"/>
                      <w:divBdr>
                        <w:top w:val="none" w:sz="0" w:space="0" w:color="auto"/>
                        <w:left w:val="none" w:sz="0" w:space="0" w:color="auto"/>
                        <w:bottom w:val="none" w:sz="0" w:space="0" w:color="auto"/>
                        <w:right w:val="none" w:sz="0" w:space="0" w:color="auto"/>
                      </w:divBdr>
                    </w:div>
                    <w:div w:id="171989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9063">
              <w:marLeft w:val="0"/>
              <w:marRight w:val="0"/>
              <w:marTop w:val="0"/>
              <w:marBottom w:val="0"/>
              <w:divBdr>
                <w:top w:val="none" w:sz="0" w:space="0" w:color="auto"/>
                <w:left w:val="none" w:sz="0" w:space="0" w:color="auto"/>
                <w:bottom w:val="none" w:sz="0" w:space="0" w:color="auto"/>
                <w:right w:val="none" w:sz="0" w:space="0" w:color="auto"/>
              </w:divBdr>
              <w:divsChild>
                <w:div w:id="1372339197">
                  <w:marLeft w:val="0"/>
                  <w:marRight w:val="0"/>
                  <w:marTop w:val="0"/>
                  <w:marBottom w:val="0"/>
                  <w:divBdr>
                    <w:top w:val="none" w:sz="0" w:space="0" w:color="auto"/>
                    <w:left w:val="none" w:sz="0" w:space="0" w:color="auto"/>
                    <w:bottom w:val="none" w:sz="0" w:space="0" w:color="auto"/>
                    <w:right w:val="none" w:sz="0" w:space="0" w:color="auto"/>
                  </w:divBdr>
                </w:div>
                <w:div w:id="1978294892">
                  <w:marLeft w:val="0"/>
                  <w:marRight w:val="0"/>
                  <w:marTop w:val="0"/>
                  <w:marBottom w:val="0"/>
                  <w:divBdr>
                    <w:top w:val="none" w:sz="0" w:space="0" w:color="auto"/>
                    <w:left w:val="none" w:sz="0" w:space="0" w:color="auto"/>
                    <w:bottom w:val="none" w:sz="0" w:space="0" w:color="auto"/>
                    <w:right w:val="none" w:sz="0" w:space="0" w:color="auto"/>
                  </w:divBdr>
                  <w:divsChild>
                    <w:div w:id="698580100">
                      <w:marLeft w:val="0"/>
                      <w:marRight w:val="0"/>
                      <w:marTop w:val="0"/>
                      <w:marBottom w:val="0"/>
                      <w:divBdr>
                        <w:top w:val="none" w:sz="0" w:space="0" w:color="auto"/>
                        <w:left w:val="none" w:sz="0" w:space="0" w:color="auto"/>
                        <w:bottom w:val="none" w:sz="0" w:space="0" w:color="auto"/>
                        <w:right w:val="none" w:sz="0" w:space="0" w:color="auto"/>
                      </w:divBdr>
                    </w:div>
                    <w:div w:id="18392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10742">
      <w:bodyDiv w:val="1"/>
      <w:marLeft w:val="0"/>
      <w:marRight w:val="0"/>
      <w:marTop w:val="0"/>
      <w:marBottom w:val="0"/>
      <w:divBdr>
        <w:top w:val="none" w:sz="0" w:space="0" w:color="auto"/>
        <w:left w:val="none" w:sz="0" w:space="0" w:color="auto"/>
        <w:bottom w:val="none" w:sz="0" w:space="0" w:color="auto"/>
        <w:right w:val="none" w:sz="0" w:space="0" w:color="auto"/>
      </w:divBdr>
      <w:divsChild>
        <w:div w:id="459306605">
          <w:marLeft w:val="0"/>
          <w:marRight w:val="0"/>
          <w:marTop w:val="0"/>
          <w:marBottom w:val="0"/>
          <w:divBdr>
            <w:top w:val="none" w:sz="0" w:space="0" w:color="auto"/>
            <w:left w:val="none" w:sz="0" w:space="0" w:color="auto"/>
            <w:bottom w:val="none" w:sz="0" w:space="0" w:color="auto"/>
            <w:right w:val="none" w:sz="0" w:space="0" w:color="auto"/>
          </w:divBdr>
        </w:div>
        <w:div w:id="1492259439">
          <w:marLeft w:val="0"/>
          <w:marRight w:val="0"/>
          <w:marTop w:val="0"/>
          <w:marBottom w:val="0"/>
          <w:divBdr>
            <w:top w:val="none" w:sz="0" w:space="0" w:color="auto"/>
            <w:left w:val="none" w:sz="0" w:space="0" w:color="auto"/>
            <w:bottom w:val="none" w:sz="0" w:space="0" w:color="auto"/>
            <w:right w:val="none" w:sz="0" w:space="0" w:color="auto"/>
          </w:divBdr>
        </w:div>
      </w:divsChild>
    </w:div>
    <w:div w:id="1036664221">
      <w:bodyDiv w:val="1"/>
      <w:marLeft w:val="0"/>
      <w:marRight w:val="0"/>
      <w:marTop w:val="0"/>
      <w:marBottom w:val="0"/>
      <w:divBdr>
        <w:top w:val="none" w:sz="0" w:space="0" w:color="auto"/>
        <w:left w:val="none" w:sz="0" w:space="0" w:color="auto"/>
        <w:bottom w:val="none" w:sz="0" w:space="0" w:color="auto"/>
        <w:right w:val="none" w:sz="0" w:space="0" w:color="auto"/>
      </w:divBdr>
      <w:divsChild>
        <w:div w:id="728383538">
          <w:marLeft w:val="0"/>
          <w:marRight w:val="0"/>
          <w:marTop w:val="0"/>
          <w:marBottom w:val="0"/>
          <w:divBdr>
            <w:top w:val="none" w:sz="0" w:space="0" w:color="auto"/>
            <w:left w:val="none" w:sz="0" w:space="0" w:color="auto"/>
            <w:bottom w:val="none" w:sz="0" w:space="0" w:color="auto"/>
            <w:right w:val="none" w:sz="0" w:space="0" w:color="auto"/>
          </w:divBdr>
        </w:div>
        <w:div w:id="1222016710">
          <w:marLeft w:val="0"/>
          <w:marRight w:val="0"/>
          <w:marTop w:val="0"/>
          <w:marBottom w:val="0"/>
          <w:divBdr>
            <w:top w:val="none" w:sz="0" w:space="0" w:color="auto"/>
            <w:left w:val="none" w:sz="0" w:space="0" w:color="auto"/>
            <w:bottom w:val="none" w:sz="0" w:space="0" w:color="auto"/>
            <w:right w:val="none" w:sz="0" w:space="0" w:color="auto"/>
          </w:divBdr>
        </w:div>
        <w:div w:id="505747643">
          <w:marLeft w:val="0"/>
          <w:marRight w:val="0"/>
          <w:marTop w:val="0"/>
          <w:marBottom w:val="0"/>
          <w:divBdr>
            <w:top w:val="none" w:sz="0" w:space="0" w:color="auto"/>
            <w:left w:val="none" w:sz="0" w:space="0" w:color="auto"/>
            <w:bottom w:val="none" w:sz="0" w:space="0" w:color="auto"/>
            <w:right w:val="none" w:sz="0" w:space="0" w:color="auto"/>
          </w:divBdr>
        </w:div>
        <w:div w:id="1115707863">
          <w:marLeft w:val="0"/>
          <w:marRight w:val="0"/>
          <w:marTop w:val="0"/>
          <w:marBottom w:val="0"/>
          <w:divBdr>
            <w:top w:val="none" w:sz="0" w:space="0" w:color="auto"/>
            <w:left w:val="none" w:sz="0" w:space="0" w:color="auto"/>
            <w:bottom w:val="none" w:sz="0" w:space="0" w:color="auto"/>
            <w:right w:val="none" w:sz="0" w:space="0" w:color="auto"/>
          </w:divBdr>
        </w:div>
      </w:divsChild>
    </w:div>
    <w:div w:id="1063140300">
      <w:bodyDiv w:val="1"/>
      <w:marLeft w:val="0"/>
      <w:marRight w:val="0"/>
      <w:marTop w:val="0"/>
      <w:marBottom w:val="0"/>
      <w:divBdr>
        <w:top w:val="none" w:sz="0" w:space="0" w:color="auto"/>
        <w:left w:val="none" w:sz="0" w:space="0" w:color="auto"/>
        <w:bottom w:val="none" w:sz="0" w:space="0" w:color="auto"/>
        <w:right w:val="none" w:sz="0" w:space="0" w:color="auto"/>
      </w:divBdr>
    </w:div>
    <w:div w:id="1074662501">
      <w:bodyDiv w:val="1"/>
      <w:marLeft w:val="0"/>
      <w:marRight w:val="0"/>
      <w:marTop w:val="0"/>
      <w:marBottom w:val="0"/>
      <w:divBdr>
        <w:top w:val="none" w:sz="0" w:space="0" w:color="auto"/>
        <w:left w:val="none" w:sz="0" w:space="0" w:color="auto"/>
        <w:bottom w:val="none" w:sz="0" w:space="0" w:color="auto"/>
        <w:right w:val="none" w:sz="0" w:space="0" w:color="auto"/>
      </w:divBdr>
    </w:div>
    <w:div w:id="1147043229">
      <w:bodyDiv w:val="1"/>
      <w:marLeft w:val="0"/>
      <w:marRight w:val="0"/>
      <w:marTop w:val="0"/>
      <w:marBottom w:val="0"/>
      <w:divBdr>
        <w:top w:val="none" w:sz="0" w:space="0" w:color="auto"/>
        <w:left w:val="none" w:sz="0" w:space="0" w:color="auto"/>
        <w:bottom w:val="none" w:sz="0" w:space="0" w:color="auto"/>
        <w:right w:val="none" w:sz="0" w:space="0" w:color="auto"/>
      </w:divBdr>
      <w:divsChild>
        <w:div w:id="1689134731">
          <w:marLeft w:val="0"/>
          <w:marRight w:val="0"/>
          <w:marTop w:val="0"/>
          <w:marBottom w:val="0"/>
          <w:divBdr>
            <w:top w:val="none" w:sz="0" w:space="0" w:color="auto"/>
            <w:left w:val="none" w:sz="0" w:space="0" w:color="auto"/>
            <w:bottom w:val="none" w:sz="0" w:space="0" w:color="auto"/>
            <w:right w:val="none" w:sz="0" w:space="0" w:color="auto"/>
          </w:divBdr>
          <w:divsChild>
            <w:div w:id="288317790">
              <w:marLeft w:val="0"/>
              <w:marRight w:val="0"/>
              <w:marTop w:val="0"/>
              <w:marBottom w:val="0"/>
              <w:divBdr>
                <w:top w:val="none" w:sz="0" w:space="0" w:color="auto"/>
                <w:left w:val="none" w:sz="0" w:space="0" w:color="auto"/>
                <w:bottom w:val="none" w:sz="0" w:space="0" w:color="auto"/>
                <w:right w:val="none" w:sz="0" w:space="0" w:color="auto"/>
              </w:divBdr>
              <w:divsChild>
                <w:div w:id="137382884">
                  <w:marLeft w:val="0"/>
                  <w:marRight w:val="0"/>
                  <w:marTop w:val="0"/>
                  <w:marBottom w:val="0"/>
                  <w:divBdr>
                    <w:top w:val="none" w:sz="0" w:space="0" w:color="auto"/>
                    <w:left w:val="none" w:sz="0" w:space="0" w:color="auto"/>
                    <w:bottom w:val="none" w:sz="0" w:space="0" w:color="auto"/>
                    <w:right w:val="none" w:sz="0" w:space="0" w:color="auto"/>
                  </w:divBdr>
                </w:div>
                <w:div w:id="285935336">
                  <w:marLeft w:val="0"/>
                  <w:marRight w:val="0"/>
                  <w:marTop w:val="0"/>
                  <w:marBottom w:val="0"/>
                  <w:divBdr>
                    <w:top w:val="none" w:sz="0" w:space="0" w:color="auto"/>
                    <w:left w:val="none" w:sz="0" w:space="0" w:color="auto"/>
                    <w:bottom w:val="none" w:sz="0" w:space="0" w:color="auto"/>
                    <w:right w:val="none" w:sz="0" w:space="0" w:color="auto"/>
                  </w:divBdr>
                </w:div>
              </w:divsChild>
            </w:div>
            <w:div w:id="911701468">
              <w:marLeft w:val="0"/>
              <w:marRight w:val="0"/>
              <w:marTop w:val="0"/>
              <w:marBottom w:val="0"/>
              <w:divBdr>
                <w:top w:val="none" w:sz="0" w:space="0" w:color="auto"/>
                <w:left w:val="none" w:sz="0" w:space="0" w:color="auto"/>
                <w:bottom w:val="none" w:sz="0" w:space="0" w:color="auto"/>
                <w:right w:val="none" w:sz="0" w:space="0" w:color="auto"/>
              </w:divBdr>
            </w:div>
            <w:div w:id="214599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41436">
      <w:bodyDiv w:val="1"/>
      <w:marLeft w:val="0"/>
      <w:marRight w:val="0"/>
      <w:marTop w:val="0"/>
      <w:marBottom w:val="0"/>
      <w:divBdr>
        <w:top w:val="none" w:sz="0" w:space="0" w:color="auto"/>
        <w:left w:val="none" w:sz="0" w:space="0" w:color="auto"/>
        <w:bottom w:val="none" w:sz="0" w:space="0" w:color="auto"/>
        <w:right w:val="none" w:sz="0" w:space="0" w:color="auto"/>
      </w:divBdr>
    </w:div>
    <w:div w:id="1301769859">
      <w:bodyDiv w:val="1"/>
      <w:marLeft w:val="0"/>
      <w:marRight w:val="0"/>
      <w:marTop w:val="0"/>
      <w:marBottom w:val="0"/>
      <w:divBdr>
        <w:top w:val="none" w:sz="0" w:space="0" w:color="auto"/>
        <w:left w:val="none" w:sz="0" w:space="0" w:color="auto"/>
        <w:bottom w:val="none" w:sz="0" w:space="0" w:color="auto"/>
        <w:right w:val="none" w:sz="0" w:space="0" w:color="auto"/>
      </w:divBdr>
      <w:divsChild>
        <w:div w:id="1248227024">
          <w:marLeft w:val="0"/>
          <w:marRight w:val="0"/>
          <w:marTop w:val="0"/>
          <w:marBottom w:val="0"/>
          <w:divBdr>
            <w:top w:val="none" w:sz="0" w:space="0" w:color="auto"/>
            <w:left w:val="none" w:sz="0" w:space="0" w:color="auto"/>
            <w:bottom w:val="none" w:sz="0" w:space="0" w:color="auto"/>
            <w:right w:val="none" w:sz="0" w:space="0" w:color="auto"/>
          </w:divBdr>
          <w:divsChild>
            <w:div w:id="1376850347">
              <w:marLeft w:val="0"/>
              <w:marRight w:val="0"/>
              <w:marTop w:val="0"/>
              <w:marBottom w:val="0"/>
              <w:divBdr>
                <w:top w:val="none" w:sz="0" w:space="0" w:color="auto"/>
                <w:left w:val="none" w:sz="0" w:space="0" w:color="auto"/>
                <w:bottom w:val="none" w:sz="0" w:space="0" w:color="auto"/>
                <w:right w:val="none" w:sz="0" w:space="0" w:color="auto"/>
              </w:divBdr>
              <w:divsChild>
                <w:div w:id="1836022755">
                  <w:marLeft w:val="0"/>
                  <w:marRight w:val="0"/>
                  <w:marTop w:val="0"/>
                  <w:marBottom w:val="0"/>
                  <w:divBdr>
                    <w:top w:val="none" w:sz="0" w:space="0" w:color="auto"/>
                    <w:left w:val="none" w:sz="0" w:space="0" w:color="auto"/>
                    <w:bottom w:val="none" w:sz="0" w:space="0" w:color="auto"/>
                    <w:right w:val="none" w:sz="0" w:space="0" w:color="auto"/>
                  </w:divBdr>
                  <w:divsChild>
                    <w:div w:id="1175802218">
                      <w:marLeft w:val="0"/>
                      <w:marRight w:val="0"/>
                      <w:marTop w:val="0"/>
                      <w:marBottom w:val="0"/>
                      <w:divBdr>
                        <w:top w:val="none" w:sz="0" w:space="0" w:color="auto"/>
                        <w:left w:val="none" w:sz="0" w:space="0" w:color="auto"/>
                        <w:bottom w:val="none" w:sz="0" w:space="0" w:color="auto"/>
                        <w:right w:val="none" w:sz="0" w:space="0" w:color="auto"/>
                      </w:divBdr>
                      <w:divsChild>
                        <w:div w:id="594018509">
                          <w:marLeft w:val="0"/>
                          <w:marRight w:val="0"/>
                          <w:marTop w:val="0"/>
                          <w:marBottom w:val="0"/>
                          <w:divBdr>
                            <w:top w:val="none" w:sz="0" w:space="0" w:color="auto"/>
                            <w:left w:val="none" w:sz="0" w:space="0" w:color="auto"/>
                            <w:bottom w:val="none" w:sz="0" w:space="0" w:color="auto"/>
                            <w:right w:val="none" w:sz="0" w:space="0" w:color="auto"/>
                          </w:divBdr>
                          <w:divsChild>
                            <w:div w:id="584924118">
                              <w:marLeft w:val="0"/>
                              <w:marRight w:val="0"/>
                              <w:marTop w:val="0"/>
                              <w:marBottom w:val="0"/>
                              <w:divBdr>
                                <w:top w:val="none" w:sz="0" w:space="0" w:color="auto"/>
                                <w:left w:val="none" w:sz="0" w:space="0" w:color="auto"/>
                                <w:bottom w:val="none" w:sz="0" w:space="0" w:color="auto"/>
                                <w:right w:val="none" w:sz="0" w:space="0" w:color="auto"/>
                              </w:divBdr>
                              <w:divsChild>
                                <w:div w:id="269974811">
                                  <w:marLeft w:val="0"/>
                                  <w:marRight w:val="0"/>
                                  <w:marTop w:val="0"/>
                                  <w:marBottom w:val="0"/>
                                  <w:divBdr>
                                    <w:top w:val="none" w:sz="0" w:space="0" w:color="auto"/>
                                    <w:left w:val="none" w:sz="0" w:space="0" w:color="auto"/>
                                    <w:bottom w:val="none" w:sz="0" w:space="0" w:color="auto"/>
                                    <w:right w:val="none" w:sz="0" w:space="0" w:color="auto"/>
                                  </w:divBdr>
                                  <w:divsChild>
                                    <w:div w:id="889610724">
                                      <w:marLeft w:val="0"/>
                                      <w:marRight w:val="0"/>
                                      <w:marTop w:val="0"/>
                                      <w:marBottom w:val="0"/>
                                      <w:divBdr>
                                        <w:top w:val="none" w:sz="0" w:space="0" w:color="auto"/>
                                        <w:left w:val="none" w:sz="0" w:space="0" w:color="auto"/>
                                        <w:bottom w:val="none" w:sz="0" w:space="0" w:color="auto"/>
                                        <w:right w:val="none" w:sz="0" w:space="0" w:color="auto"/>
                                      </w:divBdr>
                                      <w:divsChild>
                                        <w:div w:id="1592929685">
                                          <w:marLeft w:val="0"/>
                                          <w:marRight w:val="0"/>
                                          <w:marTop w:val="0"/>
                                          <w:marBottom w:val="0"/>
                                          <w:divBdr>
                                            <w:top w:val="none" w:sz="0" w:space="0" w:color="auto"/>
                                            <w:left w:val="none" w:sz="0" w:space="0" w:color="auto"/>
                                            <w:bottom w:val="none" w:sz="0" w:space="0" w:color="auto"/>
                                            <w:right w:val="none" w:sz="0" w:space="0" w:color="auto"/>
                                          </w:divBdr>
                                          <w:divsChild>
                                            <w:div w:id="370419237">
                                              <w:marLeft w:val="0"/>
                                              <w:marRight w:val="0"/>
                                              <w:marTop w:val="0"/>
                                              <w:marBottom w:val="0"/>
                                              <w:divBdr>
                                                <w:top w:val="none" w:sz="0" w:space="0" w:color="auto"/>
                                                <w:left w:val="none" w:sz="0" w:space="0" w:color="auto"/>
                                                <w:bottom w:val="none" w:sz="0" w:space="0" w:color="auto"/>
                                                <w:right w:val="none" w:sz="0" w:space="0" w:color="auto"/>
                                              </w:divBdr>
                                              <w:divsChild>
                                                <w:div w:id="1092362670">
                                                  <w:marLeft w:val="0"/>
                                                  <w:marRight w:val="0"/>
                                                  <w:marTop w:val="0"/>
                                                  <w:marBottom w:val="0"/>
                                                  <w:divBdr>
                                                    <w:top w:val="none" w:sz="0" w:space="0" w:color="auto"/>
                                                    <w:left w:val="none" w:sz="0" w:space="0" w:color="auto"/>
                                                    <w:bottom w:val="none" w:sz="0" w:space="0" w:color="auto"/>
                                                    <w:right w:val="none" w:sz="0" w:space="0" w:color="auto"/>
                                                  </w:divBdr>
                                                  <w:divsChild>
                                                    <w:div w:id="1450323199">
                                                      <w:marLeft w:val="0"/>
                                                      <w:marRight w:val="0"/>
                                                      <w:marTop w:val="0"/>
                                                      <w:marBottom w:val="0"/>
                                                      <w:divBdr>
                                                        <w:top w:val="none" w:sz="0" w:space="0" w:color="auto"/>
                                                        <w:left w:val="none" w:sz="0" w:space="0" w:color="auto"/>
                                                        <w:bottom w:val="none" w:sz="0" w:space="0" w:color="auto"/>
                                                        <w:right w:val="none" w:sz="0" w:space="0" w:color="auto"/>
                                                      </w:divBdr>
                                                      <w:divsChild>
                                                        <w:div w:id="13658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291439">
      <w:bodyDiv w:val="1"/>
      <w:marLeft w:val="0"/>
      <w:marRight w:val="0"/>
      <w:marTop w:val="0"/>
      <w:marBottom w:val="0"/>
      <w:divBdr>
        <w:top w:val="none" w:sz="0" w:space="0" w:color="auto"/>
        <w:left w:val="none" w:sz="0" w:space="0" w:color="auto"/>
        <w:bottom w:val="none" w:sz="0" w:space="0" w:color="auto"/>
        <w:right w:val="none" w:sz="0" w:space="0" w:color="auto"/>
      </w:divBdr>
      <w:divsChild>
        <w:div w:id="548954378">
          <w:marLeft w:val="0"/>
          <w:marRight w:val="0"/>
          <w:marTop w:val="0"/>
          <w:marBottom w:val="0"/>
          <w:divBdr>
            <w:top w:val="none" w:sz="0" w:space="0" w:color="auto"/>
            <w:left w:val="none" w:sz="0" w:space="0" w:color="auto"/>
            <w:bottom w:val="none" w:sz="0" w:space="0" w:color="auto"/>
            <w:right w:val="none" w:sz="0" w:space="0" w:color="auto"/>
          </w:divBdr>
          <w:divsChild>
            <w:div w:id="1381175588">
              <w:marLeft w:val="0"/>
              <w:marRight w:val="0"/>
              <w:marTop w:val="0"/>
              <w:marBottom w:val="0"/>
              <w:divBdr>
                <w:top w:val="none" w:sz="0" w:space="0" w:color="auto"/>
                <w:left w:val="none" w:sz="0" w:space="0" w:color="auto"/>
                <w:bottom w:val="none" w:sz="0" w:space="0" w:color="auto"/>
                <w:right w:val="none" w:sz="0" w:space="0" w:color="auto"/>
              </w:divBdr>
              <w:divsChild>
                <w:div w:id="15000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86015">
      <w:bodyDiv w:val="1"/>
      <w:marLeft w:val="0"/>
      <w:marRight w:val="0"/>
      <w:marTop w:val="0"/>
      <w:marBottom w:val="0"/>
      <w:divBdr>
        <w:top w:val="none" w:sz="0" w:space="0" w:color="auto"/>
        <w:left w:val="none" w:sz="0" w:space="0" w:color="auto"/>
        <w:bottom w:val="none" w:sz="0" w:space="0" w:color="auto"/>
        <w:right w:val="none" w:sz="0" w:space="0" w:color="auto"/>
      </w:divBdr>
    </w:div>
    <w:div w:id="1470131616">
      <w:bodyDiv w:val="1"/>
      <w:marLeft w:val="0"/>
      <w:marRight w:val="0"/>
      <w:marTop w:val="0"/>
      <w:marBottom w:val="0"/>
      <w:divBdr>
        <w:top w:val="none" w:sz="0" w:space="0" w:color="auto"/>
        <w:left w:val="none" w:sz="0" w:space="0" w:color="auto"/>
        <w:bottom w:val="none" w:sz="0" w:space="0" w:color="auto"/>
        <w:right w:val="none" w:sz="0" w:space="0" w:color="auto"/>
      </w:divBdr>
      <w:divsChild>
        <w:div w:id="203833351">
          <w:marLeft w:val="0"/>
          <w:marRight w:val="0"/>
          <w:marTop w:val="0"/>
          <w:marBottom w:val="0"/>
          <w:divBdr>
            <w:top w:val="none" w:sz="0" w:space="0" w:color="auto"/>
            <w:left w:val="none" w:sz="0" w:space="0" w:color="auto"/>
            <w:bottom w:val="none" w:sz="0" w:space="0" w:color="auto"/>
            <w:right w:val="none" w:sz="0" w:space="0" w:color="auto"/>
          </w:divBdr>
        </w:div>
        <w:div w:id="1953902232">
          <w:marLeft w:val="0"/>
          <w:marRight w:val="0"/>
          <w:marTop w:val="0"/>
          <w:marBottom w:val="0"/>
          <w:divBdr>
            <w:top w:val="none" w:sz="0" w:space="0" w:color="auto"/>
            <w:left w:val="none" w:sz="0" w:space="0" w:color="auto"/>
            <w:bottom w:val="none" w:sz="0" w:space="0" w:color="auto"/>
            <w:right w:val="none" w:sz="0" w:space="0" w:color="auto"/>
          </w:divBdr>
        </w:div>
      </w:divsChild>
    </w:div>
    <w:div w:id="1470901364">
      <w:bodyDiv w:val="1"/>
      <w:marLeft w:val="0"/>
      <w:marRight w:val="0"/>
      <w:marTop w:val="0"/>
      <w:marBottom w:val="0"/>
      <w:divBdr>
        <w:top w:val="none" w:sz="0" w:space="0" w:color="auto"/>
        <w:left w:val="none" w:sz="0" w:space="0" w:color="auto"/>
        <w:bottom w:val="none" w:sz="0" w:space="0" w:color="auto"/>
        <w:right w:val="none" w:sz="0" w:space="0" w:color="auto"/>
      </w:divBdr>
    </w:div>
    <w:div w:id="1600019670">
      <w:bodyDiv w:val="1"/>
      <w:marLeft w:val="0"/>
      <w:marRight w:val="0"/>
      <w:marTop w:val="0"/>
      <w:marBottom w:val="0"/>
      <w:divBdr>
        <w:top w:val="none" w:sz="0" w:space="0" w:color="auto"/>
        <w:left w:val="none" w:sz="0" w:space="0" w:color="auto"/>
        <w:bottom w:val="none" w:sz="0" w:space="0" w:color="auto"/>
        <w:right w:val="none" w:sz="0" w:space="0" w:color="auto"/>
      </w:divBdr>
    </w:div>
    <w:div w:id="1601571426">
      <w:bodyDiv w:val="1"/>
      <w:marLeft w:val="0"/>
      <w:marRight w:val="0"/>
      <w:marTop w:val="0"/>
      <w:marBottom w:val="0"/>
      <w:divBdr>
        <w:top w:val="none" w:sz="0" w:space="0" w:color="auto"/>
        <w:left w:val="none" w:sz="0" w:space="0" w:color="auto"/>
        <w:bottom w:val="none" w:sz="0" w:space="0" w:color="auto"/>
        <w:right w:val="none" w:sz="0" w:space="0" w:color="auto"/>
      </w:divBdr>
      <w:divsChild>
        <w:div w:id="180583878">
          <w:marLeft w:val="0"/>
          <w:marRight w:val="0"/>
          <w:marTop w:val="0"/>
          <w:marBottom w:val="0"/>
          <w:divBdr>
            <w:top w:val="none" w:sz="0" w:space="0" w:color="auto"/>
            <w:left w:val="none" w:sz="0" w:space="0" w:color="auto"/>
            <w:bottom w:val="none" w:sz="0" w:space="0" w:color="auto"/>
            <w:right w:val="none" w:sz="0" w:space="0" w:color="auto"/>
          </w:divBdr>
        </w:div>
        <w:div w:id="512377802">
          <w:marLeft w:val="0"/>
          <w:marRight w:val="0"/>
          <w:marTop w:val="0"/>
          <w:marBottom w:val="0"/>
          <w:divBdr>
            <w:top w:val="none" w:sz="0" w:space="0" w:color="auto"/>
            <w:left w:val="none" w:sz="0" w:space="0" w:color="auto"/>
            <w:bottom w:val="none" w:sz="0" w:space="0" w:color="auto"/>
            <w:right w:val="none" w:sz="0" w:space="0" w:color="auto"/>
          </w:divBdr>
        </w:div>
        <w:div w:id="805002164">
          <w:marLeft w:val="0"/>
          <w:marRight w:val="0"/>
          <w:marTop w:val="0"/>
          <w:marBottom w:val="0"/>
          <w:divBdr>
            <w:top w:val="none" w:sz="0" w:space="0" w:color="auto"/>
            <w:left w:val="none" w:sz="0" w:space="0" w:color="auto"/>
            <w:bottom w:val="none" w:sz="0" w:space="0" w:color="auto"/>
            <w:right w:val="none" w:sz="0" w:space="0" w:color="auto"/>
          </w:divBdr>
        </w:div>
        <w:div w:id="847646004">
          <w:marLeft w:val="0"/>
          <w:marRight w:val="0"/>
          <w:marTop w:val="0"/>
          <w:marBottom w:val="0"/>
          <w:divBdr>
            <w:top w:val="none" w:sz="0" w:space="0" w:color="auto"/>
            <w:left w:val="none" w:sz="0" w:space="0" w:color="auto"/>
            <w:bottom w:val="none" w:sz="0" w:space="0" w:color="auto"/>
            <w:right w:val="none" w:sz="0" w:space="0" w:color="auto"/>
          </w:divBdr>
        </w:div>
        <w:div w:id="888079273">
          <w:marLeft w:val="0"/>
          <w:marRight w:val="0"/>
          <w:marTop w:val="0"/>
          <w:marBottom w:val="0"/>
          <w:divBdr>
            <w:top w:val="none" w:sz="0" w:space="0" w:color="auto"/>
            <w:left w:val="none" w:sz="0" w:space="0" w:color="auto"/>
            <w:bottom w:val="none" w:sz="0" w:space="0" w:color="auto"/>
            <w:right w:val="none" w:sz="0" w:space="0" w:color="auto"/>
          </w:divBdr>
        </w:div>
        <w:div w:id="2034378122">
          <w:marLeft w:val="0"/>
          <w:marRight w:val="0"/>
          <w:marTop w:val="0"/>
          <w:marBottom w:val="0"/>
          <w:divBdr>
            <w:top w:val="none" w:sz="0" w:space="0" w:color="auto"/>
            <w:left w:val="none" w:sz="0" w:space="0" w:color="auto"/>
            <w:bottom w:val="none" w:sz="0" w:space="0" w:color="auto"/>
            <w:right w:val="none" w:sz="0" w:space="0" w:color="auto"/>
          </w:divBdr>
        </w:div>
        <w:div w:id="2106878289">
          <w:marLeft w:val="0"/>
          <w:marRight w:val="0"/>
          <w:marTop w:val="0"/>
          <w:marBottom w:val="0"/>
          <w:divBdr>
            <w:top w:val="none" w:sz="0" w:space="0" w:color="auto"/>
            <w:left w:val="none" w:sz="0" w:space="0" w:color="auto"/>
            <w:bottom w:val="none" w:sz="0" w:space="0" w:color="auto"/>
            <w:right w:val="none" w:sz="0" w:space="0" w:color="auto"/>
          </w:divBdr>
        </w:div>
      </w:divsChild>
    </w:div>
    <w:div w:id="1631325615">
      <w:bodyDiv w:val="1"/>
      <w:marLeft w:val="0"/>
      <w:marRight w:val="0"/>
      <w:marTop w:val="0"/>
      <w:marBottom w:val="0"/>
      <w:divBdr>
        <w:top w:val="none" w:sz="0" w:space="0" w:color="auto"/>
        <w:left w:val="none" w:sz="0" w:space="0" w:color="auto"/>
        <w:bottom w:val="none" w:sz="0" w:space="0" w:color="auto"/>
        <w:right w:val="none" w:sz="0" w:space="0" w:color="auto"/>
      </w:divBdr>
    </w:div>
    <w:div w:id="1683119264">
      <w:bodyDiv w:val="1"/>
      <w:marLeft w:val="0"/>
      <w:marRight w:val="0"/>
      <w:marTop w:val="0"/>
      <w:marBottom w:val="0"/>
      <w:divBdr>
        <w:top w:val="none" w:sz="0" w:space="0" w:color="auto"/>
        <w:left w:val="none" w:sz="0" w:space="0" w:color="auto"/>
        <w:bottom w:val="none" w:sz="0" w:space="0" w:color="auto"/>
        <w:right w:val="none" w:sz="0" w:space="0" w:color="auto"/>
      </w:divBdr>
      <w:divsChild>
        <w:div w:id="167211836">
          <w:marLeft w:val="0"/>
          <w:marRight w:val="0"/>
          <w:marTop w:val="0"/>
          <w:marBottom w:val="0"/>
          <w:divBdr>
            <w:top w:val="none" w:sz="0" w:space="0" w:color="auto"/>
            <w:left w:val="none" w:sz="0" w:space="0" w:color="auto"/>
            <w:bottom w:val="none" w:sz="0" w:space="0" w:color="auto"/>
            <w:right w:val="none" w:sz="0" w:space="0" w:color="auto"/>
          </w:divBdr>
        </w:div>
        <w:div w:id="197091403">
          <w:marLeft w:val="0"/>
          <w:marRight w:val="0"/>
          <w:marTop w:val="0"/>
          <w:marBottom w:val="0"/>
          <w:divBdr>
            <w:top w:val="none" w:sz="0" w:space="0" w:color="auto"/>
            <w:left w:val="none" w:sz="0" w:space="0" w:color="auto"/>
            <w:bottom w:val="none" w:sz="0" w:space="0" w:color="auto"/>
            <w:right w:val="none" w:sz="0" w:space="0" w:color="auto"/>
          </w:divBdr>
        </w:div>
        <w:div w:id="204098126">
          <w:marLeft w:val="0"/>
          <w:marRight w:val="0"/>
          <w:marTop w:val="0"/>
          <w:marBottom w:val="0"/>
          <w:divBdr>
            <w:top w:val="none" w:sz="0" w:space="0" w:color="auto"/>
            <w:left w:val="none" w:sz="0" w:space="0" w:color="auto"/>
            <w:bottom w:val="none" w:sz="0" w:space="0" w:color="auto"/>
            <w:right w:val="none" w:sz="0" w:space="0" w:color="auto"/>
          </w:divBdr>
        </w:div>
        <w:div w:id="353962539">
          <w:marLeft w:val="0"/>
          <w:marRight w:val="0"/>
          <w:marTop w:val="0"/>
          <w:marBottom w:val="0"/>
          <w:divBdr>
            <w:top w:val="none" w:sz="0" w:space="0" w:color="auto"/>
            <w:left w:val="none" w:sz="0" w:space="0" w:color="auto"/>
            <w:bottom w:val="none" w:sz="0" w:space="0" w:color="auto"/>
            <w:right w:val="none" w:sz="0" w:space="0" w:color="auto"/>
          </w:divBdr>
        </w:div>
        <w:div w:id="392316457">
          <w:marLeft w:val="0"/>
          <w:marRight w:val="0"/>
          <w:marTop w:val="0"/>
          <w:marBottom w:val="0"/>
          <w:divBdr>
            <w:top w:val="none" w:sz="0" w:space="0" w:color="auto"/>
            <w:left w:val="none" w:sz="0" w:space="0" w:color="auto"/>
            <w:bottom w:val="none" w:sz="0" w:space="0" w:color="auto"/>
            <w:right w:val="none" w:sz="0" w:space="0" w:color="auto"/>
          </w:divBdr>
        </w:div>
        <w:div w:id="502279020">
          <w:marLeft w:val="0"/>
          <w:marRight w:val="0"/>
          <w:marTop w:val="0"/>
          <w:marBottom w:val="0"/>
          <w:divBdr>
            <w:top w:val="none" w:sz="0" w:space="0" w:color="auto"/>
            <w:left w:val="none" w:sz="0" w:space="0" w:color="auto"/>
            <w:bottom w:val="none" w:sz="0" w:space="0" w:color="auto"/>
            <w:right w:val="none" w:sz="0" w:space="0" w:color="auto"/>
          </w:divBdr>
        </w:div>
        <w:div w:id="519928797">
          <w:marLeft w:val="0"/>
          <w:marRight w:val="0"/>
          <w:marTop w:val="0"/>
          <w:marBottom w:val="0"/>
          <w:divBdr>
            <w:top w:val="none" w:sz="0" w:space="0" w:color="auto"/>
            <w:left w:val="none" w:sz="0" w:space="0" w:color="auto"/>
            <w:bottom w:val="none" w:sz="0" w:space="0" w:color="auto"/>
            <w:right w:val="none" w:sz="0" w:space="0" w:color="auto"/>
          </w:divBdr>
        </w:div>
        <w:div w:id="536357386">
          <w:marLeft w:val="0"/>
          <w:marRight w:val="0"/>
          <w:marTop w:val="0"/>
          <w:marBottom w:val="0"/>
          <w:divBdr>
            <w:top w:val="none" w:sz="0" w:space="0" w:color="auto"/>
            <w:left w:val="none" w:sz="0" w:space="0" w:color="auto"/>
            <w:bottom w:val="none" w:sz="0" w:space="0" w:color="auto"/>
            <w:right w:val="none" w:sz="0" w:space="0" w:color="auto"/>
          </w:divBdr>
        </w:div>
        <w:div w:id="708184836">
          <w:marLeft w:val="0"/>
          <w:marRight w:val="0"/>
          <w:marTop w:val="0"/>
          <w:marBottom w:val="0"/>
          <w:divBdr>
            <w:top w:val="none" w:sz="0" w:space="0" w:color="auto"/>
            <w:left w:val="none" w:sz="0" w:space="0" w:color="auto"/>
            <w:bottom w:val="none" w:sz="0" w:space="0" w:color="auto"/>
            <w:right w:val="none" w:sz="0" w:space="0" w:color="auto"/>
          </w:divBdr>
        </w:div>
        <w:div w:id="828061647">
          <w:marLeft w:val="0"/>
          <w:marRight w:val="0"/>
          <w:marTop w:val="0"/>
          <w:marBottom w:val="0"/>
          <w:divBdr>
            <w:top w:val="none" w:sz="0" w:space="0" w:color="auto"/>
            <w:left w:val="none" w:sz="0" w:space="0" w:color="auto"/>
            <w:bottom w:val="none" w:sz="0" w:space="0" w:color="auto"/>
            <w:right w:val="none" w:sz="0" w:space="0" w:color="auto"/>
          </w:divBdr>
        </w:div>
        <w:div w:id="861939622">
          <w:marLeft w:val="0"/>
          <w:marRight w:val="0"/>
          <w:marTop w:val="0"/>
          <w:marBottom w:val="0"/>
          <w:divBdr>
            <w:top w:val="none" w:sz="0" w:space="0" w:color="auto"/>
            <w:left w:val="none" w:sz="0" w:space="0" w:color="auto"/>
            <w:bottom w:val="none" w:sz="0" w:space="0" w:color="auto"/>
            <w:right w:val="none" w:sz="0" w:space="0" w:color="auto"/>
          </w:divBdr>
        </w:div>
        <w:div w:id="898132212">
          <w:marLeft w:val="0"/>
          <w:marRight w:val="0"/>
          <w:marTop w:val="0"/>
          <w:marBottom w:val="0"/>
          <w:divBdr>
            <w:top w:val="none" w:sz="0" w:space="0" w:color="auto"/>
            <w:left w:val="none" w:sz="0" w:space="0" w:color="auto"/>
            <w:bottom w:val="none" w:sz="0" w:space="0" w:color="auto"/>
            <w:right w:val="none" w:sz="0" w:space="0" w:color="auto"/>
          </w:divBdr>
        </w:div>
        <w:div w:id="1084450177">
          <w:marLeft w:val="0"/>
          <w:marRight w:val="0"/>
          <w:marTop w:val="0"/>
          <w:marBottom w:val="0"/>
          <w:divBdr>
            <w:top w:val="none" w:sz="0" w:space="0" w:color="auto"/>
            <w:left w:val="none" w:sz="0" w:space="0" w:color="auto"/>
            <w:bottom w:val="none" w:sz="0" w:space="0" w:color="auto"/>
            <w:right w:val="none" w:sz="0" w:space="0" w:color="auto"/>
          </w:divBdr>
        </w:div>
        <w:div w:id="1424108651">
          <w:marLeft w:val="0"/>
          <w:marRight w:val="0"/>
          <w:marTop w:val="0"/>
          <w:marBottom w:val="0"/>
          <w:divBdr>
            <w:top w:val="none" w:sz="0" w:space="0" w:color="auto"/>
            <w:left w:val="none" w:sz="0" w:space="0" w:color="auto"/>
            <w:bottom w:val="none" w:sz="0" w:space="0" w:color="auto"/>
            <w:right w:val="none" w:sz="0" w:space="0" w:color="auto"/>
          </w:divBdr>
        </w:div>
        <w:div w:id="2037392011">
          <w:marLeft w:val="0"/>
          <w:marRight w:val="0"/>
          <w:marTop w:val="0"/>
          <w:marBottom w:val="0"/>
          <w:divBdr>
            <w:top w:val="none" w:sz="0" w:space="0" w:color="auto"/>
            <w:left w:val="none" w:sz="0" w:space="0" w:color="auto"/>
            <w:bottom w:val="none" w:sz="0" w:space="0" w:color="auto"/>
            <w:right w:val="none" w:sz="0" w:space="0" w:color="auto"/>
          </w:divBdr>
        </w:div>
      </w:divsChild>
    </w:div>
    <w:div w:id="1808038484">
      <w:bodyDiv w:val="1"/>
      <w:marLeft w:val="0"/>
      <w:marRight w:val="0"/>
      <w:marTop w:val="0"/>
      <w:marBottom w:val="0"/>
      <w:divBdr>
        <w:top w:val="none" w:sz="0" w:space="0" w:color="auto"/>
        <w:left w:val="none" w:sz="0" w:space="0" w:color="auto"/>
        <w:bottom w:val="none" w:sz="0" w:space="0" w:color="auto"/>
        <w:right w:val="none" w:sz="0" w:space="0" w:color="auto"/>
      </w:divBdr>
    </w:div>
    <w:div w:id="1985116274">
      <w:bodyDiv w:val="1"/>
      <w:marLeft w:val="0"/>
      <w:marRight w:val="0"/>
      <w:marTop w:val="0"/>
      <w:marBottom w:val="0"/>
      <w:divBdr>
        <w:top w:val="none" w:sz="0" w:space="0" w:color="auto"/>
        <w:left w:val="none" w:sz="0" w:space="0" w:color="auto"/>
        <w:bottom w:val="none" w:sz="0" w:space="0" w:color="auto"/>
        <w:right w:val="none" w:sz="0" w:space="0" w:color="auto"/>
      </w:divBdr>
      <w:divsChild>
        <w:div w:id="816191623">
          <w:marLeft w:val="0"/>
          <w:marRight w:val="0"/>
          <w:marTop w:val="0"/>
          <w:marBottom w:val="0"/>
          <w:divBdr>
            <w:top w:val="none" w:sz="0" w:space="0" w:color="auto"/>
            <w:left w:val="none" w:sz="0" w:space="0" w:color="auto"/>
            <w:bottom w:val="none" w:sz="0" w:space="0" w:color="auto"/>
            <w:right w:val="none" w:sz="0" w:space="0" w:color="auto"/>
          </w:divBdr>
          <w:divsChild>
            <w:div w:id="613247024">
              <w:marLeft w:val="0"/>
              <w:marRight w:val="0"/>
              <w:marTop w:val="0"/>
              <w:marBottom w:val="0"/>
              <w:divBdr>
                <w:top w:val="none" w:sz="0" w:space="0" w:color="auto"/>
                <w:left w:val="none" w:sz="0" w:space="0" w:color="auto"/>
                <w:bottom w:val="none" w:sz="0" w:space="0" w:color="auto"/>
                <w:right w:val="none" w:sz="0" w:space="0" w:color="auto"/>
              </w:divBdr>
              <w:divsChild>
                <w:div w:id="1171799198">
                  <w:marLeft w:val="0"/>
                  <w:marRight w:val="0"/>
                  <w:marTop w:val="0"/>
                  <w:marBottom w:val="0"/>
                  <w:divBdr>
                    <w:top w:val="none" w:sz="0" w:space="0" w:color="auto"/>
                    <w:left w:val="none" w:sz="0" w:space="0" w:color="auto"/>
                    <w:bottom w:val="none" w:sz="0" w:space="0" w:color="auto"/>
                    <w:right w:val="none" w:sz="0" w:space="0" w:color="auto"/>
                  </w:divBdr>
                  <w:divsChild>
                    <w:div w:id="1525627449">
                      <w:marLeft w:val="0"/>
                      <w:marRight w:val="0"/>
                      <w:marTop w:val="0"/>
                      <w:marBottom w:val="0"/>
                      <w:divBdr>
                        <w:top w:val="none" w:sz="0" w:space="0" w:color="auto"/>
                        <w:left w:val="none" w:sz="0" w:space="0" w:color="auto"/>
                        <w:bottom w:val="none" w:sz="0" w:space="0" w:color="auto"/>
                        <w:right w:val="none" w:sz="0" w:space="0" w:color="auto"/>
                      </w:divBdr>
                      <w:divsChild>
                        <w:div w:id="791678442">
                          <w:marLeft w:val="0"/>
                          <w:marRight w:val="0"/>
                          <w:marTop w:val="0"/>
                          <w:marBottom w:val="0"/>
                          <w:divBdr>
                            <w:top w:val="none" w:sz="0" w:space="0" w:color="auto"/>
                            <w:left w:val="none" w:sz="0" w:space="0" w:color="auto"/>
                            <w:bottom w:val="none" w:sz="0" w:space="0" w:color="auto"/>
                            <w:right w:val="none" w:sz="0" w:space="0" w:color="auto"/>
                          </w:divBdr>
                          <w:divsChild>
                            <w:div w:id="1094865737">
                              <w:marLeft w:val="0"/>
                              <w:marRight w:val="0"/>
                              <w:marTop w:val="0"/>
                              <w:marBottom w:val="0"/>
                              <w:divBdr>
                                <w:top w:val="none" w:sz="0" w:space="0" w:color="auto"/>
                                <w:left w:val="none" w:sz="0" w:space="0" w:color="auto"/>
                                <w:bottom w:val="none" w:sz="0" w:space="0" w:color="auto"/>
                                <w:right w:val="none" w:sz="0" w:space="0" w:color="auto"/>
                              </w:divBdr>
                              <w:divsChild>
                                <w:div w:id="813179101">
                                  <w:marLeft w:val="0"/>
                                  <w:marRight w:val="0"/>
                                  <w:marTop w:val="0"/>
                                  <w:marBottom w:val="0"/>
                                  <w:divBdr>
                                    <w:top w:val="none" w:sz="0" w:space="0" w:color="auto"/>
                                    <w:left w:val="none" w:sz="0" w:space="0" w:color="auto"/>
                                    <w:bottom w:val="none" w:sz="0" w:space="0" w:color="auto"/>
                                    <w:right w:val="none" w:sz="0" w:space="0" w:color="auto"/>
                                  </w:divBdr>
                                  <w:divsChild>
                                    <w:div w:id="593324070">
                                      <w:marLeft w:val="0"/>
                                      <w:marRight w:val="0"/>
                                      <w:marTop w:val="0"/>
                                      <w:marBottom w:val="0"/>
                                      <w:divBdr>
                                        <w:top w:val="none" w:sz="0" w:space="0" w:color="auto"/>
                                        <w:left w:val="none" w:sz="0" w:space="0" w:color="auto"/>
                                        <w:bottom w:val="none" w:sz="0" w:space="0" w:color="auto"/>
                                        <w:right w:val="none" w:sz="0" w:space="0" w:color="auto"/>
                                      </w:divBdr>
                                      <w:divsChild>
                                        <w:div w:id="332609057">
                                          <w:marLeft w:val="0"/>
                                          <w:marRight w:val="0"/>
                                          <w:marTop w:val="0"/>
                                          <w:marBottom w:val="0"/>
                                          <w:divBdr>
                                            <w:top w:val="none" w:sz="0" w:space="0" w:color="auto"/>
                                            <w:left w:val="none" w:sz="0" w:space="0" w:color="auto"/>
                                            <w:bottom w:val="none" w:sz="0" w:space="0" w:color="auto"/>
                                            <w:right w:val="none" w:sz="0" w:space="0" w:color="auto"/>
                                          </w:divBdr>
                                          <w:divsChild>
                                            <w:div w:id="90965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854679">
      <w:bodyDiv w:val="1"/>
      <w:marLeft w:val="0"/>
      <w:marRight w:val="0"/>
      <w:marTop w:val="0"/>
      <w:marBottom w:val="0"/>
      <w:divBdr>
        <w:top w:val="none" w:sz="0" w:space="0" w:color="auto"/>
        <w:left w:val="none" w:sz="0" w:space="0" w:color="auto"/>
        <w:bottom w:val="none" w:sz="0" w:space="0" w:color="auto"/>
        <w:right w:val="none" w:sz="0" w:space="0" w:color="auto"/>
      </w:divBdr>
    </w:div>
    <w:div w:id="2021547515">
      <w:bodyDiv w:val="1"/>
      <w:marLeft w:val="0"/>
      <w:marRight w:val="0"/>
      <w:marTop w:val="0"/>
      <w:marBottom w:val="0"/>
      <w:divBdr>
        <w:top w:val="none" w:sz="0" w:space="0" w:color="auto"/>
        <w:left w:val="none" w:sz="0" w:space="0" w:color="auto"/>
        <w:bottom w:val="none" w:sz="0" w:space="0" w:color="auto"/>
        <w:right w:val="none" w:sz="0" w:space="0" w:color="auto"/>
      </w:divBdr>
      <w:divsChild>
        <w:div w:id="841968404">
          <w:marLeft w:val="0"/>
          <w:marRight w:val="0"/>
          <w:marTop w:val="0"/>
          <w:marBottom w:val="0"/>
          <w:divBdr>
            <w:top w:val="none" w:sz="0" w:space="0" w:color="auto"/>
            <w:left w:val="none" w:sz="0" w:space="0" w:color="auto"/>
            <w:bottom w:val="none" w:sz="0" w:space="0" w:color="auto"/>
            <w:right w:val="none" w:sz="0" w:space="0" w:color="auto"/>
          </w:divBdr>
          <w:divsChild>
            <w:div w:id="1145463733">
              <w:marLeft w:val="0"/>
              <w:marRight w:val="0"/>
              <w:marTop w:val="0"/>
              <w:marBottom w:val="0"/>
              <w:divBdr>
                <w:top w:val="none" w:sz="0" w:space="0" w:color="auto"/>
                <w:left w:val="none" w:sz="0" w:space="0" w:color="auto"/>
                <w:bottom w:val="none" w:sz="0" w:space="0" w:color="auto"/>
                <w:right w:val="none" w:sz="0" w:space="0" w:color="auto"/>
              </w:divBdr>
              <w:divsChild>
                <w:div w:id="1035741235">
                  <w:marLeft w:val="0"/>
                  <w:marRight w:val="0"/>
                  <w:marTop w:val="0"/>
                  <w:marBottom w:val="0"/>
                  <w:divBdr>
                    <w:top w:val="none" w:sz="0" w:space="0" w:color="auto"/>
                    <w:left w:val="none" w:sz="0" w:space="0" w:color="auto"/>
                    <w:bottom w:val="none" w:sz="0" w:space="0" w:color="auto"/>
                    <w:right w:val="none" w:sz="0" w:space="0" w:color="auto"/>
                  </w:divBdr>
                  <w:divsChild>
                    <w:div w:id="298194126">
                      <w:marLeft w:val="0"/>
                      <w:marRight w:val="0"/>
                      <w:marTop w:val="0"/>
                      <w:marBottom w:val="0"/>
                      <w:divBdr>
                        <w:top w:val="none" w:sz="0" w:space="0" w:color="auto"/>
                        <w:left w:val="none" w:sz="0" w:space="0" w:color="auto"/>
                        <w:bottom w:val="none" w:sz="0" w:space="0" w:color="auto"/>
                        <w:right w:val="none" w:sz="0" w:space="0" w:color="auto"/>
                      </w:divBdr>
                      <w:divsChild>
                        <w:div w:id="1026366219">
                          <w:marLeft w:val="0"/>
                          <w:marRight w:val="0"/>
                          <w:marTop w:val="0"/>
                          <w:marBottom w:val="0"/>
                          <w:divBdr>
                            <w:top w:val="none" w:sz="0" w:space="0" w:color="auto"/>
                            <w:left w:val="none" w:sz="0" w:space="0" w:color="auto"/>
                            <w:bottom w:val="none" w:sz="0" w:space="0" w:color="auto"/>
                            <w:right w:val="none" w:sz="0" w:space="0" w:color="auto"/>
                          </w:divBdr>
                          <w:divsChild>
                            <w:div w:id="1833836387">
                              <w:marLeft w:val="0"/>
                              <w:marRight w:val="0"/>
                              <w:marTop w:val="0"/>
                              <w:marBottom w:val="0"/>
                              <w:divBdr>
                                <w:top w:val="none" w:sz="0" w:space="0" w:color="auto"/>
                                <w:left w:val="none" w:sz="0" w:space="0" w:color="auto"/>
                                <w:bottom w:val="none" w:sz="0" w:space="0" w:color="auto"/>
                                <w:right w:val="none" w:sz="0" w:space="0" w:color="auto"/>
                              </w:divBdr>
                              <w:divsChild>
                                <w:div w:id="1743671381">
                                  <w:marLeft w:val="0"/>
                                  <w:marRight w:val="0"/>
                                  <w:marTop w:val="0"/>
                                  <w:marBottom w:val="0"/>
                                  <w:divBdr>
                                    <w:top w:val="none" w:sz="0" w:space="0" w:color="auto"/>
                                    <w:left w:val="none" w:sz="0" w:space="0" w:color="auto"/>
                                    <w:bottom w:val="none" w:sz="0" w:space="0" w:color="auto"/>
                                    <w:right w:val="none" w:sz="0" w:space="0" w:color="auto"/>
                                  </w:divBdr>
                                  <w:divsChild>
                                    <w:div w:id="1797793304">
                                      <w:marLeft w:val="0"/>
                                      <w:marRight w:val="0"/>
                                      <w:marTop w:val="0"/>
                                      <w:marBottom w:val="0"/>
                                      <w:divBdr>
                                        <w:top w:val="none" w:sz="0" w:space="0" w:color="auto"/>
                                        <w:left w:val="none" w:sz="0" w:space="0" w:color="auto"/>
                                        <w:bottom w:val="none" w:sz="0" w:space="0" w:color="auto"/>
                                        <w:right w:val="none" w:sz="0" w:space="0" w:color="auto"/>
                                      </w:divBdr>
                                      <w:divsChild>
                                        <w:div w:id="1138911415">
                                          <w:marLeft w:val="0"/>
                                          <w:marRight w:val="0"/>
                                          <w:marTop w:val="0"/>
                                          <w:marBottom w:val="0"/>
                                          <w:divBdr>
                                            <w:top w:val="none" w:sz="0" w:space="0" w:color="auto"/>
                                            <w:left w:val="none" w:sz="0" w:space="0" w:color="auto"/>
                                            <w:bottom w:val="none" w:sz="0" w:space="0" w:color="auto"/>
                                            <w:right w:val="none" w:sz="0" w:space="0" w:color="auto"/>
                                          </w:divBdr>
                                          <w:divsChild>
                                            <w:div w:id="1215386815">
                                              <w:marLeft w:val="0"/>
                                              <w:marRight w:val="0"/>
                                              <w:marTop w:val="0"/>
                                              <w:marBottom w:val="0"/>
                                              <w:divBdr>
                                                <w:top w:val="none" w:sz="0" w:space="0" w:color="auto"/>
                                                <w:left w:val="none" w:sz="0" w:space="0" w:color="auto"/>
                                                <w:bottom w:val="none" w:sz="0" w:space="0" w:color="auto"/>
                                                <w:right w:val="none" w:sz="0" w:space="0" w:color="auto"/>
                                              </w:divBdr>
                                              <w:divsChild>
                                                <w:div w:id="1932539666">
                                                  <w:marLeft w:val="0"/>
                                                  <w:marRight w:val="0"/>
                                                  <w:marTop w:val="0"/>
                                                  <w:marBottom w:val="0"/>
                                                  <w:divBdr>
                                                    <w:top w:val="none" w:sz="0" w:space="0" w:color="auto"/>
                                                    <w:left w:val="none" w:sz="0" w:space="0" w:color="auto"/>
                                                    <w:bottom w:val="none" w:sz="0" w:space="0" w:color="auto"/>
                                                    <w:right w:val="none" w:sz="0" w:space="0" w:color="auto"/>
                                                  </w:divBdr>
                                                  <w:divsChild>
                                                    <w:div w:id="1660227428">
                                                      <w:marLeft w:val="0"/>
                                                      <w:marRight w:val="0"/>
                                                      <w:marTop w:val="0"/>
                                                      <w:marBottom w:val="0"/>
                                                      <w:divBdr>
                                                        <w:top w:val="none" w:sz="0" w:space="0" w:color="auto"/>
                                                        <w:left w:val="none" w:sz="0" w:space="0" w:color="auto"/>
                                                        <w:bottom w:val="none" w:sz="0" w:space="0" w:color="auto"/>
                                                        <w:right w:val="none" w:sz="0" w:space="0" w:color="auto"/>
                                                      </w:divBdr>
                                                      <w:divsChild>
                                                        <w:div w:id="215044461">
                                                          <w:marLeft w:val="0"/>
                                                          <w:marRight w:val="0"/>
                                                          <w:marTop w:val="0"/>
                                                          <w:marBottom w:val="0"/>
                                                          <w:divBdr>
                                                            <w:top w:val="none" w:sz="0" w:space="0" w:color="auto"/>
                                                            <w:left w:val="none" w:sz="0" w:space="0" w:color="auto"/>
                                                            <w:bottom w:val="none" w:sz="0" w:space="0" w:color="auto"/>
                                                            <w:right w:val="none" w:sz="0" w:space="0" w:color="auto"/>
                                                          </w:divBdr>
                                                          <w:divsChild>
                                                            <w:div w:id="83966210">
                                                              <w:marLeft w:val="0"/>
                                                              <w:marRight w:val="0"/>
                                                              <w:marTop w:val="0"/>
                                                              <w:marBottom w:val="0"/>
                                                              <w:divBdr>
                                                                <w:top w:val="none" w:sz="0" w:space="0" w:color="auto"/>
                                                                <w:left w:val="none" w:sz="0" w:space="0" w:color="auto"/>
                                                                <w:bottom w:val="none" w:sz="0" w:space="0" w:color="auto"/>
                                                                <w:right w:val="none" w:sz="0" w:space="0" w:color="auto"/>
                                                              </w:divBdr>
                                                            </w:div>
                                                            <w:div w:id="3961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3972428">
      <w:bodyDiv w:val="1"/>
      <w:marLeft w:val="0"/>
      <w:marRight w:val="0"/>
      <w:marTop w:val="0"/>
      <w:marBottom w:val="0"/>
      <w:divBdr>
        <w:top w:val="none" w:sz="0" w:space="0" w:color="auto"/>
        <w:left w:val="none" w:sz="0" w:space="0" w:color="auto"/>
        <w:bottom w:val="none" w:sz="0" w:space="0" w:color="auto"/>
        <w:right w:val="none" w:sz="0" w:space="0" w:color="auto"/>
      </w:divBdr>
    </w:div>
    <w:div w:id="2057001686">
      <w:bodyDiv w:val="1"/>
      <w:marLeft w:val="0"/>
      <w:marRight w:val="0"/>
      <w:marTop w:val="0"/>
      <w:marBottom w:val="0"/>
      <w:divBdr>
        <w:top w:val="none" w:sz="0" w:space="0" w:color="auto"/>
        <w:left w:val="none" w:sz="0" w:space="0" w:color="auto"/>
        <w:bottom w:val="none" w:sz="0" w:space="0" w:color="auto"/>
        <w:right w:val="none" w:sz="0" w:space="0" w:color="auto"/>
      </w:divBdr>
    </w:div>
    <w:div w:id="2082436321">
      <w:bodyDiv w:val="1"/>
      <w:marLeft w:val="0"/>
      <w:marRight w:val="0"/>
      <w:marTop w:val="0"/>
      <w:marBottom w:val="0"/>
      <w:divBdr>
        <w:top w:val="none" w:sz="0" w:space="0" w:color="auto"/>
        <w:left w:val="none" w:sz="0" w:space="0" w:color="auto"/>
        <w:bottom w:val="none" w:sz="0" w:space="0" w:color="auto"/>
        <w:right w:val="none" w:sz="0" w:space="0" w:color="auto"/>
      </w:divBdr>
    </w:div>
    <w:div w:id="2101368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header" Target="header6.xml"/><Relationship Id="rId42" Type="http://schemas.openxmlformats.org/officeDocument/2006/relationships/chart" Target="charts/chart3.xml"/><Relationship Id="rId47" Type="http://schemas.openxmlformats.org/officeDocument/2006/relationships/chart" Target="charts/chart8.xml"/><Relationship Id="rId63" Type="http://schemas.openxmlformats.org/officeDocument/2006/relationships/header" Target="header24.xml"/><Relationship Id="rId68" Type="http://schemas.openxmlformats.org/officeDocument/2006/relationships/header" Target="header27.xml"/><Relationship Id="rId84" Type="http://schemas.openxmlformats.org/officeDocument/2006/relationships/hyperlink" Target="http://booksandjournals.brillonline.com/content/journals/15685411" TargetMode="External"/><Relationship Id="rId89" Type="http://schemas.openxmlformats.org/officeDocument/2006/relationships/hyperlink" Target="mailto:info@thermonox.de" TargetMode="External"/><Relationship Id="rId7" Type="http://schemas.openxmlformats.org/officeDocument/2006/relationships/settings" Target="settings.xml"/><Relationship Id="rId71" Type="http://schemas.openxmlformats.org/officeDocument/2006/relationships/footer" Target="footer16.xml"/><Relationship Id="rId92" Type="http://schemas.openxmlformats.org/officeDocument/2006/relationships/hyperlink" Target="http://cesantabarbara.ucanr.edu/files/75478.pdf"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12.xml"/><Relationship Id="rId11" Type="http://schemas.openxmlformats.org/officeDocument/2006/relationships/image" Target="media/image1.emf"/><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yperlink" Target="http://ozone.unep.org/Exemption_Information/Decisions/Decision_XVI-2(4).shtml" TargetMode="External"/><Relationship Id="rId40" Type="http://schemas.openxmlformats.org/officeDocument/2006/relationships/chart" Target="charts/chart1.xml"/><Relationship Id="rId45" Type="http://schemas.openxmlformats.org/officeDocument/2006/relationships/chart" Target="charts/chart6.xml"/><Relationship Id="rId53" Type="http://schemas.openxmlformats.org/officeDocument/2006/relationships/header" Target="header18.xml"/><Relationship Id="rId58" Type="http://schemas.openxmlformats.org/officeDocument/2006/relationships/header" Target="header21.xml"/><Relationship Id="rId66" Type="http://schemas.openxmlformats.org/officeDocument/2006/relationships/footer" Target="footer14.xml"/><Relationship Id="rId74" Type="http://schemas.openxmlformats.org/officeDocument/2006/relationships/hyperlink" Target="http://www.ispm15.com/IPPC%20ISPM15%20draft%20Apr%202013.pdf" TargetMode="External"/><Relationship Id="rId79" Type="http://schemas.openxmlformats.org/officeDocument/2006/relationships/hyperlink" Target="http://booksandjournals.brillonline.com/search?value1=&amp;option1=all&amp;value2=Jairo+Crist%C3%B3bal-Alejo&amp;option2=author" TargetMode="External"/><Relationship Id="rId87" Type="http://schemas.openxmlformats.org/officeDocument/2006/relationships/hyperlink" Target="http://pubs.acs.org/doi/abs/10.1021/acs.jafc.6b01437?journalCode=jafcau" TargetMode="External"/><Relationship Id="rId102" Type="http://schemas.openxmlformats.org/officeDocument/2006/relationships/header" Target="header36.xml"/><Relationship Id="rId5" Type="http://schemas.openxmlformats.org/officeDocument/2006/relationships/numbering" Target="numbering.xml"/><Relationship Id="rId61" Type="http://schemas.openxmlformats.org/officeDocument/2006/relationships/footer" Target="footer12.xml"/><Relationship Id="rId82" Type="http://schemas.openxmlformats.org/officeDocument/2006/relationships/hyperlink" Target="http://booksandjournals.brillonline.com/search?value1=&amp;option1=all&amp;value2=Prometeo+S%C3%A1nchez-Garcia&amp;option2=author" TargetMode="External"/><Relationship Id="rId90" Type="http://schemas.openxmlformats.org/officeDocument/2006/relationships/hyperlink" Target="mailto:vertrieb@kroll.de" TargetMode="External"/><Relationship Id="rId95" Type="http://schemas.openxmlformats.org/officeDocument/2006/relationships/header" Target="header32.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yperlink" Target="http://ozone.unep.org/Exemption_Information/Decisions/Decision_XVII-9(5).shtml" TargetMode="External"/><Relationship Id="rId43" Type="http://schemas.openxmlformats.org/officeDocument/2006/relationships/chart" Target="charts/chart4.xml"/><Relationship Id="rId48" Type="http://schemas.openxmlformats.org/officeDocument/2006/relationships/chart" Target="charts/chart9.xml"/><Relationship Id="rId56" Type="http://schemas.openxmlformats.org/officeDocument/2006/relationships/footer" Target="footer10.xml"/><Relationship Id="rId64" Type="http://schemas.openxmlformats.org/officeDocument/2006/relationships/header" Target="header25.xml"/><Relationship Id="rId69" Type="http://schemas.openxmlformats.org/officeDocument/2006/relationships/header" Target="header28.xml"/><Relationship Id="rId77" Type="http://schemas.openxmlformats.org/officeDocument/2006/relationships/hyperlink" Target="https://www.ncbi.nlm.nih.gov/pubmed/23800997" TargetMode="External"/><Relationship Id="rId100" Type="http://schemas.openxmlformats.org/officeDocument/2006/relationships/header" Target="header35.xml"/><Relationship Id="rId8" Type="http://schemas.openxmlformats.org/officeDocument/2006/relationships/webSettings" Target="webSettings.xml"/><Relationship Id="rId51" Type="http://schemas.openxmlformats.org/officeDocument/2006/relationships/footer" Target="footer8.xml"/><Relationship Id="rId72" Type="http://schemas.openxmlformats.org/officeDocument/2006/relationships/footer" Target="footer17.xml"/><Relationship Id="rId80" Type="http://schemas.openxmlformats.org/officeDocument/2006/relationships/hyperlink" Target="http://booksandjournals.brillonline.com/search?value1=&amp;option1=all&amp;value2=Gustavo+Mora-Aguilera&amp;option2=author" TargetMode="External"/><Relationship Id="rId85" Type="http://schemas.openxmlformats.org/officeDocument/2006/relationships/hyperlink" Target="javascript:void(0);" TargetMode="External"/><Relationship Id="rId93" Type="http://schemas.openxmlformats.org/officeDocument/2006/relationships/hyperlink" Target="https://www.ncbi.nlm.nih.gov/pubmed/16612042" TargetMode="External"/><Relationship Id="rId98" Type="http://schemas.openxmlformats.org/officeDocument/2006/relationships/header" Target="header3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hyperlink" Target="http://ozone.unep.org/Exemption_Information/Decisions/Decision_XVII-9(5).shtml" TargetMode="External"/><Relationship Id="rId46" Type="http://schemas.openxmlformats.org/officeDocument/2006/relationships/chart" Target="charts/chart7.xml"/><Relationship Id="rId59" Type="http://schemas.openxmlformats.org/officeDocument/2006/relationships/header" Target="header22.xml"/><Relationship Id="rId67" Type="http://schemas.openxmlformats.org/officeDocument/2006/relationships/footer" Target="footer15.xml"/><Relationship Id="rId103"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chart" Target="charts/chart2.xml"/><Relationship Id="rId54" Type="http://schemas.openxmlformats.org/officeDocument/2006/relationships/header" Target="header19.xml"/><Relationship Id="rId62" Type="http://schemas.openxmlformats.org/officeDocument/2006/relationships/footer" Target="footer13.xml"/><Relationship Id="rId70" Type="http://schemas.openxmlformats.org/officeDocument/2006/relationships/header" Target="header29.xml"/><Relationship Id="rId75" Type="http://schemas.openxmlformats.org/officeDocument/2006/relationships/hyperlink" Target="https://www.ncbi.nlm.nih.gov/pubmed/?term=Bulathsinghala%20AT%5BAuthor%5D&amp;cauthor=true&amp;cauthor_uid=23800997" TargetMode="External"/><Relationship Id="rId83" Type="http://schemas.openxmlformats.org/officeDocument/2006/relationships/hyperlink" Target="http://booksandjournals.brillonline.com/search?value1=&amp;option1=all&amp;value2=Ignacio+Cid+Del+Prado-Vera&amp;option2=author" TargetMode="External"/><Relationship Id="rId88" Type="http://schemas.openxmlformats.org/officeDocument/2006/relationships/hyperlink" Target="http://www.thermonox.de" TargetMode="External"/><Relationship Id="rId91" Type="http://schemas.openxmlformats.org/officeDocument/2006/relationships/hyperlink" Target="mailto:service@kroll.de" TargetMode="External"/><Relationship Id="rId96"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yperlink" Target="http://ozone.unep.org/Exemption_Information/Decisions/Decision_Ex.I-3(5).shtml" TargetMode="External"/><Relationship Id="rId49" Type="http://schemas.openxmlformats.org/officeDocument/2006/relationships/header" Target="header16.xml"/><Relationship Id="rId57" Type="http://schemas.openxmlformats.org/officeDocument/2006/relationships/footer" Target="footer11.xml"/><Relationship Id="rId106" Type="http://schemas.microsoft.com/office/2016/09/relationships/commentsIds" Target="commentsIds.xml"/><Relationship Id="rId10" Type="http://schemas.openxmlformats.org/officeDocument/2006/relationships/endnotes" Target="endnotes.xml"/><Relationship Id="rId31" Type="http://schemas.openxmlformats.org/officeDocument/2006/relationships/header" Target="header14.xml"/><Relationship Id="rId44" Type="http://schemas.openxmlformats.org/officeDocument/2006/relationships/chart" Target="charts/chart5.xml"/><Relationship Id="rId52" Type="http://schemas.openxmlformats.org/officeDocument/2006/relationships/footer" Target="footer9.xml"/><Relationship Id="rId60" Type="http://schemas.openxmlformats.org/officeDocument/2006/relationships/header" Target="header23.xml"/><Relationship Id="rId65" Type="http://schemas.openxmlformats.org/officeDocument/2006/relationships/header" Target="header26.xml"/><Relationship Id="rId73" Type="http://schemas.openxmlformats.org/officeDocument/2006/relationships/header" Target="header30.xml"/><Relationship Id="rId78" Type="http://schemas.openxmlformats.org/officeDocument/2006/relationships/hyperlink" Target="https://mbao.org/static/docs/confs/2016-orlando/papers/4castillog.pdf" TargetMode="External"/><Relationship Id="rId81" Type="http://schemas.openxmlformats.org/officeDocument/2006/relationships/hyperlink" Target="http://booksandjournals.brillonline.com/search?value1=&amp;option1=all&amp;value2=Nah%C3%BAm+Marb%C3%A1n-M%C3%A9ndoza&amp;option2=author" TargetMode="External"/><Relationship Id="rId86" Type="http://schemas.openxmlformats.org/officeDocument/2006/relationships/hyperlink" Target="http://pubs.acs.org/author/Huang%2C+Bin" TargetMode="External"/><Relationship Id="rId94" Type="http://schemas.openxmlformats.org/officeDocument/2006/relationships/header" Target="header31.xml"/><Relationship Id="rId99" Type="http://schemas.openxmlformats.org/officeDocument/2006/relationships/header" Target="header34.xml"/><Relationship Id="rId101" Type="http://schemas.openxmlformats.org/officeDocument/2006/relationships/footer" Target="footer2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yperlink" Target="http://ozone.unep.org/en/assessment-panels/383/disclosure-interest?field_subsidiary_body=391" TargetMode="External"/><Relationship Id="rId34" Type="http://schemas.openxmlformats.org/officeDocument/2006/relationships/hyperlink" Target="http://ozone.unep.org/Exemption_Information/Decisions/Decision_XVI-2(4).shtml" TargetMode="External"/><Relationship Id="rId50" Type="http://schemas.openxmlformats.org/officeDocument/2006/relationships/header" Target="header17.xml"/><Relationship Id="rId55" Type="http://schemas.openxmlformats.org/officeDocument/2006/relationships/header" Target="header20.xml"/><Relationship Id="rId76" Type="http://schemas.openxmlformats.org/officeDocument/2006/relationships/hyperlink" Target="https://www.ncbi.nlm.nih.gov/pubmed/?term=Shaw%20IC%5BAuthor%5D&amp;cauthor=true&amp;cauthor_uid=23800997" TargetMode="External"/><Relationship Id="rId97" Type="http://schemas.openxmlformats.org/officeDocument/2006/relationships/footer" Target="footer19.xml"/><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Teap%20Styl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Ian%20Porter%20MBTOC\CUN%20Totals%20Trends%20and%20Baseline%20Data\2017\Copy%20of%20Trends%20A5+non%20A5%202019-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Ian%20Porter%20MBTOC\CUN%20Totals%20Trends%20and%20Baseline%20Data\2017\Copy%20of%20Trends%20A5+non%20A5%202018-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Ian%20Porter%20MBTOC\CUN%20Totals%20Trends%20and%20Baseline%20Data\2017\Copy%20of%20Trends%20A5+non%20A5%202018-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Ian%20Porter%20MBTOC\CUN%20Totals%20Trends%20and%20Baseline%20Data\2017\Copy%20of%20Trends%20A5+non%20A5%202018-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Ian%20Porter%20MBTOC\CUN%20Totals%20Trends%20and%20Baseline%20Data\2017\Copy%20of%20Trends%20A5+non%20A5%202018-2019.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Ian%20Porter%20MBTOC\CUN%20Totals%20Trends%20and%20Baseline%20Data\2017\Copy%20of%20Trends%20A5+non%20A5%202018-201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Ian%20Porter%20MBTOC\CUN%20Totals%20Trends%20and%20Baseline%20Data\2017\Copy%20of%20Trends%20A5+non%20A5%202019-202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Ian%20Porter%20MBTOC\CUN%20Totals%20Trends%20and%20Baseline%20Data\2017\Copy%20of%20Trends%20A5+non%20A5%202019-2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Ian%20Porter%20MBTOC\CUN%20Totals%20Trends%20and%20Baseline%20Data\2017\Copy%20of%20Trends%20A5+non%20A5%202019-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Trends of CUNs and CUEs</a:t>
            </a:r>
            <a:r>
              <a:rPr lang="en-US" baseline="0"/>
              <a:t> of MB</a:t>
            </a:r>
            <a:r>
              <a:rPr lang="en-US"/>
              <a:t> </a:t>
            </a:r>
          </a:p>
        </c:rich>
      </c:tx>
      <c:layout>
        <c:manualLayout>
          <c:xMode val="edge"/>
          <c:yMode val="edge"/>
          <c:x val="0.23144862180742193"/>
          <c:y val="0"/>
        </c:manualLayout>
      </c:layout>
      <c:overlay val="0"/>
    </c:title>
    <c:autoTitleDeleted val="0"/>
    <c:plotArea>
      <c:layout>
        <c:manualLayout>
          <c:layoutTarget val="inner"/>
          <c:xMode val="edge"/>
          <c:yMode val="edge"/>
          <c:x val="0.13536400208252847"/>
          <c:y val="0.12010982179859096"/>
          <c:w val="0.85971170759486271"/>
          <c:h val="0.72626974259796473"/>
        </c:manualLayout>
      </c:layout>
      <c:lineChart>
        <c:grouping val="standard"/>
        <c:varyColors val="0"/>
        <c:ser>
          <c:idx val="0"/>
          <c:order val="0"/>
          <c:tx>
            <c:strRef>
              <c:f>Feuil1!$F$208</c:f>
              <c:strCache>
                <c:ptCount val="1"/>
                <c:pt idx="0">
                  <c:v>CUNs</c:v>
                </c:pt>
              </c:strCache>
            </c:strRef>
          </c:tx>
          <c:cat>
            <c:numRef>
              <c:f>Feuil1!$G$207:$V$207</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Feuil1!$G$208:$V$208</c:f>
              <c:numCache>
                <c:formatCode>General</c:formatCode>
                <c:ptCount val="16"/>
                <c:pt idx="0">
                  <c:v>18704.241000000002</c:v>
                </c:pt>
                <c:pt idx="1">
                  <c:v>15617.837</c:v>
                </c:pt>
                <c:pt idx="2">
                  <c:v>10677.552</c:v>
                </c:pt>
                <c:pt idx="3">
                  <c:v>8297.7389999999996</c:v>
                </c:pt>
                <c:pt idx="4">
                  <c:v>6244.4870000000001</c:v>
                </c:pt>
                <c:pt idx="5">
                  <c:v>4044.38</c:v>
                </c:pt>
                <c:pt idx="6">
                  <c:v>2928.1419999999998</c:v>
                </c:pt>
                <c:pt idx="7">
                  <c:v>1460.163</c:v>
                </c:pt>
                <c:pt idx="8">
                  <c:v>740.53300000000002</c:v>
                </c:pt>
                <c:pt idx="9">
                  <c:v>483.589</c:v>
                </c:pt>
                <c:pt idx="10">
                  <c:v>917.221</c:v>
                </c:pt>
                <c:pt idx="11">
                  <c:v>809.40899999999999</c:v>
                </c:pt>
                <c:pt idx="12">
                  <c:v>341.34100000000001</c:v>
                </c:pt>
                <c:pt idx="13">
                  <c:v>298.697</c:v>
                </c:pt>
                <c:pt idx="14">
                  <c:v>297.21800000000002</c:v>
                </c:pt>
                <c:pt idx="15">
                  <c:v>28.98</c:v>
                </c:pt>
              </c:numCache>
            </c:numRef>
          </c:val>
          <c:smooth val="0"/>
          <c:extLst>
            <c:ext xmlns:c16="http://schemas.microsoft.com/office/drawing/2014/chart" uri="{C3380CC4-5D6E-409C-BE32-E72D297353CC}">
              <c16:uniqueId val="{00000000-E883-48CF-BAA5-A10392C2A459}"/>
            </c:ext>
          </c:extLst>
        </c:ser>
        <c:ser>
          <c:idx val="1"/>
          <c:order val="1"/>
          <c:tx>
            <c:strRef>
              <c:f>Feuil1!$F$209</c:f>
              <c:strCache>
                <c:ptCount val="1"/>
                <c:pt idx="0">
                  <c:v>CUEs</c:v>
                </c:pt>
              </c:strCache>
            </c:strRef>
          </c:tx>
          <c:cat>
            <c:numRef>
              <c:f>Feuil1!$G$207:$V$207</c:f>
              <c:numCache>
                <c:formatCode>General</c:formatCode>
                <c:ptCount val="16"/>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numCache>
            </c:numRef>
          </c:cat>
          <c:val>
            <c:numRef>
              <c:f>Feuil1!$G$209:$V$209</c:f>
              <c:numCache>
                <c:formatCode>General</c:formatCode>
                <c:ptCount val="16"/>
                <c:pt idx="0">
                  <c:v>16050.089</c:v>
                </c:pt>
                <c:pt idx="1">
                  <c:v>13418.2</c:v>
                </c:pt>
                <c:pt idx="2">
                  <c:v>9160.7139999999999</c:v>
                </c:pt>
                <c:pt idx="3">
                  <c:v>6990.0389999999998</c:v>
                </c:pt>
                <c:pt idx="4">
                  <c:v>5254.8379999999997</c:v>
                </c:pt>
                <c:pt idx="5">
                  <c:v>3572.183</c:v>
                </c:pt>
                <c:pt idx="6">
                  <c:v>2343.0239999999999</c:v>
                </c:pt>
                <c:pt idx="7">
                  <c:v>1261.3040000000001</c:v>
                </c:pt>
                <c:pt idx="8">
                  <c:v>610.88800000000003</c:v>
                </c:pt>
                <c:pt idx="9">
                  <c:v>483.589</c:v>
                </c:pt>
                <c:pt idx="10">
                  <c:v>745.48099999999999</c:v>
                </c:pt>
                <c:pt idx="11">
                  <c:v>657.85</c:v>
                </c:pt>
                <c:pt idx="12">
                  <c:v>290.06700000000001</c:v>
                </c:pt>
                <c:pt idx="13">
                  <c:v>244.83099999999999</c:v>
                </c:pt>
                <c:pt idx="14">
                  <c:v>28.98</c:v>
                </c:pt>
              </c:numCache>
            </c:numRef>
          </c:val>
          <c:smooth val="0"/>
          <c:extLst>
            <c:ext xmlns:c16="http://schemas.microsoft.com/office/drawing/2014/chart" uri="{C3380CC4-5D6E-409C-BE32-E72D297353CC}">
              <c16:uniqueId val="{00000001-E883-48CF-BAA5-A10392C2A459}"/>
            </c:ext>
          </c:extLst>
        </c:ser>
        <c:dLbls>
          <c:showLegendKey val="0"/>
          <c:showVal val="0"/>
          <c:showCatName val="0"/>
          <c:showSerName val="0"/>
          <c:showPercent val="0"/>
          <c:showBubbleSize val="0"/>
        </c:dLbls>
        <c:marker val="1"/>
        <c:smooth val="0"/>
        <c:axId val="127403136"/>
        <c:axId val="127404672"/>
      </c:lineChart>
      <c:catAx>
        <c:axId val="127403136"/>
        <c:scaling>
          <c:orientation val="minMax"/>
        </c:scaling>
        <c:delete val="0"/>
        <c:axPos val="b"/>
        <c:numFmt formatCode="General" sourceLinked="1"/>
        <c:majorTickMark val="none"/>
        <c:minorTickMark val="none"/>
        <c:tickLblPos val="nextTo"/>
        <c:crossAx val="127404672"/>
        <c:crosses val="autoZero"/>
        <c:auto val="1"/>
        <c:lblAlgn val="ctr"/>
        <c:lblOffset val="100"/>
        <c:noMultiLvlLbl val="0"/>
      </c:catAx>
      <c:valAx>
        <c:axId val="127404672"/>
        <c:scaling>
          <c:orientation val="minMax"/>
        </c:scaling>
        <c:delete val="0"/>
        <c:axPos val="l"/>
        <c:majorGridlines/>
        <c:title>
          <c:tx>
            <c:rich>
              <a:bodyPr/>
              <a:lstStyle/>
              <a:p>
                <a:pPr>
                  <a:defRPr/>
                </a:pPr>
                <a:r>
                  <a:rPr lang="en-US"/>
                  <a:t>Methyl Bromide (tonnes)</a:t>
                </a:r>
              </a:p>
            </c:rich>
          </c:tx>
          <c:overlay val="0"/>
        </c:title>
        <c:numFmt formatCode="General" sourceLinked="1"/>
        <c:majorTickMark val="none"/>
        <c:minorTickMark val="none"/>
        <c:tickLblPos val="nextTo"/>
        <c:crossAx val="127403136"/>
        <c:crosses val="autoZero"/>
        <c:crossBetween val="between"/>
      </c:valAx>
      <c:dTable>
        <c:showHorzBorder val="1"/>
        <c:showVertBorder val="1"/>
        <c:showOutline val="1"/>
        <c:showKeys val="1"/>
      </c:dTable>
    </c:plotArea>
    <c:legend>
      <c:legendPos val="r"/>
      <c:layout>
        <c:manualLayout>
          <c:xMode val="edge"/>
          <c:yMode val="edge"/>
          <c:x val="0.74871276542863197"/>
          <c:y val="0.17883618837586129"/>
          <c:w val="0.13910121629081448"/>
          <c:h val="0.10574803149606299"/>
        </c:manualLayout>
      </c:layout>
      <c:overlay val="0"/>
      <c:txPr>
        <a:bodyPr/>
        <a:lstStyle/>
        <a:p>
          <a:pPr>
            <a:defRPr b="1"/>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a:t>Australia: Strawberry Runners </a:t>
            </a:r>
          </a:p>
        </c:rich>
      </c:tx>
      <c:overlay val="0"/>
    </c:title>
    <c:autoTitleDeleted val="0"/>
    <c:plotArea>
      <c:layout>
        <c:manualLayout>
          <c:layoutTarget val="inner"/>
          <c:xMode val="edge"/>
          <c:yMode val="edge"/>
          <c:x val="0.16037184206463356"/>
          <c:y val="0.15328801112975632"/>
          <c:w val="0.82311629003030973"/>
          <c:h val="0.65895902356467739"/>
        </c:manualLayout>
      </c:layout>
      <c:lineChart>
        <c:grouping val="standard"/>
        <c:varyColors val="0"/>
        <c:ser>
          <c:idx val="0"/>
          <c:order val="0"/>
          <c:tx>
            <c:strRef>
              <c:f>Feuil1!$A$38</c:f>
              <c:strCache>
                <c:ptCount val="1"/>
                <c:pt idx="0">
                  <c:v>CUN</c:v>
                </c:pt>
              </c:strCache>
            </c:strRef>
          </c:tx>
          <c:cat>
            <c:numRef>
              <c:f>Feuil1!$C$37:$P$37</c:f>
              <c:numCache>
                <c:formatCode>General</c:formatCode>
                <c:ptCount val="14"/>
                <c:pt idx="0">
                  <c:v>2005</c:v>
                </c:pt>
                <c:pt idx="1">
                  <c:v>2007</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Feuil1!$C$38:$P$38</c:f>
              <c:numCache>
                <c:formatCode>General</c:formatCode>
                <c:ptCount val="14"/>
                <c:pt idx="0">
                  <c:v>37.5</c:v>
                </c:pt>
                <c:pt idx="1">
                  <c:v>35.75</c:v>
                </c:pt>
                <c:pt idx="2">
                  <c:v>29.79</c:v>
                </c:pt>
                <c:pt idx="3">
                  <c:v>29.79</c:v>
                </c:pt>
                <c:pt idx="4">
                  <c:v>29.79</c:v>
                </c:pt>
                <c:pt idx="5">
                  <c:v>29.79</c:v>
                </c:pt>
                <c:pt idx="6">
                  <c:v>29.76</c:v>
                </c:pt>
                <c:pt idx="7">
                  <c:v>29.76</c:v>
                </c:pt>
                <c:pt idx="8">
                  <c:v>29.76</c:v>
                </c:pt>
                <c:pt idx="9">
                  <c:v>29.76</c:v>
                </c:pt>
                <c:pt idx="10">
                  <c:v>29.76</c:v>
                </c:pt>
                <c:pt idx="11">
                  <c:v>29.76</c:v>
                </c:pt>
                <c:pt idx="12">
                  <c:v>28.98</c:v>
                </c:pt>
                <c:pt idx="13">
                  <c:v>28.98</c:v>
                </c:pt>
              </c:numCache>
            </c:numRef>
          </c:val>
          <c:smooth val="0"/>
          <c:extLst>
            <c:ext xmlns:c16="http://schemas.microsoft.com/office/drawing/2014/chart" uri="{C3380CC4-5D6E-409C-BE32-E72D297353CC}">
              <c16:uniqueId val="{00000000-EEAA-4661-9B2E-D6072FCD7035}"/>
            </c:ext>
          </c:extLst>
        </c:ser>
        <c:ser>
          <c:idx val="1"/>
          <c:order val="1"/>
          <c:tx>
            <c:strRef>
              <c:f>Feuil1!$A$39</c:f>
              <c:strCache>
                <c:ptCount val="1"/>
                <c:pt idx="0">
                  <c:v>CUE</c:v>
                </c:pt>
              </c:strCache>
            </c:strRef>
          </c:tx>
          <c:cat>
            <c:numRef>
              <c:f>Feuil1!$C$37:$P$37</c:f>
              <c:numCache>
                <c:formatCode>General</c:formatCode>
                <c:ptCount val="14"/>
                <c:pt idx="0">
                  <c:v>2005</c:v>
                </c:pt>
                <c:pt idx="1">
                  <c:v>2007</c:v>
                </c:pt>
                <c:pt idx="2">
                  <c:v>2009</c:v>
                </c:pt>
                <c:pt idx="3">
                  <c:v>2010</c:v>
                </c:pt>
                <c:pt idx="4">
                  <c:v>2011</c:v>
                </c:pt>
                <c:pt idx="5">
                  <c:v>2012</c:v>
                </c:pt>
                <c:pt idx="6">
                  <c:v>2013</c:v>
                </c:pt>
                <c:pt idx="7">
                  <c:v>2014</c:v>
                </c:pt>
                <c:pt idx="8">
                  <c:v>2015</c:v>
                </c:pt>
                <c:pt idx="9">
                  <c:v>2016</c:v>
                </c:pt>
                <c:pt idx="10">
                  <c:v>2017</c:v>
                </c:pt>
                <c:pt idx="11">
                  <c:v>2018</c:v>
                </c:pt>
                <c:pt idx="12">
                  <c:v>2019</c:v>
                </c:pt>
                <c:pt idx="13">
                  <c:v>2020</c:v>
                </c:pt>
              </c:numCache>
            </c:numRef>
          </c:cat>
          <c:val>
            <c:numRef>
              <c:f>Feuil1!$C$39:$P$39</c:f>
              <c:numCache>
                <c:formatCode>General</c:formatCode>
                <c:ptCount val="14"/>
                <c:pt idx="0">
                  <c:v>37.5</c:v>
                </c:pt>
                <c:pt idx="1">
                  <c:v>35.75</c:v>
                </c:pt>
                <c:pt idx="2">
                  <c:v>29.79</c:v>
                </c:pt>
                <c:pt idx="3">
                  <c:v>29.79</c:v>
                </c:pt>
                <c:pt idx="4">
                  <c:v>29.79</c:v>
                </c:pt>
                <c:pt idx="5">
                  <c:v>29.76</c:v>
                </c:pt>
                <c:pt idx="6">
                  <c:v>29.76</c:v>
                </c:pt>
                <c:pt idx="7">
                  <c:v>29.76</c:v>
                </c:pt>
                <c:pt idx="8">
                  <c:v>29.76</c:v>
                </c:pt>
                <c:pt idx="9">
                  <c:v>29.76</c:v>
                </c:pt>
                <c:pt idx="10">
                  <c:v>29.76</c:v>
                </c:pt>
                <c:pt idx="11">
                  <c:v>29.73</c:v>
                </c:pt>
                <c:pt idx="12">
                  <c:v>28.98</c:v>
                </c:pt>
              </c:numCache>
            </c:numRef>
          </c:val>
          <c:smooth val="0"/>
          <c:extLst>
            <c:ext xmlns:c16="http://schemas.microsoft.com/office/drawing/2014/chart" uri="{C3380CC4-5D6E-409C-BE32-E72D297353CC}">
              <c16:uniqueId val="{00000001-EEAA-4661-9B2E-D6072FCD7035}"/>
            </c:ext>
          </c:extLst>
        </c:ser>
        <c:dLbls>
          <c:showLegendKey val="0"/>
          <c:showVal val="0"/>
          <c:showCatName val="0"/>
          <c:showSerName val="0"/>
          <c:showPercent val="0"/>
          <c:showBubbleSize val="0"/>
        </c:dLbls>
        <c:marker val="1"/>
        <c:smooth val="0"/>
        <c:axId val="127424768"/>
        <c:axId val="127426560"/>
      </c:lineChart>
      <c:catAx>
        <c:axId val="127424768"/>
        <c:scaling>
          <c:orientation val="minMax"/>
        </c:scaling>
        <c:delete val="0"/>
        <c:axPos val="b"/>
        <c:numFmt formatCode="General" sourceLinked="1"/>
        <c:majorTickMark val="none"/>
        <c:minorTickMark val="none"/>
        <c:tickLblPos val="nextTo"/>
        <c:crossAx val="127426560"/>
        <c:crosses val="autoZero"/>
        <c:auto val="1"/>
        <c:lblAlgn val="ctr"/>
        <c:lblOffset val="100"/>
        <c:noMultiLvlLbl val="0"/>
      </c:catAx>
      <c:valAx>
        <c:axId val="127426560"/>
        <c:scaling>
          <c:orientation val="minMax"/>
        </c:scaling>
        <c:delete val="0"/>
        <c:axPos val="l"/>
        <c:majorGridlines/>
        <c:title>
          <c:tx>
            <c:rich>
              <a:bodyPr/>
              <a:lstStyle/>
              <a:p>
                <a:pPr>
                  <a:defRPr/>
                </a:pPr>
                <a:r>
                  <a:rPr lang="en-AU"/>
                  <a:t>Methyl</a:t>
                </a:r>
                <a:r>
                  <a:rPr lang="en-AU" baseline="0"/>
                  <a:t> bromide (tonnes)</a:t>
                </a:r>
                <a:endParaRPr lang="en-AU"/>
              </a:p>
            </c:rich>
          </c:tx>
          <c:layout>
            <c:manualLayout>
              <c:xMode val="edge"/>
              <c:yMode val="edge"/>
              <c:x val="7.1638523060723602E-2"/>
              <c:y val="0.27481086050684345"/>
            </c:manualLayout>
          </c:layout>
          <c:overlay val="0"/>
        </c:title>
        <c:numFmt formatCode="General" sourceLinked="1"/>
        <c:majorTickMark val="none"/>
        <c:minorTickMark val="none"/>
        <c:tickLblPos val="nextTo"/>
        <c:crossAx val="12742476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fr-FR"/>
              <a:t>Canada: Strawberry Runners </a:t>
            </a:r>
          </a:p>
        </c:rich>
      </c:tx>
      <c:overlay val="0"/>
    </c:title>
    <c:autoTitleDeleted val="0"/>
    <c:plotArea>
      <c:layout/>
      <c:lineChart>
        <c:grouping val="standard"/>
        <c:varyColors val="0"/>
        <c:ser>
          <c:idx val="0"/>
          <c:order val="0"/>
          <c:tx>
            <c:strRef>
              <c:f>Feuil1!$A$6</c:f>
              <c:strCache>
                <c:ptCount val="1"/>
                <c:pt idx="0">
                  <c:v>CUN</c:v>
                </c:pt>
              </c:strCache>
            </c:strRef>
          </c:tx>
          <c:cat>
            <c:numRef>
              <c:f>Feuil1!$B$5:$O$5</c:f>
              <c:numCache>
                <c:formatCode>General</c:formatCode>
                <c:ptCount val="14"/>
                <c:pt idx="0">
                  <c:v>2005</c:v>
                </c:pt>
                <c:pt idx="1">
                  <c:v>2006</c:v>
                </c:pt>
                <c:pt idx="2">
                  <c:v>2007</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Feuil1!$B$6:$O$6</c:f>
              <c:numCache>
                <c:formatCode>General</c:formatCode>
                <c:ptCount val="14"/>
                <c:pt idx="0">
                  <c:v>14.792</c:v>
                </c:pt>
                <c:pt idx="1">
                  <c:v>6.84</c:v>
                </c:pt>
                <c:pt idx="2">
                  <c:v>7.9950000000000001</c:v>
                </c:pt>
                <c:pt idx="3">
                  <c:v>7.4619999999999997</c:v>
                </c:pt>
                <c:pt idx="4">
                  <c:v>7.4619999999999997</c:v>
                </c:pt>
                <c:pt idx="5">
                  <c:v>5.2610000000000001</c:v>
                </c:pt>
                <c:pt idx="6">
                  <c:v>5.2610000000000001</c:v>
                </c:pt>
                <c:pt idx="7">
                  <c:v>5.5960000000000001</c:v>
                </c:pt>
                <c:pt idx="8">
                  <c:v>5.2610000000000001</c:v>
                </c:pt>
                <c:pt idx="9">
                  <c:v>5.2610000000000001</c:v>
                </c:pt>
                <c:pt idx="10">
                  <c:v>5.2610000000000001</c:v>
                </c:pt>
                <c:pt idx="11">
                  <c:v>5.2610000000000001</c:v>
                </c:pt>
                <c:pt idx="12">
                  <c:v>5.2610000000000001</c:v>
                </c:pt>
                <c:pt idx="13">
                  <c:v>5.2610000000000001</c:v>
                </c:pt>
              </c:numCache>
            </c:numRef>
          </c:val>
          <c:smooth val="0"/>
          <c:extLst>
            <c:ext xmlns:c16="http://schemas.microsoft.com/office/drawing/2014/chart" uri="{C3380CC4-5D6E-409C-BE32-E72D297353CC}">
              <c16:uniqueId val="{00000000-6779-4CA0-9D99-6C6566DA3C50}"/>
            </c:ext>
          </c:extLst>
        </c:ser>
        <c:ser>
          <c:idx val="1"/>
          <c:order val="1"/>
          <c:tx>
            <c:strRef>
              <c:f>Feuil1!$A$7</c:f>
              <c:strCache>
                <c:ptCount val="1"/>
                <c:pt idx="0">
                  <c:v>CUE</c:v>
                </c:pt>
              </c:strCache>
            </c:strRef>
          </c:tx>
          <c:cat>
            <c:numRef>
              <c:f>Feuil1!$B$5:$O$5</c:f>
              <c:numCache>
                <c:formatCode>General</c:formatCode>
                <c:ptCount val="14"/>
                <c:pt idx="0">
                  <c:v>2005</c:v>
                </c:pt>
                <c:pt idx="1">
                  <c:v>2006</c:v>
                </c:pt>
                <c:pt idx="2">
                  <c:v>2007</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Feuil1!$B$7:$O$7</c:f>
              <c:numCache>
                <c:formatCode>General</c:formatCode>
                <c:ptCount val="14"/>
                <c:pt idx="0">
                  <c:v>14.792</c:v>
                </c:pt>
                <c:pt idx="1">
                  <c:v>6.84</c:v>
                </c:pt>
                <c:pt idx="2">
                  <c:v>7.9950000000000001</c:v>
                </c:pt>
                <c:pt idx="3">
                  <c:v>7.4619999999999997</c:v>
                </c:pt>
                <c:pt idx="4">
                  <c:v>7.4619999999999997</c:v>
                </c:pt>
                <c:pt idx="5">
                  <c:v>5.2610000000000001</c:v>
                </c:pt>
                <c:pt idx="6">
                  <c:v>5.2610000000000001</c:v>
                </c:pt>
                <c:pt idx="7">
                  <c:v>5.2610000000000001</c:v>
                </c:pt>
                <c:pt idx="8">
                  <c:v>5.05</c:v>
                </c:pt>
                <c:pt idx="9">
                  <c:v>5.2610000000000001</c:v>
                </c:pt>
                <c:pt idx="10">
                  <c:v>5.2610000000000001</c:v>
                </c:pt>
                <c:pt idx="11">
                  <c:v>5.2610000000000001</c:v>
                </c:pt>
                <c:pt idx="12">
                  <c:v>5.2610000000000001</c:v>
                </c:pt>
              </c:numCache>
            </c:numRef>
          </c:val>
          <c:smooth val="0"/>
          <c:extLst>
            <c:ext xmlns:c16="http://schemas.microsoft.com/office/drawing/2014/chart" uri="{C3380CC4-5D6E-409C-BE32-E72D297353CC}">
              <c16:uniqueId val="{00000001-6779-4CA0-9D99-6C6566DA3C50}"/>
            </c:ext>
          </c:extLst>
        </c:ser>
        <c:dLbls>
          <c:showLegendKey val="0"/>
          <c:showVal val="0"/>
          <c:showCatName val="0"/>
          <c:showSerName val="0"/>
          <c:showPercent val="0"/>
          <c:showBubbleSize val="0"/>
        </c:dLbls>
        <c:marker val="1"/>
        <c:smooth val="0"/>
        <c:axId val="127437824"/>
        <c:axId val="138621696"/>
      </c:lineChart>
      <c:catAx>
        <c:axId val="127437824"/>
        <c:scaling>
          <c:orientation val="minMax"/>
        </c:scaling>
        <c:delete val="0"/>
        <c:axPos val="b"/>
        <c:numFmt formatCode="General" sourceLinked="1"/>
        <c:majorTickMark val="none"/>
        <c:minorTickMark val="none"/>
        <c:tickLblPos val="nextTo"/>
        <c:crossAx val="138621696"/>
        <c:crosses val="autoZero"/>
        <c:auto val="1"/>
        <c:lblAlgn val="ctr"/>
        <c:lblOffset val="100"/>
        <c:noMultiLvlLbl val="0"/>
      </c:catAx>
      <c:valAx>
        <c:axId val="138621696"/>
        <c:scaling>
          <c:orientation val="minMax"/>
        </c:scaling>
        <c:delete val="0"/>
        <c:axPos val="l"/>
        <c:majorGridlines/>
        <c:title>
          <c:tx>
            <c:rich>
              <a:bodyPr/>
              <a:lstStyle/>
              <a:p>
                <a:pPr>
                  <a:defRPr/>
                </a:pPr>
                <a:r>
                  <a:rPr lang="en-AU"/>
                  <a:t>Methyl bromide (tonnes)</a:t>
                </a:r>
              </a:p>
            </c:rich>
          </c:tx>
          <c:overlay val="0"/>
        </c:title>
        <c:numFmt formatCode="General" sourceLinked="1"/>
        <c:majorTickMark val="none"/>
        <c:minorTickMark val="none"/>
        <c:tickLblPos val="nextTo"/>
        <c:crossAx val="12743782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fr-FR" sz="1600"/>
              <a:t>Argentina: Tomato </a:t>
            </a:r>
          </a:p>
        </c:rich>
      </c:tx>
      <c:overlay val="0"/>
    </c:title>
    <c:autoTitleDeleted val="0"/>
    <c:plotArea>
      <c:layout/>
      <c:lineChart>
        <c:grouping val="standard"/>
        <c:varyColors val="0"/>
        <c:ser>
          <c:idx val="0"/>
          <c:order val="0"/>
          <c:tx>
            <c:strRef>
              <c:f>Feuil1!$A$65</c:f>
              <c:strCache>
                <c:ptCount val="1"/>
                <c:pt idx="0">
                  <c:v>CUN</c:v>
                </c:pt>
              </c:strCache>
            </c:strRef>
          </c:tx>
          <c:cat>
            <c:numRef>
              <c:f>Feuil1!$B$64:$F$64</c:f>
              <c:numCache>
                <c:formatCode>General</c:formatCode>
                <c:ptCount val="5"/>
                <c:pt idx="0">
                  <c:v>2015</c:v>
                </c:pt>
                <c:pt idx="1">
                  <c:v>2016</c:v>
                </c:pt>
                <c:pt idx="2">
                  <c:v>2017</c:v>
                </c:pt>
                <c:pt idx="3">
                  <c:v>2018</c:v>
                </c:pt>
                <c:pt idx="4">
                  <c:v>2019</c:v>
                </c:pt>
              </c:numCache>
            </c:numRef>
          </c:cat>
          <c:val>
            <c:numRef>
              <c:f>Feuil1!$B$65:$F$65</c:f>
              <c:numCache>
                <c:formatCode>General</c:formatCode>
                <c:ptCount val="5"/>
                <c:pt idx="0">
                  <c:v>100</c:v>
                </c:pt>
                <c:pt idx="1">
                  <c:v>75</c:v>
                </c:pt>
                <c:pt idx="2">
                  <c:v>75</c:v>
                </c:pt>
                <c:pt idx="3">
                  <c:v>75.400000000000006</c:v>
                </c:pt>
                <c:pt idx="4">
                  <c:v>44.4</c:v>
                </c:pt>
              </c:numCache>
            </c:numRef>
          </c:val>
          <c:smooth val="0"/>
          <c:extLst>
            <c:ext xmlns:c16="http://schemas.microsoft.com/office/drawing/2014/chart" uri="{C3380CC4-5D6E-409C-BE32-E72D297353CC}">
              <c16:uniqueId val="{00000000-ACA7-4CBF-AF1E-E8D492028AB9}"/>
            </c:ext>
          </c:extLst>
        </c:ser>
        <c:ser>
          <c:idx val="1"/>
          <c:order val="1"/>
          <c:tx>
            <c:strRef>
              <c:f>Feuil1!$A$66</c:f>
              <c:strCache>
                <c:ptCount val="1"/>
                <c:pt idx="0">
                  <c:v>CUE</c:v>
                </c:pt>
              </c:strCache>
            </c:strRef>
          </c:tx>
          <c:cat>
            <c:numRef>
              <c:f>Feuil1!$B$64:$F$64</c:f>
              <c:numCache>
                <c:formatCode>General</c:formatCode>
                <c:ptCount val="5"/>
                <c:pt idx="0">
                  <c:v>2015</c:v>
                </c:pt>
                <c:pt idx="1">
                  <c:v>2016</c:v>
                </c:pt>
                <c:pt idx="2">
                  <c:v>2017</c:v>
                </c:pt>
                <c:pt idx="3">
                  <c:v>2018</c:v>
                </c:pt>
                <c:pt idx="4">
                  <c:v>2019</c:v>
                </c:pt>
              </c:numCache>
            </c:numRef>
          </c:cat>
          <c:val>
            <c:numRef>
              <c:f>Feuil1!$B$66:$F$66</c:f>
              <c:numCache>
                <c:formatCode>General</c:formatCode>
                <c:ptCount val="5"/>
                <c:pt idx="0">
                  <c:v>100</c:v>
                </c:pt>
                <c:pt idx="1">
                  <c:v>71.25</c:v>
                </c:pt>
                <c:pt idx="2">
                  <c:v>64.099999999999994</c:v>
                </c:pt>
                <c:pt idx="3">
                  <c:v>47.7</c:v>
                </c:pt>
              </c:numCache>
            </c:numRef>
          </c:val>
          <c:smooth val="0"/>
          <c:extLst>
            <c:ext xmlns:c16="http://schemas.microsoft.com/office/drawing/2014/chart" uri="{C3380CC4-5D6E-409C-BE32-E72D297353CC}">
              <c16:uniqueId val="{00000001-ACA7-4CBF-AF1E-E8D492028AB9}"/>
            </c:ext>
          </c:extLst>
        </c:ser>
        <c:dLbls>
          <c:showLegendKey val="0"/>
          <c:showVal val="0"/>
          <c:showCatName val="0"/>
          <c:showSerName val="0"/>
          <c:showPercent val="0"/>
          <c:showBubbleSize val="0"/>
        </c:dLbls>
        <c:marker val="1"/>
        <c:smooth val="0"/>
        <c:axId val="138631424"/>
        <c:axId val="139280384"/>
      </c:lineChart>
      <c:catAx>
        <c:axId val="138631424"/>
        <c:scaling>
          <c:orientation val="minMax"/>
        </c:scaling>
        <c:delete val="0"/>
        <c:axPos val="b"/>
        <c:numFmt formatCode="General" sourceLinked="1"/>
        <c:majorTickMark val="none"/>
        <c:minorTickMark val="none"/>
        <c:tickLblPos val="nextTo"/>
        <c:crossAx val="139280384"/>
        <c:crosses val="autoZero"/>
        <c:auto val="1"/>
        <c:lblAlgn val="ctr"/>
        <c:lblOffset val="100"/>
        <c:noMultiLvlLbl val="0"/>
      </c:catAx>
      <c:valAx>
        <c:axId val="139280384"/>
        <c:scaling>
          <c:orientation val="minMax"/>
        </c:scaling>
        <c:delete val="0"/>
        <c:axPos val="l"/>
        <c:majorGridlines/>
        <c:title>
          <c:tx>
            <c:rich>
              <a:bodyPr/>
              <a:lstStyle/>
              <a:p>
                <a:pPr>
                  <a:defRPr/>
                </a:pPr>
                <a:r>
                  <a:rPr lang="en-US"/>
                  <a:t>Methyl Bromide (tonnes)</a:t>
                </a:r>
              </a:p>
            </c:rich>
          </c:tx>
          <c:overlay val="0"/>
        </c:title>
        <c:numFmt formatCode="General" sourceLinked="1"/>
        <c:majorTickMark val="none"/>
        <c:minorTickMark val="none"/>
        <c:tickLblPos val="nextTo"/>
        <c:crossAx val="138631424"/>
        <c:crosses val="autoZero"/>
        <c:crossBetween val="between"/>
      </c:valAx>
      <c:dTable>
        <c:showHorzBorder val="1"/>
        <c:showVertBorder val="1"/>
        <c:showOutline val="1"/>
        <c:showKeys val="1"/>
        <c:txPr>
          <a:bodyPr/>
          <a:lstStyle/>
          <a:p>
            <a:pPr rtl="0">
              <a:defRPr sz="900"/>
            </a:pPr>
            <a:endParaRPr lang="en-US"/>
          </a:p>
        </c:txPr>
      </c:dTable>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fr-FR" sz="1400"/>
              <a:t>Argentina: Strawberry Fruit </a:t>
            </a:r>
          </a:p>
        </c:rich>
      </c:tx>
      <c:layout>
        <c:manualLayout>
          <c:xMode val="edge"/>
          <c:yMode val="edge"/>
          <c:x val="0.20811023622047245"/>
          <c:y val="2.7777945220962205E-2"/>
        </c:manualLayout>
      </c:layout>
      <c:overlay val="0"/>
    </c:title>
    <c:autoTitleDeleted val="0"/>
    <c:plotArea>
      <c:layout/>
      <c:lineChart>
        <c:grouping val="standard"/>
        <c:varyColors val="0"/>
        <c:ser>
          <c:idx val="0"/>
          <c:order val="0"/>
          <c:tx>
            <c:strRef>
              <c:f>Feuil1!$C$89</c:f>
              <c:strCache>
                <c:ptCount val="1"/>
                <c:pt idx="0">
                  <c:v>CUN</c:v>
                </c:pt>
              </c:strCache>
            </c:strRef>
          </c:tx>
          <c:cat>
            <c:numRef>
              <c:f>Feuil1!$D$88:$H$88</c:f>
              <c:numCache>
                <c:formatCode>General</c:formatCode>
                <c:ptCount val="5"/>
                <c:pt idx="0">
                  <c:v>2015</c:v>
                </c:pt>
                <c:pt idx="1">
                  <c:v>2016</c:v>
                </c:pt>
                <c:pt idx="2">
                  <c:v>2017</c:v>
                </c:pt>
                <c:pt idx="3">
                  <c:v>2018</c:v>
                </c:pt>
                <c:pt idx="4">
                  <c:v>2019</c:v>
                </c:pt>
              </c:numCache>
            </c:numRef>
          </c:cat>
          <c:val>
            <c:numRef>
              <c:f>Feuil1!$D$89:$H$89</c:f>
              <c:numCache>
                <c:formatCode>General</c:formatCode>
                <c:ptCount val="5"/>
                <c:pt idx="0">
                  <c:v>70</c:v>
                </c:pt>
                <c:pt idx="1">
                  <c:v>58</c:v>
                </c:pt>
                <c:pt idx="2">
                  <c:v>45.3</c:v>
                </c:pt>
                <c:pt idx="3">
                  <c:v>45.3</c:v>
                </c:pt>
                <c:pt idx="4">
                  <c:v>27.1</c:v>
                </c:pt>
              </c:numCache>
            </c:numRef>
          </c:val>
          <c:smooth val="0"/>
          <c:extLst>
            <c:ext xmlns:c16="http://schemas.microsoft.com/office/drawing/2014/chart" uri="{C3380CC4-5D6E-409C-BE32-E72D297353CC}">
              <c16:uniqueId val="{00000000-9FCF-4ABF-B2DC-B4BE98C01A36}"/>
            </c:ext>
          </c:extLst>
        </c:ser>
        <c:ser>
          <c:idx val="1"/>
          <c:order val="1"/>
          <c:tx>
            <c:strRef>
              <c:f>Feuil1!$C$90</c:f>
              <c:strCache>
                <c:ptCount val="1"/>
                <c:pt idx="0">
                  <c:v>CUE</c:v>
                </c:pt>
              </c:strCache>
            </c:strRef>
          </c:tx>
          <c:cat>
            <c:numRef>
              <c:f>Feuil1!$D$88:$H$88</c:f>
              <c:numCache>
                <c:formatCode>General</c:formatCode>
                <c:ptCount val="5"/>
                <c:pt idx="0">
                  <c:v>2015</c:v>
                </c:pt>
                <c:pt idx="1">
                  <c:v>2016</c:v>
                </c:pt>
                <c:pt idx="2">
                  <c:v>2017</c:v>
                </c:pt>
                <c:pt idx="3">
                  <c:v>2018</c:v>
                </c:pt>
                <c:pt idx="4">
                  <c:v>2019</c:v>
                </c:pt>
              </c:numCache>
            </c:numRef>
          </c:cat>
          <c:val>
            <c:numRef>
              <c:f>Feuil1!$D$90:$H$90</c:f>
              <c:numCache>
                <c:formatCode>General</c:formatCode>
                <c:ptCount val="5"/>
                <c:pt idx="0">
                  <c:v>70</c:v>
                </c:pt>
                <c:pt idx="1">
                  <c:v>58</c:v>
                </c:pt>
                <c:pt idx="2">
                  <c:v>38.840000000000003</c:v>
                </c:pt>
                <c:pt idx="3">
                  <c:v>29</c:v>
                </c:pt>
              </c:numCache>
            </c:numRef>
          </c:val>
          <c:smooth val="0"/>
          <c:extLst>
            <c:ext xmlns:c16="http://schemas.microsoft.com/office/drawing/2014/chart" uri="{C3380CC4-5D6E-409C-BE32-E72D297353CC}">
              <c16:uniqueId val="{00000001-9FCF-4ABF-B2DC-B4BE98C01A36}"/>
            </c:ext>
          </c:extLst>
        </c:ser>
        <c:dLbls>
          <c:showLegendKey val="0"/>
          <c:showVal val="0"/>
          <c:showCatName val="0"/>
          <c:showSerName val="0"/>
          <c:showPercent val="0"/>
          <c:showBubbleSize val="0"/>
        </c:dLbls>
        <c:marker val="1"/>
        <c:smooth val="0"/>
        <c:axId val="139299840"/>
        <c:axId val="139305728"/>
      </c:lineChart>
      <c:catAx>
        <c:axId val="139299840"/>
        <c:scaling>
          <c:orientation val="minMax"/>
        </c:scaling>
        <c:delete val="0"/>
        <c:axPos val="b"/>
        <c:numFmt formatCode="General" sourceLinked="1"/>
        <c:majorTickMark val="none"/>
        <c:minorTickMark val="none"/>
        <c:tickLblPos val="nextTo"/>
        <c:crossAx val="139305728"/>
        <c:crosses val="autoZero"/>
        <c:auto val="1"/>
        <c:lblAlgn val="ctr"/>
        <c:lblOffset val="100"/>
        <c:noMultiLvlLbl val="0"/>
      </c:catAx>
      <c:valAx>
        <c:axId val="139305728"/>
        <c:scaling>
          <c:orientation val="minMax"/>
        </c:scaling>
        <c:delete val="0"/>
        <c:axPos val="l"/>
        <c:majorGridlines/>
        <c:title>
          <c:tx>
            <c:rich>
              <a:bodyPr/>
              <a:lstStyle/>
              <a:p>
                <a:pPr>
                  <a:defRPr/>
                </a:pPr>
                <a:r>
                  <a:rPr lang="en-US"/>
                  <a:t>Methyl Bromide (tonnes)</a:t>
                </a:r>
              </a:p>
            </c:rich>
          </c:tx>
          <c:overlay val="0"/>
        </c:title>
        <c:numFmt formatCode="General" sourceLinked="1"/>
        <c:majorTickMark val="none"/>
        <c:minorTickMark val="none"/>
        <c:tickLblPos val="nextTo"/>
        <c:crossAx val="139299840"/>
        <c:crosses val="autoZero"/>
        <c:crossBetween val="between"/>
      </c:valAx>
      <c:dTable>
        <c:showHorzBorder val="1"/>
        <c:showVertBorder val="1"/>
        <c:showOutline val="1"/>
        <c:showKeys val="1"/>
        <c:txPr>
          <a:bodyPr/>
          <a:lstStyle/>
          <a:p>
            <a:pPr rtl="0">
              <a:defRPr sz="900"/>
            </a:pPr>
            <a:endParaRPr lang="en-US"/>
          </a:p>
        </c:txPr>
      </c:dTable>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China: Ginger Open Field</a:t>
            </a:r>
          </a:p>
        </c:rich>
      </c:tx>
      <c:overlay val="0"/>
    </c:title>
    <c:autoTitleDeleted val="0"/>
    <c:plotArea>
      <c:layout/>
      <c:lineChart>
        <c:grouping val="standard"/>
        <c:varyColors val="0"/>
        <c:ser>
          <c:idx val="0"/>
          <c:order val="0"/>
          <c:tx>
            <c:strRef>
              <c:f>Feuil1!$A$113</c:f>
              <c:strCache>
                <c:ptCount val="1"/>
                <c:pt idx="0">
                  <c:v>CUN</c:v>
                </c:pt>
              </c:strCache>
            </c:strRef>
          </c:tx>
          <c:cat>
            <c:numRef>
              <c:f>Feuil1!$B$112:$F$112</c:f>
              <c:numCache>
                <c:formatCode>General</c:formatCode>
                <c:ptCount val="5"/>
                <c:pt idx="0">
                  <c:v>2015</c:v>
                </c:pt>
                <c:pt idx="1">
                  <c:v>2016</c:v>
                </c:pt>
                <c:pt idx="2">
                  <c:v>2017</c:v>
                </c:pt>
                <c:pt idx="3">
                  <c:v>2018</c:v>
                </c:pt>
                <c:pt idx="4">
                  <c:v>2019</c:v>
                </c:pt>
              </c:numCache>
            </c:numRef>
          </c:cat>
          <c:val>
            <c:numRef>
              <c:f>Feuil1!$B$113:$F$113</c:f>
              <c:numCache>
                <c:formatCode>General</c:formatCode>
                <c:ptCount val="5"/>
                <c:pt idx="0">
                  <c:v>90</c:v>
                </c:pt>
                <c:pt idx="1">
                  <c:v>90</c:v>
                </c:pt>
                <c:pt idx="2">
                  <c:v>78.75</c:v>
                </c:pt>
                <c:pt idx="3">
                  <c:v>74.617000000000004</c:v>
                </c:pt>
                <c:pt idx="4">
                  <c:v>0</c:v>
                </c:pt>
              </c:numCache>
            </c:numRef>
          </c:val>
          <c:smooth val="0"/>
          <c:extLst>
            <c:ext xmlns:c16="http://schemas.microsoft.com/office/drawing/2014/chart" uri="{C3380CC4-5D6E-409C-BE32-E72D297353CC}">
              <c16:uniqueId val="{00000000-A4FB-4349-85A5-C456692CE39F}"/>
            </c:ext>
          </c:extLst>
        </c:ser>
        <c:ser>
          <c:idx val="1"/>
          <c:order val="1"/>
          <c:tx>
            <c:strRef>
              <c:f>Feuil1!$A$114</c:f>
              <c:strCache>
                <c:ptCount val="1"/>
                <c:pt idx="0">
                  <c:v>CUE</c:v>
                </c:pt>
              </c:strCache>
            </c:strRef>
          </c:tx>
          <c:cat>
            <c:numRef>
              <c:f>Feuil1!$B$112:$F$112</c:f>
              <c:numCache>
                <c:formatCode>General</c:formatCode>
                <c:ptCount val="5"/>
                <c:pt idx="0">
                  <c:v>2015</c:v>
                </c:pt>
                <c:pt idx="1">
                  <c:v>2016</c:v>
                </c:pt>
                <c:pt idx="2">
                  <c:v>2017</c:v>
                </c:pt>
                <c:pt idx="3">
                  <c:v>2018</c:v>
                </c:pt>
                <c:pt idx="4">
                  <c:v>2019</c:v>
                </c:pt>
              </c:numCache>
            </c:numRef>
          </c:cat>
          <c:val>
            <c:numRef>
              <c:f>Feuil1!$B$114:$F$114</c:f>
              <c:numCache>
                <c:formatCode>General</c:formatCode>
                <c:ptCount val="5"/>
                <c:pt idx="0">
                  <c:v>90</c:v>
                </c:pt>
                <c:pt idx="1">
                  <c:v>90</c:v>
                </c:pt>
                <c:pt idx="2">
                  <c:v>74.617000000000004</c:v>
                </c:pt>
                <c:pt idx="3">
                  <c:v>74.617000000000004</c:v>
                </c:pt>
              </c:numCache>
            </c:numRef>
          </c:val>
          <c:smooth val="0"/>
          <c:extLst>
            <c:ext xmlns:c16="http://schemas.microsoft.com/office/drawing/2014/chart" uri="{C3380CC4-5D6E-409C-BE32-E72D297353CC}">
              <c16:uniqueId val="{00000001-A4FB-4349-85A5-C456692CE39F}"/>
            </c:ext>
          </c:extLst>
        </c:ser>
        <c:dLbls>
          <c:showLegendKey val="0"/>
          <c:showVal val="0"/>
          <c:showCatName val="0"/>
          <c:showSerName val="0"/>
          <c:showPercent val="0"/>
          <c:showBubbleSize val="0"/>
        </c:dLbls>
        <c:marker val="1"/>
        <c:smooth val="0"/>
        <c:axId val="138695040"/>
        <c:axId val="138696576"/>
      </c:lineChart>
      <c:catAx>
        <c:axId val="138695040"/>
        <c:scaling>
          <c:orientation val="minMax"/>
        </c:scaling>
        <c:delete val="0"/>
        <c:axPos val="b"/>
        <c:numFmt formatCode="General" sourceLinked="1"/>
        <c:majorTickMark val="none"/>
        <c:minorTickMark val="none"/>
        <c:tickLblPos val="nextTo"/>
        <c:crossAx val="138696576"/>
        <c:crosses val="autoZero"/>
        <c:auto val="1"/>
        <c:lblAlgn val="ctr"/>
        <c:lblOffset val="100"/>
        <c:noMultiLvlLbl val="0"/>
      </c:catAx>
      <c:valAx>
        <c:axId val="138696576"/>
        <c:scaling>
          <c:orientation val="minMax"/>
        </c:scaling>
        <c:delete val="0"/>
        <c:axPos val="l"/>
        <c:majorGridlines/>
        <c:title>
          <c:tx>
            <c:rich>
              <a:bodyPr/>
              <a:lstStyle/>
              <a:p>
                <a:pPr>
                  <a:defRPr sz="300"/>
                </a:pPr>
                <a:r>
                  <a:rPr lang="en-US" sz="900" b="1" i="0" baseline="0">
                    <a:effectLst/>
                  </a:rPr>
                  <a:t>Methyl Bromide (tonnes)</a:t>
                </a:r>
                <a:endParaRPr lang="en-AU" sz="300">
                  <a:effectLst/>
                </a:endParaRPr>
              </a:p>
            </c:rich>
          </c:tx>
          <c:overlay val="0"/>
        </c:title>
        <c:numFmt formatCode="General" sourceLinked="1"/>
        <c:majorTickMark val="none"/>
        <c:minorTickMark val="none"/>
        <c:tickLblPos val="nextTo"/>
        <c:crossAx val="138695040"/>
        <c:crosses val="autoZero"/>
        <c:crossBetween val="between"/>
      </c:valAx>
      <c:dTable>
        <c:showHorzBorder val="1"/>
        <c:showVertBorder val="1"/>
        <c:showOutline val="1"/>
        <c:showKeys val="1"/>
        <c:txPr>
          <a:bodyPr/>
          <a:lstStyle/>
          <a:p>
            <a:pPr rtl="0">
              <a:defRPr sz="800"/>
            </a:pPr>
            <a:endParaRPr lang="en-US"/>
          </a:p>
        </c:txPr>
      </c:dTable>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Ginger: Protected</a:t>
            </a:r>
          </a:p>
        </c:rich>
      </c:tx>
      <c:overlay val="0"/>
    </c:title>
    <c:autoTitleDeleted val="0"/>
    <c:plotArea>
      <c:layout/>
      <c:lineChart>
        <c:grouping val="standard"/>
        <c:varyColors val="0"/>
        <c:ser>
          <c:idx val="0"/>
          <c:order val="0"/>
          <c:tx>
            <c:strRef>
              <c:f>Feuil1!$A$135</c:f>
              <c:strCache>
                <c:ptCount val="1"/>
                <c:pt idx="0">
                  <c:v>CUN</c:v>
                </c:pt>
              </c:strCache>
            </c:strRef>
          </c:tx>
          <c:cat>
            <c:numRef>
              <c:f>Feuil1!$B$134:$F$134</c:f>
              <c:numCache>
                <c:formatCode>General</c:formatCode>
                <c:ptCount val="5"/>
                <c:pt idx="0">
                  <c:v>2015</c:v>
                </c:pt>
                <c:pt idx="1">
                  <c:v>2016</c:v>
                </c:pt>
                <c:pt idx="2">
                  <c:v>2017</c:v>
                </c:pt>
                <c:pt idx="3">
                  <c:v>2018</c:v>
                </c:pt>
                <c:pt idx="4">
                  <c:v>2019</c:v>
                </c:pt>
              </c:numCache>
            </c:numRef>
          </c:cat>
          <c:val>
            <c:numRef>
              <c:f>Feuil1!$B$135:$F$135</c:f>
              <c:numCache>
                <c:formatCode>General</c:formatCode>
                <c:ptCount val="5"/>
                <c:pt idx="0">
                  <c:v>30</c:v>
                </c:pt>
                <c:pt idx="1">
                  <c:v>24</c:v>
                </c:pt>
                <c:pt idx="2">
                  <c:v>21</c:v>
                </c:pt>
                <c:pt idx="3">
                  <c:v>18.36</c:v>
                </c:pt>
                <c:pt idx="4">
                  <c:v>0</c:v>
                </c:pt>
              </c:numCache>
            </c:numRef>
          </c:val>
          <c:smooth val="0"/>
          <c:extLst>
            <c:ext xmlns:c16="http://schemas.microsoft.com/office/drawing/2014/chart" uri="{C3380CC4-5D6E-409C-BE32-E72D297353CC}">
              <c16:uniqueId val="{00000000-93D1-4DBA-BEF5-D08A3B62B1BC}"/>
            </c:ext>
          </c:extLst>
        </c:ser>
        <c:ser>
          <c:idx val="1"/>
          <c:order val="1"/>
          <c:tx>
            <c:strRef>
              <c:f>Feuil1!$A$136</c:f>
              <c:strCache>
                <c:ptCount val="1"/>
                <c:pt idx="0">
                  <c:v>CUE</c:v>
                </c:pt>
              </c:strCache>
            </c:strRef>
          </c:tx>
          <c:cat>
            <c:numRef>
              <c:f>Feuil1!$B$134:$F$134</c:f>
              <c:numCache>
                <c:formatCode>General</c:formatCode>
                <c:ptCount val="5"/>
                <c:pt idx="0">
                  <c:v>2015</c:v>
                </c:pt>
                <c:pt idx="1">
                  <c:v>2016</c:v>
                </c:pt>
                <c:pt idx="2">
                  <c:v>2017</c:v>
                </c:pt>
                <c:pt idx="3">
                  <c:v>2018</c:v>
                </c:pt>
                <c:pt idx="4">
                  <c:v>2019</c:v>
                </c:pt>
              </c:numCache>
            </c:numRef>
          </c:cat>
          <c:val>
            <c:numRef>
              <c:f>Feuil1!$B$136:$F$136</c:f>
              <c:numCache>
                <c:formatCode>General</c:formatCode>
                <c:ptCount val="5"/>
                <c:pt idx="0">
                  <c:v>24</c:v>
                </c:pt>
                <c:pt idx="1">
                  <c:v>21</c:v>
                </c:pt>
                <c:pt idx="2">
                  <c:v>18.36</c:v>
                </c:pt>
                <c:pt idx="3">
                  <c:v>18.36</c:v>
                </c:pt>
              </c:numCache>
            </c:numRef>
          </c:val>
          <c:smooth val="0"/>
          <c:extLst>
            <c:ext xmlns:c16="http://schemas.microsoft.com/office/drawing/2014/chart" uri="{C3380CC4-5D6E-409C-BE32-E72D297353CC}">
              <c16:uniqueId val="{00000001-93D1-4DBA-BEF5-D08A3B62B1BC}"/>
            </c:ext>
          </c:extLst>
        </c:ser>
        <c:dLbls>
          <c:showLegendKey val="0"/>
          <c:showVal val="0"/>
          <c:showCatName val="0"/>
          <c:showSerName val="0"/>
          <c:showPercent val="0"/>
          <c:showBubbleSize val="0"/>
        </c:dLbls>
        <c:marker val="1"/>
        <c:smooth val="0"/>
        <c:axId val="138715904"/>
        <c:axId val="138717440"/>
      </c:lineChart>
      <c:catAx>
        <c:axId val="138715904"/>
        <c:scaling>
          <c:orientation val="minMax"/>
        </c:scaling>
        <c:delete val="0"/>
        <c:axPos val="b"/>
        <c:numFmt formatCode="General" sourceLinked="1"/>
        <c:majorTickMark val="none"/>
        <c:minorTickMark val="none"/>
        <c:tickLblPos val="nextTo"/>
        <c:crossAx val="138717440"/>
        <c:crosses val="autoZero"/>
        <c:auto val="1"/>
        <c:lblAlgn val="ctr"/>
        <c:lblOffset val="100"/>
        <c:noMultiLvlLbl val="0"/>
      </c:catAx>
      <c:valAx>
        <c:axId val="138717440"/>
        <c:scaling>
          <c:orientation val="minMax"/>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400" b="1" i="0" u="none" strike="noStrike" kern="1200" baseline="0">
                    <a:solidFill>
                      <a:sysClr val="windowText" lastClr="000000"/>
                    </a:solidFill>
                    <a:latin typeface="+mn-lt"/>
                    <a:ea typeface="+mn-ea"/>
                    <a:cs typeface="+mn-cs"/>
                  </a:defRPr>
                </a:pPr>
                <a:r>
                  <a:rPr lang="en-US" sz="1000" b="1" i="0" baseline="0">
                    <a:effectLst/>
                  </a:rPr>
                  <a:t>Methyl Bromide (tonnes)</a:t>
                </a:r>
                <a:endParaRPr lang="en-AU" sz="400">
                  <a:effectLst/>
                </a:endParaRPr>
              </a:p>
              <a:p>
                <a:pPr marL="0" marR="0" indent="0" algn="ctr" defTabSz="914400" rtl="0" eaLnBrk="1" fontAlgn="auto" latinLnBrk="0" hangingPunct="1">
                  <a:lnSpc>
                    <a:spcPct val="100000"/>
                  </a:lnSpc>
                  <a:spcBef>
                    <a:spcPts val="0"/>
                  </a:spcBef>
                  <a:spcAft>
                    <a:spcPts val="0"/>
                  </a:spcAft>
                  <a:buClrTx/>
                  <a:buSzTx/>
                  <a:buFontTx/>
                  <a:buNone/>
                  <a:tabLst/>
                  <a:defRPr sz="400" b="1" i="0" u="none" strike="noStrike" kern="1200" baseline="0">
                    <a:solidFill>
                      <a:sysClr val="windowText" lastClr="000000"/>
                    </a:solidFill>
                    <a:latin typeface="+mn-lt"/>
                    <a:ea typeface="+mn-ea"/>
                    <a:cs typeface="+mn-cs"/>
                  </a:defRPr>
                </a:pPr>
                <a:endParaRPr lang="en-AU" sz="400"/>
              </a:p>
            </c:rich>
          </c:tx>
          <c:overlay val="0"/>
        </c:title>
        <c:numFmt formatCode="General" sourceLinked="1"/>
        <c:majorTickMark val="none"/>
        <c:minorTickMark val="none"/>
        <c:tickLblPos val="nextTo"/>
        <c:crossAx val="138715904"/>
        <c:crosses val="autoZero"/>
        <c:crossBetween val="between"/>
      </c:valAx>
      <c:dTable>
        <c:showHorzBorder val="1"/>
        <c:showVertBorder val="1"/>
        <c:showOutline val="1"/>
        <c:showKeys val="1"/>
        <c:txPr>
          <a:bodyPr/>
          <a:lstStyle/>
          <a:p>
            <a:pPr rtl="0">
              <a:defRPr sz="900"/>
            </a:pPr>
            <a:endParaRPr lang="en-US"/>
          </a:p>
        </c:txPr>
      </c:dTable>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South Africa: Houses</a:t>
            </a:r>
          </a:p>
        </c:rich>
      </c:tx>
      <c:layout>
        <c:manualLayout>
          <c:xMode val="edge"/>
          <c:yMode val="edge"/>
          <c:x val="0.20486443153881784"/>
          <c:y val="2.7777945220962205E-2"/>
        </c:manualLayout>
      </c:layout>
      <c:overlay val="0"/>
    </c:title>
    <c:autoTitleDeleted val="0"/>
    <c:plotArea>
      <c:layout/>
      <c:lineChart>
        <c:grouping val="standard"/>
        <c:varyColors val="0"/>
        <c:ser>
          <c:idx val="0"/>
          <c:order val="0"/>
          <c:tx>
            <c:strRef>
              <c:f>Feuil1!$A$180</c:f>
              <c:strCache>
                <c:ptCount val="1"/>
                <c:pt idx="0">
                  <c:v>CUN</c:v>
                </c:pt>
              </c:strCache>
            </c:strRef>
          </c:tx>
          <c:cat>
            <c:numRef>
              <c:f>Feuil1!$B$179:$E$179</c:f>
              <c:numCache>
                <c:formatCode>General</c:formatCode>
                <c:ptCount val="4"/>
                <c:pt idx="0">
                  <c:v>2016</c:v>
                </c:pt>
                <c:pt idx="1">
                  <c:v>2017</c:v>
                </c:pt>
                <c:pt idx="2">
                  <c:v>2018</c:v>
                </c:pt>
                <c:pt idx="3">
                  <c:v>2019</c:v>
                </c:pt>
              </c:numCache>
            </c:numRef>
          </c:cat>
          <c:val>
            <c:numRef>
              <c:f>Feuil1!$B$180:$E$180</c:f>
              <c:numCache>
                <c:formatCode>General</c:formatCode>
                <c:ptCount val="4"/>
                <c:pt idx="0">
                  <c:v>68.599999999999994</c:v>
                </c:pt>
                <c:pt idx="1">
                  <c:v>70</c:v>
                </c:pt>
                <c:pt idx="2">
                  <c:v>45</c:v>
                </c:pt>
                <c:pt idx="3">
                  <c:v>45</c:v>
                </c:pt>
              </c:numCache>
            </c:numRef>
          </c:val>
          <c:smooth val="0"/>
          <c:extLst>
            <c:ext xmlns:c16="http://schemas.microsoft.com/office/drawing/2014/chart" uri="{C3380CC4-5D6E-409C-BE32-E72D297353CC}">
              <c16:uniqueId val="{00000000-23D7-4751-A504-3E5B2AC34C7B}"/>
            </c:ext>
          </c:extLst>
        </c:ser>
        <c:ser>
          <c:idx val="1"/>
          <c:order val="1"/>
          <c:tx>
            <c:strRef>
              <c:f>Feuil1!$A$181</c:f>
              <c:strCache>
                <c:ptCount val="1"/>
                <c:pt idx="0">
                  <c:v>CUE</c:v>
                </c:pt>
              </c:strCache>
            </c:strRef>
          </c:tx>
          <c:cat>
            <c:numRef>
              <c:f>Feuil1!$B$179:$E$179</c:f>
              <c:numCache>
                <c:formatCode>General</c:formatCode>
                <c:ptCount val="4"/>
                <c:pt idx="0">
                  <c:v>2016</c:v>
                </c:pt>
                <c:pt idx="1">
                  <c:v>2017</c:v>
                </c:pt>
                <c:pt idx="2">
                  <c:v>2018</c:v>
                </c:pt>
                <c:pt idx="3">
                  <c:v>2019</c:v>
                </c:pt>
              </c:numCache>
            </c:numRef>
          </c:cat>
          <c:val>
            <c:numRef>
              <c:f>Feuil1!$B$181:$E$181</c:f>
              <c:numCache>
                <c:formatCode>General</c:formatCode>
                <c:ptCount val="4"/>
                <c:pt idx="0">
                  <c:v>68.599999999999994</c:v>
                </c:pt>
                <c:pt idx="1">
                  <c:v>55</c:v>
                </c:pt>
                <c:pt idx="2">
                  <c:v>42.75</c:v>
                </c:pt>
              </c:numCache>
            </c:numRef>
          </c:val>
          <c:smooth val="0"/>
          <c:extLst>
            <c:ext xmlns:c16="http://schemas.microsoft.com/office/drawing/2014/chart" uri="{C3380CC4-5D6E-409C-BE32-E72D297353CC}">
              <c16:uniqueId val="{00000001-23D7-4751-A504-3E5B2AC34C7B}"/>
            </c:ext>
          </c:extLst>
        </c:ser>
        <c:dLbls>
          <c:showLegendKey val="0"/>
          <c:showVal val="0"/>
          <c:showCatName val="0"/>
          <c:showSerName val="0"/>
          <c:showPercent val="0"/>
          <c:showBubbleSize val="0"/>
        </c:dLbls>
        <c:marker val="1"/>
        <c:smooth val="0"/>
        <c:axId val="139470336"/>
        <c:axId val="139471872"/>
      </c:lineChart>
      <c:catAx>
        <c:axId val="139470336"/>
        <c:scaling>
          <c:orientation val="minMax"/>
        </c:scaling>
        <c:delete val="0"/>
        <c:axPos val="b"/>
        <c:numFmt formatCode="General" sourceLinked="1"/>
        <c:majorTickMark val="none"/>
        <c:minorTickMark val="none"/>
        <c:tickLblPos val="nextTo"/>
        <c:crossAx val="139471872"/>
        <c:crosses val="autoZero"/>
        <c:auto val="1"/>
        <c:lblAlgn val="ctr"/>
        <c:lblOffset val="100"/>
        <c:noMultiLvlLbl val="0"/>
      </c:catAx>
      <c:valAx>
        <c:axId val="139471872"/>
        <c:scaling>
          <c:orientation val="minMax"/>
        </c:scaling>
        <c:delete val="0"/>
        <c:axPos val="l"/>
        <c:majorGridlines/>
        <c:title>
          <c:tx>
            <c:rich>
              <a:bodyPr/>
              <a:lstStyle/>
              <a:p>
                <a:pPr>
                  <a:defRPr/>
                </a:pPr>
                <a:r>
                  <a:rPr lang="en-US"/>
                  <a:t>Methyl bromide (tonnes)</a:t>
                </a:r>
              </a:p>
            </c:rich>
          </c:tx>
          <c:overlay val="0"/>
        </c:title>
        <c:numFmt formatCode="General" sourceLinked="1"/>
        <c:majorTickMark val="none"/>
        <c:minorTickMark val="none"/>
        <c:tickLblPos val="nextTo"/>
        <c:crossAx val="13947033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South Africa: Mills</a:t>
            </a:r>
          </a:p>
        </c:rich>
      </c:tx>
      <c:overlay val="0"/>
    </c:title>
    <c:autoTitleDeleted val="0"/>
    <c:plotArea>
      <c:layout/>
      <c:lineChart>
        <c:grouping val="standard"/>
        <c:varyColors val="0"/>
        <c:ser>
          <c:idx val="0"/>
          <c:order val="0"/>
          <c:tx>
            <c:strRef>
              <c:f>Feuil1!$A$161</c:f>
              <c:strCache>
                <c:ptCount val="1"/>
                <c:pt idx="0">
                  <c:v>CUN</c:v>
                </c:pt>
              </c:strCache>
            </c:strRef>
          </c:tx>
          <c:cat>
            <c:numRef>
              <c:f>Feuil1!$B$160:$E$160</c:f>
              <c:numCache>
                <c:formatCode>General</c:formatCode>
                <c:ptCount val="4"/>
                <c:pt idx="0">
                  <c:v>2016</c:v>
                </c:pt>
                <c:pt idx="1">
                  <c:v>2017</c:v>
                </c:pt>
                <c:pt idx="2">
                  <c:v>2018</c:v>
                </c:pt>
                <c:pt idx="3">
                  <c:v>2019</c:v>
                </c:pt>
              </c:numCache>
            </c:numRef>
          </c:cat>
          <c:val>
            <c:numRef>
              <c:f>Feuil1!$B$161:$E$161</c:f>
              <c:numCache>
                <c:formatCode>General</c:formatCode>
                <c:ptCount val="4"/>
                <c:pt idx="0">
                  <c:v>13</c:v>
                </c:pt>
                <c:pt idx="1">
                  <c:v>13</c:v>
                </c:pt>
                <c:pt idx="2">
                  <c:v>5</c:v>
                </c:pt>
                <c:pt idx="3">
                  <c:v>2</c:v>
                </c:pt>
              </c:numCache>
            </c:numRef>
          </c:val>
          <c:smooth val="0"/>
          <c:extLst>
            <c:ext xmlns:c16="http://schemas.microsoft.com/office/drawing/2014/chart" uri="{C3380CC4-5D6E-409C-BE32-E72D297353CC}">
              <c16:uniqueId val="{00000000-2B15-4B66-950F-605AA17CF385}"/>
            </c:ext>
          </c:extLst>
        </c:ser>
        <c:ser>
          <c:idx val="1"/>
          <c:order val="1"/>
          <c:tx>
            <c:strRef>
              <c:f>Feuil1!$A$162</c:f>
              <c:strCache>
                <c:ptCount val="1"/>
                <c:pt idx="0">
                  <c:v>CUE</c:v>
                </c:pt>
              </c:strCache>
            </c:strRef>
          </c:tx>
          <c:cat>
            <c:numRef>
              <c:f>Feuil1!$B$160:$E$160</c:f>
              <c:numCache>
                <c:formatCode>General</c:formatCode>
                <c:ptCount val="4"/>
                <c:pt idx="0">
                  <c:v>2016</c:v>
                </c:pt>
                <c:pt idx="1">
                  <c:v>2017</c:v>
                </c:pt>
                <c:pt idx="2">
                  <c:v>2018</c:v>
                </c:pt>
                <c:pt idx="3">
                  <c:v>2019</c:v>
                </c:pt>
              </c:numCache>
            </c:numRef>
          </c:cat>
          <c:val>
            <c:numRef>
              <c:f>Feuil1!$B$162:$E$162</c:f>
              <c:numCache>
                <c:formatCode>General</c:formatCode>
                <c:ptCount val="4"/>
                <c:pt idx="0">
                  <c:v>5.46</c:v>
                </c:pt>
                <c:pt idx="1">
                  <c:v>4.0999999999999996</c:v>
                </c:pt>
                <c:pt idx="2">
                  <c:v>2.9</c:v>
                </c:pt>
              </c:numCache>
            </c:numRef>
          </c:val>
          <c:smooth val="0"/>
          <c:extLst>
            <c:ext xmlns:c16="http://schemas.microsoft.com/office/drawing/2014/chart" uri="{C3380CC4-5D6E-409C-BE32-E72D297353CC}">
              <c16:uniqueId val="{00000001-2B15-4B66-950F-605AA17CF385}"/>
            </c:ext>
          </c:extLst>
        </c:ser>
        <c:dLbls>
          <c:showLegendKey val="0"/>
          <c:showVal val="0"/>
          <c:showCatName val="0"/>
          <c:showSerName val="0"/>
          <c:showPercent val="0"/>
          <c:showBubbleSize val="0"/>
        </c:dLbls>
        <c:marker val="1"/>
        <c:smooth val="0"/>
        <c:axId val="139503488"/>
        <c:axId val="139505024"/>
      </c:lineChart>
      <c:catAx>
        <c:axId val="139503488"/>
        <c:scaling>
          <c:orientation val="minMax"/>
        </c:scaling>
        <c:delete val="0"/>
        <c:axPos val="b"/>
        <c:numFmt formatCode="General" sourceLinked="1"/>
        <c:majorTickMark val="none"/>
        <c:minorTickMark val="none"/>
        <c:tickLblPos val="nextTo"/>
        <c:crossAx val="139505024"/>
        <c:crosses val="autoZero"/>
        <c:auto val="1"/>
        <c:lblAlgn val="ctr"/>
        <c:lblOffset val="100"/>
        <c:noMultiLvlLbl val="0"/>
      </c:catAx>
      <c:valAx>
        <c:axId val="139505024"/>
        <c:scaling>
          <c:orientation val="minMax"/>
        </c:scaling>
        <c:delete val="0"/>
        <c:axPos val="l"/>
        <c:majorGridlines/>
        <c:title>
          <c:tx>
            <c:rich>
              <a:bodyPr/>
              <a:lstStyle/>
              <a:p>
                <a:pPr>
                  <a:defRPr/>
                </a:pPr>
                <a:r>
                  <a:rPr lang="en-AU"/>
                  <a:t>Methyl</a:t>
                </a:r>
                <a:r>
                  <a:rPr lang="en-AU" baseline="0"/>
                  <a:t> Bromide (tonnes)</a:t>
                </a:r>
                <a:endParaRPr lang="en-AU"/>
              </a:p>
            </c:rich>
          </c:tx>
          <c:overlay val="0"/>
        </c:title>
        <c:numFmt formatCode="General" sourceLinked="1"/>
        <c:majorTickMark val="none"/>
        <c:minorTickMark val="none"/>
        <c:tickLblPos val="nextTo"/>
        <c:crossAx val="139503488"/>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36EACD1D17B4C9F2DA5605241D5B6" ma:contentTypeVersion="" ma:contentTypeDescription="Create a new document." ma:contentTypeScope="" ma:versionID="f39f91158b9c9f9fad1eb31c08dd0fc3">
  <xsd:schema xmlns:xsd="http://www.w3.org/2001/XMLSchema" xmlns:xs="http://www.w3.org/2001/XMLSchema" xmlns:p="http://schemas.microsoft.com/office/2006/metadata/properties" xmlns:ns2="DBC0C6ED-672E-4F59-92F0-298F3B48AFF3" targetNamespace="http://schemas.microsoft.com/office/2006/metadata/properties" ma:root="true" ma:fieldsID="cac638d57ab9d632eeb9dcc1a4a0f702" ns2:_="">
    <xsd:import namespace="DBC0C6ED-672E-4F59-92F0-298F3B48AFF3"/>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0C6ED-672E-4F59-92F0-298F3B48AFF3"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Symbol xmlns="DBC0C6ED-672E-4F59-92F0-298F3B48AFF3">04</Document_x0020_Symbo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53FE7-D389-41D9-B177-891D55C65882}"/>
</file>

<file path=customXml/itemProps2.xml><?xml version="1.0" encoding="utf-8"?>
<ds:datastoreItem xmlns:ds="http://schemas.openxmlformats.org/officeDocument/2006/customXml" ds:itemID="{DE1D4C8D-6557-44EA-9F50-6F72CC44C86A}"/>
</file>

<file path=customXml/itemProps3.xml><?xml version="1.0" encoding="utf-8"?>
<ds:datastoreItem xmlns:ds="http://schemas.openxmlformats.org/officeDocument/2006/customXml" ds:itemID="{166048B0-63A5-41CA-81CC-ACB7E5B2DFE6}"/>
</file>

<file path=customXml/itemProps4.xml><?xml version="1.0" encoding="utf-8"?>
<ds:datastoreItem xmlns:ds="http://schemas.openxmlformats.org/officeDocument/2006/customXml" ds:itemID="{5CE1D99F-B755-4793-B0AB-58F040062E2E}"/>
</file>

<file path=docProps/app.xml><?xml version="1.0" encoding="utf-8"?>
<Properties xmlns="http://schemas.openxmlformats.org/officeDocument/2006/extended-properties" xmlns:vt="http://schemas.openxmlformats.org/officeDocument/2006/docPropsVTypes">
  <Template>Teap Style.dot</Template>
  <TotalTime>2</TotalTime>
  <Pages>14</Pages>
  <Words>26809</Words>
  <Characters>152813</Characters>
  <Application>Microsoft Office Word</Application>
  <DocSecurity>0</DocSecurity>
  <Lines>1273</Lines>
  <Paragraphs>358</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TEAP May 2018: Evaluation of 2018 Critical Use Nominations for Methyl Bromide and Related Matters - Interim Report (Volume 4)</vt:lpstr>
      <vt:lpstr>1 Essential Uses and Sale of MDI-ODS to Other Uses</vt:lpstr>
      <vt:lpstr>1 Essential Uses and Sale of MDI-ODS to Other Uses</vt:lpstr>
    </vt:vector>
  </TitlesOfParts>
  <Company>Hewlett-Packard</Company>
  <LinksUpToDate>false</LinksUpToDate>
  <CharactersWithSpaces>179264</CharactersWithSpaces>
  <SharedDoc>false</SharedDoc>
  <HLinks>
    <vt:vector size="312" baseType="variant">
      <vt:variant>
        <vt:i4>5505109</vt:i4>
      </vt:variant>
      <vt:variant>
        <vt:i4>243</vt:i4>
      </vt:variant>
      <vt:variant>
        <vt:i4>0</vt:i4>
      </vt:variant>
      <vt:variant>
        <vt:i4>5</vt:i4>
      </vt:variant>
      <vt:variant>
        <vt:lpwstr>http://www.mbao.org/</vt:lpwstr>
      </vt:variant>
      <vt:variant>
        <vt:lpwstr/>
      </vt:variant>
      <vt:variant>
        <vt:i4>5505109</vt:i4>
      </vt:variant>
      <vt:variant>
        <vt:i4>240</vt:i4>
      </vt:variant>
      <vt:variant>
        <vt:i4>0</vt:i4>
      </vt:variant>
      <vt:variant>
        <vt:i4>5</vt:i4>
      </vt:variant>
      <vt:variant>
        <vt:lpwstr>http://www.mbao.org/</vt:lpwstr>
      </vt:variant>
      <vt:variant>
        <vt:lpwstr/>
      </vt:variant>
      <vt:variant>
        <vt:i4>5505053</vt:i4>
      </vt:variant>
      <vt:variant>
        <vt:i4>237</vt:i4>
      </vt:variant>
      <vt:variant>
        <vt:i4>0</vt:i4>
      </vt:variant>
      <vt:variant>
        <vt:i4>5</vt:i4>
      </vt:variant>
      <vt:variant>
        <vt:lpwstr>http://www.cabdirect.org.dbserv1.inra.org.ma/search.html?q=au%3A%22Tryngiel-Gac%2C+A.%22</vt:lpwstr>
      </vt:variant>
      <vt:variant>
        <vt:lpwstr/>
      </vt:variant>
      <vt:variant>
        <vt:i4>6291572</vt:i4>
      </vt:variant>
      <vt:variant>
        <vt:i4>234</vt:i4>
      </vt:variant>
      <vt:variant>
        <vt:i4>0</vt:i4>
      </vt:variant>
      <vt:variant>
        <vt:i4>5</vt:i4>
      </vt:variant>
      <vt:variant>
        <vt:lpwstr>http://www.cabdirect.org.dbserv1.inra.org.ma/search.html?q=au%3A%22Klamkowski%2C+K.%22</vt:lpwstr>
      </vt:variant>
      <vt:variant>
        <vt:lpwstr/>
      </vt:variant>
      <vt:variant>
        <vt:i4>7667812</vt:i4>
      </vt:variant>
      <vt:variant>
        <vt:i4>231</vt:i4>
      </vt:variant>
      <vt:variant>
        <vt:i4>0</vt:i4>
      </vt:variant>
      <vt:variant>
        <vt:i4>5</vt:i4>
      </vt:variant>
      <vt:variant>
        <vt:lpwstr>http://www.cabdirect.org.dbserv1.inra.org.ma/search.html?q=au%3A%22Treder%2C+W.%22</vt:lpwstr>
      </vt:variant>
      <vt:variant>
        <vt:lpwstr/>
      </vt:variant>
      <vt:variant>
        <vt:i4>5308425</vt:i4>
      </vt:variant>
      <vt:variant>
        <vt:i4>228</vt:i4>
      </vt:variant>
      <vt:variant>
        <vt:i4>0</vt:i4>
      </vt:variant>
      <vt:variant>
        <vt:i4>5</vt:i4>
      </vt:variant>
      <vt:variant>
        <vt:lpwstr>http://www.scopus.com/source/sourceInfo.url?sourceId=26209&amp;origin=resultslist</vt:lpwstr>
      </vt:variant>
      <vt:variant>
        <vt:lpwstr/>
      </vt:variant>
      <vt:variant>
        <vt:i4>1835016</vt:i4>
      </vt:variant>
      <vt:variant>
        <vt:i4>225</vt:i4>
      </vt:variant>
      <vt:variant>
        <vt:i4>0</vt:i4>
      </vt:variant>
      <vt:variant>
        <vt:i4>5</vt:i4>
      </vt:variant>
      <vt:variant>
        <vt:lpwstr>http://www.cabdirect.org.dbserv1.inra.org.ma/search.html?q=do%3A%22Fruit+Belge%22</vt:lpwstr>
      </vt:variant>
      <vt:variant>
        <vt:lpwstr/>
      </vt:variant>
      <vt:variant>
        <vt:i4>5701642</vt:i4>
      </vt:variant>
      <vt:variant>
        <vt:i4>222</vt:i4>
      </vt:variant>
      <vt:variant>
        <vt:i4>0</vt:i4>
      </vt:variant>
      <vt:variant>
        <vt:i4>5</vt:i4>
      </vt:variant>
      <vt:variant>
        <vt:lpwstr>http://www.cabdirect.org.dbserv1.inra.org.ma/search.html?q=au%3A%22Robbe%2C+A.%22</vt:lpwstr>
      </vt:variant>
      <vt:variant>
        <vt:lpwstr/>
      </vt:variant>
      <vt:variant>
        <vt:i4>2424957</vt:i4>
      </vt:variant>
      <vt:variant>
        <vt:i4>219</vt:i4>
      </vt:variant>
      <vt:variant>
        <vt:i4>0</vt:i4>
      </vt:variant>
      <vt:variant>
        <vt:i4>5</vt:i4>
      </vt:variant>
      <vt:variant>
        <vt:lpwstr>http://www.sciencedirect.com/science/article/pii/S0045653512012453</vt:lpwstr>
      </vt:variant>
      <vt:variant>
        <vt:lpwstr/>
      </vt:variant>
      <vt:variant>
        <vt:i4>2424957</vt:i4>
      </vt:variant>
      <vt:variant>
        <vt:i4>216</vt:i4>
      </vt:variant>
      <vt:variant>
        <vt:i4>0</vt:i4>
      </vt:variant>
      <vt:variant>
        <vt:i4>5</vt:i4>
      </vt:variant>
      <vt:variant>
        <vt:lpwstr>http://www.sciencedirect.com/science/article/pii/S0045653512012453</vt:lpwstr>
      </vt:variant>
      <vt:variant>
        <vt:lpwstr/>
      </vt:variant>
      <vt:variant>
        <vt:i4>2424957</vt:i4>
      </vt:variant>
      <vt:variant>
        <vt:i4>213</vt:i4>
      </vt:variant>
      <vt:variant>
        <vt:i4>0</vt:i4>
      </vt:variant>
      <vt:variant>
        <vt:i4>5</vt:i4>
      </vt:variant>
      <vt:variant>
        <vt:lpwstr>http://www.sciencedirect.com/science/article/pii/S0045653512012453</vt:lpwstr>
      </vt:variant>
      <vt:variant>
        <vt:lpwstr/>
      </vt:variant>
      <vt:variant>
        <vt:i4>5505109</vt:i4>
      </vt:variant>
      <vt:variant>
        <vt:i4>210</vt:i4>
      </vt:variant>
      <vt:variant>
        <vt:i4>0</vt:i4>
      </vt:variant>
      <vt:variant>
        <vt:i4>5</vt:i4>
      </vt:variant>
      <vt:variant>
        <vt:lpwstr>http://www.mbao.org/</vt:lpwstr>
      </vt:variant>
      <vt:variant>
        <vt:lpwstr/>
      </vt:variant>
      <vt:variant>
        <vt:i4>5505109</vt:i4>
      </vt:variant>
      <vt:variant>
        <vt:i4>207</vt:i4>
      </vt:variant>
      <vt:variant>
        <vt:i4>0</vt:i4>
      </vt:variant>
      <vt:variant>
        <vt:i4>5</vt:i4>
      </vt:variant>
      <vt:variant>
        <vt:lpwstr>http://www.mbao.org/</vt:lpwstr>
      </vt:variant>
      <vt:variant>
        <vt:lpwstr/>
      </vt:variant>
      <vt:variant>
        <vt:i4>5505109</vt:i4>
      </vt:variant>
      <vt:variant>
        <vt:i4>204</vt:i4>
      </vt:variant>
      <vt:variant>
        <vt:i4>0</vt:i4>
      </vt:variant>
      <vt:variant>
        <vt:i4>5</vt:i4>
      </vt:variant>
      <vt:variant>
        <vt:lpwstr>http://www.mbao.org/</vt:lpwstr>
      </vt:variant>
      <vt:variant>
        <vt:lpwstr/>
      </vt:variant>
      <vt:variant>
        <vt:i4>5832733</vt:i4>
      </vt:variant>
      <vt:variant>
        <vt:i4>201</vt:i4>
      </vt:variant>
      <vt:variant>
        <vt:i4>0</vt:i4>
      </vt:variant>
      <vt:variant>
        <vt:i4>5</vt:i4>
      </vt:variant>
      <vt:variant>
        <vt:lpwstr>http://www.cabdirect.org.dbserv1.inra.org.ma/search.html?q=au%3A%22Erpen%2C+L.%22</vt:lpwstr>
      </vt:variant>
      <vt:variant>
        <vt:lpwstr/>
      </vt:variant>
      <vt:variant>
        <vt:i4>7012479</vt:i4>
      </vt:variant>
      <vt:variant>
        <vt:i4>198</vt:i4>
      </vt:variant>
      <vt:variant>
        <vt:i4>0</vt:i4>
      </vt:variant>
      <vt:variant>
        <vt:i4>5</vt:i4>
      </vt:variant>
      <vt:variant>
        <vt:lpwstr>http://mbao.org/2011/Proceedings/26NolingJAREAWIDE.pdf</vt:lpwstr>
      </vt:variant>
      <vt:variant>
        <vt:lpwstr/>
      </vt:variant>
      <vt:variant>
        <vt:i4>1966163</vt:i4>
      </vt:variant>
      <vt:variant>
        <vt:i4>195</vt:i4>
      </vt:variant>
      <vt:variant>
        <vt:i4>0</vt:i4>
      </vt:variant>
      <vt:variant>
        <vt:i4>5</vt:i4>
      </vt:variant>
      <vt:variant>
        <vt:lpwstr>http://www.cabdirect.org.dbserv1.inra.org.ma/abstracts/20093359847.html?resultNumber=3&amp;q=strawberry+production+AND+soil+less+</vt:lpwstr>
      </vt:variant>
      <vt:variant>
        <vt:lpwstr/>
      </vt:variant>
      <vt:variant>
        <vt:i4>786443</vt:i4>
      </vt:variant>
      <vt:variant>
        <vt:i4>192</vt:i4>
      </vt:variant>
      <vt:variant>
        <vt:i4>0</vt:i4>
      </vt:variant>
      <vt:variant>
        <vt:i4>5</vt:i4>
      </vt:variant>
      <vt:variant>
        <vt:lpwstr>http://www.scopus.com/authid/detail.url?origin=resultslist&amp;authorId=35773893900&amp;zone=</vt:lpwstr>
      </vt:variant>
      <vt:variant>
        <vt:lpwstr/>
      </vt:variant>
      <vt:variant>
        <vt:i4>524303</vt:i4>
      </vt:variant>
      <vt:variant>
        <vt:i4>189</vt:i4>
      </vt:variant>
      <vt:variant>
        <vt:i4>0</vt:i4>
      </vt:variant>
      <vt:variant>
        <vt:i4>5</vt:i4>
      </vt:variant>
      <vt:variant>
        <vt:lpwstr>http://www.scopus.com/authid/detail.url?origin=resultslist&amp;authorId=23393641500&amp;zone=</vt:lpwstr>
      </vt:variant>
      <vt:variant>
        <vt:lpwstr/>
      </vt:variant>
      <vt:variant>
        <vt:i4>196610</vt:i4>
      </vt:variant>
      <vt:variant>
        <vt:i4>186</vt:i4>
      </vt:variant>
      <vt:variant>
        <vt:i4>0</vt:i4>
      </vt:variant>
      <vt:variant>
        <vt:i4>5</vt:i4>
      </vt:variant>
      <vt:variant>
        <vt:lpwstr>http://www.scopus.com/authid/detail.url?origin=resultslist&amp;authorId=36128270300&amp;zone=</vt:lpwstr>
      </vt:variant>
      <vt:variant>
        <vt:lpwstr/>
      </vt:variant>
      <vt:variant>
        <vt:i4>4980739</vt:i4>
      </vt:variant>
      <vt:variant>
        <vt:i4>183</vt:i4>
      </vt:variant>
      <vt:variant>
        <vt:i4>0</vt:i4>
      </vt:variant>
      <vt:variant>
        <vt:i4>5</vt:i4>
      </vt:variant>
      <vt:variant>
        <vt:lpwstr>http://www.ijret.org/</vt:lpwstr>
      </vt:variant>
      <vt:variant>
        <vt:lpwstr/>
      </vt:variant>
      <vt:variant>
        <vt:i4>5832778</vt:i4>
      </vt:variant>
      <vt:variant>
        <vt:i4>180</vt:i4>
      </vt:variant>
      <vt:variant>
        <vt:i4>0</vt:i4>
      </vt:variant>
      <vt:variant>
        <vt:i4>5</vt:i4>
      </vt:variant>
      <vt:variant>
        <vt:lpwstr>http://pubs.acs.org/action/doSearch?action=search&amp;author=Becker%2C+J.+Ole&amp;qsSearchArea=author</vt:lpwstr>
      </vt:variant>
      <vt:variant>
        <vt:lpwstr/>
      </vt:variant>
      <vt:variant>
        <vt:i4>983041</vt:i4>
      </vt:variant>
      <vt:variant>
        <vt:i4>177</vt:i4>
      </vt:variant>
      <vt:variant>
        <vt:i4>0</vt:i4>
      </vt:variant>
      <vt:variant>
        <vt:i4>5</vt:i4>
      </vt:variant>
      <vt:variant>
        <vt:lpwstr>http://pubs.acs.org/action/doSearch?action=search&amp;author=Xuan%2C+Richeng&amp;qsSearchArea=author</vt:lpwstr>
      </vt:variant>
      <vt:variant>
        <vt:lpwstr/>
      </vt:variant>
      <vt:variant>
        <vt:i4>8192101</vt:i4>
      </vt:variant>
      <vt:variant>
        <vt:i4>174</vt:i4>
      </vt:variant>
      <vt:variant>
        <vt:i4>0</vt:i4>
      </vt:variant>
      <vt:variant>
        <vt:i4>5</vt:i4>
      </vt:variant>
      <vt:variant>
        <vt:lpwstr>http://pubs.acs.org/action/doSearch?action=search&amp;author=Ashworth%2C+Daniel+J.&amp;qsSearchArea=author</vt:lpwstr>
      </vt:variant>
      <vt:variant>
        <vt:lpwstr/>
      </vt:variant>
      <vt:variant>
        <vt:i4>3538996</vt:i4>
      </vt:variant>
      <vt:variant>
        <vt:i4>171</vt:i4>
      </vt:variant>
      <vt:variant>
        <vt:i4>0</vt:i4>
      </vt:variant>
      <vt:variant>
        <vt:i4>5</vt:i4>
      </vt:variant>
      <vt:variant>
        <vt:lpwstr>http://pubs.acs.org/action/doSearch?action=search&amp;author=Yates%2C+Scott+R.&amp;qsSearchArea=author</vt:lpwstr>
      </vt:variant>
      <vt:variant>
        <vt:lpwstr/>
      </vt:variant>
      <vt:variant>
        <vt:i4>3539003</vt:i4>
      </vt:variant>
      <vt:variant>
        <vt:i4>168</vt:i4>
      </vt:variant>
      <vt:variant>
        <vt:i4>0</vt:i4>
      </vt:variant>
      <vt:variant>
        <vt:i4>5</vt:i4>
      </vt:variant>
      <vt:variant>
        <vt:lpwstr>http://pubs.acs.org/action/doSearch?action=search&amp;author=Luo%2C+Lifang&amp;qsSearchArea=author</vt:lpwstr>
      </vt:variant>
      <vt:variant>
        <vt:lpwstr/>
      </vt:variant>
      <vt:variant>
        <vt:i4>720922</vt:i4>
      </vt:variant>
      <vt:variant>
        <vt:i4>165</vt:i4>
      </vt:variant>
      <vt:variant>
        <vt:i4>0</vt:i4>
      </vt:variant>
      <vt:variant>
        <vt:i4>5</vt:i4>
      </vt:variant>
      <vt:variant>
        <vt:lpwstr>http://www.mendeley.com/profiles/miguel-talavera/</vt:lpwstr>
      </vt:variant>
      <vt:variant>
        <vt:lpwstr/>
      </vt:variant>
      <vt:variant>
        <vt:i4>458752</vt:i4>
      </vt:variant>
      <vt:variant>
        <vt:i4>162</vt:i4>
      </vt:variant>
      <vt:variant>
        <vt:i4>0</vt:i4>
      </vt:variant>
      <vt:variant>
        <vt:i4>5</vt:i4>
      </vt:variant>
      <vt:variant>
        <vt:lpwstr>http://www.cabdirect.org.dbserv1.inra.org.ma/search.html?q=au%3A%22Toso%2C+V.%22</vt:lpwstr>
      </vt:variant>
      <vt:variant>
        <vt:lpwstr/>
      </vt:variant>
      <vt:variant>
        <vt:i4>4718612</vt:i4>
      </vt:variant>
      <vt:variant>
        <vt:i4>159</vt:i4>
      </vt:variant>
      <vt:variant>
        <vt:i4>0</vt:i4>
      </vt:variant>
      <vt:variant>
        <vt:i4>5</vt:i4>
      </vt:variant>
      <vt:variant>
        <vt:lpwstr>http://www.cabdirect.org.dbserv1.inra.org.ma/search.html?q=au%3A%22Godoi%2C+R.%22</vt:lpwstr>
      </vt:variant>
      <vt:variant>
        <vt:lpwstr/>
      </vt:variant>
      <vt:variant>
        <vt:i4>3997801</vt:i4>
      </vt:variant>
      <vt:variant>
        <vt:i4>156</vt:i4>
      </vt:variant>
      <vt:variant>
        <vt:i4>0</vt:i4>
      </vt:variant>
      <vt:variant>
        <vt:i4>5</vt:i4>
      </vt:variant>
      <vt:variant>
        <vt:lpwstr>http://www.cabdirect.org.dbserv1.inra.org.ma/search.html?q=au%3A%22Janisch%2C+D.%22</vt:lpwstr>
      </vt:variant>
      <vt:variant>
        <vt:lpwstr/>
      </vt:variant>
      <vt:variant>
        <vt:i4>3932263</vt:i4>
      </vt:variant>
      <vt:variant>
        <vt:i4>153</vt:i4>
      </vt:variant>
      <vt:variant>
        <vt:i4>0</vt:i4>
      </vt:variant>
      <vt:variant>
        <vt:i4>5</vt:i4>
      </vt:variant>
      <vt:variant>
        <vt:lpwstr>http://www.cabdirect.org.dbserv1.inra.org.ma/search.html?q=au%3A%22Andriolo%2C+J.+L.%22</vt:lpwstr>
      </vt:variant>
      <vt:variant>
        <vt:lpwstr/>
      </vt:variant>
      <vt:variant>
        <vt:i4>65546</vt:i4>
      </vt:variant>
      <vt:variant>
        <vt:i4>150</vt:i4>
      </vt:variant>
      <vt:variant>
        <vt:i4>0</vt:i4>
      </vt:variant>
      <vt:variant>
        <vt:i4>5</vt:i4>
      </vt:variant>
      <vt:variant>
        <vt:lpwstr>http://www.cabdirect.org.dbserv1.inra.org.ma/search.html?q=au%3A%22Gim%C3%A9nez%2C+G.%22</vt:lpwstr>
      </vt:variant>
      <vt:variant>
        <vt:lpwstr/>
      </vt:variant>
      <vt:variant>
        <vt:i4>2818097</vt:i4>
      </vt:variant>
      <vt:variant>
        <vt:i4>147</vt:i4>
      </vt:variant>
      <vt:variant>
        <vt:i4>0</vt:i4>
      </vt:variant>
      <vt:variant>
        <vt:i4>5</vt:i4>
      </vt:variant>
      <vt:variant>
        <vt:lpwstr>http://www.epa.gov/pesticides/tarpcredits/</vt:lpwstr>
      </vt:variant>
      <vt:variant>
        <vt:lpwstr/>
      </vt:variant>
      <vt:variant>
        <vt:i4>3276813</vt:i4>
      </vt:variant>
      <vt:variant>
        <vt:i4>144</vt:i4>
      </vt:variant>
      <vt:variant>
        <vt:i4>0</vt:i4>
      </vt:variant>
      <vt:variant>
        <vt:i4>5</vt:i4>
      </vt:variant>
      <vt:variant>
        <vt:lpwstr>http://www.jns-journal.com/issues?issue_key=S0022-510X(13)X0013-9</vt:lpwstr>
      </vt:variant>
      <vt:variant>
        <vt:lpwstr/>
      </vt:variant>
      <vt:variant>
        <vt:i4>65541</vt:i4>
      </vt:variant>
      <vt:variant>
        <vt:i4>141</vt:i4>
      </vt:variant>
      <vt:variant>
        <vt:i4>0</vt:i4>
      </vt:variant>
      <vt:variant>
        <vt:i4>5</vt:i4>
      </vt:variant>
      <vt:variant>
        <vt:lpwstr>http://www.scopus.com/authid/detail.url?origin=resultslist&amp;authorId=7005223076&amp;zone=</vt:lpwstr>
      </vt:variant>
      <vt:variant>
        <vt:lpwstr/>
      </vt:variant>
      <vt:variant>
        <vt:i4>65544</vt:i4>
      </vt:variant>
      <vt:variant>
        <vt:i4>138</vt:i4>
      </vt:variant>
      <vt:variant>
        <vt:i4>0</vt:i4>
      </vt:variant>
      <vt:variant>
        <vt:i4>5</vt:i4>
      </vt:variant>
      <vt:variant>
        <vt:lpwstr>http://www.scopus.com/authid/detail.url?origin=resultslist&amp;authorId=35516020600&amp;zone=</vt:lpwstr>
      </vt:variant>
      <vt:variant>
        <vt:lpwstr/>
      </vt:variant>
      <vt:variant>
        <vt:i4>9</vt:i4>
      </vt:variant>
      <vt:variant>
        <vt:i4>135</vt:i4>
      </vt:variant>
      <vt:variant>
        <vt:i4>0</vt:i4>
      </vt:variant>
      <vt:variant>
        <vt:i4>5</vt:i4>
      </vt:variant>
      <vt:variant>
        <vt:lpwstr>http://www.scopus.com/authid/detail.url?origin=resultslist&amp;authorId=6701588668&amp;zone=</vt:lpwstr>
      </vt:variant>
      <vt:variant>
        <vt:lpwstr/>
      </vt:variant>
      <vt:variant>
        <vt:i4>10</vt:i4>
      </vt:variant>
      <vt:variant>
        <vt:i4>132</vt:i4>
      </vt:variant>
      <vt:variant>
        <vt:i4>0</vt:i4>
      </vt:variant>
      <vt:variant>
        <vt:i4>5</vt:i4>
      </vt:variant>
      <vt:variant>
        <vt:lpwstr>http://www.scopus.com/authid/detail.url?origin=resultslist&amp;authorId=8711403600&amp;zone=</vt:lpwstr>
      </vt:variant>
      <vt:variant>
        <vt:lpwstr/>
      </vt:variant>
      <vt:variant>
        <vt:i4>458754</vt:i4>
      </vt:variant>
      <vt:variant>
        <vt:i4>129</vt:i4>
      </vt:variant>
      <vt:variant>
        <vt:i4>0</vt:i4>
      </vt:variant>
      <vt:variant>
        <vt:i4>5</vt:i4>
      </vt:variant>
      <vt:variant>
        <vt:lpwstr>http://www.scopus.com/authid/detail.url?origin=resultslist&amp;authorId=6603743046&amp;zone=</vt:lpwstr>
      </vt:variant>
      <vt:variant>
        <vt:lpwstr/>
      </vt:variant>
      <vt:variant>
        <vt:i4>5832796</vt:i4>
      </vt:variant>
      <vt:variant>
        <vt:i4>126</vt:i4>
      </vt:variant>
      <vt:variant>
        <vt:i4>0</vt:i4>
      </vt:variant>
      <vt:variant>
        <vt:i4>5</vt:i4>
      </vt:variant>
      <vt:variant>
        <vt:lpwstr>http://www.cdpr.ca.gov/docs/county/cacltrs/penfltrs/penf2012/2012atch/attach2102.pdf</vt:lpwstr>
      </vt:variant>
      <vt:variant>
        <vt:lpwstr/>
      </vt:variant>
      <vt:variant>
        <vt:i4>7995433</vt:i4>
      </vt:variant>
      <vt:variant>
        <vt:i4>123</vt:i4>
      </vt:variant>
      <vt:variant>
        <vt:i4>0</vt:i4>
      </vt:variant>
      <vt:variant>
        <vt:i4>5</vt:i4>
      </vt:variant>
      <vt:variant>
        <vt:lpwstr>http://www.cdpr.ca.gov/docs/license/pubs/fieldfum_studyguide_addendum.pdf</vt:lpwstr>
      </vt:variant>
      <vt:variant>
        <vt:lpwstr/>
      </vt:variant>
      <vt:variant>
        <vt:i4>6684772</vt:i4>
      </vt:variant>
      <vt:variant>
        <vt:i4>120</vt:i4>
      </vt:variant>
      <vt:variant>
        <vt:i4>0</vt:i4>
      </vt:variant>
      <vt:variant>
        <vt:i4>5</vt:i4>
      </vt:variant>
      <vt:variant>
        <vt:lpwstr>http://www.cdpr.ca.gov/</vt:lpwstr>
      </vt:variant>
      <vt:variant>
        <vt:lpwstr/>
      </vt:variant>
      <vt:variant>
        <vt:i4>6684772</vt:i4>
      </vt:variant>
      <vt:variant>
        <vt:i4>117</vt:i4>
      </vt:variant>
      <vt:variant>
        <vt:i4>0</vt:i4>
      </vt:variant>
      <vt:variant>
        <vt:i4>5</vt:i4>
      </vt:variant>
      <vt:variant>
        <vt:lpwstr>http://www.cdpr.ca.gov/</vt:lpwstr>
      </vt:variant>
      <vt:variant>
        <vt:lpwstr/>
      </vt:variant>
      <vt:variant>
        <vt:i4>2162749</vt:i4>
      </vt:variant>
      <vt:variant>
        <vt:i4>114</vt:i4>
      </vt:variant>
      <vt:variant>
        <vt:i4>0</vt:i4>
      </vt:variant>
      <vt:variant>
        <vt:i4>5</vt:i4>
      </vt:variant>
      <vt:variant>
        <vt:lpwstr>http://het.sagepub.com/content/33/1/81</vt:lpwstr>
      </vt:variant>
      <vt:variant>
        <vt:lpwstr/>
      </vt:variant>
      <vt:variant>
        <vt:i4>5505109</vt:i4>
      </vt:variant>
      <vt:variant>
        <vt:i4>111</vt:i4>
      </vt:variant>
      <vt:variant>
        <vt:i4>0</vt:i4>
      </vt:variant>
      <vt:variant>
        <vt:i4>5</vt:i4>
      </vt:variant>
      <vt:variant>
        <vt:lpwstr>http://www.mbao.org/</vt:lpwstr>
      </vt:variant>
      <vt:variant>
        <vt:lpwstr/>
      </vt:variant>
      <vt:variant>
        <vt:i4>5505109</vt:i4>
      </vt:variant>
      <vt:variant>
        <vt:i4>108</vt:i4>
      </vt:variant>
      <vt:variant>
        <vt:i4>0</vt:i4>
      </vt:variant>
      <vt:variant>
        <vt:i4>5</vt:i4>
      </vt:variant>
      <vt:variant>
        <vt:lpwstr>http://www.mbao.org/</vt:lpwstr>
      </vt:variant>
      <vt:variant>
        <vt:lpwstr/>
      </vt:variant>
      <vt:variant>
        <vt:i4>2555920</vt:i4>
      </vt:variant>
      <vt:variant>
        <vt:i4>105</vt:i4>
      </vt:variant>
      <vt:variant>
        <vt:i4>0</vt:i4>
      </vt:variant>
      <vt:variant>
        <vt:i4>5</vt:i4>
      </vt:variant>
      <vt:variant>
        <vt:lpwstr>http://ozone.unep.org/new_site/en/disclosure_of_interest.php?body_id=6&amp;committee_id=6</vt:lpwstr>
      </vt:variant>
      <vt:variant>
        <vt:lpwstr/>
      </vt:variant>
      <vt:variant>
        <vt:i4>6094941</vt:i4>
      </vt:variant>
      <vt:variant>
        <vt:i4>102</vt:i4>
      </vt:variant>
      <vt:variant>
        <vt:i4>0</vt:i4>
      </vt:variant>
      <vt:variant>
        <vt:i4>5</vt:i4>
      </vt:variant>
      <vt:variant>
        <vt:lpwstr>http://ozone.unep.org/Exemption_Information/Decisions/Decision_XVII-9(5).shtml</vt:lpwstr>
      </vt:variant>
      <vt:variant>
        <vt:lpwstr/>
      </vt:variant>
      <vt:variant>
        <vt:i4>3604536</vt:i4>
      </vt:variant>
      <vt:variant>
        <vt:i4>99</vt:i4>
      </vt:variant>
      <vt:variant>
        <vt:i4>0</vt:i4>
      </vt:variant>
      <vt:variant>
        <vt:i4>5</vt:i4>
      </vt:variant>
      <vt:variant>
        <vt:lpwstr>http://ozone.unep.org/Exemption_Information/Decisions/Decision_XVI-2(4).shtml</vt:lpwstr>
      </vt:variant>
      <vt:variant>
        <vt:lpwstr/>
      </vt:variant>
      <vt:variant>
        <vt:i4>458841</vt:i4>
      </vt:variant>
      <vt:variant>
        <vt:i4>96</vt:i4>
      </vt:variant>
      <vt:variant>
        <vt:i4>0</vt:i4>
      </vt:variant>
      <vt:variant>
        <vt:i4>5</vt:i4>
      </vt:variant>
      <vt:variant>
        <vt:lpwstr>http://ozone.unep.org/Exemption_Information/Decisions/Decision_Ex.I-3(5).shtml</vt:lpwstr>
      </vt:variant>
      <vt:variant>
        <vt:lpwstr/>
      </vt:variant>
      <vt:variant>
        <vt:i4>6094941</vt:i4>
      </vt:variant>
      <vt:variant>
        <vt:i4>93</vt:i4>
      </vt:variant>
      <vt:variant>
        <vt:i4>0</vt:i4>
      </vt:variant>
      <vt:variant>
        <vt:i4>5</vt:i4>
      </vt:variant>
      <vt:variant>
        <vt:lpwstr>http://ozone.unep.org/Exemption_Information/Decisions/Decision_XVII-9(5).shtml</vt:lpwstr>
      </vt:variant>
      <vt:variant>
        <vt:lpwstr/>
      </vt:variant>
      <vt:variant>
        <vt:i4>3604536</vt:i4>
      </vt:variant>
      <vt:variant>
        <vt:i4>90</vt:i4>
      </vt:variant>
      <vt:variant>
        <vt:i4>0</vt:i4>
      </vt:variant>
      <vt:variant>
        <vt:i4>5</vt:i4>
      </vt:variant>
      <vt:variant>
        <vt:lpwstr>http://ozone.unep.org/Exemption_Information/Decisions/Decision_XVI-2(4).shtml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TEAP May 2018: Evaluation of 2018 Critical Use Nominations for Methyl Bromide and Related Matters - Interim Report (Volume 4) (re-issued on 22 June 2018 for technical reasons)</dc:title>
  <dc:creator>Walter Brunner</dc:creator>
  <cp:lastModifiedBy>Sophia Mylona</cp:lastModifiedBy>
  <cp:revision>4</cp:revision>
  <cp:lastPrinted>2018-06-22T07:40:00Z</cp:lastPrinted>
  <dcterms:created xsi:type="dcterms:W3CDTF">2018-06-22T07:39:00Z</dcterms:created>
  <dcterms:modified xsi:type="dcterms:W3CDTF">2018-06-22T07:40:00Z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0x010100DCC36EACD1D17B4C9F2DA5605241D5B6</vt:lpwstr>
  </property>
</Properties>
</file>